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EE7BB4" w14:paraId="2DBFE3D5" w14:textId="77777777">
        <w:trPr>
          <w:cantSplit/>
        </w:trPr>
        <w:tc>
          <w:tcPr>
            <w:tcW w:w="6912" w:type="dxa"/>
          </w:tcPr>
          <w:p w14:paraId="491DBAE8" w14:textId="3FA058B9" w:rsidR="00093EEB" w:rsidRPr="00EE7BB4" w:rsidRDefault="00093EEB" w:rsidP="00E25998">
            <w:pPr>
              <w:spacing w:before="360"/>
              <w:rPr>
                <w:szCs w:val="24"/>
              </w:rPr>
            </w:pPr>
            <w:bookmarkStart w:id="0" w:name="dc06"/>
            <w:bookmarkStart w:id="1" w:name="dbluepink" w:colFirst="0" w:colLast="0"/>
            <w:bookmarkEnd w:id="0"/>
            <w:r w:rsidRPr="00EE7BB4">
              <w:rPr>
                <w:b/>
                <w:bCs/>
                <w:sz w:val="30"/>
                <w:szCs w:val="30"/>
              </w:rPr>
              <w:t>Consejo 20</w:t>
            </w:r>
            <w:r w:rsidR="007955DA" w:rsidRPr="00EE7BB4">
              <w:rPr>
                <w:b/>
                <w:bCs/>
                <w:sz w:val="30"/>
                <w:szCs w:val="30"/>
              </w:rPr>
              <w:t>20</w:t>
            </w:r>
          </w:p>
        </w:tc>
        <w:tc>
          <w:tcPr>
            <w:tcW w:w="3261" w:type="dxa"/>
          </w:tcPr>
          <w:p w14:paraId="149831EC" w14:textId="77777777" w:rsidR="00093EEB" w:rsidRPr="00EE7BB4" w:rsidRDefault="007955DA" w:rsidP="00E25998">
            <w:pPr>
              <w:spacing w:before="0"/>
              <w:rPr>
                <w:szCs w:val="24"/>
              </w:rPr>
            </w:pPr>
            <w:bookmarkStart w:id="2" w:name="ditulogo"/>
            <w:bookmarkEnd w:id="2"/>
            <w:r w:rsidRPr="00EE7BB4">
              <w:rPr>
                <w:noProof/>
              </w:rPr>
              <w:drawing>
                <wp:inline distT="0" distB="0" distL="0" distR="0" wp14:anchorId="247C3C60" wp14:editId="4D24E4F9">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EE7BB4" w14:paraId="0F72E913" w14:textId="77777777">
        <w:trPr>
          <w:cantSplit/>
          <w:trHeight w:val="20"/>
        </w:trPr>
        <w:tc>
          <w:tcPr>
            <w:tcW w:w="10173" w:type="dxa"/>
            <w:gridSpan w:val="2"/>
            <w:tcBorders>
              <w:bottom w:val="single" w:sz="12" w:space="0" w:color="auto"/>
            </w:tcBorders>
          </w:tcPr>
          <w:p w14:paraId="35942597" w14:textId="77777777" w:rsidR="00093EEB" w:rsidRPr="00EE7BB4" w:rsidRDefault="00093EEB" w:rsidP="00E25998">
            <w:pPr>
              <w:spacing w:before="0"/>
              <w:rPr>
                <w:b/>
                <w:bCs/>
                <w:szCs w:val="24"/>
              </w:rPr>
            </w:pPr>
          </w:p>
        </w:tc>
      </w:tr>
      <w:tr w:rsidR="00093EEB" w:rsidRPr="00EE7BB4" w14:paraId="13D5EEFC" w14:textId="77777777">
        <w:trPr>
          <w:cantSplit/>
          <w:trHeight w:val="20"/>
        </w:trPr>
        <w:tc>
          <w:tcPr>
            <w:tcW w:w="6912" w:type="dxa"/>
            <w:tcBorders>
              <w:top w:val="single" w:sz="12" w:space="0" w:color="auto"/>
            </w:tcBorders>
          </w:tcPr>
          <w:p w14:paraId="466441DD" w14:textId="77777777" w:rsidR="00093EEB" w:rsidRPr="00EE7BB4" w:rsidRDefault="00093EEB" w:rsidP="00E25998">
            <w:pPr>
              <w:tabs>
                <w:tab w:val="clear" w:pos="2268"/>
                <w:tab w:val="left" w:pos="1560"/>
                <w:tab w:val="left" w:pos="2269"/>
                <w:tab w:val="left" w:pos="3544"/>
                <w:tab w:val="left" w:pos="3969"/>
              </w:tabs>
              <w:spacing w:before="0"/>
              <w:rPr>
                <w:b/>
                <w:smallCaps/>
                <w:szCs w:val="24"/>
              </w:rPr>
            </w:pPr>
          </w:p>
        </w:tc>
        <w:tc>
          <w:tcPr>
            <w:tcW w:w="3261" w:type="dxa"/>
            <w:tcBorders>
              <w:top w:val="single" w:sz="12" w:space="0" w:color="auto"/>
            </w:tcBorders>
          </w:tcPr>
          <w:p w14:paraId="0F3F8B76" w14:textId="77777777" w:rsidR="00093EEB" w:rsidRPr="00EE7BB4" w:rsidRDefault="00093EEB" w:rsidP="00E25998">
            <w:pPr>
              <w:spacing w:before="0"/>
              <w:rPr>
                <w:b/>
                <w:bCs/>
                <w:szCs w:val="24"/>
              </w:rPr>
            </w:pPr>
          </w:p>
        </w:tc>
      </w:tr>
      <w:tr w:rsidR="00093EEB" w:rsidRPr="00EE7BB4" w14:paraId="0530673A" w14:textId="77777777">
        <w:trPr>
          <w:cantSplit/>
          <w:trHeight w:val="20"/>
        </w:trPr>
        <w:tc>
          <w:tcPr>
            <w:tcW w:w="6912" w:type="dxa"/>
            <w:shd w:val="clear" w:color="auto" w:fill="auto"/>
          </w:tcPr>
          <w:p w14:paraId="113DE71B" w14:textId="41271A95" w:rsidR="00093EEB" w:rsidRPr="00EE7BB4" w:rsidRDefault="005E3C98" w:rsidP="00E25998">
            <w:pPr>
              <w:tabs>
                <w:tab w:val="clear" w:pos="2268"/>
                <w:tab w:val="left" w:pos="1560"/>
                <w:tab w:val="left" w:pos="2269"/>
                <w:tab w:val="left" w:pos="3544"/>
                <w:tab w:val="left" w:pos="3969"/>
              </w:tabs>
              <w:spacing w:before="0"/>
              <w:rPr>
                <w:rFonts w:cs="Times"/>
                <w:b/>
                <w:szCs w:val="24"/>
              </w:rPr>
            </w:pPr>
            <w:bookmarkStart w:id="3" w:name="dnum" w:colFirst="1" w:colLast="1"/>
            <w:bookmarkStart w:id="4" w:name="dmeeting" w:colFirst="0" w:colLast="0"/>
            <w:r w:rsidRPr="00EE7BB4">
              <w:rPr>
                <w:rFonts w:cs="Times"/>
                <w:b/>
                <w:szCs w:val="24"/>
              </w:rPr>
              <w:t>Punto del orden del día: ADM 4</w:t>
            </w:r>
          </w:p>
        </w:tc>
        <w:tc>
          <w:tcPr>
            <w:tcW w:w="3261" w:type="dxa"/>
          </w:tcPr>
          <w:p w14:paraId="0ED7BB12" w14:textId="599907AC" w:rsidR="00093EEB" w:rsidRPr="00EE7BB4" w:rsidRDefault="00550FC8" w:rsidP="00E25998">
            <w:pPr>
              <w:spacing w:before="0"/>
              <w:rPr>
                <w:b/>
                <w:bCs/>
                <w:szCs w:val="24"/>
              </w:rPr>
            </w:pPr>
            <w:r w:rsidRPr="00EE7BB4">
              <w:rPr>
                <w:b/>
                <w:bCs/>
                <w:szCs w:val="24"/>
              </w:rPr>
              <w:t>Revisión 1 al</w:t>
            </w:r>
            <w:r w:rsidRPr="00EE7BB4">
              <w:rPr>
                <w:b/>
                <w:bCs/>
                <w:szCs w:val="24"/>
              </w:rPr>
              <w:br/>
            </w:r>
            <w:r w:rsidR="00093EEB" w:rsidRPr="00EE7BB4">
              <w:rPr>
                <w:b/>
                <w:bCs/>
                <w:szCs w:val="24"/>
              </w:rPr>
              <w:t>Documento C</w:t>
            </w:r>
            <w:r w:rsidR="007955DA" w:rsidRPr="00EE7BB4">
              <w:rPr>
                <w:b/>
                <w:bCs/>
                <w:szCs w:val="24"/>
              </w:rPr>
              <w:t>20</w:t>
            </w:r>
            <w:r w:rsidR="00093EEB" w:rsidRPr="00EE7BB4">
              <w:rPr>
                <w:b/>
                <w:bCs/>
                <w:szCs w:val="24"/>
              </w:rPr>
              <w:t>/</w:t>
            </w:r>
            <w:r w:rsidR="00453612" w:rsidRPr="00EE7BB4">
              <w:rPr>
                <w:b/>
                <w:bCs/>
                <w:szCs w:val="24"/>
              </w:rPr>
              <w:t>14</w:t>
            </w:r>
            <w:r w:rsidR="00093EEB" w:rsidRPr="00EE7BB4">
              <w:rPr>
                <w:b/>
                <w:bCs/>
                <w:szCs w:val="24"/>
              </w:rPr>
              <w:t>-S</w:t>
            </w:r>
          </w:p>
        </w:tc>
      </w:tr>
      <w:tr w:rsidR="00093EEB" w:rsidRPr="00EE7BB4" w14:paraId="164625F4" w14:textId="77777777">
        <w:trPr>
          <w:cantSplit/>
          <w:trHeight w:val="20"/>
        </w:trPr>
        <w:tc>
          <w:tcPr>
            <w:tcW w:w="6912" w:type="dxa"/>
            <w:shd w:val="clear" w:color="auto" w:fill="auto"/>
          </w:tcPr>
          <w:p w14:paraId="2CF4CCB3" w14:textId="77777777" w:rsidR="00093EEB" w:rsidRPr="00EE7BB4" w:rsidRDefault="00093EEB" w:rsidP="00E25998">
            <w:pPr>
              <w:shd w:val="solid" w:color="FFFFFF" w:fill="FFFFFF"/>
              <w:spacing w:before="0"/>
              <w:rPr>
                <w:smallCaps/>
                <w:szCs w:val="24"/>
              </w:rPr>
            </w:pPr>
            <w:bookmarkStart w:id="5" w:name="ddate" w:colFirst="1" w:colLast="1"/>
            <w:bookmarkEnd w:id="3"/>
            <w:bookmarkEnd w:id="4"/>
          </w:p>
        </w:tc>
        <w:tc>
          <w:tcPr>
            <w:tcW w:w="3261" w:type="dxa"/>
          </w:tcPr>
          <w:p w14:paraId="465DC472" w14:textId="0578970A" w:rsidR="00093EEB" w:rsidRPr="00EE7BB4" w:rsidRDefault="00550FC8" w:rsidP="00E25998">
            <w:pPr>
              <w:spacing w:before="0"/>
              <w:rPr>
                <w:b/>
                <w:bCs/>
                <w:szCs w:val="24"/>
              </w:rPr>
            </w:pPr>
            <w:r w:rsidRPr="00EE7BB4">
              <w:rPr>
                <w:b/>
                <w:bCs/>
                <w:szCs w:val="24"/>
              </w:rPr>
              <w:t>5 de octubre</w:t>
            </w:r>
            <w:r w:rsidR="00093EEB" w:rsidRPr="00EE7BB4">
              <w:rPr>
                <w:b/>
                <w:bCs/>
                <w:szCs w:val="24"/>
              </w:rPr>
              <w:t xml:space="preserve"> de 20</w:t>
            </w:r>
            <w:r w:rsidR="007955DA" w:rsidRPr="00EE7BB4">
              <w:rPr>
                <w:b/>
                <w:bCs/>
                <w:szCs w:val="24"/>
              </w:rPr>
              <w:t>20</w:t>
            </w:r>
          </w:p>
        </w:tc>
      </w:tr>
      <w:tr w:rsidR="00093EEB" w:rsidRPr="00EE7BB4" w14:paraId="2264FB2C" w14:textId="77777777">
        <w:trPr>
          <w:cantSplit/>
          <w:trHeight w:val="20"/>
        </w:trPr>
        <w:tc>
          <w:tcPr>
            <w:tcW w:w="6912" w:type="dxa"/>
            <w:shd w:val="clear" w:color="auto" w:fill="auto"/>
          </w:tcPr>
          <w:p w14:paraId="1C2AC1A2" w14:textId="77777777" w:rsidR="00093EEB" w:rsidRPr="00EE7BB4" w:rsidRDefault="00093EEB" w:rsidP="00E25998">
            <w:pPr>
              <w:shd w:val="solid" w:color="FFFFFF" w:fill="FFFFFF"/>
              <w:spacing w:before="0"/>
              <w:rPr>
                <w:smallCaps/>
                <w:szCs w:val="24"/>
              </w:rPr>
            </w:pPr>
            <w:bookmarkStart w:id="6" w:name="dorlang" w:colFirst="1" w:colLast="1"/>
            <w:bookmarkEnd w:id="5"/>
          </w:p>
        </w:tc>
        <w:tc>
          <w:tcPr>
            <w:tcW w:w="3261" w:type="dxa"/>
          </w:tcPr>
          <w:p w14:paraId="2F531BF9" w14:textId="77777777" w:rsidR="00093EEB" w:rsidRPr="00EE7BB4" w:rsidRDefault="00093EEB" w:rsidP="00E25998">
            <w:pPr>
              <w:spacing w:before="0"/>
              <w:rPr>
                <w:b/>
                <w:bCs/>
                <w:szCs w:val="24"/>
              </w:rPr>
            </w:pPr>
            <w:r w:rsidRPr="00EE7BB4">
              <w:rPr>
                <w:b/>
                <w:bCs/>
                <w:szCs w:val="24"/>
              </w:rPr>
              <w:t>Original: inglés</w:t>
            </w:r>
          </w:p>
        </w:tc>
      </w:tr>
      <w:tr w:rsidR="001D4EA9" w:rsidRPr="00EE7BB4" w14:paraId="23BDBCD0" w14:textId="77777777">
        <w:trPr>
          <w:cantSplit/>
        </w:trPr>
        <w:tc>
          <w:tcPr>
            <w:tcW w:w="10173" w:type="dxa"/>
            <w:gridSpan w:val="2"/>
          </w:tcPr>
          <w:p w14:paraId="1704870D" w14:textId="545FFD59" w:rsidR="001D4EA9" w:rsidRPr="00EE7BB4" w:rsidRDefault="001D4EA9" w:rsidP="00E25998">
            <w:pPr>
              <w:pStyle w:val="Source"/>
            </w:pPr>
            <w:bookmarkStart w:id="7" w:name="lt_pId013"/>
            <w:bookmarkStart w:id="8" w:name="dsource" w:colFirst="0" w:colLast="0"/>
            <w:bookmarkEnd w:id="1"/>
            <w:bookmarkEnd w:id="6"/>
            <w:r w:rsidRPr="00EE7BB4">
              <w:t>Not</w:t>
            </w:r>
            <w:r w:rsidR="005E3C98" w:rsidRPr="00EE7BB4">
              <w:t>a</w:t>
            </w:r>
            <w:r w:rsidRPr="00EE7BB4">
              <w:t xml:space="preserve"> </w:t>
            </w:r>
            <w:r w:rsidR="005E3C98" w:rsidRPr="00EE7BB4">
              <w:t>del</w:t>
            </w:r>
            <w:r w:rsidRPr="00EE7BB4">
              <w:t xml:space="preserve"> Secretar</w:t>
            </w:r>
            <w:r w:rsidR="005E3C98" w:rsidRPr="00EE7BB4">
              <w:t xml:space="preserve">io </w:t>
            </w:r>
            <w:r w:rsidRPr="00EE7BB4">
              <w:t>General</w:t>
            </w:r>
            <w:bookmarkEnd w:id="7"/>
          </w:p>
        </w:tc>
      </w:tr>
      <w:tr w:rsidR="001D4EA9" w:rsidRPr="00EE7BB4" w14:paraId="6A4671F8" w14:textId="77777777">
        <w:trPr>
          <w:cantSplit/>
        </w:trPr>
        <w:tc>
          <w:tcPr>
            <w:tcW w:w="10173" w:type="dxa"/>
            <w:gridSpan w:val="2"/>
          </w:tcPr>
          <w:p w14:paraId="41014F27" w14:textId="7EEBD704" w:rsidR="001D4EA9" w:rsidRPr="00EE7BB4" w:rsidRDefault="005E3C98" w:rsidP="00E25998">
            <w:pPr>
              <w:pStyle w:val="Title1"/>
            </w:pPr>
            <w:bookmarkStart w:id="9" w:name="lt_pId014"/>
            <w:bookmarkStart w:id="10" w:name="dtitle1" w:colFirst="0" w:colLast="0"/>
            <w:bookmarkEnd w:id="8"/>
            <w:r w:rsidRPr="00EE7BB4">
              <w:t>APOYO A LA</w:t>
            </w:r>
            <w:r w:rsidR="001D4EA9" w:rsidRPr="00EE7BB4">
              <w:t xml:space="preserve"> TSB</w:t>
            </w:r>
            <w:bookmarkEnd w:id="9"/>
          </w:p>
        </w:tc>
      </w:tr>
      <w:bookmarkEnd w:id="10"/>
    </w:tbl>
    <w:p w14:paraId="2B8F1907" w14:textId="77777777" w:rsidR="00093EEB" w:rsidRPr="00EE7BB4" w:rsidRDefault="00093EEB" w:rsidP="00E2599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EE7BB4" w14:paraId="0193D505"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2BBFE488" w14:textId="77777777" w:rsidR="00093EEB" w:rsidRPr="00EE7BB4" w:rsidRDefault="00093EEB" w:rsidP="00E25998">
            <w:pPr>
              <w:pStyle w:val="Headingb"/>
            </w:pPr>
            <w:bookmarkStart w:id="11" w:name="_Toc39047644"/>
            <w:bookmarkStart w:id="12" w:name="_Toc54968530"/>
            <w:r w:rsidRPr="00EE7BB4">
              <w:t>Resumen</w:t>
            </w:r>
            <w:bookmarkEnd w:id="11"/>
            <w:bookmarkEnd w:id="12"/>
          </w:p>
          <w:p w14:paraId="2C6A191B" w14:textId="0521A51A" w:rsidR="00453612" w:rsidRPr="00EE7BB4" w:rsidRDefault="005E3C98" w:rsidP="009172D7">
            <w:bookmarkStart w:id="13" w:name="lt_pId016"/>
            <w:r w:rsidRPr="00EE7BB4">
              <w:t xml:space="preserve">El Sector de Normalización de la UIT ha experimentado un aumento notable del número de nuevos </w:t>
            </w:r>
            <w:r w:rsidR="00060939" w:rsidRPr="00EE7BB4">
              <w:t>miembros</w:t>
            </w:r>
            <w:r w:rsidRPr="00EE7BB4">
              <w:t>, comunidades, actividades y reuniones con respecto a años anteriores</w:t>
            </w:r>
            <w:r w:rsidR="00453612" w:rsidRPr="00EE7BB4">
              <w:t>.</w:t>
            </w:r>
            <w:bookmarkEnd w:id="13"/>
            <w:r w:rsidR="00453612" w:rsidRPr="00EE7BB4">
              <w:t xml:space="preserve"> </w:t>
            </w:r>
            <w:bookmarkStart w:id="14" w:name="lt_pId017"/>
            <w:r w:rsidRPr="00EE7BB4">
              <w:t xml:space="preserve">En diversas Resoluciones de la </w:t>
            </w:r>
            <w:r w:rsidR="00453612" w:rsidRPr="00EE7BB4">
              <w:t xml:space="preserve">PP-18 </w:t>
            </w:r>
            <w:r w:rsidRPr="00EE7BB4">
              <w:t>y la AMNT</w:t>
            </w:r>
            <w:r w:rsidR="00453612" w:rsidRPr="00EE7BB4">
              <w:t>-16</w:t>
            </w:r>
            <w:r w:rsidRPr="00EE7BB4">
              <w:t xml:space="preserve"> se encarga a la TSB que realice labores adicionales. La carga de trabajo del personal de la TSB ha ido en considerable aumento, mientras que el número de puestos en esa Oficina se ha mantenido constante durante las dos últimas décadas en torno a 65 puestos. La TSB solicita que se le concedan los siguientes recursos de personal adicionales</w:t>
            </w:r>
            <w:bookmarkStart w:id="15" w:name="lt_pId019"/>
            <w:bookmarkEnd w:id="14"/>
            <w:r w:rsidR="00453612" w:rsidRPr="00EE7BB4">
              <w:t>:</w:t>
            </w:r>
            <w:bookmarkEnd w:id="15"/>
          </w:p>
          <w:p w14:paraId="7D51E49E" w14:textId="4187B120" w:rsidR="00453612" w:rsidRPr="00EE7BB4" w:rsidRDefault="00E25998" w:rsidP="009172D7">
            <w:pPr>
              <w:pStyle w:val="enumlev1"/>
            </w:pPr>
            <w:bookmarkStart w:id="16" w:name="lt_pId020"/>
            <w:r w:rsidRPr="00EE7BB4">
              <w:t>–</w:t>
            </w:r>
            <w:r w:rsidRPr="00EE7BB4">
              <w:tab/>
            </w:r>
            <w:r w:rsidR="00453612" w:rsidRPr="00EE7BB4">
              <w:t xml:space="preserve">1 P2 </w:t>
            </w:r>
            <w:r w:rsidR="005E3C98" w:rsidRPr="00EE7BB4">
              <w:t>para IFR de ciudades inteligentes y</w:t>
            </w:r>
            <w:r w:rsidR="00453612" w:rsidRPr="00EE7BB4">
              <w:t xml:space="preserve"> U4SSC</w:t>
            </w:r>
            <w:bookmarkEnd w:id="16"/>
            <w:r w:rsidRPr="00EE7BB4">
              <w:t>;</w:t>
            </w:r>
          </w:p>
          <w:p w14:paraId="49BC6A00" w14:textId="0609FF55" w:rsidR="00453612" w:rsidRPr="00EE7BB4" w:rsidRDefault="00E25998" w:rsidP="009172D7">
            <w:pPr>
              <w:pStyle w:val="enumlev1"/>
            </w:pPr>
            <w:bookmarkStart w:id="17" w:name="lt_pId021"/>
            <w:r w:rsidRPr="00EE7BB4">
              <w:t>–</w:t>
            </w:r>
            <w:r w:rsidRPr="00EE7BB4">
              <w:tab/>
            </w:r>
            <w:r w:rsidR="00453612" w:rsidRPr="00EE7BB4">
              <w:t xml:space="preserve">1 P2 </w:t>
            </w:r>
            <w:r w:rsidR="005E3C98" w:rsidRPr="00EE7BB4">
              <w:t>para recursos de numeración</w:t>
            </w:r>
            <w:bookmarkEnd w:id="17"/>
            <w:r w:rsidRPr="00EE7BB4">
              <w:t>;</w:t>
            </w:r>
          </w:p>
          <w:p w14:paraId="5C3B4B5A" w14:textId="48951886" w:rsidR="00453612" w:rsidRPr="00EE7BB4" w:rsidRDefault="00E25998" w:rsidP="009172D7">
            <w:pPr>
              <w:pStyle w:val="enumlev1"/>
            </w:pPr>
            <w:bookmarkStart w:id="18" w:name="lt_pId022"/>
            <w:r w:rsidRPr="00EE7BB4">
              <w:t>–</w:t>
            </w:r>
            <w:r w:rsidRPr="00EE7BB4">
              <w:tab/>
            </w:r>
            <w:r w:rsidR="00453612" w:rsidRPr="00EE7BB4">
              <w:t xml:space="preserve">1 P4 </w:t>
            </w:r>
            <w:r w:rsidR="005E3C98" w:rsidRPr="00EE7BB4">
              <w:t>y</w:t>
            </w:r>
            <w:r w:rsidR="00453612" w:rsidRPr="00EE7BB4">
              <w:t xml:space="preserve"> 1 G6 </w:t>
            </w:r>
            <w:r w:rsidR="005E3C98" w:rsidRPr="00EE7BB4">
              <w:t>para inclusión financiera</w:t>
            </w:r>
            <w:bookmarkEnd w:id="18"/>
            <w:r w:rsidRPr="00EE7BB4">
              <w:t>;</w:t>
            </w:r>
          </w:p>
          <w:p w14:paraId="69C6B53A" w14:textId="1ADAB2CF" w:rsidR="00453612" w:rsidRPr="00EE7BB4" w:rsidRDefault="00E25998" w:rsidP="009172D7">
            <w:pPr>
              <w:pStyle w:val="enumlev1"/>
            </w:pPr>
            <w:bookmarkStart w:id="19" w:name="lt_pId023"/>
            <w:r w:rsidRPr="00EE7BB4">
              <w:t>–</w:t>
            </w:r>
            <w:r w:rsidRPr="00EE7BB4">
              <w:tab/>
            </w:r>
            <w:r w:rsidR="00453612" w:rsidRPr="00EE7BB4">
              <w:t xml:space="preserve">1 P4 </w:t>
            </w:r>
            <w:r w:rsidR="005E3C98" w:rsidRPr="00EE7BB4">
              <w:t>experto en aplicación del aprendizaje automático a las redes de comunicaciones</w:t>
            </w:r>
            <w:bookmarkEnd w:id="19"/>
            <w:r w:rsidRPr="00EE7BB4">
              <w:t>;</w:t>
            </w:r>
          </w:p>
          <w:p w14:paraId="7BAEF7B7" w14:textId="530A78C7" w:rsidR="00093EEB" w:rsidRPr="00EE7BB4" w:rsidRDefault="00E25998" w:rsidP="009172D7">
            <w:pPr>
              <w:pStyle w:val="enumlev1"/>
            </w:pPr>
            <w:bookmarkStart w:id="20" w:name="lt_pId024"/>
            <w:r w:rsidRPr="00EE7BB4">
              <w:t>–</w:t>
            </w:r>
            <w:r w:rsidRPr="00EE7BB4">
              <w:tab/>
            </w:r>
            <w:r w:rsidR="00453612" w:rsidRPr="00EE7BB4">
              <w:t xml:space="preserve">1 P1 </w:t>
            </w:r>
            <w:r w:rsidR="005E3C98" w:rsidRPr="00EE7BB4">
              <w:t>y</w:t>
            </w:r>
            <w:r w:rsidR="00453612" w:rsidRPr="00EE7BB4">
              <w:t xml:space="preserve"> 1 P2 </w:t>
            </w:r>
            <w:r w:rsidR="005E3C98" w:rsidRPr="00EE7BB4">
              <w:t>para herramientas y aplicaciones de TI</w:t>
            </w:r>
            <w:bookmarkEnd w:id="20"/>
            <w:r w:rsidRPr="00EE7BB4">
              <w:t>.</w:t>
            </w:r>
          </w:p>
          <w:p w14:paraId="02621E2C" w14:textId="77777777" w:rsidR="00093EEB" w:rsidRPr="00EE7BB4" w:rsidRDefault="00093EEB" w:rsidP="009172D7">
            <w:pPr>
              <w:pStyle w:val="Headingb"/>
            </w:pPr>
            <w:bookmarkStart w:id="21" w:name="_Toc39047645"/>
            <w:bookmarkStart w:id="22" w:name="_Toc54968531"/>
            <w:r w:rsidRPr="00EE7BB4">
              <w:t>Acción solicitada</w:t>
            </w:r>
            <w:bookmarkEnd w:id="21"/>
            <w:bookmarkEnd w:id="22"/>
          </w:p>
          <w:p w14:paraId="092C26AD" w14:textId="1226D724" w:rsidR="00093EEB" w:rsidRPr="00EE7BB4" w:rsidRDefault="005E3C98" w:rsidP="009172D7">
            <w:bookmarkStart w:id="23" w:name="lt_pId026"/>
            <w:r w:rsidRPr="00EE7BB4">
              <w:t xml:space="preserve">Se invita al Consejo a </w:t>
            </w:r>
            <w:r w:rsidRPr="00EE7BB4">
              <w:rPr>
                <w:b/>
                <w:bCs/>
              </w:rPr>
              <w:t>debatir</w:t>
            </w:r>
            <w:r w:rsidRPr="00EE7BB4">
              <w:t xml:space="preserve"> y aprobar las solicitudes presentadas en la parte 4 de este documento. Puede encontrarse más información de antecedentes en el Documento</w:t>
            </w:r>
            <w:bookmarkStart w:id="24" w:name="lt_pId027"/>
            <w:bookmarkEnd w:id="23"/>
            <w:r w:rsidR="00453612" w:rsidRPr="00EE7BB4">
              <w:t xml:space="preserve"> INF/7</w:t>
            </w:r>
            <w:r w:rsidR="00550FC8" w:rsidRPr="00EE7BB4">
              <w:t>(Rev.1)</w:t>
            </w:r>
            <w:r w:rsidR="00453612" w:rsidRPr="00EE7BB4">
              <w:t>.</w:t>
            </w:r>
            <w:bookmarkEnd w:id="24"/>
          </w:p>
          <w:p w14:paraId="7DD46029" w14:textId="77777777" w:rsidR="00093EEB" w:rsidRPr="00EE7BB4" w:rsidRDefault="00093EEB" w:rsidP="00E25998">
            <w:pPr>
              <w:pStyle w:val="Table"/>
              <w:keepNext w:val="0"/>
              <w:spacing w:before="0" w:after="0"/>
              <w:rPr>
                <w:caps w:val="0"/>
                <w:sz w:val="22"/>
                <w:lang w:val="es-ES_tradnl"/>
              </w:rPr>
            </w:pPr>
            <w:r w:rsidRPr="00EE7BB4">
              <w:rPr>
                <w:caps w:val="0"/>
                <w:sz w:val="22"/>
                <w:lang w:val="es-ES_tradnl"/>
              </w:rPr>
              <w:t>____________</w:t>
            </w:r>
          </w:p>
          <w:p w14:paraId="577A0742" w14:textId="406DCA00" w:rsidR="00093EEB" w:rsidRPr="00EE7BB4" w:rsidRDefault="00093EEB" w:rsidP="00E25998">
            <w:pPr>
              <w:pStyle w:val="Headingb"/>
            </w:pPr>
            <w:bookmarkStart w:id="25" w:name="_Toc39047646"/>
            <w:bookmarkStart w:id="26" w:name="_Toc54968532"/>
            <w:r w:rsidRPr="00EE7BB4">
              <w:t>Referencia</w:t>
            </w:r>
            <w:bookmarkEnd w:id="25"/>
            <w:r w:rsidR="00836969" w:rsidRPr="00EE7BB4">
              <w:t>s</w:t>
            </w:r>
            <w:bookmarkEnd w:id="26"/>
          </w:p>
          <w:p w14:paraId="5542DFE2" w14:textId="7C0A0055" w:rsidR="00093EEB" w:rsidRPr="00EE7BB4" w:rsidRDefault="00342C58" w:rsidP="00E25998">
            <w:pPr>
              <w:spacing w:after="120"/>
              <w:rPr>
                <w:i/>
                <w:iCs/>
              </w:rPr>
            </w:pPr>
            <w:hyperlink r:id="rId12" w:history="1">
              <w:r w:rsidR="00550FC8" w:rsidRPr="00EE7BB4">
                <w:rPr>
                  <w:rStyle w:val="Hyperlink"/>
                  <w:i/>
                  <w:iCs/>
                </w:rPr>
                <w:t>Documento C20/INF/7(Rev.1)</w:t>
              </w:r>
            </w:hyperlink>
          </w:p>
        </w:tc>
      </w:tr>
    </w:tbl>
    <w:p w14:paraId="224E3215" w14:textId="7E71009C" w:rsidR="00453612" w:rsidRPr="00EE7BB4" w:rsidRDefault="00453612" w:rsidP="00E25998">
      <w:r w:rsidRPr="00EE7BB4">
        <w:br w:type="page"/>
      </w:r>
    </w:p>
    <w:p w14:paraId="503156E8" w14:textId="01460072" w:rsidR="00C2727F" w:rsidRPr="00EE7BB4" w:rsidRDefault="005E3C98" w:rsidP="002F6252">
      <w:pPr>
        <w:pStyle w:val="Title4"/>
      </w:pPr>
      <w:r w:rsidRPr="00EE7BB4">
        <w:lastRenderedPageBreak/>
        <w:t>Í</w:t>
      </w:r>
      <w:r w:rsidR="00453612" w:rsidRPr="00EE7BB4">
        <w:t>NDICE</w:t>
      </w:r>
    </w:p>
    <w:p w14:paraId="758BCC7C" w14:textId="02FD86E6" w:rsidR="002F6252" w:rsidRPr="00EE7BB4" w:rsidRDefault="002F6252" w:rsidP="002F6252">
      <w:pPr>
        <w:pStyle w:val="toc0"/>
        <w:jc w:val="right"/>
      </w:pPr>
      <w:r w:rsidRPr="00EE7BB4">
        <w:t>Página</w:t>
      </w:r>
    </w:p>
    <w:p w14:paraId="6E262855" w14:textId="0C1EDAB5" w:rsidR="00C30212" w:rsidRDefault="00C30212">
      <w:pPr>
        <w:pStyle w:val="TOC1"/>
        <w:rPr>
          <w:rFonts w:asciiTheme="minorHAnsi" w:eastAsiaTheme="minorEastAsia" w:hAnsiTheme="minorHAnsi" w:cstheme="minorBidi"/>
          <w:noProof/>
          <w:sz w:val="22"/>
          <w:szCs w:val="22"/>
          <w:lang w:val="fr-CH" w:eastAsia="fr-CH"/>
        </w:rPr>
      </w:pPr>
      <w:r>
        <w:fldChar w:fldCharType="begin"/>
      </w:r>
      <w:r>
        <w:instrText xml:space="preserve"> TOC \o "1-2" \h \z \u </w:instrText>
      </w:r>
      <w:r>
        <w:fldChar w:fldCharType="separate"/>
      </w:r>
      <w:hyperlink w:anchor="_Toc54968533" w:history="1">
        <w:r w:rsidRPr="005B2F88">
          <w:rPr>
            <w:rStyle w:val="Hyperlink"/>
            <w:noProof/>
          </w:rPr>
          <w:t>1</w:t>
        </w:r>
        <w:r>
          <w:rPr>
            <w:rFonts w:asciiTheme="minorHAnsi" w:eastAsiaTheme="minorEastAsia" w:hAnsiTheme="minorHAnsi" w:cstheme="minorBidi"/>
            <w:noProof/>
            <w:sz w:val="22"/>
            <w:szCs w:val="22"/>
            <w:lang w:val="fr-CH" w:eastAsia="fr-CH"/>
          </w:rPr>
          <w:tab/>
        </w:r>
        <w:r w:rsidRPr="005B2F88">
          <w:rPr>
            <w:rStyle w:val="Hyperlink"/>
            <w:noProof/>
          </w:rPr>
          <w:t>Introducción</w:t>
        </w:r>
        <w:r>
          <w:rPr>
            <w:noProof/>
            <w:webHidden/>
          </w:rPr>
          <w:tab/>
        </w:r>
        <w:r>
          <w:rPr>
            <w:noProof/>
            <w:webHidden/>
          </w:rPr>
          <w:tab/>
        </w:r>
        <w:r>
          <w:rPr>
            <w:noProof/>
            <w:webHidden/>
          </w:rPr>
          <w:fldChar w:fldCharType="begin"/>
        </w:r>
        <w:r>
          <w:rPr>
            <w:noProof/>
            <w:webHidden/>
          </w:rPr>
          <w:instrText xml:space="preserve"> PAGEREF _Toc54968533 \h </w:instrText>
        </w:r>
        <w:r>
          <w:rPr>
            <w:noProof/>
            <w:webHidden/>
          </w:rPr>
        </w:r>
        <w:r>
          <w:rPr>
            <w:noProof/>
            <w:webHidden/>
          </w:rPr>
          <w:fldChar w:fldCharType="separate"/>
        </w:r>
        <w:r w:rsidR="002B71E1">
          <w:rPr>
            <w:noProof/>
            <w:webHidden/>
          </w:rPr>
          <w:t>3</w:t>
        </w:r>
        <w:r>
          <w:rPr>
            <w:noProof/>
            <w:webHidden/>
          </w:rPr>
          <w:fldChar w:fldCharType="end"/>
        </w:r>
      </w:hyperlink>
    </w:p>
    <w:p w14:paraId="48E63532" w14:textId="774C986E" w:rsidR="00C30212" w:rsidRDefault="00342C58">
      <w:pPr>
        <w:pStyle w:val="TOC1"/>
        <w:rPr>
          <w:rFonts w:asciiTheme="minorHAnsi" w:eastAsiaTheme="minorEastAsia" w:hAnsiTheme="minorHAnsi" w:cstheme="minorBidi"/>
          <w:noProof/>
          <w:sz w:val="22"/>
          <w:szCs w:val="22"/>
          <w:lang w:val="fr-CH" w:eastAsia="fr-CH"/>
        </w:rPr>
      </w:pPr>
      <w:hyperlink w:anchor="_Toc54968534" w:history="1">
        <w:r w:rsidR="00C30212" w:rsidRPr="005B2F88">
          <w:rPr>
            <w:rStyle w:val="Hyperlink"/>
            <w:noProof/>
            <w:lang w:eastAsia="zh-CN"/>
          </w:rPr>
          <w:t>2</w:t>
        </w:r>
        <w:r w:rsidR="00C30212">
          <w:rPr>
            <w:rFonts w:asciiTheme="minorHAnsi" w:eastAsiaTheme="minorEastAsia" w:hAnsiTheme="minorHAnsi" w:cstheme="minorBidi"/>
            <w:noProof/>
            <w:sz w:val="22"/>
            <w:szCs w:val="22"/>
            <w:lang w:val="fr-CH" w:eastAsia="fr-CH"/>
          </w:rPr>
          <w:tab/>
        </w:r>
        <w:r w:rsidR="00C30212" w:rsidRPr="005B2F88">
          <w:rPr>
            <w:rStyle w:val="Hyperlink"/>
            <w:noProof/>
            <w:lang w:eastAsia="zh-CN"/>
          </w:rPr>
          <w:t>Servicios y herramientas de la UIT</w:t>
        </w:r>
        <w:r w:rsidR="00C30212">
          <w:rPr>
            <w:noProof/>
            <w:webHidden/>
          </w:rPr>
          <w:tab/>
        </w:r>
        <w:r w:rsidR="00C30212">
          <w:rPr>
            <w:noProof/>
            <w:webHidden/>
          </w:rPr>
          <w:tab/>
        </w:r>
        <w:r w:rsidR="00C30212">
          <w:rPr>
            <w:noProof/>
            <w:webHidden/>
          </w:rPr>
          <w:fldChar w:fldCharType="begin"/>
        </w:r>
        <w:r w:rsidR="00C30212">
          <w:rPr>
            <w:noProof/>
            <w:webHidden/>
          </w:rPr>
          <w:instrText xml:space="preserve"> PAGEREF _Toc54968534 \h </w:instrText>
        </w:r>
        <w:r w:rsidR="00C30212">
          <w:rPr>
            <w:noProof/>
            <w:webHidden/>
          </w:rPr>
        </w:r>
        <w:r w:rsidR="00C30212">
          <w:rPr>
            <w:noProof/>
            <w:webHidden/>
          </w:rPr>
          <w:fldChar w:fldCharType="separate"/>
        </w:r>
        <w:r w:rsidR="002B71E1">
          <w:rPr>
            <w:noProof/>
            <w:webHidden/>
          </w:rPr>
          <w:t>5</w:t>
        </w:r>
        <w:r w:rsidR="00C30212">
          <w:rPr>
            <w:noProof/>
            <w:webHidden/>
          </w:rPr>
          <w:fldChar w:fldCharType="end"/>
        </w:r>
      </w:hyperlink>
    </w:p>
    <w:p w14:paraId="4293A3CB" w14:textId="70EC0AB3" w:rsidR="00C30212" w:rsidRDefault="00342C58">
      <w:pPr>
        <w:pStyle w:val="TOC1"/>
        <w:rPr>
          <w:rFonts w:asciiTheme="minorHAnsi" w:eastAsiaTheme="minorEastAsia" w:hAnsiTheme="minorHAnsi" w:cstheme="minorBidi"/>
          <w:noProof/>
          <w:sz w:val="22"/>
          <w:szCs w:val="22"/>
          <w:lang w:val="fr-CH" w:eastAsia="fr-CH"/>
        </w:rPr>
      </w:pPr>
      <w:hyperlink w:anchor="_Toc54968535" w:history="1">
        <w:r w:rsidR="00C30212" w:rsidRPr="005B2F88">
          <w:rPr>
            <w:rStyle w:val="Hyperlink"/>
            <w:noProof/>
            <w:lang w:eastAsia="zh-CN"/>
          </w:rPr>
          <w:t>3</w:t>
        </w:r>
        <w:r w:rsidR="00C30212">
          <w:rPr>
            <w:rFonts w:asciiTheme="minorHAnsi" w:eastAsiaTheme="minorEastAsia" w:hAnsiTheme="minorHAnsi" w:cstheme="minorBidi"/>
            <w:noProof/>
            <w:sz w:val="22"/>
            <w:szCs w:val="22"/>
            <w:lang w:val="fr-CH" w:eastAsia="fr-CH"/>
          </w:rPr>
          <w:tab/>
        </w:r>
        <w:r w:rsidR="00C30212" w:rsidRPr="005B2F88">
          <w:rPr>
            <w:rStyle w:val="Hyperlink"/>
            <w:noProof/>
            <w:lang w:eastAsia="zh-CN"/>
          </w:rPr>
          <w:t>Solicitud de recursos adicionales para las actividades de las Comisiones de Estudio</w:t>
        </w:r>
        <w:r w:rsidR="00C30212">
          <w:rPr>
            <w:noProof/>
            <w:webHidden/>
          </w:rPr>
          <w:tab/>
        </w:r>
        <w:r w:rsidR="00C30212">
          <w:rPr>
            <w:noProof/>
            <w:webHidden/>
          </w:rPr>
          <w:fldChar w:fldCharType="begin"/>
        </w:r>
        <w:r w:rsidR="00C30212">
          <w:rPr>
            <w:noProof/>
            <w:webHidden/>
          </w:rPr>
          <w:instrText xml:space="preserve"> PAGEREF _Toc54968535 \h </w:instrText>
        </w:r>
        <w:r w:rsidR="00C30212">
          <w:rPr>
            <w:noProof/>
            <w:webHidden/>
          </w:rPr>
        </w:r>
        <w:r w:rsidR="00C30212">
          <w:rPr>
            <w:noProof/>
            <w:webHidden/>
          </w:rPr>
          <w:fldChar w:fldCharType="separate"/>
        </w:r>
        <w:r w:rsidR="002B71E1">
          <w:rPr>
            <w:noProof/>
            <w:webHidden/>
          </w:rPr>
          <w:t>8</w:t>
        </w:r>
        <w:r w:rsidR="00C30212">
          <w:rPr>
            <w:noProof/>
            <w:webHidden/>
          </w:rPr>
          <w:fldChar w:fldCharType="end"/>
        </w:r>
      </w:hyperlink>
    </w:p>
    <w:p w14:paraId="34FF7A6A" w14:textId="42C65F14" w:rsidR="00C30212" w:rsidRDefault="00342C58">
      <w:pPr>
        <w:pStyle w:val="TOC2"/>
        <w:rPr>
          <w:rFonts w:asciiTheme="minorHAnsi" w:eastAsiaTheme="minorEastAsia" w:hAnsiTheme="minorHAnsi" w:cstheme="minorBidi"/>
          <w:noProof/>
          <w:sz w:val="22"/>
          <w:szCs w:val="22"/>
          <w:lang w:val="fr-CH" w:eastAsia="fr-CH"/>
        </w:rPr>
      </w:pPr>
      <w:hyperlink w:anchor="_Toc54968536" w:history="1">
        <w:r w:rsidR="00C30212" w:rsidRPr="005B2F88">
          <w:rPr>
            <w:rStyle w:val="Hyperlink"/>
            <w:noProof/>
            <w:lang w:eastAsia="zh-CN"/>
          </w:rPr>
          <w:t>3.1</w:t>
        </w:r>
        <w:r w:rsidR="00C30212">
          <w:rPr>
            <w:rFonts w:asciiTheme="minorHAnsi" w:eastAsiaTheme="minorEastAsia" w:hAnsiTheme="minorHAnsi" w:cstheme="minorBidi"/>
            <w:noProof/>
            <w:sz w:val="22"/>
            <w:szCs w:val="22"/>
            <w:lang w:val="fr-CH" w:eastAsia="fr-CH"/>
          </w:rPr>
          <w:tab/>
        </w:r>
        <w:r w:rsidR="00C30212" w:rsidRPr="005B2F88">
          <w:rPr>
            <w:rStyle w:val="Hyperlink"/>
            <w:noProof/>
            <w:lang w:eastAsia="zh-CN"/>
          </w:rPr>
          <w:t>Ciudades de todo el mundo están utilizando los IFR para ciudades inteligentes y sostenibles de la UIT</w:t>
        </w:r>
        <w:r w:rsidR="00C30212">
          <w:rPr>
            <w:noProof/>
            <w:webHidden/>
          </w:rPr>
          <w:tab/>
        </w:r>
        <w:r w:rsidR="00C30212">
          <w:rPr>
            <w:noProof/>
            <w:webHidden/>
          </w:rPr>
          <w:tab/>
        </w:r>
        <w:r w:rsidR="00C30212">
          <w:rPr>
            <w:noProof/>
            <w:webHidden/>
          </w:rPr>
          <w:fldChar w:fldCharType="begin"/>
        </w:r>
        <w:r w:rsidR="00C30212">
          <w:rPr>
            <w:noProof/>
            <w:webHidden/>
          </w:rPr>
          <w:instrText xml:space="preserve"> PAGEREF _Toc54968536 \h </w:instrText>
        </w:r>
        <w:r w:rsidR="00C30212">
          <w:rPr>
            <w:noProof/>
            <w:webHidden/>
          </w:rPr>
        </w:r>
        <w:r w:rsidR="00C30212">
          <w:rPr>
            <w:noProof/>
            <w:webHidden/>
          </w:rPr>
          <w:fldChar w:fldCharType="separate"/>
        </w:r>
        <w:r w:rsidR="002B71E1">
          <w:rPr>
            <w:noProof/>
            <w:webHidden/>
          </w:rPr>
          <w:t>8</w:t>
        </w:r>
        <w:r w:rsidR="00C30212">
          <w:rPr>
            <w:noProof/>
            <w:webHidden/>
          </w:rPr>
          <w:fldChar w:fldCharType="end"/>
        </w:r>
      </w:hyperlink>
    </w:p>
    <w:p w14:paraId="4807FBEA" w14:textId="0AE400E4" w:rsidR="00C30212" w:rsidRDefault="00342C58">
      <w:pPr>
        <w:pStyle w:val="TOC2"/>
        <w:rPr>
          <w:rFonts w:asciiTheme="minorHAnsi" w:eastAsiaTheme="minorEastAsia" w:hAnsiTheme="minorHAnsi" w:cstheme="minorBidi"/>
          <w:noProof/>
          <w:sz w:val="22"/>
          <w:szCs w:val="22"/>
          <w:lang w:val="fr-CH" w:eastAsia="fr-CH"/>
        </w:rPr>
      </w:pPr>
      <w:hyperlink w:anchor="_Toc54968537" w:history="1">
        <w:r w:rsidR="00C30212" w:rsidRPr="005B2F88">
          <w:rPr>
            <w:rStyle w:val="Hyperlink"/>
            <w:noProof/>
            <w:lang w:eastAsia="zh-CN"/>
          </w:rPr>
          <w:t>3.2</w:t>
        </w:r>
        <w:r w:rsidR="00C30212">
          <w:rPr>
            <w:rFonts w:asciiTheme="minorHAnsi" w:eastAsiaTheme="minorEastAsia" w:hAnsiTheme="minorHAnsi" w:cstheme="minorBidi"/>
            <w:noProof/>
            <w:sz w:val="22"/>
            <w:szCs w:val="22"/>
            <w:lang w:val="fr-CH" w:eastAsia="fr-CH"/>
          </w:rPr>
          <w:tab/>
        </w:r>
        <w:r w:rsidR="00C30212" w:rsidRPr="005B2F88">
          <w:rPr>
            <w:rStyle w:val="Hyperlink"/>
            <w:noProof/>
            <w:lang w:eastAsia="zh-CN"/>
          </w:rPr>
          <w:t>Recursos de numeración internacional (INR), la columna dorsal de las redes de comunicaciones</w:t>
        </w:r>
        <w:r w:rsidR="00C30212">
          <w:rPr>
            <w:noProof/>
            <w:webHidden/>
          </w:rPr>
          <w:tab/>
        </w:r>
        <w:r w:rsidR="00C30212">
          <w:rPr>
            <w:noProof/>
            <w:webHidden/>
          </w:rPr>
          <w:tab/>
        </w:r>
        <w:r w:rsidR="00C30212">
          <w:rPr>
            <w:noProof/>
            <w:webHidden/>
          </w:rPr>
          <w:fldChar w:fldCharType="begin"/>
        </w:r>
        <w:r w:rsidR="00C30212">
          <w:rPr>
            <w:noProof/>
            <w:webHidden/>
          </w:rPr>
          <w:instrText xml:space="preserve"> PAGEREF _Toc54968537 \h </w:instrText>
        </w:r>
        <w:r w:rsidR="00C30212">
          <w:rPr>
            <w:noProof/>
            <w:webHidden/>
          </w:rPr>
        </w:r>
        <w:r w:rsidR="00C30212">
          <w:rPr>
            <w:noProof/>
            <w:webHidden/>
          </w:rPr>
          <w:fldChar w:fldCharType="separate"/>
        </w:r>
        <w:r w:rsidR="002B71E1">
          <w:rPr>
            <w:noProof/>
            <w:webHidden/>
          </w:rPr>
          <w:t>9</w:t>
        </w:r>
        <w:r w:rsidR="00C30212">
          <w:rPr>
            <w:noProof/>
            <w:webHidden/>
          </w:rPr>
          <w:fldChar w:fldCharType="end"/>
        </w:r>
      </w:hyperlink>
    </w:p>
    <w:p w14:paraId="75581DD1" w14:textId="53926B6D" w:rsidR="00C30212" w:rsidRDefault="00342C58">
      <w:pPr>
        <w:pStyle w:val="TOC2"/>
        <w:rPr>
          <w:rFonts w:asciiTheme="minorHAnsi" w:eastAsiaTheme="minorEastAsia" w:hAnsiTheme="minorHAnsi" w:cstheme="minorBidi"/>
          <w:noProof/>
          <w:sz w:val="22"/>
          <w:szCs w:val="22"/>
          <w:lang w:val="fr-CH" w:eastAsia="fr-CH"/>
        </w:rPr>
      </w:pPr>
      <w:hyperlink w:anchor="_Toc54968538" w:history="1">
        <w:r w:rsidR="00C30212" w:rsidRPr="005B2F88">
          <w:rPr>
            <w:rStyle w:val="Hyperlink"/>
            <w:noProof/>
            <w:lang w:eastAsia="zh-CN"/>
          </w:rPr>
          <w:t>3.3</w:t>
        </w:r>
        <w:r w:rsidR="00C30212">
          <w:rPr>
            <w:rFonts w:asciiTheme="minorHAnsi" w:eastAsiaTheme="minorEastAsia" w:hAnsiTheme="minorHAnsi" w:cstheme="minorBidi"/>
            <w:noProof/>
            <w:sz w:val="22"/>
            <w:szCs w:val="22"/>
            <w:lang w:val="fr-CH" w:eastAsia="fr-CH"/>
          </w:rPr>
          <w:tab/>
        </w:r>
        <w:r w:rsidR="00C30212" w:rsidRPr="005B2F88">
          <w:rPr>
            <w:rStyle w:val="Hyperlink"/>
            <w:noProof/>
            <w:lang w:eastAsia="zh-CN"/>
          </w:rPr>
          <w:t xml:space="preserve">Los servicios financieros digitales pueden integrar a 2 mil millones de </w:t>
        </w:r>
        <w:r w:rsidR="00C30212">
          <w:rPr>
            <w:rStyle w:val="Hyperlink"/>
            <w:noProof/>
            <w:lang w:eastAsia="zh-CN"/>
          </w:rPr>
          <w:br/>
        </w:r>
        <w:r w:rsidR="00C30212" w:rsidRPr="005B2F88">
          <w:rPr>
            <w:rStyle w:val="Hyperlink"/>
            <w:noProof/>
            <w:lang w:eastAsia="zh-CN"/>
          </w:rPr>
          <w:t>desbancarizados en la economía</w:t>
        </w:r>
        <w:r w:rsidR="00C30212">
          <w:rPr>
            <w:noProof/>
            <w:webHidden/>
          </w:rPr>
          <w:tab/>
        </w:r>
        <w:r w:rsidR="00C30212">
          <w:rPr>
            <w:noProof/>
            <w:webHidden/>
          </w:rPr>
          <w:tab/>
        </w:r>
        <w:r w:rsidR="00C30212">
          <w:rPr>
            <w:noProof/>
            <w:webHidden/>
          </w:rPr>
          <w:fldChar w:fldCharType="begin"/>
        </w:r>
        <w:r w:rsidR="00C30212">
          <w:rPr>
            <w:noProof/>
            <w:webHidden/>
          </w:rPr>
          <w:instrText xml:space="preserve"> PAGEREF _Toc54968538 \h </w:instrText>
        </w:r>
        <w:r w:rsidR="00C30212">
          <w:rPr>
            <w:noProof/>
            <w:webHidden/>
          </w:rPr>
        </w:r>
        <w:r w:rsidR="00C30212">
          <w:rPr>
            <w:noProof/>
            <w:webHidden/>
          </w:rPr>
          <w:fldChar w:fldCharType="separate"/>
        </w:r>
        <w:r w:rsidR="002B71E1">
          <w:rPr>
            <w:noProof/>
            <w:webHidden/>
          </w:rPr>
          <w:t>10</w:t>
        </w:r>
        <w:r w:rsidR="00C30212">
          <w:rPr>
            <w:noProof/>
            <w:webHidden/>
          </w:rPr>
          <w:fldChar w:fldCharType="end"/>
        </w:r>
      </w:hyperlink>
    </w:p>
    <w:p w14:paraId="507CC4A6" w14:textId="5713BFEF" w:rsidR="00C30212" w:rsidRDefault="00342C58">
      <w:pPr>
        <w:pStyle w:val="TOC2"/>
        <w:rPr>
          <w:rFonts w:asciiTheme="minorHAnsi" w:eastAsiaTheme="minorEastAsia" w:hAnsiTheme="minorHAnsi" w:cstheme="minorBidi"/>
          <w:noProof/>
          <w:sz w:val="22"/>
          <w:szCs w:val="22"/>
          <w:lang w:val="fr-CH" w:eastAsia="fr-CH"/>
        </w:rPr>
      </w:pPr>
      <w:hyperlink w:anchor="_Toc54968539" w:history="1">
        <w:r w:rsidR="00C30212" w:rsidRPr="005B2F88">
          <w:rPr>
            <w:rStyle w:val="Hyperlink"/>
            <w:noProof/>
            <w:lang w:eastAsia="zh-CN"/>
          </w:rPr>
          <w:t>3.4</w:t>
        </w:r>
        <w:r w:rsidR="00C30212">
          <w:rPr>
            <w:rFonts w:asciiTheme="minorHAnsi" w:eastAsiaTheme="minorEastAsia" w:hAnsiTheme="minorHAnsi" w:cstheme="minorBidi"/>
            <w:noProof/>
            <w:sz w:val="22"/>
            <w:szCs w:val="22"/>
            <w:lang w:val="fr-CH" w:eastAsia="fr-CH"/>
          </w:rPr>
          <w:tab/>
        </w:r>
        <w:r w:rsidR="00C30212" w:rsidRPr="005B2F88">
          <w:rPr>
            <w:rStyle w:val="Hyperlink"/>
            <w:noProof/>
            <w:lang w:eastAsia="zh-CN"/>
          </w:rPr>
          <w:t xml:space="preserve">Experto en la aplicación del aprendizaje automático a la infraestructura </w:t>
        </w:r>
        <w:r w:rsidR="00C30212">
          <w:rPr>
            <w:rStyle w:val="Hyperlink"/>
            <w:noProof/>
            <w:lang w:eastAsia="zh-CN"/>
          </w:rPr>
          <w:br/>
        </w:r>
        <w:r w:rsidR="00C30212" w:rsidRPr="005B2F88">
          <w:rPr>
            <w:rStyle w:val="Hyperlink"/>
            <w:noProof/>
            <w:lang w:eastAsia="zh-CN"/>
          </w:rPr>
          <w:t>y servicios de TIC</w:t>
        </w:r>
        <w:r w:rsidR="00C30212">
          <w:rPr>
            <w:noProof/>
            <w:webHidden/>
          </w:rPr>
          <w:tab/>
        </w:r>
        <w:r w:rsidR="00C30212">
          <w:rPr>
            <w:noProof/>
            <w:webHidden/>
          </w:rPr>
          <w:tab/>
        </w:r>
        <w:r w:rsidR="00C30212">
          <w:rPr>
            <w:noProof/>
            <w:webHidden/>
          </w:rPr>
          <w:fldChar w:fldCharType="begin"/>
        </w:r>
        <w:r w:rsidR="00C30212">
          <w:rPr>
            <w:noProof/>
            <w:webHidden/>
          </w:rPr>
          <w:instrText xml:space="preserve"> PAGEREF _Toc54968539 \h </w:instrText>
        </w:r>
        <w:r w:rsidR="00C30212">
          <w:rPr>
            <w:noProof/>
            <w:webHidden/>
          </w:rPr>
        </w:r>
        <w:r w:rsidR="00C30212">
          <w:rPr>
            <w:noProof/>
            <w:webHidden/>
          </w:rPr>
          <w:fldChar w:fldCharType="separate"/>
        </w:r>
        <w:r w:rsidR="002B71E1">
          <w:rPr>
            <w:noProof/>
            <w:webHidden/>
          </w:rPr>
          <w:t>11</w:t>
        </w:r>
        <w:r w:rsidR="00C30212">
          <w:rPr>
            <w:noProof/>
            <w:webHidden/>
          </w:rPr>
          <w:fldChar w:fldCharType="end"/>
        </w:r>
      </w:hyperlink>
    </w:p>
    <w:p w14:paraId="5D90F988" w14:textId="2A90CD8A" w:rsidR="00C30212" w:rsidRDefault="00342C58">
      <w:pPr>
        <w:pStyle w:val="TOC1"/>
        <w:rPr>
          <w:rFonts w:asciiTheme="minorHAnsi" w:eastAsiaTheme="minorEastAsia" w:hAnsiTheme="minorHAnsi" w:cstheme="minorBidi"/>
          <w:noProof/>
          <w:sz w:val="22"/>
          <w:szCs w:val="22"/>
          <w:lang w:val="fr-CH" w:eastAsia="fr-CH"/>
        </w:rPr>
      </w:pPr>
      <w:hyperlink w:anchor="_Toc54968540" w:history="1">
        <w:r w:rsidR="00C30212" w:rsidRPr="005B2F88">
          <w:rPr>
            <w:rStyle w:val="Hyperlink"/>
            <w:noProof/>
          </w:rPr>
          <w:t>4</w:t>
        </w:r>
        <w:r w:rsidR="00C30212">
          <w:rPr>
            <w:rFonts w:asciiTheme="minorHAnsi" w:eastAsiaTheme="minorEastAsia" w:hAnsiTheme="minorHAnsi" w:cstheme="minorBidi"/>
            <w:noProof/>
            <w:sz w:val="22"/>
            <w:szCs w:val="22"/>
            <w:lang w:val="fr-CH" w:eastAsia="fr-CH"/>
          </w:rPr>
          <w:tab/>
        </w:r>
        <w:r w:rsidR="00C30212" w:rsidRPr="005B2F88">
          <w:rPr>
            <w:rStyle w:val="Hyperlink"/>
            <w:noProof/>
          </w:rPr>
          <w:t>Resumen de los recursos solicitados</w:t>
        </w:r>
        <w:r w:rsidR="00C30212">
          <w:rPr>
            <w:noProof/>
            <w:webHidden/>
          </w:rPr>
          <w:tab/>
        </w:r>
        <w:r w:rsidR="00C30212">
          <w:rPr>
            <w:noProof/>
            <w:webHidden/>
          </w:rPr>
          <w:tab/>
        </w:r>
        <w:r w:rsidR="00C30212">
          <w:rPr>
            <w:noProof/>
            <w:webHidden/>
          </w:rPr>
          <w:fldChar w:fldCharType="begin"/>
        </w:r>
        <w:r w:rsidR="00C30212">
          <w:rPr>
            <w:noProof/>
            <w:webHidden/>
          </w:rPr>
          <w:instrText xml:space="preserve"> PAGEREF _Toc54968540 \h </w:instrText>
        </w:r>
        <w:r w:rsidR="00C30212">
          <w:rPr>
            <w:noProof/>
            <w:webHidden/>
          </w:rPr>
        </w:r>
        <w:r w:rsidR="00C30212">
          <w:rPr>
            <w:noProof/>
            <w:webHidden/>
          </w:rPr>
          <w:fldChar w:fldCharType="separate"/>
        </w:r>
        <w:r w:rsidR="002B71E1">
          <w:rPr>
            <w:noProof/>
            <w:webHidden/>
          </w:rPr>
          <w:t>12</w:t>
        </w:r>
        <w:r w:rsidR="00C30212">
          <w:rPr>
            <w:noProof/>
            <w:webHidden/>
          </w:rPr>
          <w:fldChar w:fldCharType="end"/>
        </w:r>
      </w:hyperlink>
    </w:p>
    <w:p w14:paraId="532CC540" w14:textId="0FA417FC" w:rsidR="009172D7" w:rsidRPr="00EE7BB4" w:rsidRDefault="00C30212" w:rsidP="009172D7">
      <w:r>
        <w:fldChar w:fldCharType="end"/>
      </w:r>
      <w:r w:rsidR="009172D7" w:rsidRPr="00EE7BB4">
        <w:br w:type="page"/>
      </w:r>
    </w:p>
    <w:p w14:paraId="7F94F06C" w14:textId="5DC80B25" w:rsidR="00453612" w:rsidRPr="00EE7BB4" w:rsidRDefault="00453612" w:rsidP="00C30212">
      <w:pPr>
        <w:pStyle w:val="Heading1"/>
      </w:pPr>
      <w:bookmarkStart w:id="27" w:name="_Toc37930304"/>
      <w:bookmarkStart w:id="28" w:name="_Toc39047647"/>
      <w:bookmarkStart w:id="29" w:name="_Toc54968533"/>
      <w:bookmarkStart w:id="30" w:name="_Hlk38891519"/>
      <w:r w:rsidRPr="00EE7BB4">
        <w:lastRenderedPageBreak/>
        <w:t>1</w:t>
      </w:r>
      <w:r w:rsidRPr="00EE7BB4">
        <w:tab/>
      </w:r>
      <w:bookmarkStart w:id="31" w:name="lt_pId033"/>
      <w:r w:rsidRPr="00EE7BB4">
        <w:t>Introduc</w:t>
      </w:r>
      <w:r w:rsidR="005E3C98" w:rsidRPr="00EE7BB4">
        <w:t>ción</w:t>
      </w:r>
      <w:bookmarkEnd w:id="27"/>
      <w:bookmarkEnd w:id="31"/>
      <w:bookmarkEnd w:id="28"/>
      <w:bookmarkEnd w:id="29"/>
    </w:p>
    <w:p w14:paraId="0FD85B9E" w14:textId="7A3B773E" w:rsidR="00453612" w:rsidRPr="00EE7BB4" w:rsidRDefault="00453612" w:rsidP="009172D7">
      <w:pPr>
        <w:rPr>
          <w:rFonts w:eastAsia="Calibri"/>
        </w:rPr>
      </w:pPr>
      <w:r w:rsidRPr="00EE7BB4">
        <w:rPr>
          <w:rFonts w:eastAsia="Calibri"/>
        </w:rPr>
        <w:t>1.1</w:t>
      </w:r>
      <w:r w:rsidRPr="00EE7BB4">
        <w:rPr>
          <w:rFonts w:eastAsia="Calibri"/>
        </w:rPr>
        <w:tab/>
      </w:r>
      <w:bookmarkStart w:id="32" w:name="lt_pId035"/>
      <w:r w:rsidR="005E3C98" w:rsidRPr="00EE7BB4">
        <w:rPr>
          <w:rFonts w:eastAsia="Calibri"/>
        </w:rPr>
        <w:t xml:space="preserve">Las TIC se han convertido en una parte indispensable de nuestra sociedad, integrándose en todos los aspectos laborales y de la vida cotidiana. Todos los sectores industriales utilizan las TIC. Esta tendencia hacia una mayor coincidencia entre las TIC y diversas industrias/sectores verticales también queda patente en el programa de trabajo, que contiene nuevas actividades como la inclusión financiera digital, los sistemas de transporte inteligentes, las ciudades inteligentes, la red eléctrica inteligente, las tecnologías de libro mayor distribuido, la inteligencia artificial/aprendizaje automático y la tecnología informática cuántica, que, a su vez, </w:t>
      </w:r>
      <w:r w:rsidR="00EC5C38" w:rsidRPr="00EE7BB4">
        <w:rPr>
          <w:rFonts w:eastAsia="Calibri"/>
        </w:rPr>
        <w:t xml:space="preserve">generan un aumento del número de </w:t>
      </w:r>
      <w:r w:rsidR="00060939" w:rsidRPr="00EE7BB4">
        <w:rPr>
          <w:rFonts w:eastAsia="Calibri"/>
        </w:rPr>
        <w:t xml:space="preserve">miembros </w:t>
      </w:r>
      <w:r w:rsidR="00EC5C38" w:rsidRPr="00EE7BB4">
        <w:rPr>
          <w:rFonts w:eastAsia="Calibri"/>
        </w:rPr>
        <w:t>del UIT-T</w:t>
      </w:r>
      <w:bookmarkStart w:id="33" w:name="lt_pId037"/>
      <w:bookmarkEnd w:id="32"/>
      <w:r w:rsidRPr="00EE7BB4">
        <w:rPr>
          <w:rFonts w:eastAsia="Calibri"/>
        </w:rPr>
        <w:t>.</w:t>
      </w:r>
      <w:bookmarkEnd w:id="33"/>
    </w:p>
    <w:p w14:paraId="7A3F83F4" w14:textId="73FD5F26" w:rsidR="00453612" w:rsidRPr="00EE7BB4" w:rsidRDefault="00453612" w:rsidP="009172D7">
      <w:r w:rsidRPr="00EE7BB4">
        <w:rPr>
          <w:rFonts w:eastAsia="Calibri"/>
        </w:rPr>
        <w:t>1.2</w:t>
      </w:r>
      <w:r w:rsidRPr="00EE7BB4">
        <w:rPr>
          <w:rFonts w:eastAsia="Calibri"/>
        </w:rPr>
        <w:tab/>
      </w:r>
      <w:bookmarkStart w:id="34" w:name="lt_pId039"/>
      <w:r w:rsidR="00EC5C38" w:rsidRPr="00EE7BB4">
        <w:rPr>
          <w:rFonts w:eastAsia="Calibri"/>
        </w:rPr>
        <w:t>En</w:t>
      </w:r>
      <w:r w:rsidRPr="00EE7BB4">
        <w:rPr>
          <w:rFonts w:eastAsia="Calibri"/>
        </w:rPr>
        <w:t xml:space="preserve"> 2019</w:t>
      </w:r>
      <w:r w:rsidR="00EC5C38" w:rsidRPr="00EE7BB4">
        <w:rPr>
          <w:rFonts w:eastAsia="Calibri"/>
        </w:rPr>
        <w:t xml:space="preserve"> llegaron al UIT-T 34 nuevos Asociados (aumento neto</w:t>
      </w:r>
      <w:r w:rsidRPr="00EE7BB4">
        <w:t>:</w:t>
      </w:r>
      <w:bookmarkEnd w:id="34"/>
      <w:r w:rsidRPr="00EE7BB4">
        <w:t xml:space="preserve"> </w:t>
      </w:r>
      <w:bookmarkStart w:id="35" w:name="lt_pId040"/>
      <w:r w:rsidRPr="00EE7BB4">
        <w:t xml:space="preserve">+27) </w:t>
      </w:r>
      <w:r w:rsidR="00EC5C38" w:rsidRPr="00EE7BB4">
        <w:t>y</w:t>
      </w:r>
      <w:r w:rsidRPr="00EE7BB4">
        <w:t xml:space="preserve"> 20 n</w:t>
      </w:r>
      <w:r w:rsidR="00EC5C38" w:rsidRPr="00EE7BB4">
        <w:t>uevos Miembros de Sector (aumento neto:</w:t>
      </w:r>
      <w:r w:rsidRPr="00EE7BB4">
        <w:t xml:space="preserve"> +11).</w:t>
      </w:r>
      <w:bookmarkEnd w:id="35"/>
      <w:r w:rsidRPr="00EE7BB4">
        <w:t xml:space="preserve"> </w:t>
      </w:r>
      <w:bookmarkStart w:id="36" w:name="lt_pId041"/>
      <w:r w:rsidR="00EC5C38" w:rsidRPr="00EE7BB4">
        <w:t>En</w:t>
      </w:r>
      <w:r w:rsidRPr="00EE7BB4">
        <w:t xml:space="preserve"> 2018</w:t>
      </w:r>
      <w:r w:rsidR="00EC5C38" w:rsidRPr="00EE7BB4">
        <w:t xml:space="preserve"> se adhirieron 31 nuevos Asociados (aumento neto:</w:t>
      </w:r>
      <w:r w:rsidRPr="00EE7BB4">
        <w:t xml:space="preserve"> +20) </w:t>
      </w:r>
      <w:r w:rsidR="00EC5C38" w:rsidRPr="00EE7BB4">
        <w:t>y</w:t>
      </w:r>
      <w:r w:rsidRPr="00EE7BB4">
        <w:t xml:space="preserve"> 14</w:t>
      </w:r>
      <w:r w:rsidR="00080EEE" w:rsidRPr="00EE7BB4">
        <w:t> </w:t>
      </w:r>
      <w:r w:rsidRPr="00EE7BB4">
        <w:t>n</w:t>
      </w:r>
      <w:r w:rsidR="00EC5C38" w:rsidRPr="00EE7BB4">
        <w:t>uevos Miembros de Sector (aumento neto:</w:t>
      </w:r>
      <w:r w:rsidRPr="00EE7BB4">
        <w:t xml:space="preserve"> 0).</w:t>
      </w:r>
      <w:bookmarkEnd w:id="36"/>
      <w:r w:rsidRPr="00EE7BB4">
        <w:t xml:space="preserve"> </w:t>
      </w:r>
      <w:bookmarkStart w:id="37" w:name="lt_pId042"/>
      <w:r w:rsidR="00EC5C38" w:rsidRPr="00EE7BB4">
        <w:t>Entre 2017 y 2019 el aumento en los ingresos asciende a unos 200 000 CHF procedentes de los Miembros de</w:t>
      </w:r>
      <w:r w:rsidR="00060939" w:rsidRPr="00EE7BB4">
        <w:t xml:space="preserve"> </w:t>
      </w:r>
      <w:r w:rsidR="00EC5C38" w:rsidRPr="00EE7BB4">
        <w:t xml:space="preserve">Sector </w:t>
      </w:r>
      <w:r w:rsidR="00060939" w:rsidRPr="00EE7BB4">
        <w:t xml:space="preserve">del </w:t>
      </w:r>
      <w:r w:rsidR="00EC5C38" w:rsidRPr="00EE7BB4">
        <w:t>UIT-T y unos 450 000 de los Asociados del UIT-T</w:t>
      </w:r>
      <w:r w:rsidRPr="00EE7BB4">
        <w:t>.</w:t>
      </w:r>
      <w:bookmarkEnd w:id="37"/>
    </w:p>
    <w:p w14:paraId="6D4454B8" w14:textId="7142FFB8" w:rsidR="00550FC8" w:rsidRPr="00EE7BB4" w:rsidRDefault="00453612" w:rsidP="009172D7">
      <w:r w:rsidRPr="00EE7BB4">
        <w:t>1.3</w:t>
      </w:r>
      <w:r w:rsidRPr="00EE7BB4">
        <w:tab/>
      </w:r>
      <w:bookmarkStart w:id="38" w:name="lt_pId044"/>
      <w:r w:rsidR="00AB1BFF" w:rsidRPr="00EE7BB4">
        <w:t xml:space="preserve">El número de miembros del UIT-T ha seguido aumentando en 2020, a pesar de las repercusiones de la COVID-19. </w:t>
      </w:r>
      <w:r w:rsidR="005978D4" w:rsidRPr="00EE7BB4">
        <w:t>Entre enero y septiembre, se incorporaron al UIT-T 9 Miembros de Sector y 23 Asociados, lo que supone un total de 32 nuevos miembros. En total, el UIT-T presenta actualmente un aumento neto de 18 miembros en 2020. En el Cuadro 1 se indica el número total de Miembros de Sector y Asociados del UIT-T entre 2016 y septiembre de 2020, incluidas las cifras estimadas para el resto de 2020.</w:t>
      </w:r>
    </w:p>
    <w:p w14:paraId="459A81DC" w14:textId="4208475D" w:rsidR="005978D4" w:rsidRPr="00EE7BB4" w:rsidRDefault="00550FC8" w:rsidP="009172D7">
      <w:r w:rsidRPr="00EE7BB4">
        <w:t>1.4</w:t>
      </w:r>
      <w:r w:rsidRPr="00EE7BB4">
        <w:tab/>
      </w:r>
      <w:r w:rsidR="005978D4" w:rsidRPr="00EE7BB4">
        <w:t xml:space="preserve">Puede haber confusión para conciliar el aumento del número de miembros del UIT-T (cifras e ingresos) con el déficit comunicado entre las contribuciones presupuestadas de los miembros y los ingresos reales. Resulta que los ingresos presupuestados de los Miembros de Sector del UIT-T y los Asociados del UIT-T en el último decenio siempre han sido superiores a los ingresos reales: la diferencia entre los ingresos presupuestados y los ingresos reales de los Miembros de Sector del UIT-T osciló entre </w:t>
      </w:r>
      <w:r w:rsidR="009172D7" w:rsidRPr="00EE7BB4">
        <w:t>–</w:t>
      </w:r>
      <w:r w:rsidR="005978D4" w:rsidRPr="00EE7BB4">
        <w:t>249</w:t>
      </w:r>
      <w:r w:rsidR="009172D7" w:rsidRPr="00EE7BB4">
        <w:t> </w:t>
      </w:r>
      <w:r w:rsidR="005978D4" w:rsidRPr="00EE7BB4">
        <w:t xml:space="preserve">000 y </w:t>
      </w:r>
      <w:r w:rsidR="009172D7" w:rsidRPr="00EE7BB4">
        <w:t>–</w:t>
      </w:r>
      <w:r w:rsidR="005978D4" w:rsidRPr="00EE7BB4">
        <w:t>1,4 millones en el periodo 2010-2019. Los ingresos reales de los Miembros de Sector del UIT-T y los Asociados del UIT-T de 2017 a 2019 figuran en el Cuadro 2.</w:t>
      </w:r>
    </w:p>
    <w:p w14:paraId="71B61363" w14:textId="36F79F75" w:rsidR="00453612" w:rsidRPr="00EE7BB4" w:rsidRDefault="00550FC8" w:rsidP="00836969">
      <w:r w:rsidRPr="00EE7BB4">
        <w:t>1.5</w:t>
      </w:r>
      <w:r w:rsidRPr="00EE7BB4">
        <w:tab/>
      </w:r>
      <w:r w:rsidR="00453612" w:rsidRPr="00EE7BB4">
        <w:t>A</w:t>
      </w:r>
      <w:r w:rsidR="00EC5C38" w:rsidRPr="00EE7BB4">
        <w:t xml:space="preserve">l aumentar el número de </w:t>
      </w:r>
      <w:r w:rsidR="00060939" w:rsidRPr="00EE7BB4">
        <w:t xml:space="preserve">miembros </w:t>
      </w:r>
      <w:r w:rsidR="00EC5C38" w:rsidRPr="00EE7BB4">
        <w:t>del UIT-T, la TSB ha visto aumentar notablemente el número de solicitudes de servicios y ayuda para las diversas actividades del Sector. Por ejemplo, el número de reuniones electrónicas organizadas por el personal de la TSB prácticamente se ha duplicado en los últimos dos años, pasando de unas</w:t>
      </w:r>
      <w:bookmarkStart w:id="39" w:name="lt_pId045"/>
      <w:bookmarkEnd w:id="38"/>
      <w:r w:rsidR="00453612" w:rsidRPr="00EE7BB4">
        <w:t xml:space="preserve"> 1</w:t>
      </w:r>
      <w:r w:rsidR="00EC5C38" w:rsidRPr="00EE7BB4">
        <w:t xml:space="preserve"> </w:t>
      </w:r>
      <w:r w:rsidR="00453612" w:rsidRPr="00EE7BB4">
        <w:t xml:space="preserve">100 </w:t>
      </w:r>
      <w:r w:rsidR="00EC5C38" w:rsidRPr="00EE7BB4">
        <w:t>e</w:t>
      </w:r>
      <w:r w:rsidR="00453612" w:rsidRPr="00EE7BB4">
        <w:t xml:space="preserve">n 2017 </w:t>
      </w:r>
      <w:r w:rsidR="00EC5C38" w:rsidRPr="00EE7BB4">
        <w:t>a cerca de</w:t>
      </w:r>
      <w:r w:rsidR="00453612" w:rsidRPr="00EE7BB4">
        <w:t xml:space="preserve"> 1</w:t>
      </w:r>
      <w:r w:rsidR="00836969" w:rsidRPr="00EE7BB4">
        <w:t> </w:t>
      </w:r>
      <w:r w:rsidR="00453612" w:rsidRPr="00EE7BB4">
        <w:t xml:space="preserve">900 </w:t>
      </w:r>
      <w:r w:rsidR="00EC5C38" w:rsidRPr="00EE7BB4">
        <w:t>e</w:t>
      </w:r>
      <w:r w:rsidR="00453612" w:rsidRPr="00EE7BB4">
        <w:t>n 2019.</w:t>
      </w:r>
      <w:bookmarkEnd w:id="39"/>
      <w:r w:rsidR="00453612" w:rsidRPr="00EE7BB4">
        <w:t xml:space="preserve"> </w:t>
      </w:r>
      <w:bookmarkStart w:id="40" w:name="lt_pId046"/>
      <w:r w:rsidR="00EC5C38" w:rsidRPr="00EE7BB4">
        <w:t xml:space="preserve">Gracias a la utilización de tecnologías avanzadas, como el aprendizaje automático, la TSB ha mejorado sus servicios y ha logrado asumir parte del cada vez mayor trabajo manual necesario. </w:t>
      </w:r>
      <w:r w:rsidR="005978D4" w:rsidRPr="00EE7BB4">
        <w:t>Pueden encontrarse más detalles al respecto e</w:t>
      </w:r>
      <w:r w:rsidR="00EC5C38" w:rsidRPr="00EE7BB4">
        <w:t>n el documento de información al Consejo de 2020</w:t>
      </w:r>
      <w:r w:rsidRPr="00EE7BB4">
        <w:t xml:space="preserve"> </w:t>
      </w:r>
      <w:hyperlink r:id="rId13" w:history="1">
        <w:r w:rsidRPr="00EE7BB4">
          <w:rPr>
            <w:rStyle w:val="Hyperlink"/>
          </w:rPr>
          <w:t>C20/INF/7 (Rev.1)</w:t>
        </w:r>
      </w:hyperlink>
      <w:r w:rsidR="00EC5C38" w:rsidRPr="00EE7BB4">
        <w:t xml:space="preserve">, </w:t>
      </w:r>
      <w:bookmarkStart w:id="41" w:name="lt_pId047"/>
      <w:bookmarkEnd w:id="40"/>
      <w:r w:rsidR="00453612" w:rsidRPr="00EE7BB4">
        <w:rPr>
          <w:i/>
          <w:iCs/>
        </w:rPr>
        <w:t xml:space="preserve">The </w:t>
      </w:r>
      <w:proofErr w:type="spellStart"/>
      <w:r w:rsidR="00453612" w:rsidRPr="00EE7BB4">
        <w:rPr>
          <w:i/>
          <w:iCs/>
        </w:rPr>
        <w:t>extensive</w:t>
      </w:r>
      <w:proofErr w:type="spellEnd"/>
      <w:r w:rsidR="00453612" w:rsidRPr="00EE7BB4">
        <w:rPr>
          <w:i/>
          <w:iCs/>
        </w:rPr>
        <w:t xml:space="preserve"> use of ICT leads to new </w:t>
      </w:r>
      <w:proofErr w:type="spellStart"/>
      <w:r w:rsidR="00453612" w:rsidRPr="00EE7BB4">
        <w:rPr>
          <w:i/>
          <w:iCs/>
        </w:rPr>
        <w:t>activities</w:t>
      </w:r>
      <w:proofErr w:type="spellEnd"/>
      <w:r w:rsidR="00453612" w:rsidRPr="00EE7BB4">
        <w:rPr>
          <w:i/>
          <w:iCs/>
        </w:rPr>
        <w:t xml:space="preserve">, new </w:t>
      </w:r>
      <w:proofErr w:type="spellStart"/>
      <w:r w:rsidR="00453612" w:rsidRPr="00EE7BB4">
        <w:rPr>
          <w:i/>
          <w:iCs/>
        </w:rPr>
        <w:t>communities</w:t>
      </w:r>
      <w:proofErr w:type="spellEnd"/>
      <w:r w:rsidR="00453612" w:rsidRPr="00EE7BB4">
        <w:rPr>
          <w:i/>
          <w:iCs/>
        </w:rPr>
        <w:t xml:space="preserve">, a net </w:t>
      </w:r>
      <w:proofErr w:type="spellStart"/>
      <w:r w:rsidR="00453612" w:rsidRPr="00EE7BB4">
        <w:rPr>
          <w:i/>
          <w:iCs/>
        </w:rPr>
        <w:t>increase</w:t>
      </w:r>
      <w:proofErr w:type="spellEnd"/>
      <w:r w:rsidR="00453612" w:rsidRPr="00EE7BB4">
        <w:rPr>
          <w:i/>
          <w:iCs/>
        </w:rPr>
        <w:t xml:space="preserve"> in ITU-T </w:t>
      </w:r>
      <w:proofErr w:type="spellStart"/>
      <w:r w:rsidR="00453612" w:rsidRPr="00EE7BB4">
        <w:rPr>
          <w:i/>
          <w:iCs/>
        </w:rPr>
        <w:t>membership</w:t>
      </w:r>
      <w:proofErr w:type="spellEnd"/>
      <w:r w:rsidR="00453612" w:rsidRPr="00EE7BB4">
        <w:rPr>
          <w:i/>
          <w:iCs/>
        </w:rPr>
        <w:t xml:space="preserve">, new ICT </w:t>
      </w:r>
      <w:proofErr w:type="spellStart"/>
      <w:r w:rsidR="00453612" w:rsidRPr="00EE7BB4">
        <w:rPr>
          <w:i/>
          <w:iCs/>
        </w:rPr>
        <w:t>tools</w:t>
      </w:r>
      <w:proofErr w:type="spellEnd"/>
      <w:r w:rsidR="00453612" w:rsidRPr="00EE7BB4">
        <w:rPr>
          <w:i/>
          <w:iCs/>
        </w:rPr>
        <w:t>, and more meetings</w:t>
      </w:r>
      <w:r w:rsidR="005978D4" w:rsidRPr="00EE7BB4">
        <w:rPr>
          <w:i/>
          <w:iCs/>
        </w:rPr>
        <w:t xml:space="preserve"> </w:t>
      </w:r>
      <w:r w:rsidR="005978D4" w:rsidRPr="00EE7BB4">
        <w:t>(</w:t>
      </w:r>
      <w:r w:rsidR="00836969" w:rsidRPr="00EE7BB4">
        <w:t>"</w:t>
      </w:r>
      <w:r w:rsidR="005978D4" w:rsidRPr="00EE7BB4">
        <w:t>La utilización generalizada de las TIC da lugar a nuevas actividades, nuevas comunidades, un aumento neto del número de miembros del UIT-T, nuevas herramientas de TIC y más reuniones</w:t>
      </w:r>
      <w:r w:rsidR="00836969" w:rsidRPr="00EE7BB4">
        <w:t>"</w:t>
      </w:r>
      <w:r w:rsidR="005978D4" w:rsidRPr="00EE7BB4">
        <w:t>)</w:t>
      </w:r>
      <w:r w:rsidR="00453612" w:rsidRPr="00EE7BB4">
        <w:t>.</w:t>
      </w:r>
      <w:bookmarkEnd w:id="41"/>
    </w:p>
    <w:p w14:paraId="54AD2498" w14:textId="7542986F" w:rsidR="00836969" w:rsidRPr="00EE7BB4" w:rsidRDefault="00836969" w:rsidP="00836969">
      <w:r w:rsidRPr="00EE7BB4">
        <w:br w:type="page"/>
      </w:r>
    </w:p>
    <w:tbl>
      <w:tblPr>
        <w:tblStyle w:val="ListTable2-Accent11"/>
        <w:tblW w:w="5000" w:type="pct"/>
        <w:jc w:val="center"/>
        <w:tblLook w:val="04A0" w:firstRow="1" w:lastRow="0" w:firstColumn="1" w:lastColumn="0" w:noHBand="0" w:noVBand="1"/>
      </w:tblPr>
      <w:tblGrid>
        <w:gridCol w:w="2244"/>
        <w:gridCol w:w="1123"/>
        <w:gridCol w:w="1123"/>
        <w:gridCol w:w="1123"/>
        <w:gridCol w:w="985"/>
        <w:gridCol w:w="1203"/>
        <w:gridCol w:w="1413"/>
        <w:gridCol w:w="425"/>
      </w:tblGrid>
      <w:tr w:rsidR="00CC75F0" w:rsidRPr="00EE7BB4" w14:paraId="6614B27B" w14:textId="77777777" w:rsidTr="00CC75F0">
        <w:trPr>
          <w:cnfStyle w:val="100000000000" w:firstRow="1" w:lastRow="0" w:firstColumn="0" w:lastColumn="0" w:oddVBand="0" w:evenVBand="0" w:oddHBand="0" w:evenHBand="0" w:firstRowFirstColumn="0" w:firstRowLastColumn="0" w:lastRowFirstColumn="0" w:lastRowLastColumn="0"/>
          <w:cantSplit/>
          <w:trHeight w:val="756"/>
          <w:jc w:val="center"/>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20AA2DDD" w14:textId="77777777" w:rsidR="00CC75F0" w:rsidRPr="00EE7BB4" w:rsidRDefault="00CC75F0" w:rsidP="00CC75F0">
            <w:pPr>
              <w:pStyle w:val="Tablehead"/>
              <w:spacing w:before="80" w:after="80"/>
              <w:rPr>
                <w:b/>
                <w:bCs w:val="0"/>
              </w:rPr>
            </w:pPr>
          </w:p>
        </w:tc>
        <w:tc>
          <w:tcPr>
            <w:tcW w:w="1134" w:type="dxa"/>
            <w:vAlign w:val="center"/>
          </w:tcPr>
          <w:p w14:paraId="3BAE45E3" w14:textId="77777777" w:rsidR="00CC75F0" w:rsidRPr="00EE7BB4" w:rsidRDefault="00CC75F0" w:rsidP="00CC75F0">
            <w:pPr>
              <w:pStyle w:val="Tablehead"/>
              <w:spacing w:before="80" w:after="80"/>
              <w:cnfStyle w:val="100000000000" w:firstRow="1" w:lastRow="0" w:firstColumn="0" w:lastColumn="0" w:oddVBand="0" w:evenVBand="0" w:oddHBand="0" w:evenHBand="0" w:firstRowFirstColumn="0" w:firstRowLastColumn="0" w:lastRowFirstColumn="0" w:lastRowLastColumn="0"/>
              <w:rPr>
                <w:b/>
                <w:bCs w:val="0"/>
              </w:rPr>
            </w:pPr>
            <w:r w:rsidRPr="00EE7BB4">
              <w:rPr>
                <w:b/>
                <w:bCs w:val="0"/>
              </w:rPr>
              <w:t>2016</w:t>
            </w:r>
          </w:p>
        </w:tc>
        <w:tc>
          <w:tcPr>
            <w:tcW w:w="1134" w:type="dxa"/>
            <w:vAlign w:val="center"/>
          </w:tcPr>
          <w:p w14:paraId="27BBDDB3" w14:textId="77777777" w:rsidR="00CC75F0" w:rsidRPr="00EE7BB4" w:rsidRDefault="00CC75F0" w:rsidP="00CC75F0">
            <w:pPr>
              <w:pStyle w:val="Tablehead"/>
              <w:spacing w:before="80" w:after="80"/>
              <w:cnfStyle w:val="100000000000" w:firstRow="1" w:lastRow="0" w:firstColumn="0" w:lastColumn="0" w:oddVBand="0" w:evenVBand="0" w:oddHBand="0" w:evenHBand="0" w:firstRowFirstColumn="0" w:firstRowLastColumn="0" w:lastRowFirstColumn="0" w:lastRowLastColumn="0"/>
              <w:rPr>
                <w:b/>
                <w:bCs w:val="0"/>
              </w:rPr>
            </w:pPr>
            <w:r w:rsidRPr="00EE7BB4">
              <w:rPr>
                <w:b/>
                <w:bCs w:val="0"/>
              </w:rPr>
              <w:t>2017</w:t>
            </w:r>
          </w:p>
        </w:tc>
        <w:tc>
          <w:tcPr>
            <w:tcW w:w="1134" w:type="dxa"/>
            <w:vAlign w:val="center"/>
          </w:tcPr>
          <w:p w14:paraId="6D34D366" w14:textId="77777777" w:rsidR="00CC75F0" w:rsidRPr="00EE7BB4" w:rsidRDefault="00CC75F0" w:rsidP="00CC75F0">
            <w:pPr>
              <w:pStyle w:val="Tablehead"/>
              <w:spacing w:before="80" w:after="80"/>
              <w:cnfStyle w:val="100000000000" w:firstRow="1" w:lastRow="0" w:firstColumn="0" w:lastColumn="0" w:oddVBand="0" w:evenVBand="0" w:oddHBand="0" w:evenHBand="0" w:firstRowFirstColumn="0" w:firstRowLastColumn="0" w:lastRowFirstColumn="0" w:lastRowLastColumn="0"/>
              <w:rPr>
                <w:b/>
                <w:bCs w:val="0"/>
              </w:rPr>
            </w:pPr>
            <w:r w:rsidRPr="00EE7BB4">
              <w:rPr>
                <w:b/>
                <w:bCs w:val="0"/>
              </w:rPr>
              <w:t>2018</w:t>
            </w:r>
          </w:p>
        </w:tc>
        <w:tc>
          <w:tcPr>
            <w:tcW w:w="993" w:type="dxa"/>
            <w:vAlign w:val="center"/>
          </w:tcPr>
          <w:p w14:paraId="1E9ED2D0" w14:textId="77777777" w:rsidR="00CC75F0" w:rsidRPr="00EE7BB4" w:rsidRDefault="00CC75F0" w:rsidP="00CC75F0">
            <w:pPr>
              <w:pStyle w:val="Tablehead"/>
              <w:spacing w:before="80" w:after="80"/>
              <w:cnfStyle w:val="100000000000" w:firstRow="1" w:lastRow="0" w:firstColumn="0" w:lastColumn="0" w:oddVBand="0" w:evenVBand="0" w:oddHBand="0" w:evenHBand="0" w:firstRowFirstColumn="0" w:firstRowLastColumn="0" w:lastRowFirstColumn="0" w:lastRowLastColumn="0"/>
              <w:rPr>
                <w:b/>
                <w:bCs w:val="0"/>
              </w:rPr>
            </w:pPr>
            <w:r w:rsidRPr="00EE7BB4">
              <w:rPr>
                <w:b/>
                <w:bCs w:val="0"/>
              </w:rPr>
              <w:t>2019</w:t>
            </w:r>
          </w:p>
        </w:tc>
        <w:tc>
          <w:tcPr>
            <w:tcW w:w="1149" w:type="dxa"/>
            <w:vAlign w:val="center"/>
          </w:tcPr>
          <w:p w14:paraId="792B1B67" w14:textId="73947016" w:rsidR="00CC75F0" w:rsidRPr="00EE7BB4" w:rsidRDefault="00CC75F0" w:rsidP="00CC75F0">
            <w:pPr>
              <w:pStyle w:val="Tablehead"/>
              <w:spacing w:before="80" w:after="80"/>
              <w:cnfStyle w:val="100000000000" w:firstRow="1" w:lastRow="0" w:firstColumn="0" w:lastColumn="0" w:oddVBand="0" w:evenVBand="0" w:oddHBand="0" w:evenHBand="0" w:firstRowFirstColumn="0" w:firstRowLastColumn="0" w:lastRowFirstColumn="0" w:lastRowLastColumn="0"/>
              <w:rPr>
                <w:b/>
                <w:bCs w:val="0"/>
              </w:rPr>
            </w:pPr>
            <w:r w:rsidRPr="00EE7BB4">
              <w:rPr>
                <w:b/>
                <w:bCs w:val="0"/>
              </w:rPr>
              <w:t>2020</w:t>
            </w:r>
            <w:r w:rsidRPr="00EE7BB4">
              <w:rPr>
                <w:b/>
                <w:bCs w:val="0"/>
              </w:rPr>
              <w:br/>
              <w:t>(Estimado)</w:t>
            </w:r>
          </w:p>
        </w:tc>
        <w:tc>
          <w:tcPr>
            <w:tcW w:w="1397" w:type="dxa"/>
            <w:vAlign w:val="center"/>
          </w:tcPr>
          <w:p w14:paraId="05C730FD" w14:textId="40D1A3EE" w:rsidR="00CC75F0" w:rsidRPr="00EE7BB4" w:rsidRDefault="00CC75F0" w:rsidP="00CC75F0">
            <w:pPr>
              <w:pStyle w:val="Tablehead"/>
              <w:spacing w:before="80" w:after="80"/>
              <w:cnfStyle w:val="100000000000" w:firstRow="1" w:lastRow="0" w:firstColumn="0" w:lastColumn="0" w:oddVBand="0" w:evenVBand="0" w:oddHBand="0" w:evenHBand="0" w:firstRowFirstColumn="0" w:firstRowLastColumn="0" w:lastRowFirstColumn="0" w:lastRowLastColumn="0"/>
              <w:rPr>
                <w:b/>
                <w:bCs w:val="0"/>
              </w:rPr>
            </w:pPr>
            <w:r w:rsidRPr="00EE7BB4">
              <w:rPr>
                <w:b/>
                <w:bCs w:val="0"/>
              </w:rPr>
              <w:t>2020</w:t>
            </w:r>
            <w:r w:rsidRPr="00EE7BB4">
              <w:rPr>
                <w:b/>
                <w:bCs w:val="0"/>
              </w:rPr>
              <w:br/>
              <w:t>(Septiembre)</w:t>
            </w:r>
          </w:p>
        </w:tc>
        <w:tc>
          <w:tcPr>
            <w:tcW w:w="430" w:type="dxa"/>
          </w:tcPr>
          <w:p w14:paraId="45AF030C" w14:textId="77777777" w:rsidR="00CC75F0" w:rsidRPr="00EE7BB4" w:rsidRDefault="00CC75F0" w:rsidP="00CC75F0">
            <w:pPr>
              <w:pStyle w:val="Tablehead"/>
              <w:spacing w:before="80" w:after="80"/>
              <w:cnfStyle w:val="100000000000" w:firstRow="1" w:lastRow="0" w:firstColumn="0" w:lastColumn="0" w:oddVBand="0" w:evenVBand="0" w:oddHBand="0" w:evenHBand="0" w:firstRowFirstColumn="0" w:firstRowLastColumn="0" w:lastRowFirstColumn="0" w:lastRowLastColumn="0"/>
              <w:rPr>
                <w:b/>
                <w:bCs w:val="0"/>
              </w:rPr>
            </w:pPr>
          </w:p>
        </w:tc>
      </w:tr>
      <w:tr w:rsidR="00CC75F0" w:rsidRPr="00EE7BB4" w14:paraId="0DF68F20" w14:textId="77777777" w:rsidTr="00CC75F0">
        <w:trPr>
          <w:cnfStyle w:val="000000100000" w:firstRow="0" w:lastRow="0" w:firstColumn="0" w:lastColumn="0" w:oddVBand="0" w:evenVBand="0" w:oddHBand="1" w:evenHBand="0" w:firstRowFirstColumn="0" w:firstRowLastColumn="0" w:lastRowFirstColumn="0" w:lastRowLastColumn="0"/>
          <w:cantSplit/>
          <w:trHeight w:val="702"/>
          <w:jc w:val="center"/>
        </w:trPr>
        <w:tc>
          <w:tcPr>
            <w:cnfStyle w:val="001000000000" w:firstRow="0" w:lastRow="0" w:firstColumn="1" w:lastColumn="0" w:oddVBand="0" w:evenVBand="0" w:oddHBand="0" w:evenHBand="0" w:firstRowFirstColumn="0" w:firstRowLastColumn="0" w:lastRowFirstColumn="0" w:lastRowLastColumn="0"/>
            <w:tcW w:w="2268" w:type="dxa"/>
          </w:tcPr>
          <w:p w14:paraId="431011B1" w14:textId="45ACC878" w:rsidR="00CC75F0" w:rsidRPr="00EE7BB4" w:rsidRDefault="00CC75F0" w:rsidP="007C23B3">
            <w:pPr>
              <w:pStyle w:val="Tabletext"/>
              <w:rPr>
                <w:b w:val="0"/>
                <w:bCs w:val="0"/>
              </w:rPr>
            </w:pPr>
            <w:r w:rsidRPr="00EE7BB4">
              <w:t>Miembros de Sector</w:t>
            </w:r>
          </w:p>
          <w:p w14:paraId="5A839A8D" w14:textId="7484581E" w:rsidR="00CC75F0" w:rsidRPr="00EE7BB4" w:rsidRDefault="00CC75F0" w:rsidP="007C23B3">
            <w:pPr>
              <w:pStyle w:val="Tabletext"/>
              <w:rPr>
                <w:i/>
                <w:iCs/>
              </w:rPr>
            </w:pPr>
            <w:r w:rsidRPr="00EE7BB4">
              <w:rPr>
                <w:i/>
                <w:iCs/>
              </w:rPr>
              <w:t>(</w:t>
            </w:r>
            <w:r w:rsidRPr="00EE7BB4">
              <w:rPr>
                <w:i/>
                <w:iCs/>
                <w:color w:val="FF0000"/>
              </w:rPr>
              <w:t>-</w:t>
            </w:r>
            <w:r w:rsidRPr="00EE7BB4">
              <w:rPr>
                <w:i/>
                <w:iCs/>
              </w:rPr>
              <w:t>retirados</w:t>
            </w:r>
            <w:r w:rsidRPr="00EE7BB4">
              <w:rPr>
                <w:i/>
                <w:iCs/>
                <w:color w:val="00B050"/>
              </w:rPr>
              <w:t xml:space="preserve"> +</w:t>
            </w:r>
            <w:r w:rsidRPr="00EE7BB4">
              <w:t xml:space="preserve"> </w:t>
            </w:r>
            <w:r w:rsidRPr="00EE7BB4">
              <w:rPr>
                <w:i/>
                <w:iCs/>
              </w:rPr>
              <w:t>nuevos)</w:t>
            </w:r>
          </w:p>
        </w:tc>
        <w:tc>
          <w:tcPr>
            <w:tcW w:w="1134" w:type="dxa"/>
            <w:vAlign w:val="center"/>
          </w:tcPr>
          <w:p w14:paraId="05CCF89B" w14:textId="77777777" w:rsidR="00CC75F0" w:rsidRPr="00EE7BB4" w:rsidRDefault="00CC75F0" w:rsidP="007C23B3">
            <w:pPr>
              <w:pStyle w:val="Tabletext"/>
              <w:jc w:val="center"/>
              <w:cnfStyle w:val="000000100000" w:firstRow="0" w:lastRow="0" w:firstColumn="0" w:lastColumn="0" w:oddVBand="0" w:evenVBand="0" w:oddHBand="1" w:evenHBand="0" w:firstRowFirstColumn="0" w:firstRowLastColumn="0" w:lastRowFirstColumn="0" w:lastRowLastColumn="0"/>
            </w:pPr>
            <w:r w:rsidRPr="00EE7BB4">
              <w:t>253</w:t>
            </w:r>
          </w:p>
          <w:p w14:paraId="2369FC92" w14:textId="77777777" w:rsidR="00CC75F0" w:rsidRPr="00EE7BB4" w:rsidRDefault="00CC75F0" w:rsidP="007C23B3">
            <w:pPr>
              <w:pStyle w:val="Tabletext"/>
              <w:jc w:val="center"/>
              <w:cnfStyle w:val="000000100000" w:firstRow="0" w:lastRow="0" w:firstColumn="0" w:lastColumn="0" w:oddVBand="0" w:evenVBand="0" w:oddHBand="1" w:evenHBand="0" w:firstRowFirstColumn="0" w:firstRowLastColumn="0" w:lastRowFirstColumn="0" w:lastRowLastColumn="0"/>
            </w:pPr>
            <w:r w:rsidRPr="00EE7BB4">
              <w:t>(</w:t>
            </w:r>
            <w:r w:rsidRPr="00EE7BB4">
              <w:rPr>
                <w:color w:val="FF0000"/>
              </w:rPr>
              <w:t xml:space="preserve">-17 </w:t>
            </w:r>
            <w:r w:rsidRPr="00EE7BB4">
              <w:rPr>
                <w:color w:val="00B050"/>
              </w:rPr>
              <w:t>+5</w:t>
            </w:r>
            <w:r w:rsidRPr="00EE7BB4">
              <w:t>)</w:t>
            </w:r>
          </w:p>
        </w:tc>
        <w:tc>
          <w:tcPr>
            <w:tcW w:w="1134" w:type="dxa"/>
            <w:vAlign w:val="center"/>
          </w:tcPr>
          <w:p w14:paraId="340B3199" w14:textId="77777777" w:rsidR="00CC75F0" w:rsidRPr="00EE7BB4" w:rsidRDefault="00CC75F0" w:rsidP="007C23B3">
            <w:pPr>
              <w:pStyle w:val="Tabletext"/>
              <w:jc w:val="center"/>
              <w:cnfStyle w:val="000000100000" w:firstRow="0" w:lastRow="0" w:firstColumn="0" w:lastColumn="0" w:oddVBand="0" w:evenVBand="0" w:oddHBand="1" w:evenHBand="0" w:firstRowFirstColumn="0" w:firstRowLastColumn="0" w:lastRowFirstColumn="0" w:lastRowLastColumn="0"/>
            </w:pPr>
            <w:r w:rsidRPr="00EE7BB4">
              <w:t>257</w:t>
            </w:r>
          </w:p>
          <w:p w14:paraId="2C7A9C24" w14:textId="77777777" w:rsidR="00CC75F0" w:rsidRPr="00EE7BB4" w:rsidRDefault="00CC75F0" w:rsidP="007C23B3">
            <w:pPr>
              <w:pStyle w:val="Tabletext"/>
              <w:jc w:val="center"/>
              <w:cnfStyle w:val="000000100000" w:firstRow="0" w:lastRow="0" w:firstColumn="0" w:lastColumn="0" w:oddVBand="0" w:evenVBand="0" w:oddHBand="1" w:evenHBand="0" w:firstRowFirstColumn="0" w:firstRowLastColumn="0" w:lastRowFirstColumn="0" w:lastRowLastColumn="0"/>
            </w:pPr>
            <w:r w:rsidRPr="00EE7BB4">
              <w:t>(</w:t>
            </w:r>
            <w:r w:rsidRPr="00EE7BB4">
              <w:rPr>
                <w:color w:val="FF0000"/>
              </w:rPr>
              <w:t xml:space="preserve">-5 </w:t>
            </w:r>
            <w:r w:rsidRPr="00EE7BB4">
              <w:rPr>
                <w:color w:val="00B050"/>
              </w:rPr>
              <w:t>+9</w:t>
            </w:r>
            <w:r w:rsidRPr="00EE7BB4">
              <w:t>)</w:t>
            </w:r>
          </w:p>
        </w:tc>
        <w:tc>
          <w:tcPr>
            <w:tcW w:w="1134" w:type="dxa"/>
            <w:vAlign w:val="center"/>
          </w:tcPr>
          <w:p w14:paraId="76C4D795" w14:textId="77777777" w:rsidR="00CC75F0" w:rsidRPr="00EE7BB4" w:rsidRDefault="00CC75F0" w:rsidP="007C23B3">
            <w:pPr>
              <w:pStyle w:val="Tabletext"/>
              <w:jc w:val="center"/>
              <w:cnfStyle w:val="000000100000" w:firstRow="0" w:lastRow="0" w:firstColumn="0" w:lastColumn="0" w:oddVBand="0" w:evenVBand="0" w:oddHBand="1" w:evenHBand="0" w:firstRowFirstColumn="0" w:firstRowLastColumn="0" w:lastRowFirstColumn="0" w:lastRowLastColumn="0"/>
            </w:pPr>
            <w:r w:rsidRPr="00EE7BB4">
              <w:t>257</w:t>
            </w:r>
          </w:p>
          <w:p w14:paraId="788F6C68" w14:textId="77777777" w:rsidR="00CC75F0" w:rsidRPr="00EE7BB4" w:rsidRDefault="00CC75F0" w:rsidP="007C23B3">
            <w:pPr>
              <w:pStyle w:val="Tabletext"/>
              <w:jc w:val="center"/>
              <w:cnfStyle w:val="000000100000" w:firstRow="0" w:lastRow="0" w:firstColumn="0" w:lastColumn="0" w:oddVBand="0" w:evenVBand="0" w:oddHBand="1" w:evenHBand="0" w:firstRowFirstColumn="0" w:firstRowLastColumn="0" w:lastRowFirstColumn="0" w:lastRowLastColumn="0"/>
            </w:pPr>
            <w:r w:rsidRPr="00EE7BB4">
              <w:t>(</w:t>
            </w:r>
            <w:r w:rsidRPr="00EE7BB4">
              <w:rPr>
                <w:color w:val="FF0000"/>
              </w:rPr>
              <w:t xml:space="preserve">-14 </w:t>
            </w:r>
            <w:r w:rsidRPr="00EE7BB4">
              <w:rPr>
                <w:color w:val="00B050"/>
              </w:rPr>
              <w:t>+14</w:t>
            </w:r>
            <w:r w:rsidRPr="00EE7BB4">
              <w:t>)</w:t>
            </w:r>
          </w:p>
        </w:tc>
        <w:tc>
          <w:tcPr>
            <w:tcW w:w="993" w:type="dxa"/>
            <w:vAlign w:val="center"/>
          </w:tcPr>
          <w:p w14:paraId="313EC698" w14:textId="77777777" w:rsidR="00CC75F0" w:rsidRPr="00EE7BB4" w:rsidRDefault="00CC75F0" w:rsidP="007C23B3">
            <w:pPr>
              <w:pStyle w:val="Tabletext"/>
              <w:jc w:val="center"/>
              <w:cnfStyle w:val="000000100000" w:firstRow="0" w:lastRow="0" w:firstColumn="0" w:lastColumn="0" w:oddVBand="0" w:evenVBand="0" w:oddHBand="1" w:evenHBand="0" w:firstRowFirstColumn="0" w:firstRowLastColumn="0" w:lastRowFirstColumn="0" w:lastRowLastColumn="0"/>
            </w:pPr>
            <w:r w:rsidRPr="00EE7BB4">
              <w:t>268</w:t>
            </w:r>
          </w:p>
          <w:p w14:paraId="505595F3" w14:textId="77777777" w:rsidR="00CC75F0" w:rsidRPr="00EE7BB4" w:rsidRDefault="00CC75F0" w:rsidP="007C23B3">
            <w:pPr>
              <w:pStyle w:val="Tabletext"/>
              <w:jc w:val="center"/>
              <w:cnfStyle w:val="000000100000" w:firstRow="0" w:lastRow="0" w:firstColumn="0" w:lastColumn="0" w:oddVBand="0" w:evenVBand="0" w:oddHBand="1" w:evenHBand="0" w:firstRowFirstColumn="0" w:firstRowLastColumn="0" w:lastRowFirstColumn="0" w:lastRowLastColumn="0"/>
            </w:pPr>
            <w:r w:rsidRPr="00EE7BB4">
              <w:t>(</w:t>
            </w:r>
            <w:r w:rsidRPr="00EE7BB4">
              <w:rPr>
                <w:color w:val="FF0000"/>
              </w:rPr>
              <w:t xml:space="preserve">-9 </w:t>
            </w:r>
            <w:r w:rsidRPr="00EE7BB4">
              <w:rPr>
                <w:color w:val="00B050"/>
              </w:rPr>
              <w:t>+20</w:t>
            </w:r>
            <w:r w:rsidRPr="00EE7BB4">
              <w:t>)</w:t>
            </w:r>
          </w:p>
        </w:tc>
        <w:tc>
          <w:tcPr>
            <w:tcW w:w="1149" w:type="dxa"/>
            <w:vAlign w:val="center"/>
          </w:tcPr>
          <w:p w14:paraId="7E667838" w14:textId="77777777" w:rsidR="00CC75F0" w:rsidRPr="00EE7BB4" w:rsidRDefault="00CC75F0" w:rsidP="007C23B3">
            <w:pPr>
              <w:pStyle w:val="Tabletext"/>
              <w:jc w:val="center"/>
              <w:cnfStyle w:val="000000100000" w:firstRow="0" w:lastRow="0" w:firstColumn="0" w:lastColumn="0" w:oddVBand="0" w:evenVBand="0" w:oddHBand="1" w:evenHBand="0" w:firstRowFirstColumn="0" w:firstRowLastColumn="0" w:lastRowFirstColumn="0" w:lastRowLastColumn="0"/>
              <w:rPr>
                <w:lang w:eastAsia="ja-JP"/>
              </w:rPr>
            </w:pPr>
            <w:r w:rsidRPr="00EE7BB4">
              <w:rPr>
                <w:lang w:eastAsia="ja-JP"/>
              </w:rPr>
              <w:t>272</w:t>
            </w:r>
          </w:p>
          <w:p w14:paraId="3C1F0098" w14:textId="77777777" w:rsidR="00CC75F0" w:rsidRPr="00EE7BB4" w:rsidRDefault="00CC75F0" w:rsidP="007C23B3">
            <w:pPr>
              <w:pStyle w:val="Tabletext"/>
              <w:jc w:val="center"/>
              <w:cnfStyle w:val="000000100000" w:firstRow="0" w:lastRow="0" w:firstColumn="0" w:lastColumn="0" w:oddVBand="0" w:evenVBand="0" w:oddHBand="1" w:evenHBand="0" w:firstRowFirstColumn="0" w:firstRowLastColumn="0" w:lastRowFirstColumn="0" w:lastRowLastColumn="0"/>
              <w:rPr>
                <w:lang w:eastAsia="ja-JP"/>
              </w:rPr>
            </w:pPr>
            <w:r w:rsidRPr="00EE7BB4">
              <w:rPr>
                <w:lang w:eastAsia="ja-JP"/>
              </w:rPr>
              <w:t>(</w:t>
            </w:r>
            <w:r w:rsidRPr="00EE7BB4">
              <w:rPr>
                <w:color w:val="FF0000"/>
                <w:lang w:eastAsia="ja-JP"/>
              </w:rPr>
              <w:t xml:space="preserve">-9 </w:t>
            </w:r>
            <w:r w:rsidRPr="00EE7BB4">
              <w:rPr>
                <w:color w:val="00B050"/>
                <w:lang w:eastAsia="ja-JP"/>
              </w:rPr>
              <w:t>+13</w:t>
            </w:r>
            <w:r w:rsidRPr="00EE7BB4">
              <w:rPr>
                <w:lang w:eastAsia="ja-JP"/>
              </w:rPr>
              <w:t>)</w:t>
            </w:r>
          </w:p>
        </w:tc>
        <w:tc>
          <w:tcPr>
            <w:tcW w:w="1397" w:type="dxa"/>
            <w:vAlign w:val="center"/>
          </w:tcPr>
          <w:p w14:paraId="0C6691A0" w14:textId="77777777" w:rsidR="00CC75F0" w:rsidRPr="00EE7BB4" w:rsidRDefault="00CC75F0" w:rsidP="007C23B3">
            <w:pPr>
              <w:pStyle w:val="Tabletext"/>
              <w:jc w:val="center"/>
              <w:cnfStyle w:val="000000100000" w:firstRow="0" w:lastRow="0" w:firstColumn="0" w:lastColumn="0" w:oddVBand="0" w:evenVBand="0" w:oddHBand="1" w:evenHBand="0" w:firstRowFirstColumn="0" w:firstRowLastColumn="0" w:lastRowFirstColumn="0" w:lastRowLastColumn="0"/>
              <w:rPr>
                <w:lang w:eastAsia="ja-JP"/>
              </w:rPr>
            </w:pPr>
            <w:r w:rsidRPr="00EE7BB4">
              <w:rPr>
                <w:lang w:eastAsia="ja-JP"/>
              </w:rPr>
              <w:t>271</w:t>
            </w:r>
          </w:p>
          <w:p w14:paraId="55ED68C3" w14:textId="77777777" w:rsidR="00CC75F0" w:rsidRPr="00EE7BB4" w:rsidRDefault="00CC75F0" w:rsidP="007C23B3">
            <w:pPr>
              <w:pStyle w:val="Tabletext"/>
              <w:jc w:val="center"/>
              <w:cnfStyle w:val="000000100000" w:firstRow="0" w:lastRow="0" w:firstColumn="0" w:lastColumn="0" w:oddVBand="0" w:evenVBand="0" w:oddHBand="1" w:evenHBand="0" w:firstRowFirstColumn="0" w:firstRowLastColumn="0" w:lastRowFirstColumn="0" w:lastRowLastColumn="0"/>
              <w:rPr>
                <w:lang w:eastAsia="ja-JP"/>
              </w:rPr>
            </w:pPr>
            <w:r w:rsidRPr="00EE7BB4">
              <w:rPr>
                <w:lang w:eastAsia="ja-JP"/>
              </w:rPr>
              <w:t>(</w:t>
            </w:r>
            <w:r w:rsidRPr="00EE7BB4">
              <w:rPr>
                <w:color w:val="FF0000"/>
                <w:lang w:eastAsia="ja-JP"/>
              </w:rPr>
              <w:t xml:space="preserve">-6 </w:t>
            </w:r>
            <w:r w:rsidRPr="00EE7BB4">
              <w:rPr>
                <w:color w:val="00B050"/>
                <w:lang w:eastAsia="ja-JP"/>
              </w:rPr>
              <w:t>+9</w:t>
            </w:r>
            <w:r w:rsidRPr="00EE7BB4">
              <w:rPr>
                <w:lang w:eastAsia="ja-JP"/>
              </w:rPr>
              <w:t>)</w:t>
            </w:r>
          </w:p>
        </w:tc>
        <w:tc>
          <w:tcPr>
            <w:tcW w:w="430" w:type="dxa"/>
          </w:tcPr>
          <w:p w14:paraId="0FD8DF2E" w14:textId="77777777" w:rsidR="00CC75F0" w:rsidRPr="00EE7BB4" w:rsidRDefault="00CC75F0" w:rsidP="007C23B3">
            <w:pPr>
              <w:pStyle w:val="Tabletext"/>
              <w:cnfStyle w:val="000000100000" w:firstRow="0" w:lastRow="0" w:firstColumn="0" w:lastColumn="0" w:oddVBand="0" w:evenVBand="0" w:oddHBand="1" w:evenHBand="0" w:firstRowFirstColumn="0" w:firstRowLastColumn="0" w:lastRowFirstColumn="0" w:lastRowLastColumn="0"/>
              <w:rPr>
                <w:lang w:eastAsia="ja-JP"/>
              </w:rPr>
            </w:pPr>
            <w:r w:rsidRPr="00EE7BB4">
              <w:rPr>
                <w:noProof/>
                <w:lang w:eastAsia="ja-JP"/>
              </w:rPr>
              <mc:AlternateContent>
                <mc:Choice Requires="wps">
                  <w:drawing>
                    <wp:anchor distT="0" distB="0" distL="114300" distR="114300" simplePos="0" relativeHeight="251663360" behindDoc="0" locked="0" layoutInCell="1" allowOverlap="1" wp14:anchorId="206E7EDC" wp14:editId="54D5DFD5">
                      <wp:simplePos x="0" y="0"/>
                      <wp:positionH relativeFrom="column">
                        <wp:posOffset>-38897</wp:posOffset>
                      </wp:positionH>
                      <wp:positionV relativeFrom="paragraph">
                        <wp:posOffset>146685</wp:posOffset>
                      </wp:positionV>
                      <wp:extent cx="196850" cy="190500"/>
                      <wp:effectExtent l="0" t="0" r="0" b="0"/>
                      <wp:wrapNone/>
                      <wp:docPr id="4" name="Up Arrow 41"/>
                      <wp:cNvGraphicFramePr/>
                      <a:graphic xmlns:a="http://schemas.openxmlformats.org/drawingml/2006/main">
                        <a:graphicData uri="http://schemas.microsoft.com/office/word/2010/wordprocessingShape">
                          <wps:wsp>
                            <wps:cNvSpPr/>
                            <wps:spPr>
                              <a:xfrm>
                                <a:off x="0" y="0"/>
                                <a:ext cx="196850" cy="190500"/>
                              </a:xfrm>
                              <a:prstGeom prst="upArrow">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79CD2D0"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41" o:spid="_x0000_s1026" type="#_x0000_t68" style="position:absolute;margin-left:-3.05pt;margin-top:11.55pt;width:15.5pt;height: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" adj="10800" fillcolor="#00b050" stroked="f" strokeweight="2pt"/>
                  </w:pict>
                </mc:Fallback>
              </mc:AlternateContent>
            </w:r>
          </w:p>
        </w:tc>
      </w:tr>
      <w:tr w:rsidR="00CC75F0" w:rsidRPr="00EE7BB4" w14:paraId="65F6000C" w14:textId="77777777" w:rsidTr="00CC75F0">
        <w:trPr>
          <w:cantSplit/>
          <w:trHeight w:val="698"/>
          <w:jc w:val="center"/>
        </w:trPr>
        <w:tc>
          <w:tcPr>
            <w:cnfStyle w:val="001000000000" w:firstRow="0" w:lastRow="0" w:firstColumn="1" w:lastColumn="0" w:oddVBand="0" w:evenVBand="0" w:oddHBand="0" w:evenHBand="0" w:firstRowFirstColumn="0" w:firstRowLastColumn="0" w:lastRowFirstColumn="0" w:lastRowLastColumn="0"/>
            <w:tcW w:w="2268" w:type="dxa"/>
          </w:tcPr>
          <w:p w14:paraId="46DD86EE" w14:textId="436C0A0B" w:rsidR="00CC75F0" w:rsidRPr="00EE7BB4" w:rsidRDefault="00CC75F0" w:rsidP="007C23B3">
            <w:pPr>
              <w:pStyle w:val="Tabletext"/>
            </w:pPr>
            <w:r w:rsidRPr="00EE7BB4">
              <w:t>Asociados</w:t>
            </w:r>
          </w:p>
          <w:p w14:paraId="3B8E3D2A" w14:textId="0B41B580" w:rsidR="00CC75F0" w:rsidRPr="00EE7BB4" w:rsidRDefault="00CC75F0" w:rsidP="007C23B3">
            <w:pPr>
              <w:pStyle w:val="Tabletext"/>
            </w:pPr>
            <w:r w:rsidRPr="00EE7BB4">
              <w:rPr>
                <w:i/>
                <w:iCs/>
              </w:rPr>
              <w:t>(</w:t>
            </w:r>
            <w:r w:rsidRPr="00EE7BB4">
              <w:rPr>
                <w:i/>
                <w:iCs/>
                <w:color w:val="FF0000"/>
              </w:rPr>
              <w:t>-</w:t>
            </w:r>
            <w:r w:rsidRPr="00EE7BB4">
              <w:rPr>
                <w:i/>
                <w:iCs/>
              </w:rPr>
              <w:t>retirados</w:t>
            </w:r>
            <w:r w:rsidRPr="00EE7BB4">
              <w:rPr>
                <w:i/>
                <w:iCs/>
                <w:color w:val="00B050"/>
              </w:rPr>
              <w:t xml:space="preserve"> +</w:t>
            </w:r>
            <w:r w:rsidRPr="00EE7BB4">
              <w:t xml:space="preserve"> </w:t>
            </w:r>
            <w:r w:rsidRPr="00EE7BB4">
              <w:rPr>
                <w:i/>
                <w:iCs/>
              </w:rPr>
              <w:t>nuevos)</w:t>
            </w:r>
          </w:p>
        </w:tc>
        <w:tc>
          <w:tcPr>
            <w:tcW w:w="1134" w:type="dxa"/>
            <w:vAlign w:val="center"/>
          </w:tcPr>
          <w:p w14:paraId="5ACD52E4" w14:textId="77777777" w:rsidR="00CC75F0" w:rsidRPr="00EE7BB4" w:rsidRDefault="00CC75F0" w:rsidP="007C23B3">
            <w:pPr>
              <w:pStyle w:val="Tabletext"/>
              <w:jc w:val="center"/>
              <w:cnfStyle w:val="000000000000" w:firstRow="0" w:lastRow="0" w:firstColumn="0" w:lastColumn="0" w:oddVBand="0" w:evenVBand="0" w:oddHBand="0" w:evenHBand="0" w:firstRowFirstColumn="0" w:firstRowLastColumn="0" w:lastRowFirstColumn="0" w:lastRowLastColumn="0"/>
            </w:pPr>
            <w:r w:rsidRPr="00EE7BB4">
              <w:t>128</w:t>
            </w:r>
          </w:p>
          <w:p w14:paraId="11F1DE7B" w14:textId="77777777" w:rsidR="00CC75F0" w:rsidRPr="00EE7BB4" w:rsidRDefault="00CC75F0" w:rsidP="007C23B3">
            <w:pPr>
              <w:pStyle w:val="Tabletext"/>
              <w:jc w:val="center"/>
              <w:cnfStyle w:val="000000000000" w:firstRow="0" w:lastRow="0" w:firstColumn="0" w:lastColumn="0" w:oddVBand="0" w:evenVBand="0" w:oddHBand="0" w:evenHBand="0" w:firstRowFirstColumn="0" w:firstRowLastColumn="0" w:lastRowFirstColumn="0" w:lastRowLastColumn="0"/>
            </w:pPr>
            <w:r w:rsidRPr="00EE7BB4">
              <w:t>(</w:t>
            </w:r>
            <w:r w:rsidRPr="00EE7BB4">
              <w:rPr>
                <w:color w:val="FF0000"/>
              </w:rPr>
              <w:t xml:space="preserve">-21 </w:t>
            </w:r>
            <w:r w:rsidRPr="00EE7BB4">
              <w:rPr>
                <w:color w:val="00B050"/>
              </w:rPr>
              <w:t>+21</w:t>
            </w:r>
            <w:r w:rsidRPr="00EE7BB4">
              <w:t>)</w:t>
            </w:r>
          </w:p>
        </w:tc>
        <w:tc>
          <w:tcPr>
            <w:tcW w:w="1134" w:type="dxa"/>
            <w:vAlign w:val="center"/>
          </w:tcPr>
          <w:p w14:paraId="06F0CC82" w14:textId="77777777" w:rsidR="00CC75F0" w:rsidRPr="00EE7BB4" w:rsidRDefault="00CC75F0" w:rsidP="007C23B3">
            <w:pPr>
              <w:pStyle w:val="Tabletext"/>
              <w:jc w:val="center"/>
              <w:cnfStyle w:val="000000000000" w:firstRow="0" w:lastRow="0" w:firstColumn="0" w:lastColumn="0" w:oddVBand="0" w:evenVBand="0" w:oddHBand="0" w:evenHBand="0" w:firstRowFirstColumn="0" w:firstRowLastColumn="0" w:lastRowFirstColumn="0" w:lastRowLastColumn="0"/>
            </w:pPr>
            <w:r w:rsidRPr="00EE7BB4">
              <w:t>137</w:t>
            </w:r>
          </w:p>
          <w:p w14:paraId="5EE25710" w14:textId="77777777" w:rsidR="00CC75F0" w:rsidRPr="00EE7BB4" w:rsidRDefault="00CC75F0" w:rsidP="007C23B3">
            <w:pPr>
              <w:pStyle w:val="Tabletext"/>
              <w:jc w:val="center"/>
              <w:cnfStyle w:val="000000000000" w:firstRow="0" w:lastRow="0" w:firstColumn="0" w:lastColumn="0" w:oddVBand="0" w:evenVBand="0" w:oddHBand="0" w:evenHBand="0" w:firstRowFirstColumn="0" w:firstRowLastColumn="0" w:lastRowFirstColumn="0" w:lastRowLastColumn="0"/>
            </w:pPr>
            <w:r w:rsidRPr="00EE7BB4">
              <w:t>(</w:t>
            </w:r>
            <w:r w:rsidRPr="00EE7BB4">
              <w:rPr>
                <w:color w:val="FF0000"/>
              </w:rPr>
              <w:t xml:space="preserve">-12 </w:t>
            </w:r>
            <w:r w:rsidRPr="00EE7BB4">
              <w:rPr>
                <w:color w:val="00B050"/>
              </w:rPr>
              <w:t>+21</w:t>
            </w:r>
            <w:r w:rsidRPr="00EE7BB4">
              <w:t>)</w:t>
            </w:r>
          </w:p>
        </w:tc>
        <w:tc>
          <w:tcPr>
            <w:tcW w:w="1134" w:type="dxa"/>
            <w:vAlign w:val="center"/>
          </w:tcPr>
          <w:p w14:paraId="2C32F7BA" w14:textId="77777777" w:rsidR="00CC75F0" w:rsidRPr="00EE7BB4" w:rsidRDefault="00CC75F0" w:rsidP="007C23B3">
            <w:pPr>
              <w:pStyle w:val="Tabletext"/>
              <w:jc w:val="center"/>
              <w:cnfStyle w:val="000000000000" w:firstRow="0" w:lastRow="0" w:firstColumn="0" w:lastColumn="0" w:oddVBand="0" w:evenVBand="0" w:oddHBand="0" w:evenHBand="0" w:firstRowFirstColumn="0" w:firstRowLastColumn="0" w:lastRowFirstColumn="0" w:lastRowLastColumn="0"/>
            </w:pPr>
            <w:r w:rsidRPr="00EE7BB4">
              <w:t>157</w:t>
            </w:r>
          </w:p>
          <w:p w14:paraId="3A565829" w14:textId="77777777" w:rsidR="00CC75F0" w:rsidRPr="00EE7BB4" w:rsidRDefault="00CC75F0" w:rsidP="007C23B3">
            <w:pPr>
              <w:pStyle w:val="Tabletext"/>
              <w:jc w:val="center"/>
              <w:cnfStyle w:val="000000000000" w:firstRow="0" w:lastRow="0" w:firstColumn="0" w:lastColumn="0" w:oddVBand="0" w:evenVBand="0" w:oddHBand="0" w:evenHBand="0" w:firstRowFirstColumn="0" w:firstRowLastColumn="0" w:lastRowFirstColumn="0" w:lastRowLastColumn="0"/>
            </w:pPr>
            <w:r w:rsidRPr="00EE7BB4">
              <w:t>(</w:t>
            </w:r>
            <w:r w:rsidRPr="00EE7BB4">
              <w:rPr>
                <w:color w:val="FF0000"/>
              </w:rPr>
              <w:t xml:space="preserve">-11 </w:t>
            </w:r>
            <w:r w:rsidRPr="00EE7BB4">
              <w:rPr>
                <w:color w:val="00B050"/>
              </w:rPr>
              <w:t>+31</w:t>
            </w:r>
            <w:r w:rsidRPr="00EE7BB4">
              <w:t>)</w:t>
            </w:r>
          </w:p>
        </w:tc>
        <w:tc>
          <w:tcPr>
            <w:tcW w:w="993" w:type="dxa"/>
            <w:vAlign w:val="center"/>
          </w:tcPr>
          <w:p w14:paraId="1D810293" w14:textId="77777777" w:rsidR="00CC75F0" w:rsidRPr="00EE7BB4" w:rsidRDefault="00CC75F0" w:rsidP="007C23B3">
            <w:pPr>
              <w:pStyle w:val="Tabletext"/>
              <w:jc w:val="center"/>
              <w:cnfStyle w:val="000000000000" w:firstRow="0" w:lastRow="0" w:firstColumn="0" w:lastColumn="0" w:oddVBand="0" w:evenVBand="0" w:oddHBand="0" w:evenHBand="0" w:firstRowFirstColumn="0" w:firstRowLastColumn="0" w:lastRowFirstColumn="0" w:lastRowLastColumn="0"/>
            </w:pPr>
            <w:r w:rsidRPr="00EE7BB4">
              <w:t>184</w:t>
            </w:r>
          </w:p>
          <w:p w14:paraId="794C8788" w14:textId="77777777" w:rsidR="00CC75F0" w:rsidRPr="00EE7BB4" w:rsidRDefault="00CC75F0" w:rsidP="007C23B3">
            <w:pPr>
              <w:pStyle w:val="Tabletext"/>
              <w:jc w:val="center"/>
              <w:cnfStyle w:val="000000000000" w:firstRow="0" w:lastRow="0" w:firstColumn="0" w:lastColumn="0" w:oddVBand="0" w:evenVBand="0" w:oddHBand="0" w:evenHBand="0" w:firstRowFirstColumn="0" w:firstRowLastColumn="0" w:lastRowFirstColumn="0" w:lastRowLastColumn="0"/>
            </w:pPr>
            <w:r w:rsidRPr="00EE7BB4">
              <w:t>(</w:t>
            </w:r>
            <w:r w:rsidRPr="00EE7BB4">
              <w:rPr>
                <w:color w:val="FF0000"/>
              </w:rPr>
              <w:t xml:space="preserve">-7 </w:t>
            </w:r>
            <w:r w:rsidRPr="00EE7BB4">
              <w:rPr>
                <w:color w:val="00B050"/>
              </w:rPr>
              <w:t>+34</w:t>
            </w:r>
            <w:r w:rsidRPr="00EE7BB4">
              <w:t>)</w:t>
            </w:r>
          </w:p>
        </w:tc>
        <w:tc>
          <w:tcPr>
            <w:tcW w:w="1149" w:type="dxa"/>
            <w:vAlign w:val="center"/>
          </w:tcPr>
          <w:p w14:paraId="07F86D36" w14:textId="77777777" w:rsidR="00CC75F0" w:rsidRPr="00EE7BB4" w:rsidRDefault="00CC75F0" w:rsidP="007C23B3">
            <w:pPr>
              <w:pStyle w:val="Tabletext"/>
              <w:jc w:val="center"/>
              <w:cnfStyle w:val="000000000000" w:firstRow="0" w:lastRow="0" w:firstColumn="0" w:lastColumn="0" w:oddVBand="0" w:evenVBand="0" w:oddHBand="0" w:evenHBand="0" w:firstRowFirstColumn="0" w:firstRowLastColumn="0" w:lastRowFirstColumn="0" w:lastRowLastColumn="0"/>
              <w:rPr>
                <w:lang w:eastAsia="ja-JP"/>
              </w:rPr>
            </w:pPr>
            <w:r w:rsidRPr="00EE7BB4">
              <w:rPr>
                <w:lang w:eastAsia="ja-JP"/>
              </w:rPr>
              <w:t>216</w:t>
            </w:r>
          </w:p>
          <w:p w14:paraId="60826D62" w14:textId="77777777" w:rsidR="00CC75F0" w:rsidRPr="00EE7BB4" w:rsidRDefault="00CC75F0" w:rsidP="007C23B3">
            <w:pPr>
              <w:pStyle w:val="Tabletext"/>
              <w:jc w:val="center"/>
              <w:cnfStyle w:val="000000000000" w:firstRow="0" w:lastRow="0" w:firstColumn="0" w:lastColumn="0" w:oddVBand="0" w:evenVBand="0" w:oddHBand="0" w:evenHBand="0" w:firstRowFirstColumn="0" w:firstRowLastColumn="0" w:lastRowFirstColumn="0" w:lastRowLastColumn="0"/>
              <w:rPr>
                <w:lang w:eastAsia="ja-JP"/>
              </w:rPr>
            </w:pPr>
            <w:r w:rsidRPr="00EE7BB4">
              <w:rPr>
                <w:lang w:eastAsia="ja-JP"/>
              </w:rPr>
              <w:t>(</w:t>
            </w:r>
            <w:r w:rsidRPr="00EE7BB4">
              <w:rPr>
                <w:color w:val="FF0000"/>
                <w:lang w:eastAsia="ja-JP"/>
              </w:rPr>
              <w:t xml:space="preserve">-9 </w:t>
            </w:r>
            <w:r w:rsidRPr="00EE7BB4">
              <w:rPr>
                <w:color w:val="00B050"/>
                <w:lang w:eastAsia="ja-JP"/>
              </w:rPr>
              <w:t>+40</w:t>
            </w:r>
            <w:r w:rsidRPr="00EE7BB4">
              <w:rPr>
                <w:lang w:eastAsia="ja-JP"/>
              </w:rPr>
              <w:t>)</w:t>
            </w:r>
          </w:p>
        </w:tc>
        <w:tc>
          <w:tcPr>
            <w:tcW w:w="1397" w:type="dxa"/>
            <w:vAlign w:val="center"/>
          </w:tcPr>
          <w:p w14:paraId="06AB2E5C" w14:textId="77777777" w:rsidR="00CC75F0" w:rsidRPr="00EE7BB4" w:rsidRDefault="00CC75F0" w:rsidP="007C23B3">
            <w:pPr>
              <w:pStyle w:val="Tabletext"/>
              <w:jc w:val="center"/>
              <w:cnfStyle w:val="000000000000" w:firstRow="0" w:lastRow="0" w:firstColumn="0" w:lastColumn="0" w:oddVBand="0" w:evenVBand="0" w:oddHBand="0" w:evenHBand="0" w:firstRowFirstColumn="0" w:firstRowLastColumn="0" w:lastRowFirstColumn="0" w:lastRowLastColumn="0"/>
              <w:rPr>
                <w:lang w:eastAsia="ja-JP"/>
              </w:rPr>
            </w:pPr>
            <w:r w:rsidRPr="00EE7BB4">
              <w:rPr>
                <w:lang w:eastAsia="ja-JP"/>
              </w:rPr>
              <w:t>199</w:t>
            </w:r>
          </w:p>
          <w:p w14:paraId="701E2628" w14:textId="77777777" w:rsidR="00CC75F0" w:rsidRPr="00EE7BB4" w:rsidRDefault="00CC75F0" w:rsidP="007C23B3">
            <w:pPr>
              <w:pStyle w:val="Tabletext"/>
              <w:jc w:val="center"/>
              <w:cnfStyle w:val="000000000000" w:firstRow="0" w:lastRow="0" w:firstColumn="0" w:lastColumn="0" w:oddVBand="0" w:evenVBand="0" w:oddHBand="0" w:evenHBand="0" w:firstRowFirstColumn="0" w:firstRowLastColumn="0" w:lastRowFirstColumn="0" w:lastRowLastColumn="0"/>
              <w:rPr>
                <w:sz w:val="16"/>
                <w:szCs w:val="16"/>
                <w:lang w:eastAsia="ja-JP"/>
              </w:rPr>
            </w:pPr>
            <w:r w:rsidRPr="00EE7BB4">
              <w:rPr>
                <w:lang w:eastAsia="ja-JP"/>
              </w:rPr>
              <w:t>(</w:t>
            </w:r>
            <w:r w:rsidRPr="00EE7BB4">
              <w:rPr>
                <w:color w:val="FF0000"/>
                <w:lang w:eastAsia="ja-JP"/>
              </w:rPr>
              <w:t xml:space="preserve">-8 </w:t>
            </w:r>
            <w:r w:rsidRPr="00EE7BB4">
              <w:rPr>
                <w:color w:val="00B050"/>
                <w:lang w:eastAsia="ja-JP"/>
              </w:rPr>
              <w:t>+23</w:t>
            </w:r>
            <w:r w:rsidRPr="00EE7BB4">
              <w:rPr>
                <w:lang w:eastAsia="ja-JP"/>
              </w:rPr>
              <w:t>)</w:t>
            </w:r>
          </w:p>
        </w:tc>
        <w:tc>
          <w:tcPr>
            <w:tcW w:w="430" w:type="dxa"/>
          </w:tcPr>
          <w:p w14:paraId="4FAAC936" w14:textId="77777777" w:rsidR="00CC75F0" w:rsidRPr="00EE7BB4" w:rsidRDefault="00CC75F0" w:rsidP="007C23B3">
            <w:pPr>
              <w:pStyle w:val="Tabletext"/>
              <w:cnfStyle w:val="000000000000" w:firstRow="0" w:lastRow="0" w:firstColumn="0" w:lastColumn="0" w:oddVBand="0" w:evenVBand="0" w:oddHBand="0" w:evenHBand="0" w:firstRowFirstColumn="0" w:firstRowLastColumn="0" w:lastRowFirstColumn="0" w:lastRowLastColumn="0"/>
              <w:rPr>
                <w:lang w:eastAsia="ja-JP"/>
              </w:rPr>
            </w:pPr>
            <w:r w:rsidRPr="00EE7BB4">
              <w:rPr>
                <w:noProof/>
                <w:lang w:eastAsia="ja-JP"/>
              </w:rPr>
              <mc:AlternateContent>
                <mc:Choice Requires="wps">
                  <w:drawing>
                    <wp:anchor distT="0" distB="0" distL="114300" distR="114300" simplePos="0" relativeHeight="251664384" behindDoc="0" locked="0" layoutInCell="1" allowOverlap="1" wp14:anchorId="4FA5332A" wp14:editId="07EB3175">
                      <wp:simplePos x="0" y="0"/>
                      <wp:positionH relativeFrom="column">
                        <wp:posOffset>-31115</wp:posOffset>
                      </wp:positionH>
                      <wp:positionV relativeFrom="paragraph">
                        <wp:posOffset>163033</wp:posOffset>
                      </wp:positionV>
                      <wp:extent cx="196850" cy="190500"/>
                      <wp:effectExtent l="0" t="0" r="0" b="0"/>
                      <wp:wrapNone/>
                      <wp:docPr id="7" name="Up Arrow 41"/>
                      <wp:cNvGraphicFramePr/>
                      <a:graphic xmlns:a="http://schemas.openxmlformats.org/drawingml/2006/main">
                        <a:graphicData uri="http://schemas.microsoft.com/office/word/2010/wordprocessingShape">
                          <wps:wsp>
                            <wps:cNvSpPr/>
                            <wps:spPr>
                              <a:xfrm>
                                <a:off x="0" y="0"/>
                                <a:ext cx="196850" cy="190500"/>
                              </a:xfrm>
                              <a:prstGeom prst="upArrow">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40C62EF" id="Up Arrow 41" o:spid="_x0000_s1026" type="#_x0000_t68" style="position:absolute;margin-left:-2.45pt;margin-top:12.85pt;width:15.5pt;height:1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" adj="10800" fillcolor="#00b050" stroked="f" strokeweight="2pt"/>
                  </w:pict>
                </mc:Fallback>
              </mc:AlternateContent>
            </w:r>
          </w:p>
        </w:tc>
      </w:tr>
      <w:tr w:rsidR="00CC75F0" w:rsidRPr="00EE7BB4" w14:paraId="487046A9" w14:textId="77777777" w:rsidTr="00CC75F0">
        <w:trPr>
          <w:cnfStyle w:val="000000100000" w:firstRow="0" w:lastRow="0" w:firstColumn="0" w:lastColumn="0" w:oddVBand="0" w:evenVBand="0" w:oddHBand="1" w:evenHBand="0" w:firstRowFirstColumn="0" w:firstRowLastColumn="0" w:lastRowFirstColumn="0" w:lastRowLastColumn="0"/>
          <w:cantSplit/>
          <w:trHeight w:val="800"/>
          <w:jc w:val="center"/>
        </w:trPr>
        <w:tc>
          <w:tcPr>
            <w:cnfStyle w:val="001000000000" w:firstRow="0" w:lastRow="0" w:firstColumn="1" w:lastColumn="0" w:oddVBand="0" w:evenVBand="0" w:oddHBand="0" w:evenHBand="0" w:firstRowFirstColumn="0" w:firstRowLastColumn="0" w:lastRowFirstColumn="0" w:lastRowLastColumn="0"/>
            <w:tcW w:w="2268" w:type="dxa"/>
          </w:tcPr>
          <w:p w14:paraId="296CA7A0" w14:textId="6D238870" w:rsidR="00CC75F0" w:rsidRPr="00EE7BB4" w:rsidRDefault="00CC75F0" w:rsidP="007C23B3">
            <w:pPr>
              <w:pStyle w:val="Tabletext"/>
              <w:rPr>
                <w:i/>
                <w:iCs/>
              </w:rPr>
            </w:pPr>
            <w:r w:rsidRPr="00EE7BB4">
              <w:t xml:space="preserve">Totales combinados </w:t>
            </w:r>
            <w:r w:rsidRPr="00EE7BB4">
              <w:rPr>
                <w:i/>
                <w:iCs/>
              </w:rPr>
              <w:t xml:space="preserve">(Incremento neto) </w:t>
            </w:r>
          </w:p>
        </w:tc>
        <w:tc>
          <w:tcPr>
            <w:tcW w:w="1134" w:type="dxa"/>
            <w:vAlign w:val="center"/>
          </w:tcPr>
          <w:p w14:paraId="486761BE" w14:textId="77777777" w:rsidR="00CC75F0" w:rsidRPr="00EE7BB4" w:rsidRDefault="00CC75F0" w:rsidP="007C23B3">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EE7BB4">
              <w:rPr>
                <w:b/>
                <w:bCs/>
              </w:rPr>
              <w:t>381</w:t>
            </w:r>
          </w:p>
          <w:p w14:paraId="411D8DD7" w14:textId="77777777" w:rsidR="00CC75F0" w:rsidRPr="00EE7BB4" w:rsidRDefault="00CC75F0" w:rsidP="007C23B3">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EE7BB4">
              <w:rPr>
                <w:b/>
                <w:bCs/>
                <w:color w:val="FF0000"/>
              </w:rPr>
              <w:t>-12</w:t>
            </w:r>
          </w:p>
        </w:tc>
        <w:tc>
          <w:tcPr>
            <w:tcW w:w="1134" w:type="dxa"/>
            <w:vAlign w:val="center"/>
          </w:tcPr>
          <w:p w14:paraId="25D74673" w14:textId="77777777" w:rsidR="00CC75F0" w:rsidRPr="00EE7BB4" w:rsidRDefault="00CC75F0" w:rsidP="007C23B3">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EE7BB4">
              <w:rPr>
                <w:b/>
                <w:bCs/>
              </w:rPr>
              <w:t>394</w:t>
            </w:r>
          </w:p>
          <w:p w14:paraId="4EB67F58" w14:textId="77777777" w:rsidR="00CC75F0" w:rsidRPr="00EE7BB4" w:rsidRDefault="00CC75F0" w:rsidP="007C23B3">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EE7BB4">
              <w:rPr>
                <w:b/>
                <w:bCs/>
                <w:color w:val="00B050"/>
              </w:rPr>
              <w:t>+13</w:t>
            </w:r>
          </w:p>
        </w:tc>
        <w:tc>
          <w:tcPr>
            <w:tcW w:w="1134" w:type="dxa"/>
            <w:vAlign w:val="center"/>
          </w:tcPr>
          <w:p w14:paraId="4A403D71" w14:textId="77777777" w:rsidR="00CC75F0" w:rsidRPr="00EE7BB4" w:rsidRDefault="00CC75F0" w:rsidP="007C23B3">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EE7BB4">
              <w:rPr>
                <w:b/>
                <w:bCs/>
              </w:rPr>
              <w:t>414</w:t>
            </w:r>
          </w:p>
          <w:p w14:paraId="1D81F62A" w14:textId="77777777" w:rsidR="00CC75F0" w:rsidRPr="00EE7BB4" w:rsidRDefault="00CC75F0" w:rsidP="007C23B3">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EE7BB4">
              <w:rPr>
                <w:b/>
                <w:bCs/>
                <w:color w:val="00B050"/>
              </w:rPr>
              <w:t>+20</w:t>
            </w:r>
          </w:p>
        </w:tc>
        <w:tc>
          <w:tcPr>
            <w:tcW w:w="993" w:type="dxa"/>
            <w:vAlign w:val="center"/>
          </w:tcPr>
          <w:p w14:paraId="1DCD6221" w14:textId="77777777" w:rsidR="00CC75F0" w:rsidRPr="00EE7BB4" w:rsidRDefault="00CC75F0" w:rsidP="007C23B3">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EE7BB4">
              <w:rPr>
                <w:b/>
                <w:bCs/>
              </w:rPr>
              <w:t>452</w:t>
            </w:r>
          </w:p>
          <w:p w14:paraId="6B3A60A8" w14:textId="77777777" w:rsidR="00CC75F0" w:rsidRPr="00EE7BB4" w:rsidRDefault="00CC75F0" w:rsidP="007C23B3">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EE7BB4">
              <w:rPr>
                <w:b/>
                <w:bCs/>
                <w:color w:val="00B050"/>
              </w:rPr>
              <w:t>+38</w:t>
            </w:r>
          </w:p>
        </w:tc>
        <w:tc>
          <w:tcPr>
            <w:tcW w:w="1149" w:type="dxa"/>
            <w:vAlign w:val="center"/>
          </w:tcPr>
          <w:p w14:paraId="399AF09D" w14:textId="77777777" w:rsidR="00CC75F0" w:rsidRPr="00EE7BB4" w:rsidRDefault="00CC75F0" w:rsidP="007C23B3">
            <w:pPr>
              <w:pStyle w:val="Tabletext"/>
              <w:jc w:val="center"/>
              <w:cnfStyle w:val="000000100000" w:firstRow="0" w:lastRow="0" w:firstColumn="0" w:lastColumn="0" w:oddVBand="0" w:evenVBand="0" w:oddHBand="1" w:evenHBand="0" w:firstRowFirstColumn="0" w:firstRowLastColumn="0" w:lastRowFirstColumn="0" w:lastRowLastColumn="0"/>
              <w:rPr>
                <w:b/>
                <w:bCs/>
                <w:lang w:eastAsia="ja-JP"/>
              </w:rPr>
            </w:pPr>
            <w:r w:rsidRPr="00EE7BB4">
              <w:rPr>
                <w:b/>
                <w:bCs/>
                <w:lang w:eastAsia="ja-JP"/>
              </w:rPr>
              <w:t>488</w:t>
            </w:r>
          </w:p>
          <w:p w14:paraId="080D79F3" w14:textId="77777777" w:rsidR="00CC75F0" w:rsidRPr="00EE7BB4" w:rsidRDefault="00CC75F0" w:rsidP="007C23B3">
            <w:pPr>
              <w:pStyle w:val="Tabletext"/>
              <w:jc w:val="center"/>
              <w:cnfStyle w:val="000000100000" w:firstRow="0" w:lastRow="0" w:firstColumn="0" w:lastColumn="0" w:oddVBand="0" w:evenVBand="0" w:oddHBand="1" w:evenHBand="0" w:firstRowFirstColumn="0" w:firstRowLastColumn="0" w:lastRowFirstColumn="0" w:lastRowLastColumn="0"/>
              <w:rPr>
                <w:b/>
                <w:bCs/>
                <w:lang w:eastAsia="ja-JP"/>
              </w:rPr>
            </w:pPr>
            <w:r w:rsidRPr="00EE7BB4">
              <w:rPr>
                <w:b/>
                <w:bCs/>
                <w:color w:val="00B050"/>
                <w:lang w:eastAsia="ja-JP"/>
              </w:rPr>
              <w:t>+35</w:t>
            </w:r>
          </w:p>
        </w:tc>
        <w:tc>
          <w:tcPr>
            <w:tcW w:w="1397" w:type="dxa"/>
            <w:vAlign w:val="center"/>
          </w:tcPr>
          <w:p w14:paraId="080C1AA0" w14:textId="77777777" w:rsidR="00CC75F0" w:rsidRPr="00EE7BB4" w:rsidRDefault="00CC75F0" w:rsidP="007C23B3">
            <w:pPr>
              <w:pStyle w:val="Tabletext"/>
              <w:jc w:val="center"/>
              <w:cnfStyle w:val="000000100000" w:firstRow="0" w:lastRow="0" w:firstColumn="0" w:lastColumn="0" w:oddVBand="0" w:evenVBand="0" w:oddHBand="1" w:evenHBand="0" w:firstRowFirstColumn="0" w:firstRowLastColumn="0" w:lastRowFirstColumn="0" w:lastRowLastColumn="0"/>
              <w:rPr>
                <w:b/>
                <w:bCs/>
                <w:lang w:eastAsia="ja-JP"/>
              </w:rPr>
            </w:pPr>
            <w:r w:rsidRPr="00EE7BB4">
              <w:rPr>
                <w:b/>
                <w:bCs/>
                <w:lang w:eastAsia="ja-JP"/>
              </w:rPr>
              <w:t>471</w:t>
            </w:r>
          </w:p>
          <w:p w14:paraId="53661A34" w14:textId="77777777" w:rsidR="00CC75F0" w:rsidRPr="00EE7BB4" w:rsidRDefault="00CC75F0" w:rsidP="007C23B3">
            <w:pPr>
              <w:pStyle w:val="Tabletext"/>
              <w:jc w:val="center"/>
              <w:cnfStyle w:val="000000100000" w:firstRow="0" w:lastRow="0" w:firstColumn="0" w:lastColumn="0" w:oddVBand="0" w:evenVBand="0" w:oddHBand="1" w:evenHBand="0" w:firstRowFirstColumn="0" w:firstRowLastColumn="0" w:lastRowFirstColumn="0" w:lastRowLastColumn="0"/>
              <w:rPr>
                <w:b/>
                <w:bCs/>
                <w:color w:val="00B050"/>
                <w:lang w:eastAsia="ja-JP"/>
              </w:rPr>
            </w:pPr>
            <w:r w:rsidRPr="00EE7BB4">
              <w:rPr>
                <w:b/>
                <w:bCs/>
                <w:color w:val="00B050"/>
                <w:lang w:eastAsia="ja-JP"/>
              </w:rPr>
              <w:t>+18</w:t>
            </w:r>
          </w:p>
        </w:tc>
        <w:tc>
          <w:tcPr>
            <w:tcW w:w="430" w:type="dxa"/>
          </w:tcPr>
          <w:p w14:paraId="0F0831EF" w14:textId="77777777" w:rsidR="00CC75F0" w:rsidRPr="00EE7BB4" w:rsidRDefault="00CC75F0" w:rsidP="007C23B3">
            <w:pPr>
              <w:pStyle w:val="Tabletext"/>
              <w:cnfStyle w:val="000000100000" w:firstRow="0" w:lastRow="0" w:firstColumn="0" w:lastColumn="0" w:oddVBand="0" w:evenVBand="0" w:oddHBand="1" w:evenHBand="0" w:firstRowFirstColumn="0" w:firstRowLastColumn="0" w:lastRowFirstColumn="0" w:lastRowLastColumn="0"/>
              <w:rPr>
                <w:lang w:eastAsia="ja-JP"/>
              </w:rPr>
            </w:pPr>
            <w:r w:rsidRPr="00EE7BB4">
              <w:rPr>
                <w:noProof/>
                <w:lang w:eastAsia="ja-JP"/>
              </w:rPr>
              <mc:AlternateContent>
                <mc:Choice Requires="wps">
                  <w:drawing>
                    <wp:anchor distT="0" distB="0" distL="114300" distR="114300" simplePos="0" relativeHeight="251665408" behindDoc="0" locked="0" layoutInCell="1" allowOverlap="1" wp14:anchorId="5457F2D5" wp14:editId="330DC657">
                      <wp:simplePos x="0" y="0"/>
                      <wp:positionH relativeFrom="column">
                        <wp:posOffset>-32858</wp:posOffset>
                      </wp:positionH>
                      <wp:positionV relativeFrom="paragraph">
                        <wp:posOffset>167005</wp:posOffset>
                      </wp:positionV>
                      <wp:extent cx="196850" cy="190500"/>
                      <wp:effectExtent l="0" t="0" r="0" b="0"/>
                      <wp:wrapNone/>
                      <wp:docPr id="8" name="Up Arrow 41"/>
                      <wp:cNvGraphicFramePr/>
                      <a:graphic xmlns:a="http://schemas.openxmlformats.org/drawingml/2006/main">
                        <a:graphicData uri="http://schemas.microsoft.com/office/word/2010/wordprocessingShape">
                          <wps:wsp>
                            <wps:cNvSpPr/>
                            <wps:spPr>
                              <a:xfrm>
                                <a:off x="0" y="0"/>
                                <a:ext cx="196850" cy="190500"/>
                              </a:xfrm>
                              <a:prstGeom prst="upArrow">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BDC6C5" id="Up Arrow 41" o:spid="_x0000_s1026" type="#_x0000_t68" style="position:absolute;margin-left:-2.6pt;margin-top:13.15pt;width:15.5pt;height: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" adj="10800" fillcolor="#00b050" stroked="f" strokeweight="2pt"/>
                  </w:pict>
                </mc:Fallback>
              </mc:AlternateContent>
            </w:r>
          </w:p>
        </w:tc>
      </w:tr>
    </w:tbl>
    <w:p w14:paraId="16539B03" w14:textId="0AFDB2D5" w:rsidR="00CC75F0" w:rsidRPr="00EE7BB4" w:rsidRDefault="00CC75F0" w:rsidP="00CC75F0">
      <w:pPr>
        <w:pStyle w:val="Tabletitle"/>
        <w:keepNext w:val="0"/>
        <w:spacing w:before="240"/>
        <w:rPr>
          <w:rFonts w:eastAsia="Calibri"/>
        </w:rPr>
      </w:pPr>
      <w:r w:rsidRPr="00EE7BB4">
        <w:rPr>
          <w:rFonts w:eastAsia="Calibri"/>
        </w:rPr>
        <w:t>Cuadro 1: Número total de Miembros de Sector del UIT-T y Asociados del UIT-T desde 2016 hasta septiembre de 2020, incluidas las cifras estimadas para lo que queda de 2020</w:t>
      </w:r>
    </w:p>
    <w:p w14:paraId="7BD209B8" w14:textId="0F40366C" w:rsidR="00AB1BFF" w:rsidRPr="00EE7BB4" w:rsidRDefault="00AB1BFF" w:rsidP="00CC75F0">
      <w:pPr>
        <w:pStyle w:val="Note"/>
        <w:spacing w:before="240" w:after="360"/>
        <w:rPr>
          <w:i/>
          <w:iCs/>
          <w:sz w:val="20"/>
        </w:rPr>
      </w:pPr>
      <w:r w:rsidRPr="00EE7BB4">
        <w:rPr>
          <w:i/>
          <w:iCs/>
          <w:sz w:val="20"/>
        </w:rPr>
        <w:t>*Not</w:t>
      </w:r>
      <w:r w:rsidR="00D66753" w:rsidRPr="00EE7BB4">
        <w:rPr>
          <w:i/>
          <w:iCs/>
          <w:sz w:val="20"/>
        </w:rPr>
        <w:t xml:space="preserve">a: La columna </w:t>
      </w:r>
      <w:r w:rsidR="00CC75F0" w:rsidRPr="00EE7BB4">
        <w:rPr>
          <w:i/>
          <w:iCs/>
          <w:sz w:val="20"/>
        </w:rPr>
        <w:t>"</w:t>
      </w:r>
      <w:r w:rsidR="00D66753" w:rsidRPr="00EE7BB4">
        <w:rPr>
          <w:i/>
          <w:iCs/>
          <w:sz w:val="20"/>
        </w:rPr>
        <w:t>2020 (Estimado)</w:t>
      </w:r>
      <w:r w:rsidR="00CC75F0" w:rsidRPr="00EE7BB4">
        <w:rPr>
          <w:i/>
          <w:iCs/>
          <w:sz w:val="20"/>
        </w:rPr>
        <w:t>"</w:t>
      </w:r>
      <w:r w:rsidR="00D66753" w:rsidRPr="00EE7BB4">
        <w:rPr>
          <w:i/>
          <w:iCs/>
          <w:sz w:val="20"/>
        </w:rPr>
        <w:t xml:space="preserve"> representa el número de miembros que se prevé se retiren en 2020 así como el de posibles miembros que ya han iniciado el proceso formal de admisión como miembro y están ahora en espera de la aprobación de sus administraciones nacionales respectivas. Estas cifras no tienen en cuenta posibles exclusiones ni las admisiones exentas de contribución que habrán de decidirse en el Consejo de 2020.</w:t>
      </w:r>
    </w:p>
    <w:p w14:paraId="2D749158" w14:textId="127D533E" w:rsidR="00297DDC" w:rsidRPr="00EE7BB4" w:rsidRDefault="00297DDC" w:rsidP="00297DDC">
      <w:pPr>
        <w:pStyle w:val="Figure"/>
        <w:rPr>
          <w:sz w:val="20"/>
        </w:rPr>
      </w:pPr>
      <w:r w:rsidRPr="00EE7BB4">
        <w:rPr>
          <w:noProof/>
        </w:rPr>
        <w:drawing>
          <wp:inline distT="0" distB="0" distL="0" distR="0" wp14:anchorId="6CEF200D" wp14:editId="518FF641">
            <wp:extent cx="6120000" cy="2163600"/>
            <wp:effectExtent l="0" t="0" r="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14"/>
                    <a:stretch>
                      <a:fillRect/>
                    </a:stretch>
                  </pic:blipFill>
                  <pic:spPr>
                    <a:xfrm>
                      <a:off x="0" y="0"/>
                      <a:ext cx="6120000" cy="2163600"/>
                    </a:xfrm>
                    <a:prstGeom prst="rect">
                      <a:avLst/>
                    </a:prstGeom>
                  </pic:spPr>
                </pic:pic>
              </a:graphicData>
            </a:graphic>
          </wp:inline>
        </w:drawing>
      </w:r>
    </w:p>
    <w:p w14:paraId="717F407D" w14:textId="77777777" w:rsidR="00AB1BFF" w:rsidRPr="00EE7BB4" w:rsidRDefault="00AB1BFF" w:rsidP="00297DDC"/>
    <w:tbl>
      <w:tblPr>
        <w:tblW w:w="8505" w:type="dxa"/>
        <w:jc w:val="center"/>
        <w:tblCellMar>
          <w:left w:w="0" w:type="dxa"/>
          <w:right w:w="0" w:type="dxa"/>
        </w:tblCellMar>
        <w:tblLook w:val="04A0" w:firstRow="1" w:lastRow="0" w:firstColumn="1" w:lastColumn="0" w:noHBand="0" w:noVBand="1"/>
      </w:tblPr>
      <w:tblGrid>
        <w:gridCol w:w="2523"/>
        <w:gridCol w:w="3137"/>
        <w:gridCol w:w="2845"/>
      </w:tblGrid>
      <w:tr w:rsidR="00AB1BFF" w:rsidRPr="00EE7BB4" w14:paraId="3EC1856C" w14:textId="77777777" w:rsidTr="00297DDC">
        <w:trPr>
          <w:trHeight w:val="917"/>
          <w:jc w:val="center"/>
        </w:trPr>
        <w:tc>
          <w:tcPr>
            <w:tcW w:w="252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9D9E908" w14:textId="04316D95" w:rsidR="00AB1BFF" w:rsidRPr="00EE7BB4" w:rsidRDefault="007E4ADE" w:rsidP="00AB1BFF">
            <w:pPr>
              <w:pStyle w:val="Tablehead"/>
            </w:pPr>
            <w:r w:rsidRPr="00EE7BB4">
              <w:t>Año</w:t>
            </w:r>
          </w:p>
        </w:tc>
        <w:tc>
          <w:tcPr>
            <w:tcW w:w="31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7CDA7DA" w14:textId="0A196B50" w:rsidR="00AB1BFF" w:rsidRPr="00EE7BB4" w:rsidRDefault="007E4ADE" w:rsidP="00AB1BFF">
            <w:pPr>
              <w:pStyle w:val="Tablehead"/>
            </w:pPr>
            <w:r w:rsidRPr="00EE7BB4">
              <w:t xml:space="preserve">Ingresos reales de los Miembros de Sector del UIT-T </w:t>
            </w:r>
            <w:r w:rsidR="00297DDC" w:rsidRPr="00EE7BB4">
              <w:t>–</w:t>
            </w:r>
            <w:r w:rsidRPr="00EE7BB4">
              <w:t xml:space="preserve"> miles de CHF</w:t>
            </w:r>
          </w:p>
        </w:tc>
        <w:tc>
          <w:tcPr>
            <w:tcW w:w="284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7AD4F22" w14:textId="4B588E7E" w:rsidR="00AB1BFF" w:rsidRPr="00EE7BB4" w:rsidRDefault="007E4ADE" w:rsidP="00AB1BFF">
            <w:pPr>
              <w:pStyle w:val="Tablehead"/>
            </w:pPr>
            <w:r w:rsidRPr="00EE7BB4">
              <w:t xml:space="preserve">Ingresos reales de los Asociados del UIT-T </w:t>
            </w:r>
            <w:r w:rsidR="00297DDC" w:rsidRPr="00EE7BB4">
              <w:t>–</w:t>
            </w:r>
            <w:r w:rsidRPr="00EE7BB4">
              <w:t xml:space="preserve"> </w:t>
            </w:r>
            <w:r w:rsidR="00297DDC" w:rsidRPr="00EE7BB4">
              <w:br/>
            </w:r>
            <w:r w:rsidRPr="00EE7BB4">
              <w:t>miles de CHF</w:t>
            </w:r>
          </w:p>
        </w:tc>
      </w:tr>
      <w:tr w:rsidR="00AB1BFF" w:rsidRPr="00EE7BB4" w14:paraId="221E2E40" w14:textId="77777777" w:rsidTr="00297DDC">
        <w:trPr>
          <w:trHeight w:val="300"/>
          <w:jc w:val="center"/>
        </w:trPr>
        <w:tc>
          <w:tcPr>
            <w:tcW w:w="252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128514F" w14:textId="77777777" w:rsidR="00AB1BFF" w:rsidRPr="00EE7BB4" w:rsidRDefault="00AB1BFF" w:rsidP="00AB1BFF">
            <w:pPr>
              <w:pStyle w:val="Tabletext"/>
              <w:jc w:val="center"/>
            </w:pPr>
            <w:r w:rsidRPr="00EE7BB4">
              <w:t>2017</w:t>
            </w:r>
          </w:p>
        </w:tc>
        <w:tc>
          <w:tcPr>
            <w:tcW w:w="313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2C40BB5" w14:textId="1AE6FAED" w:rsidR="00AB1BFF" w:rsidRPr="00EE7BB4" w:rsidRDefault="00AB1BFF" w:rsidP="00AB1BFF">
            <w:pPr>
              <w:pStyle w:val="Tabletext"/>
              <w:jc w:val="center"/>
            </w:pPr>
            <w:r w:rsidRPr="00EE7BB4">
              <w:t>6</w:t>
            </w:r>
            <w:r w:rsidR="007E4ADE" w:rsidRPr="00EE7BB4">
              <w:t xml:space="preserve"> </w:t>
            </w:r>
            <w:r w:rsidRPr="00EE7BB4">
              <w:t>184</w:t>
            </w:r>
          </w:p>
        </w:tc>
        <w:tc>
          <w:tcPr>
            <w:tcW w:w="28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601E795" w14:textId="2A350B60" w:rsidR="00AB1BFF" w:rsidRPr="00EE7BB4" w:rsidRDefault="00AB1BFF" w:rsidP="00AB1BFF">
            <w:pPr>
              <w:pStyle w:val="Tabletext"/>
              <w:jc w:val="center"/>
            </w:pPr>
            <w:r w:rsidRPr="00EE7BB4">
              <w:t>1</w:t>
            </w:r>
            <w:r w:rsidR="00FC48CB" w:rsidRPr="00EE7BB4">
              <w:t xml:space="preserve"> </w:t>
            </w:r>
            <w:r w:rsidRPr="00EE7BB4">
              <w:t>321</w:t>
            </w:r>
          </w:p>
        </w:tc>
      </w:tr>
      <w:tr w:rsidR="00AB1BFF" w:rsidRPr="00EE7BB4" w14:paraId="4C6445D5" w14:textId="77777777" w:rsidTr="00297DDC">
        <w:trPr>
          <w:trHeight w:val="300"/>
          <w:jc w:val="center"/>
        </w:trPr>
        <w:tc>
          <w:tcPr>
            <w:tcW w:w="252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AE10F09" w14:textId="77777777" w:rsidR="00AB1BFF" w:rsidRPr="00EE7BB4" w:rsidRDefault="00AB1BFF" w:rsidP="00AB1BFF">
            <w:pPr>
              <w:pStyle w:val="Tabletext"/>
              <w:jc w:val="center"/>
            </w:pPr>
            <w:r w:rsidRPr="00EE7BB4">
              <w:t>2018</w:t>
            </w:r>
          </w:p>
        </w:tc>
        <w:tc>
          <w:tcPr>
            <w:tcW w:w="313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70AB88B" w14:textId="50021AF8" w:rsidR="00AB1BFF" w:rsidRPr="00EE7BB4" w:rsidRDefault="00AB1BFF" w:rsidP="00AB1BFF">
            <w:pPr>
              <w:pStyle w:val="Tabletext"/>
              <w:jc w:val="center"/>
            </w:pPr>
            <w:r w:rsidRPr="00EE7BB4">
              <w:t>6</w:t>
            </w:r>
            <w:r w:rsidR="007E4ADE" w:rsidRPr="00EE7BB4">
              <w:t xml:space="preserve"> </w:t>
            </w:r>
            <w:r w:rsidRPr="00EE7BB4">
              <w:t>218</w:t>
            </w:r>
          </w:p>
        </w:tc>
        <w:tc>
          <w:tcPr>
            <w:tcW w:w="28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156721A" w14:textId="7BD185AA" w:rsidR="00AB1BFF" w:rsidRPr="00EE7BB4" w:rsidRDefault="00AB1BFF" w:rsidP="00AB1BFF">
            <w:pPr>
              <w:pStyle w:val="Tabletext"/>
              <w:jc w:val="center"/>
            </w:pPr>
            <w:r w:rsidRPr="00EE7BB4">
              <w:t>1</w:t>
            </w:r>
            <w:r w:rsidR="00FC48CB" w:rsidRPr="00EE7BB4">
              <w:t xml:space="preserve"> </w:t>
            </w:r>
            <w:r w:rsidRPr="00EE7BB4">
              <w:t>529</w:t>
            </w:r>
          </w:p>
        </w:tc>
      </w:tr>
      <w:tr w:rsidR="00AB1BFF" w:rsidRPr="00EE7BB4" w14:paraId="4DB6E9E2" w14:textId="77777777" w:rsidTr="00297DDC">
        <w:trPr>
          <w:trHeight w:val="300"/>
          <w:jc w:val="center"/>
        </w:trPr>
        <w:tc>
          <w:tcPr>
            <w:tcW w:w="252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DD7D5EB" w14:textId="77777777" w:rsidR="00AB1BFF" w:rsidRPr="00EE7BB4" w:rsidRDefault="00AB1BFF" w:rsidP="00AB1BFF">
            <w:pPr>
              <w:pStyle w:val="Tabletext"/>
              <w:jc w:val="center"/>
            </w:pPr>
            <w:r w:rsidRPr="00EE7BB4">
              <w:t>2019</w:t>
            </w:r>
          </w:p>
        </w:tc>
        <w:tc>
          <w:tcPr>
            <w:tcW w:w="313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367489" w14:textId="3001C857" w:rsidR="00AB1BFF" w:rsidRPr="00EE7BB4" w:rsidRDefault="00AB1BFF" w:rsidP="00AB1BFF">
            <w:pPr>
              <w:pStyle w:val="Tabletext"/>
              <w:jc w:val="center"/>
            </w:pPr>
            <w:r w:rsidRPr="00EE7BB4">
              <w:t>6</w:t>
            </w:r>
            <w:r w:rsidR="00FC48CB" w:rsidRPr="00EE7BB4">
              <w:t xml:space="preserve"> </w:t>
            </w:r>
            <w:r w:rsidRPr="00EE7BB4">
              <w:t>376</w:t>
            </w:r>
          </w:p>
        </w:tc>
        <w:tc>
          <w:tcPr>
            <w:tcW w:w="28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0216F47" w14:textId="4F6F7591" w:rsidR="00AB1BFF" w:rsidRPr="00EE7BB4" w:rsidRDefault="00AB1BFF" w:rsidP="00AB1BFF">
            <w:pPr>
              <w:pStyle w:val="Tabletext"/>
              <w:jc w:val="center"/>
            </w:pPr>
            <w:r w:rsidRPr="00EE7BB4">
              <w:t>1</w:t>
            </w:r>
            <w:r w:rsidR="00FC48CB" w:rsidRPr="00EE7BB4">
              <w:t xml:space="preserve"> </w:t>
            </w:r>
            <w:r w:rsidRPr="00EE7BB4">
              <w:t>784</w:t>
            </w:r>
          </w:p>
        </w:tc>
      </w:tr>
    </w:tbl>
    <w:p w14:paraId="7D375CF0" w14:textId="74DD8FD3" w:rsidR="00AB1BFF" w:rsidRPr="00EE7BB4" w:rsidRDefault="00FC48CB" w:rsidP="00297DDC">
      <w:pPr>
        <w:pStyle w:val="Tabletitle"/>
        <w:keepNext w:val="0"/>
        <w:spacing w:before="240"/>
        <w:rPr>
          <w:rFonts w:eastAsia="Calibri"/>
        </w:rPr>
      </w:pPr>
      <w:r w:rsidRPr="00EE7BB4">
        <w:rPr>
          <w:rFonts w:eastAsia="Calibri"/>
        </w:rPr>
        <w:t>Cuadro</w:t>
      </w:r>
      <w:r w:rsidR="00AB1BFF" w:rsidRPr="00EE7BB4">
        <w:rPr>
          <w:rFonts w:eastAsia="Calibri"/>
        </w:rPr>
        <w:t xml:space="preserve"> 2: </w:t>
      </w:r>
      <w:r w:rsidRPr="00EE7BB4">
        <w:rPr>
          <w:rFonts w:eastAsia="Calibri"/>
        </w:rPr>
        <w:t xml:space="preserve">Ingresos reales de los </w:t>
      </w:r>
      <w:r w:rsidR="00297DDC" w:rsidRPr="00EE7BB4">
        <w:rPr>
          <w:rFonts w:eastAsia="Calibri"/>
        </w:rPr>
        <w:t xml:space="preserve">Miembros de Sector </w:t>
      </w:r>
      <w:r w:rsidRPr="00EE7BB4">
        <w:rPr>
          <w:rFonts w:eastAsia="Calibri"/>
        </w:rPr>
        <w:t xml:space="preserve">del UIT-T y los </w:t>
      </w:r>
      <w:r w:rsidR="00297DDC" w:rsidRPr="00EE7BB4">
        <w:rPr>
          <w:rFonts w:eastAsia="Calibri"/>
        </w:rPr>
        <w:br/>
      </w:r>
      <w:r w:rsidRPr="00EE7BB4">
        <w:rPr>
          <w:rFonts w:eastAsia="Calibri"/>
        </w:rPr>
        <w:t>Asociados del UIT-T de 2017 a 2019</w:t>
      </w:r>
    </w:p>
    <w:p w14:paraId="71129E98" w14:textId="45947A65" w:rsidR="00453612" w:rsidRPr="00EE7BB4" w:rsidRDefault="00453612" w:rsidP="00297DDC">
      <w:pPr>
        <w:pStyle w:val="Normalaftertitle"/>
        <w:keepNext/>
        <w:keepLines/>
      </w:pPr>
      <w:r w:rsidRPr="00EE7BB4">
        <w:lastRenderedPageBreak/>
        <w:t>1.</w:t>
      </w:r>
      <w:r w:rsidR="00550FC8" w:rsidRPr="00EE7BB4">
        <w:t>6</w:t>
      </w:r>
      <w:r w:rsidRPr="00EE7BB4">
        <w:tab/>
      </w:r>
      <w:bookmarkStart w:id="42" w:name="lt_pId049"/>
      <w:r w:rsidR="00EC5C38" w:rsidRPr="00EE7BB4">
        <w:t>En diversas Resoluciones de la PP-18 y la AMNT-16 se encarga a la TSB que realice labores adicionales. Por ejemplo, el número de solicitudes de indicativos internacionales compartidos ha aumentado notablemente a causa de las necesidades de la industria en materia de identificadores para</w:t>
      </w:r>
      <w:bookmarkStart w:id="43" w:name="lt_pId050"/>
      <w:bookmarkEnd w:id="42"/>
      <w:r w:rsidRPr="00EE7BB4">
        <w:t xml:space="preserve"> </w:t>
      </w:r>
      <w:proofErr w:type="spellStart"/>
      <w:r w:rsidRPr="00EE7BB4">
        <w:t>IoT</w:t>
      </w:r>
      <w:proofErr w:type="spellEnd"/>
      <w:r w:rsidRPr="00EE7BB4">
        <w:t>/M2M</w:t>
      </w:r>
      <w:r w:rsidR="00EC5C38" w:rsidRPr="00EE7BB4">
        <w:t>.</w:t>
      </w:r>
      <w:r w:rsidRPr="00EE7BB4">
        <w:t xml:space="preserve"> </w:t>
      </w:r>
      <w:r w:rsidR="00EC5C38" w:rsidRPr="00EE7BB4">
        <w:t xml:space="preserve">La carga de trabajo del personal de la TSB ha ido en considerable aumento, mientras que el número de puestos en esa Oficina se ha mantenido constante durante las dos últimas décadas en torno a 65 puestos. La sobrecarga de trabajo del personal causa </w:t>
      </w:r>
      <w:r w:rsidR="00E84561" w:rsidRPr="00EE7BB4">
        <w:t xml:space="preserve">un aumento de las </w:t>
      </w:r>
      <w:r w:rsidR="00EC5C38" w:rsidRPr="00EE7BB4">
        <w:t>bajas médicas por estrés</w:t>
      </w:r>
      <w:r w:rsidR="00E84561" w:rsidRPr="00EE7BB4">
        <w:t xml:space="preserve"> que, a su vez, redundan en un aumento de la carga laboral del personal restante y el correspondiente aumento de las bajas médicas por estrés</w:t>
      </w:r>
      <w:bookmarkStart w:id="44" w:name="lt_pId052"/>
      <w:bookmarkEnd w:id="43"/>
      <w:r w:rsidRPr="00EE7BB4">
        <w:t>.</w:t>
      </w:r>
      <w:bookmarkEnd w:id="44"/>
    </w:p>
    <w:p w14:paraId="4EEE4784" w14:textId="2A6A7102" w:rsidR="00AB1BFF" w:rsidRPr="00EE7BB4" w:rsidRDefault="00AB1BFF" w:rsidP="00297DDC">
      <w:r w:rsidRPr="00EE7BB4">
        <w:t>1.7</w:t>
      </w:r>
      <w:r w:rsidRPr="00EE7BB4">
        <w:tab/>
      </w:r>
      <w:r w:rsidR="00FC48CB" w:rsidRPr="00EE7BB4">
        <w:t>Encuesta de la UIT sobre bienestar, realizada del 7 de febrero al 30 de abril de 2020 (Cuestionario psicosocial de Copenhague; respondieron 281 colegas de la UIT; las tasas de respuesta de la TSB fueron del 56%, lo que es bastante elevado) muestran que alrededor de 4 de cada 5 colegas de la TSB consideran que el trabajo consume energía y tiene un efecto negativo en su vida privada; para cerca de 2 de cada 5 colegas de la TSB, el trabajo tiene en (muy) gran medida un efecto negativo en la vida privada.</w:t>
      </w:r>
    </w:p>
    <w:p w14:paraId="507E2388" w14:textId="7ACB5243" w:rsidR="0068252D" w:rsidRPr="00EE7BB4" w:rsidRDefault="0068252D" w:rsidP="0068252D">
      <w:pPr>
        <w:pStyle w:val="Figure"/>
        <w:keepNext w:val="0"/>
        <w:keepLines w:val="0"/>
        <w:spacing w:before="240"/>
      </w:pPr>
      <w:r w:rsidRPr="00EE7BB4">
        <w:rPr>
          <w:noProof/>
        </w:rPr>
        <w:drawing>
          <wp:inline distT="0" distB="0" distL="0" distR="0" wp14:anchorId="651FD956" wp14:editId="36889460">
            <wp:extent cx="6120000" cy="29232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15"/>
                    <a:stretch>
                      <a:fillRect/>
                    </a:stretch>
                  </pic:blipFill>
                  <pic:spPr>
                    <a:xfrm>
                      <a:off x="0" y="0"/>
                      <a:ext cx="6120000" cy="2923200"/>
                    </a:xfrm>
                    <a:prstGeom prst="rect">
                      <a:avLst/>
                    </a:prstGeom>
                  </pic:spPr>
                </pic:pic>
              </a:graphicData>
            </a:graphic>
          </wp:inline>
        </w:drawing>
      </w:r>
    </w:p>
    <w:p w14:paraId="4CD8F57A" w14:textId="5332EE8B" w:rsidR="00AB1BFF" w:rsidRPr="00EE7BB4" w:rsidRDefault="00AB1BFF" w:rsidP="0068252D">
      <w:pPr>
        <w:pStyle w:val="Figuretitle"/>
        <w:rPr>
          <w:rFonts w:eastAsiaTheme="minorEastAsia"/>
          <w:lang w:eastAsia="zh-CN"/>
        </w:rPr>
      </w:pPr>
      <w:bookmarkStart w:id="45" w:name="_Toc37930305"/>
      <w:bookmarkStart w:id="46" w:name="_Toc39047648"/>
      <w:r w:rsidRPr="00EE7BB4">
        <w:rPr>
          <w:rFonts w:eastAsiaTheme="minorEastAsia"/>
          <w:lang w:eastAsia="zh-CN"/>
        </w:rPr>
        <w:t>Figur</w:t>
      </w:r>
      <w:r w:rsidR="00FC48CB" w:rsidRPr="00EE7BB4">
        <w:rPr>
          <w:rFonts w:eastAsiaTheme="minorEastAsia"/>
          <w:lang w:eastAsia="zh-CN"/>
        </w:rPr>
        <w:t>a</w:t>
      </w:r>
      <w:r w:rsidRPr="00EE7BB4">
        <w:rPr>
          <w:rFonts w:eastAsiaTheme="minorEastAsia"/>
          <w:lang w:eastAsia="zh-CN"/>
        </w:rPr>
        <w:t xml:space="preserve"> 1: Dat</w:t>
      </w:r>
      <w:r w:rsidR="00FC48CB" w:rsidRPr="00EE7BB4">
        <w:rPr>
          <w:rFonts w:eastAsiaTheme="minorEastAsia"/>
          <w:lang w:eastAsia="zh-CN"/>
        </w:rPr>
        <w:t>os sobre el equilibrio trabajo/vida en la UIT</w:t>
      </w:r>
    </w:p>
    <w:p w14:paraId="725B2121" w14:textId="46C69F45" w:rsidR="00453612" w:rsidRPr="00EE7BB4" w:rsidRDefault="00453612" w:rsidP="0068252D">
      <w:pPr>
        <w:pStyle w:val="Heading1"/>
      </w:pPr>
      <w:bookmarkStart w:id="47" w:name="_Toc54968534"/>
      <w:r w:rsidRPr="00EE7BB4">
        <w:rPr>
          <w:rFonts w:eastAsiaTheme="minorEastAsia"/>
          <w:lang w:eastAsia="zh-CN"/>
        </w:rPr>
        <w:t>2</w:t>
      </w:r>
      <w:r w:rsidRPr="00EE7BB4">
        <w:rPr>
          <w:rFonts w:eastAsiaTheme="minorEastAsia"/>
          <w:lang w:eastAsia="zh-CN"/>
        </w:rPr>
        <w:tab/>
      </w:r>
      <w:bookmarkStart w:id="48" w:name="lt_pId054"/>
      <w:r w:rsidR="00E84561" w:rsidRPr="00EE7BB4">
        <w:rPr>
          <w:rFonts w:eastAsiaTheme="minorEastAsia"/>
          <w:lang w:eastAsia="zh-CN"/>
        </w:rPr>
        <w:t>Servicios y herramientas de la UIT</w:t>
      </w:r>
      <w:bookmarkStart w:id="49" w:name="_Toc312148142"/>
      <w:bookmarkStart w:id="50" w:name="_Toc462664277"/>
      <w:bookmarkStart w:id="51" w:name="_Toc480527869"/>
      <w:bookmarkStart w:id="52" w:name="_Toc18509779"/>
      <w:bookmarkEnd w:id="45"/>
      <w:bookmarkEnd w:id="46"/>
      <w:bookmarkEnd w:id="48"/>
      <w:bookmarkEnd w:id="47"/>
    </w:p>
    <w:p w14:paraId="2D12EF31" w14:textId="24AB1EBC" w:rsidR="00453612" w:rsidRPr="00EE7BB4" w:rsidRDefault="00E25998" w:rsidP="0068252D">
      <w:r w:rsidRPr="00EE7BB4">
        <w:t>2.1</w:t>
      </w:r>
      <w:r w:rsidR="00453612" w:rsidRPr="00EE7BB4">
        <w:tab/>
      </w:r>
      <w:bookmarkStart w:id="53" w:name="lt_pId056"/>
      <w:r w:rsidR="00E84561" w:rsidRPr="00EE7BB4">
        <w:t xml:space="preserve">A lo largo de los últimos años la TSB ha visto aumentar notablemente las solicitudes de servicios y ayuda para las actividades del Sector. Las TIC han evolucionado enormemente en la última década, hasta el punto de que hoy en día desempeñan un papel clave en las siguientes esferas: automatización de tareas, </w:t>
      </w:r>
      <w:r w:rsidR="00D94AFE" w:rsidRPr="00EE7BB4">
        <w:t xml:space="preserve">examen detallado de las áreas problemáticas para facilitar la </w:t>
      </w:r>
      <w:r w:rsidR="00E84561" w:rsidRPr="00EE7BB4">
        <w:t>toma de decisiones, registro y seguimiento de la</w:t>
      </w:r>
      <w:r w:rsidR="00D94AFE" w:rsidRPr="00EE7BB4">
        <w:t>s actividades de los eventos</w:t>
      </w:r>
      <w:r w:rsidR="00E84561" w:rsidRPr="00EE7BB4">
        <w:t xml:space="preserve"> de manera segura y fiable. Gracias a esas tecnologías avanzadas la TSB puede responder a las crecientes demandas </w:t>
      </w:r>
      <w:r w:rsidR="00D94AFE" w:rsidRPr="00EE7BB4">
        <w:t xml:space="preserve">de los miembros para la mejora </w:t>
      </w:r>
      <w:r w:rsidR="00E84561" w:rsidRPr="00EE7BB4">
        <w:t>del Sector, mantener y actualizar sus servicios</w:t>
      </w:r>
      <w:r w:rsidR="00D94AFE" w:rsidRPr="00EE7BB4">
        <w:t>,</w:t>
      </w:r>
      <w:r w:rsidR="00E84561" w:rsidRPr="00EE7BB4">
        <w:t xml:space="preserve"> y reducir </w:t>
      </w:r>
      <w:r w:rsidR="00D94AFE" w:rsidRPr="00EE7BB4">
        <w:t>parte de</w:t>
      </w:r>
      <w:r w:rsidR="00E84561" w:rsidRPr="00EE7BB4">
        <w:t xml:space="preserve"> las labores manuales que </w:t>
      </w:r>
      <w:bookmarkStart w:id="54" w:name="lt_pId059"/>
      <w:bookmarkEnd w:id="53"/>
      <w:r w:rsidR="00D94AFE" w:rsidRPr="00EE7BB4">
        <w:t>realiza el personal</w:t>
      </w:r>
      <w:r w:rsidR="00453612" w:rsidRPr="00EE7BB4">
        <w:t>.</w:t>
      </w:r>
      <w:bookmarkEnd w:id="54"/>
    </w:p>
    <w:p w14:paraId="4A6EFC8C" w14:textId="030911D0" w:rsidR="00453612" w:rsidRPr="00EE7BB4" w:rsidRDefault="00E25998" w:rsidP="0068252D">
      <w:pPr>
        <w:keepNext/>
        <w:keepLines/>
      </w:pPr>
      <w:r w:rsidRPr="00EE7BB4">
        <w:lastRenderedPageBreak/>
        <w:t>2.2</w:t>
      </w:r>
      <w:r w:rsidR="00453612" w:rsidRPr="00EE7BB4">
        <w:tab/>
      </w:r>
      <w:bookmarkStart w:id="55" w:name="lt_pId061"/>
      <w:r w:rsidR="008E6935" w:rsidRPr="00EE7BB4">
        <w:t>Desde el principio del periodo de estudios</w:t>
      </w:r>
      <w:r w:rsidR="00453612" w:rsidRPr="00EE7BB4">
        <w:t xml:space="preserve"> 2017-2020</w:t>
      </w:r>
      <w:r w:rsidR="008E6935" w:rsidRPr="00EE7BB4">
        <w:t xml:space="preserve">, y en paralelo a los servicios </w:t>
      </w:r>
      <w:r w:rsidR="00D94AFE" w:rsidRPr="00EE7BB4">
        <w:t xml:space="preserve">existentes </w:t>
      </w:r>
      <w:r w:rsidR="008E6935" w:rsidRPr="00EE7BB4">
        <w:t xml:space="preserve">de apoyo a las actividades y publicaciones del Programa de trabajo del UIT-T, la TSB ha </w:t>
      </w:r>
      <w:r w:rsidR="00D94AFE" w:rsidRPr="00EE7BB4">
        <w:t xml:space="preserve">desarrollado las </w:t>
      </w:r>
      <w:r w:rsidR="008E6935" w:rsidRPr="00EE7BB4">
        <w:t xml:space="preserve">siguientes </w:t>
      </w:r>
      <w:r w:rsidR="00D94AFE" w:rsidRPr="00EE7BB4">
        <w:t xml:space="preserve">soluciones </w:t>
      </w:r>
      <w:r w:rsidR="008E6935" w:rsidRPr="00EE7BB4">
        <w:t>para adaptarse a las siempre cambiantes demandas del Sector</w:t>
      </w:r>
      <w:r w:rsidR="00453612" w:rsidRPr="00EE7BB4">
        <w:t>:</w:t>
      </w:r>
      <w:bookmarkEnd w:id="55"/>
    </w:p>
    <w:p w14:paraId="62139972" w14:textId="23984494" w:rsidR="00453612" w:rsidRPr="00EE7BB4" w:rsidRDefault="00E25998" w:rsidP="0068252D">
      <w:pPr>
        <w:pStyle w:val="enumlev1"/>
        <w:rPr>
          <w:b/>
          <w:bCs/>
        </w:rPr>
      </w:pPr>
      <w:bookmarkStart w:id="56" w:name="lt_pId062"/>
      <w:r w:rsidRPr="00EE7BB4">
        <w:t>•</w:t>
      </w:r>
      <w:r w:rsidRPr="00EE7BB4">
        <w:rPr>
          <w:b/>
        </w:rPr>
        <w:tab/>
      </w:r>
      <w:hyperlink r:id="rId16" w:history="1">
        <w:r w:rsidR="00BB4F9A" w:rsidRPr="00EE7BB4">
          <w:rPr>
            <w:rStyle w:val="Hyperlink"/>
            <w:b/>
          </w:rPr>
          <w:t>Herramienta de correspondencia con los ODS mediante IA</w:t>
        </w:r>
        <w:bookmarkEnd w:id="56"/>
      </w:hyperlink>
      <w:r w:rsidR="00AB1BFF" w:rsidRPr="002B71E1">
        <w:rPr>
          <w:bCs/>
        </w:rPr>
        <w:t xml:space="preserve"> – </w:t>
      </w:r>
      <w:bookmarkStart w:id="57" w:name="lt_pId063"/>
      <w:r w:rsidR="00BB4F9A" w:rsidRPr="00EE7BB4">
        <w:t xml:space="preserve">Se trata de una aplicación de la </w:t>
      </w:r>
      <w:r w:rsidR="00453612" w:rsidRPr="00EE7BB4">
        <w:t xml:space="preserve">TSB </w:t>
      </w:r>
      <w:r w:rsidR="00BB4F9A" w:rsidRPr="00EE7BB4">
        <w:t xml:space="preserve">que </w:t>
      </w:r>
      <w:r w:rsidR="00D94AFE" w:rsidRPr="00EE7BB4">
        <w:t xml:space="preserve">se ha desarrollado </w:t>
      </w:r>
      <w:r w:rsidR="00BB4F9A" w:rsidRPr="00EE7BB4">
        <w:t>utiliza</w:t>
      </w:r>
      <w:r w:rsidR="00D94AFE" w:rsidRPr="00EE7BB4">
        <w:t>ndo</w:t>
      </w:r>
      <w:r w:rsidR="00BB4F9A" w:rsidRPr="00EE7BB4">
        <w:t xml:space="preserve"> la inteligencia artificial (IA) para realizar un análisis estadístico de la pertinencia de las actividades del UIT-T (por ejemplo, Recomendaciones, </w:t>
      </w:r>
      <w:r w:rsidR="008160A2" w:rsidRPr="00EE7BB4">
        <w:t>especificaciones técnicas</w:t>
      </w:r>
      <w:r w:rsidR="00453612" w:rsidRPr="00EE7BB4">
        <w:t xml:space="preserve">, etc.) </w:t>
      </w:r>
      <w:r w:rsidR="00BB4F9A" w:rsidRPr="00EE7BB4">
        <w:t>para los ODS de las Naciones Unidas y para establecer una correspondencia entre esas actividades, a partir de un amplio abanico de fuentes (por ejemplo, sitios web, bases de datos</w:t>
      </w:r>
      <w:r w:rsidR="00453612" w:rsidRPr="00EE7BB4">
        <w:t>, etc.)</w:t>
      </w:r>
      <w:r w:rsidR="00BB4F9A" w:rsidRPr="00EE7BB4">
        <w:t>, y ODS específicos empleando la relevancia semántica</w:t>
      </w:r>
      <w:r w:rsidR="00453612" w:rsidRPr="00EE7BB4">
        <w:t>.</w:t>
      </w:r>
      <w:bookmarkEnd w:id="57"/>
    </w:p>
    <w:p w14:paraId="24F29CE8" w14:textId="5B1F8ECB" w:rsidR="00453612" w:rsidRPr="00EE7BB4" w:rsidRDefault="00E25998" w:rsidP="0068252D">
      <w:pPr>
        <w:pStyle w:val="enumlev1"/>
        <w:rPr>
          <w:rStyle w:val="normaltextrun"/>
        </w:rPr>
      </w:pPr>
      <w:bookmarkStart w:id="58" w:name="lt_pId064"/>
      <w:r w:rsidRPr="00EE7BB4">
        <w:t>•</w:t>
      </w:r>
      <w:r w:rsidRPr="00EE7BB4">
        <w:tab/>
      </w:r>
      <w:hyperlink r:id="rId17" w:history="1">
        <w:proofErr w:type="spellStart"/>
        <w:r w:rsidR="00453612" w:rsidRPr="00EE7BB4">
          <w:rPr>
            <w:rStyle w:val="Hyperlink"/>
            <w:b/>
          </w:rPr>
          <w:t>MyWorkspace</w:t>
        </w:r>
        <w:proofErr w:type="spellEnd"/>
      </w:hyperlink>
      <w:r w:rsidR="00453612" w:rsidRPr="00EE7BB4">
        <w:rPr>
          <w:rStyle w:val="normaltextrun"/>
        </w:rPr>
        <w:t xml:space="preserve"> – </w:t>
      </w:r>
      <w:r w:rsidR="00BB4F9A" w:rsidRPr="00EE7BB4">
        <w:t>Ventanilla</w:t>
      </w:r>
      <w:r w:rsidR="00BB4F9A" w:rsidRPr="00EE7BB4">
        <w:rPr>
          <w:rStyle w:val="normaltextrun"/>
        </w:rPr>
        <w:t xml:space="preserve"> única que da acceso a una amplia gama de aplicaciones</w:t>
      </w:r>
      <w:r w:rsidR="00D94AFE" w:rsidRPr="00EE7BB4">
        <w:rPr>
          <w:rStyle w:val="normaltextrun"/>
        </w:rPr>
        <w:t xml:space="preserve"> y servicios</w:t>
      </w:r>
      <w:r w:rsidR="00BB4F9A" w:rsidRPr="00EE7BB4">
        <w:rPr>
          <w:rStyle w:val="normaltextrun"/>
        </w:rPr>
        <w:t>, a saber</w:t>
      </w:r>
      <w:r w:rsidR="00453612" w:rsidRPr="00EE7BB4">
        <w:rPr>
          <w:rStyle w:val="normaltextrun"/>
        </w:rPr>
        <w:t>:</w:t>
      </w:r>
      <w:bookmarkEnd w:id="58"/>
    </w:p>
    <w:p w14:paraId="280A5094" w14:textId="3160867A" w:rsidR="00AB1BFF" w:rsidRPr="00EE7BB4" w:rsidRDefault="00AB1BFF" w:rsidP="0068252D">
      <w:pPr>
        <w:pStyle w:val="enumlev2"/>
      </w:pPr>
      <w:bookmarkStart w:id="59" w:name="lt_pId077"/>
      <w:r w:rsidRPr="00EE7BB4">
        <w:t>–</w:t>
      </w:r>
      <w:r w:rsidRPr="00EE7BB4">
        <w:tab/>
      </w:r>
      <w:hyperlink r:id="rId18" w:anchor="/my-workspace/remote_participation" w:tgtFrame="_blank" w:history="1">
        <w:proofErr w:type="spellStart"/>
        <w:r w:rsidRPr="00EE7BB4">
          <w:rPr>
            <w:rStyle w:val="Hyperlink"/>
            <w:rFonts w:asciiTheme="minorHAnsi" w:hAnsiTheme="minorHAnsi" w:cstheme="minorHAnsi"/>
          </w:rPr>
          <w:t>MyMeetings</w:t>
        </w:r>
        <w:proofErr w:type="spellEnd"/>
      </w:hyperlink>
      <w:r w:rsidRPr="00EE7BB4">
        <w:t xml:space="preserve">: </w:t>
      </w:r>
      <w:r w:rsidR="00D94AFE" w:rsidRPr="00EE7BB4">
        <w:t>Servicio de participación a distancia basado en una solución de código abierto adaptada internamente para apoyar los requisitos de las reuniones estatutarias y no estatutarias del UIT-T</w:t>
      </w:r>
      <w:r w:rsidRPr="00EE7BB4">
        <w:t>.</w:t>
      </w:r>
    </w:p>
    <w:p w14:paraId="2EC1F656" w14:textId="13E0822E" w:rsidR="00AB1BFF" w:rsidRPr="00EE7BB4" w:rsidRDefault="00AB1BFF" w:rsidP="0068252D">
      <w:pPr>
        <w:pStyle w:val="enumlev2"/>
      </w:pPr>
      <w:r w:rsidRPr="00EE7BB4">
        <w:t>–</w:t>
      </w:r>
      <w:r w:rsidRPr="00EE7BB4">
        <w:tab/>
      </w:r>
      <w:hyperlink r:id="rId19" w:anchor="/my-workspace/myevents" w:tgtFrame="_blank" w:history="1">
        <w:proofErr w:type="spellStart"/>
        <w:r w:rsidRPr="00EE7BB4">
          <w:rPr>
            <w:rStyle w:val="Hyperlink"/>
            <w:rFonts w:asciiTheme="minorHAnsi" w:hAnsiTheme="minorHAnsi" w:cstheme="minorHAnsi"/>
          </w:rPr>
          <w:t>MyEvents</w:t>
        </w:r>
        <w:proofErr w:type="spellEnd"/>
      </w:hyperlink>
      <w:r w:rsidRPr="00EE7BB4">
        <w:t xml:space="preserve">: </w:t>
      </w:r>
      <w:r w:rsidR="00D94AFE" w:rsidRPr="00EE7BB4">
        <w:t xml:space="preserve">Plataforma de gestión de eventos que proporciona el programa de eventos del UIT-T en tiempo real, la lista de participantes, oradores y expositores inscritos, así como una función de </w:t>
      </w:r>
      <w:r w:rsidR="0068252D" w:rsidRPr="00EE7BB4">
        <w:t>"</w:t>
      </w:r>
      <w:r w:rsidR="00D94AFE" w:rsidRPr="00EE7BB4">
        <w:t>emparejamiento</w:t>
      </w:r>
      <w:r w:rsidR="0068252D" w:rsidRPr="00EE7BB4">
        <w:t>"</w:t>
      </w:r>
      <w:r w:rsidR="00D94AFE" w:rsidRPr="00EE7BB4">
        <w:t xml:space="preserve"> (</w:t>
      </w:r>
      <w:proofErr w:type="spellStart"/>
      <w:r w:rsidR="00D94AFE" w:rsidRPr="00EE7BB4">
        <w:rPr>
          <w:i/>
          <w:iCs/>
        </w:rPr>
        <w:t>matchmaking</w:t>
      </w:r>
      <w:proofErr w:type="spellEnd"/>
      <w:r w:rsidR="00D94AFE" w:rsidRPr="00EE7BB4">
        <w:t>) para facilitar la creación de redes de contactos</w:t>
      </w:r>
      <w:r w:rsidR="0094480C" w:rsidRPr="00EE7BB4">
        <w:t xml:space="preserve"> </w:t>
      </w:r>
      <w:r w:rsidR="00D94AFE" w:rsidRPr="00EE7BB4">
        <w:t>entre los participantes</w:t>
      </w:r>
      <w:r w:rsidRPr="00EE7BB4">
        <w:t>.</w:t>
      </w:r>
    </w:p>
    <w:p w14:paraId="565EA695" w14:textId="050A8FAB" w:rsidR="008D0F55" w:rsidRPr="00EE7BB4" w:rsidRDefault="008D0F55" w:rsidP="0068252D">
      <w:pPr>
        <w:pStyle w:val="enumlev2"/>
      </w:pPr>
      <w:r w:rsidRPr="00EE7BB4">
        <w:t>–</w:t>
      </w:r>
      <w:r w:rsidRPr="00EE7BB4">
        <w:tab/>
      </w:r>
      <w:hyperlink r:id="rId20" w:anchor="/my-workspace/allevent" w:tgtFrame="_blank" w:history="1">
        <w:r w:rsidR="00D94AFE" w:rsidRPr="00EE7BB4">
          <w:rPr>
            <w:rStyle w:val="Hyperlink"/>
          </w:rPr>
          <w:t>Todos los eventos/eventos del día</w:t>
        </w:r>
      </w:hyperlink>
      <w:r w:rsidRPr="00EE7BB4">
        <w:t xml:space="preserve">: </w:t>
      </w:r>
      <w:r w:rsidR="00D94AFE" w:rsidRPr="00EE7BB4">
        <w:t>Vista simplificada del calendario de los próximos eventos, con opciones de filtro y acceso a la página del evento e inscripción para participar en ellos</w:t>
      </w:r>
      <w:r w:rsidRPr="00EE7BB4">
        <w:t>.</w:t>
      </w:r>
    </w:p>
    <w:p w14:paraId="3E657C4F" w14:textId="59CF34DF" w:rsidR="008D0F55" w:rsidRPr="00EE7BB4" w:rsidRDefault="008D0F55" w:rsidP="0068252D">
      <w:pPr>
        <w:pStyle w:val="enumlev2"/>
      </w:pPr>
      <w:r w:rsidRPr="00EE7BB4">
        <w:t>–</w:t>
      </w:r>
      <w:r w:rsidRPr="00EE7BB4">
        <w:tab/>
      </w:r>
      <w:hyperlink r:id="rId21" w:anchor="/my-workspace/translate" w:tgtFrame="_blank" w:history="1">
        <w:r w:rsidRPr="00EE7BB4">
          <w:rPr>
            <w:rStyle w:val="Hyperlink"/>
          </w:rPr>
          <w:t xml:space="preserve">ITU </w:t>
        </w:r>
        <w:proofErr w:type="spellStart"/>
        <w:r w:rsidRPr="00EE7BB4">
          <w:rPr>
            <w:rStyle w:val="Hyperlink"/>
          </w:rPr>
          <w:t>Translate</w:t>
        </w:r>
        <w:proofErr w:type="spellEnd"/>
      </w:hyperlink>
      <w:r w:rsidRPr="00EE7BB4">
        <w:t xml:space="preserve">: </w:t>
      </w:r>
      <w:r w:rsidR="00D94AFE" w:rsidRPr="00EE7BB4">
        <w:t>Herramienta de traducción automática basada en la red neuronal, entrenada internamente con los documentos de la UIT, y que soporta la traducción en cualquiera de los seis (6) idiomas oficiales de las Naciones Unidas</w:t>
      </w:r>
      <w:r w:rsidRPr="00EE7BB4">
        <w:t>.</w:t>
      </w:r>
    </w:p>
    <w:p w14:paraId="1B2BC76A" w14:textId="1DFC3046" w:rsidR="00AB1BFF" w:rsidRPr="00EE7BB4" w:rsidRDefault="00AB1BFF" w:rsidP="0068252D">
      <w:pPr>
        <w:pStyle w:val="enumlev2"/>
      </w:pPr>
      <w:r w:rsidRPr="00EE7BB4">
        <w:t>–</w:t>
      </w:r>
      <w:r w:rsidRPr="00EE7BB4">
        <w:tab/>
      </w:r>
      <w:hyperlink r:id="rId22" w:history="1">
        <w:r w:rsidR="00D94AFE" w:rsidRPr="00EE7BB4">
          <w:rPr>
            <w:rStyle w:val="Hyperlink"/>
          </w:rPr>
          <w:t>Nube del UIT-T</w:t>
        </w:r>
      </w:hyperlink>
      <w:r w:rsidRPr="00EE7BB4">
        <w:t xml:space="preserve">: </w:t>
      </w:r>
      <w:r w:rsidR="00D94AFE" w:rsidRPr="00EE7BB4">
        <w:t>Servicio de almacenamiento en la nube de la UIT que permite a los usuarios compartir e intercambiar archivos de hasta 10 GB por usuario</w:t>
      </w:r>
      <w:r w:rsidRPr="00EE7BB4">
        <w:t>.</w:t>
      </w:r>
    </w:p>
    <w:p w14:paraId="798DECAB" w14:textId="49A1CA35" w:rsidR="00AB1BFF" w:rsidRPr="00EE7BB4" w:rsidRDefault="00AB1BFF" w:rsidP="0068252D">
      <w:pPr>
        <w:pStyle w:val="enumlev2"/>
      </w:pPr>
      <w:r w:rsidRPr="00EE7BB4">
        <w:t>–</w:t>
      </w:r>
      <w:r w:rsidRPr="00EE7BB4">
        <w:tab/>
      </w:r>
      <w:hyperlink r:id="rId23" w:anchor="/my-workspace/mails" w:history="1">
        <w:r w:rsidR="00D94AFE" w:rsidRPr="00EE7BB4">
          <w:rPr>
            <w:rStyle w:val="Hyperlink"/>
          </w:rPr>
          <w:t>Lista de correo</w:t>
        </w:r>
      </w:hyperlink>
      <w:r w:rsidRPr="00EE7BB4">
        <w:t xml:space="preserve">: </w:t>
      </w:r>
      <w:r w:rsidR="00D94AFE" w:rsidRPr="00EE7BB4">
        <w:t>Servicio de suscripción para las listas de correo de la UIT</w:t>
      </w:r>
      <w:r w:rsidRPr="00EE7BB4">
        <w:t>.</w:t>
      </w:r>
    </w:p>
    <w:p w14:paraId="54BD610B" w14:textId="6C069C87" w:rsidR="00AB1BFF" w:rsidRPr="00EE7BB4" w:rsidRDefault="00AB1BFF" w:rsidP="0068252D">
      <w:pPr>
        <w:pStyle w:val="enumlev2"/>
      </w:pPr>
      <w:r w:rsidRPr="00EE7BB4">
        <w:t>–</w:t>
      </w:r>
      <w:r w:rsidRPr="00EE7BB4">
        <w:tab/>
      </w:r>
      <w:hyperlink r:id="rId24" w:anchor="/my-workspace/community" w:history="1">
        <w:r w:rsidRPr="00EE7BB4">
          <w:rPr>
            <w:rStyle w:val="Hyperlink"/>
          </w:rPr>
          <w:t>Community</w:t>
        </w:r>
      </w:hyperlink>
      <w:r w:rsidRPr="00EE7BB4">
        <w:t xml:space="preserve">: </w:t>
      </w:r>
      <w:r w:rsidR="00D94AFE" w:rsidRPr="00EE7BB4">
        <w:t xml:space="preserve">Directorio de usuario de </w:t>
      </w:r>
      <w:proofErr w:type="spellStart"/>
      <w:r w:rsidRPr="00EE7BB4">
        <w:t>MyWorkspace</w:t>
      </w:r>
      <w:proofErr w:type="spellEnd"/>
      <w:r w:rsidRPr="00EE7BB4">
        <w:t>.</w:t>
      </w:r>
    </w:p>
    <w:p w14:paraId="0040C5D5" w14:textId="45DE6771" w:rsidR="00AB1BFF" w:rsidRPr="00EE7BB4" w:rsidRDefault="00AB1BFF" w:rsidP="0068252D">
      <w:pPr>
        <w:pStyle w:val="enumlev2"/>
      </w:pPr>
      <w:r w:rsidRPr="00EE7BB4">
        <w:t>–</w:t>
      </w:r>
      <w:r w:rsidRPr="00EE7BB4">
        <w:tab/>
      </w:r>
      <w:hyperlink r:id="rId25" w:anchor="/my-workspace/documents" w:history="1">
        <w:r w:rsidR="00D94AFE" w:rsidRPr="00EE7BB4">
          <w:rPr>
            <w:rStyle w:val="Hyperlink"/>
          </w:rPr>
          <w:t>Documentos de reunión sugeridos</w:t>
        </w:r>
      </w:hyperlink>
      <w:r w:rsidR="001325E2" w:rsidRPr="00EE7BB4">
        <w:t>: Lista de documentos sugerida sobre la base de los temas de interés para el usuario.</w:t>
      </w:r>
    </w:p>
    <w:p w14:paraId="5D4E8327" w14:textId="3451EC2E" w:rsidR="00AB1BFF" w:rsidRPr="00EE7BB4" w:rsidRDefault="00AB1BFF" w:rsidP="0068252D">
      <w:pPr>
        <w:pStyle w:val="enumlev2"/>
      </w:pPr>
      <w:r w:rsidRPr="00EE7BB4">
        <w:t>–</w:t>
      </w:r>
      <w:r w:rsidRPr="00EE7BB4">
        <w:tab/>
      </w:r>
      <w:hyperlink r:id="rId26" w:anchor="/profile" w:history="1">
        <w:r w:rsidR="001325E2" w:rsidRPr="00EE7BB4">
          <w:rPr>
            <w:rStyle w:val="Hyperlink"/>
          </w:rPr>
          <w:t>Perfil</w:t>
        </w:r>
      </w:hyperlink>
      <w:r w:rsidRPr="00EE7BB4">
        <w:t xml:space="preserve">: </w:t>
      </w:r>
      <w:r w:rsidR="001325E2" w:rsidRPr="00EE7BB4">
        <w:t>Página de perfil que contiene la información personal y los ámbitos de interés del usuario</w:t>
      </w:r>
      <w:r w:rsidRPr="00EE7BB4">
        <w:t>.</w:t>
      </w:r>
    </w:p>
    <w:p w14:paraId="394A5171" w14:textId="48163CB2" w:rsidR="00453612" w:rsidRPr="00EE7BB4" w:rsidRDefault="00E25998" w:rsidP="0068252D">
      <w:pPr>
        <w:pStyle w:val="enumlev1"/>
      </w:pPr>
      <w:r w:rsidRPr="00EE7BB4">
        <w:t>•</w:t>
      </w:r>
      <w:r w:rsidRPr="00EE7BB4">
        <w:tab/>
      </w:r>
      <w:hyperlink r:id="rId27" w:history="1">
        <w:proofErr w:type="spellStart"/>
        <w:r w:rsidR="00453612" w:rsidRPr="00EE7BB4">
          <w:rPr>
            <w:rStyle w:val="Hyperlink"/>
            <w:b/>
            <w:bCs/>
          </w:rPr>
          <w:t>ITUSearch</w:t>
        </w:r>
        <w:proofErr w:type="spellEnd"/>
      </w:hyperlink>
      <w:r w:rsidR="00453612" w:rsidRPr="00EE7BB4">
        <w:t> </w:t>
      </w:r>
      <w:r w:rsidR="00BB4F9A" w:rsidRPr="00EE7BB4">
        <w:t>–</w:t>
      </w:r>
      <w:r w:rsidR="00453612" w:rsidRPr="00EE7BB4">
        <w:t> </w:t>
      </w:r>
      <w:r w:rsidR="00BB4F9A" w:rsidRPr="00EE7BB4">
        <w:t>Motor de búsqueda que da acceso a todos los recursos digitales de la UIT, incluidas las publicaciones, los documentos de las reuniones, el contenido de medios sociales y los seminarios web</w:t>
      </w:r>
      <w:r w:rsidR="00453612" w:rsidRPr="00EE7BB4">
        <w:t>.</w:t>
      </w:r>
      <w:bookmarkEnd w:id="59"/>
    </w:p>
    <w:p w14:paraId="73231CCA" w14:textId="6C6F1A2F" w:rsidR="00453612" w:rsidRPr="00EE7BB4" w:rsidRDefault="00E25998" w:rsidP="0068252D">
      <w:pPr>
        <w:pStyle w:val="enumlev1"/>
      </w:pPr>
      <w:bookmarkStart w:id="60" w:name="lt_pId078"/>
      <w:r w:rsidRPr="00EE7BB4">
        <w:t>•</w:t>
      </w:r>
      <w:r w:rsidRPr="00EE7BB4">
        <w:tab/>
      </w:r>
      <w:hyperlink r:id="rId28" w:anchor="?topic=0&amp;workgroup=1&amp;searchValue=&amp;page=1&amp;sort=Revelance" w:history="1">
        <w:r w:rsidR="00453612" w:rsidRPr="00EE7BB4">
          <w:rPr>
            <w:rStyle w:val="Hyperlink"/>
            <w:b/>
            <w:bCs/>
          </w:rPr>
          <w:t xml:space="preserve">ICT </w:t>
        </w:r>
        <w:proofErr w:type="spellStart"/>
        <w:r w:rsidR="00453612" w:rsidRPr="00EE7BB4">
          <w:rPr>
            <w:rStyle w:val="Hyperlink"/>
            <w:b/>
            <w:bCs/>
          </w:rPr>
          <w:t>Standards</w:t>
        </w:r>
        <w:proofErr w:type="spellEnd"/>
        <w:r w:rsidR="00453612" w:rsidRPr="00EE7BB4">
          <w:rPr>
            <w:rStyle w:val="Hyperlink"/>
            <w:b/>
            <w:bCs/>
          </w:rPr>
          <w:t xml:space="preserve"> </w:t>
        </w:r>
        <w:proofErr w:type="spellStart"/>
        <w:r w:rsidR="00453612" w:rsidRPr="00EE7BB4">
          <w:rPr>
            <w:rStyle w:val="Hyperlink"/>
            <w:b/>
            <w:bCs/>
          </w:rPr>
          <w:t>Landscape</w:t>
        </w:r>
        <w:proofErr w:type="spellEnd"/>
        <w:r w:rsidR="0068252D" w:rsidRPr="00EE7BB4">
          <w:t> </w:t>
        </w:r>
      </w:hyperlink>
      <w:r w:rsidR="00BB4F9A" w:rsidRPr="00EE7BB4">
        <w:t>–</w:t>
      </w:r>
      <w:r w:rsidR="00453612" w:rsidRPr="00EE7BB4">
        <w:t> </w:t>
      </w:r>
      <w:r w:rsidR="00BB4F9A" w:rsidRPr="00EE7BB4">
        <w:t>Herramienta en línea utilizada por los expertos para clasificar las normas en sus respectivos dominios</w:t>
      </w:r>
      <w:r w:rsidR="00453612" w:rsidRPr="00EE7BB4">
        <w:t>.</w:t>
      </w:r>
      <w:bookmarkEnd w:id="60"/>
    </w:p>
    <w:p w14:paraId="5F9BD909" w14:textId="208AC35F" w:rsidR="008D0F55" w:rsidRPr="00EE7BB4" w:rsidRDefault="00E25998" w:rsidP="0081289B">
      <w:pPr>
        <w:keepNext/>
        <w:keepLines/>
      </w:pPr>
      <w:r w:rsidRPr="00EE7BB4">
        <w:lastRenderedPageBreak/>
        <w:t>2.3</w:t>
      </w:r>
      <w:r w:rsidR="00453612" w:rsidRPr="00EE7BB4">
        <w:tab/>
      </w:r>
      <w:bookmarkStart w:id="61" w:name="lt_pId081"/>
      <w:r w:rsidR="00BB4F9A" w:rsidRPr="00EE7BB4">
        <w:t xml:space="preserve">Las aplicaciones de la TSB </w:t>
      </w:r>
      <w:r w:rsidR="00276314" w:rsidRPr="00EE7BB4">
        <w:t xml:space="preserve">han </w:t>
      </w:r>
      <w:r w:rsidR="00BB4F9A" w:rsidRPr="00EE7BB4">
        <w:t>desempeña</w:t>
      </w:r>
      <w:r w:rsidR="00276314" w:rsidRPr="00EE7BB4">
        <w:t>do</w:t>
      </w:r>
      <w:r w:rsidR="00BB4F9A" w:rsidRPr="00EE7BB4">
        <w:t xml:space="preserve"> un papel importante en el acceso a los </w:t>
      </w:r>
      <w:r w:rsidR="00276314" w:rsidRPr="00EE7BB4">
        <w:t xml:space="preserve">documentos, los </w:t>
      </w:r>
      <w:r w:rsidR="00BB4F9A" w:rsidRPr="00EE7BB4">
        <w:t xml:space="preserve">servicios y la organización de eventos. </w:t>
      </w:r>
      <w:r w:rsidR="00144743" w:rsidRPr="00EE7BB4">
        <w:t xml:space="preserve">Las herramientas de participación a distancia de la </w:t>
      </w:r>
      <w:r w:rsidR="00453612" w:rsidRPr="00EE7BB4">
        <w:t xml:space="preserve">TSB </w:t>
      </w:r>
      <w:r w:rsidR="00276314" w:rsidRPr="00EE7BB4">
        <w:t>ofrecen una oportunidad para</w:t>
      </w:r>
      <w:r w:rsidR="00144743" w:rsidRPr="00EE7BB4">
        <w:t xml:space="preserve"> un aumento </w:t>
      </w:r>
      <w:r w:rsidR="00276314" w:rsidRPr="00EE7BB4">
        <w:t>del acceso a</w:t>
      </w:r>
      <w:r w:rsidR="00144743" w:rsidRPr="00EE7BB4">
        <w:t xml:space="preserve"> reuniones y eventos. En general, el número </w:t>
      </w:r>
      <w:r w:rsidR="00276314" w:rsidRPr="00EE7BB4">
        <w:t xml:space="preserve">total </w:t>
      </w:r>
      <w:r w:rsidR="00144743" w:rsidRPr="00EE7BB4">
        <w:t xml:space="preserve">de reuniones organizadas prácticamente </w:t>
      </w:r>
      <w:r w:rsidR="00276314" w:rsidRPr="00EE7BB4">
        <w:t xml:space="preserve">(tanto estatutarias como no estatutarias) utilizando herramientas de participación a distancia y el número de asistentes (personas que participaron en sesiones de reunión) se incrementaron considerablemente entre 2017 y 2020. </w:t>
      </w:r>
      <w:bookmarkStart w:id="62" w:name="lt_pId083"/>
      <w:bookmarkEnd w:id="61"/>
      <w:r w:rsidR="00276314" w:rsidRPr="00EE7BB4">
        <w:t>En</w:t>
      </w:r>
      <w:r w:rsidR="008D0F55" w:rsidRPr="00EE7BB4">
        <w:t xml:space="preserve"> 2019, </w:t>
      </w:r>
      <w:r w:rsidR="00276314" w:rsidRPr="00EE7BB4">
        <w:t xml:space="preserve">la </w:t>
      </w:r>
      <w:r w:rsidR="008D0F55" w:rsidRPr="00EE7BB4">
        <w:t>TSB organiz</w:t>
      </w:r>
      <w:r w:rsidR="00276314" w:rsidRPr="00EE7BB4">
        <w:t>ó</w:t>
      </w:r>
      <w:r w:rsidR="008D0F55" w:rsidRPr="00EE7BB4">
        <w:t xml:space="preserve"> 1</w:t>
      </w:r>
      <w:r w:rsidR="0081289B" w:rsidRPr="00EE7BB4">
        <w:t> </w:t>
      </w:r>
      <w:r w:rsidR="008D0F55" w:rsidRPr="00EE7BB4">
        <w:t xml:space="preserve">878 </w:t>
      </w:r>
      <w:r w:rsidR="00276314" w:rsidRPr="00EE7BB4">
        <w:t>reuniones con un total de</w:t>
      </w:r>
      <w:r w:rsidR="008D0F55" w:rsidRPr="00EE7BB4">
        <w:t xml:space="preserve"> 10</w:t>
      </w:r>
      <w:r w:rsidR="0081289B" w:rsidRPr="00EE7BB4">
        <w:t> </w:t>
      </w:r>
      <w:r w:rsidR="008D0F55" w:rsidRPr="00EE7BB4">
        <w:t xml:space="preserve">798 </w:t>
      </w:r>
      <w:r w:rsidR="00276314" w:rsidRPr="00EE7BB4">
        <w:t>asistentes</w:t>
      </w:r>
      <w:r w:rsidR="008D0F55" w:rsidRPr="00EE7BB4">
        <w:t xml:space="preserve">. </w:t>
      </w:r>
      <w:r w:rsidR="00276314" w:rsidRPr="00EE7BB4">
        <w:t>Entre enero y agosto de</w:t>
      </w:r>
      <w:r w:rsidR="008D0F55" w:rsidRPr="00EE7BB4">
        <w:t xml:space="preserve"> 2020, </w:t>
      </w:r>
      <w:r w:rsidR="00276314" w:rsidRPr="00EE7BB4">
        <w:t xml:space="preserve">se celebraron </w:t>
      </w:r>
      <w:r w:rsidR="008D0F55" w:rsidRPr="00EE7BB4">
        <w:t>2</w:t>
      </w:r>
      <w:r w:rsidR="0081289B" w:rsidRPr="00EE7BB4">
        <w:t> </w:t>
      </w:r>
      <w:r w:rsidR="008D0F55" w:rsidRPr="00EE7BB4">
        <w:t xml:space="preserve">958 </w:t>
      </w:r>
      <w:r w:rsidR="00276314" w:rsidRPr="00EE7BB4">
        <w:t xml:space="preserve">reuniones con </w:t>
      </w:r>
      <w:r w:rsidR="008D0F55" w:rsidRPr="00EE7BB4">
        <w:t>48</w:t>
      </w:r>
      <w:r w:rsidR="0081289B" w:rsidRPr="00EE7BB4">
        <w:t> </w:t>
      </w:r>
      <w:r w:rsidR="008D0F55" w:rsidRPr="00EE7BB4">
        <w:t xml:space="preserve">309 </w:t>
      </w:r>
      <w:r w:rsidR="00276314" w:rsidRPr="00EE7BB4">
        <w:t>asistentes</w:t>
      </w:r>
      <w:r w:rsidR="008D0F55" w:rsidRPr="00EE7BB4">
        <w:t xml:space="preserve"> (</w:t>
      </w:r>
      <w:r w:rsidR="00276314" w:rsidRPr="00EE7BB4">
        <w:t>véase el Cuadro</w:t>
      </w:r>
      <w:r w:rsidR="0081289B" w:rsidRPr="00EE7BB4">
        <w:t> </w:t>
      </w:r>
      <w:r w:rsidR="008D0F55" w:rsidRPr="00EE7BB4">
        <w:t>3)</w:t>
      </w:r>
      <w:r w:rsidR="00453612" w:rsidRPr="00EE7BB4">
        <w:t>.</w:t>
      </w:r>
      <w:bookmarkStart w:id="63" w:name="lt_pId084"/>
      <w:bookmarkEnd w:id="62"/>
    </w:p>
    <w:p w14:paraId="19AD17F7" w14:textId="1872AC46" w:rsidR="00453612" w:rsidRPr="00EE7BB4" w:rsidRDefault="008D0F55" w:rsidP="00F1403D">
      <w:r w:rsidRPr="00EE7BB4">
        <w:t>2.4</w:t>
      </w:r>
      <w:r w:rsidRPr="00EE7BB4">
        <w:tab/>
      </w:r>
      <w:r w:rsidR="00144743" w:rsidRPr="00EE7BB4">
        <w:t xml:space="preserve">También se ha constatado un importante aumento del número de usuarios de </w:t>
      </w:r>
      <w:proofErr w:type="spellStart"/>
      <w:r w:rsidR="00453612" w:rsidRPr="00EE7BB4">
        <w:t>MyWorkspace</w:t>
      </w:r>
      <w:proofErr w:type="spellEnd"/>
      <w:r w:rsidR="00144743" w:rsidRPr="00EE7BB4">
        <w:t>, pasando de</w:t>
      </w:r>
      <w:r w:rsidR="00453612" w:rsidRPr="00EE7BB4">
        <w:t xml:space="preserve"> 100 us</w:t>
      </w:r>
      <w:r w:rsidR="00144743" w:rsidRPr="00EE7BB4">
        <w:t>uarios en enero de</w:t>
      </w:r>
      <w:r w:rsidR="00453612" w:rsidRPr="00EE7BB4">
        <w:t xml:space="preserve"> 2018 </w:t>
      </w:r>
      <w:r w:rsidR="00144743" w:rsidRPr="00EE7BB4">
        <w:t>a casi</w:t>
      </w:r>
      <w:r w:rsidR="00453612" w:rsidRPr="00EE7BB4">
        <w:t xml:space="preserve"> </w:t>
      </w:r>
      <w:r w:rsidRPr="00EE7BB4">
        <w:t>4 000</w:t>
      </w:r>
      <w:r w:rsidR="00453612" w:rsidRPr="00EE7BB4">
        <w:t xml:space="preserve"> </w:t>
      </w:r>
      <w:r w:rsidR="00144743" w:rsidRPr="00EE7BB4">
        <w:t>e</w:t>
      </w:r>
      <w:r w:rsidR="00453612" w:rsidRPr="00EE7BB4">
        <w:t xml:space="preserve">n </w:t>
      </w:r>
      <w:r w:rsidRPr="00EE7BB4">
        <w:t>septiembre</w:t>
      </w:r>
      <w:r w:rsidR="00144743" w:rsidRPr="00EE7BB4">
        <w:t xml:space="preserve"> de</w:t>
      </w:r>
      <w:r w:rsidR="00453612" w:rsidRPr="00EE7BB4">
        <w:t xml:space="preserve"> 2020, </w:t>
      </w:r>
      <w:r w:rsidR="00144743" w:rsidRPr="00EE7BB4">
        <w:t xml:space="preserve">y se prevé que haya aún más usuarios al final de </w:t>
      </w:r>
      <w:r w:rsidRPr="00EE7BB4">
        <w:t>2020</w:t>
      </w:r>
      <w:r w:rsidR="00144743" w:rsidRPr="00EE7BB4">
        <w:t xml:space="preserve">. A otras herramientas de la TSB, como </w:t>
      </w:r>
      <w:r w:rsidR="00DD5362" w:rsidRPr="00EE7BB4">
        <w:t xml:space="preserve">ITU </w:t>
      </w:r>
      <w:proofErr w:type="spellStart"/>
      <w:r w:rsidR="00DD5362" w:rsidRPr="00EE7BB4">
        <w:t>Translate</w:t>
      </w:r>
      <w:proofErr w:type="spellEnd"/>
      <w:r w:rsidR="00144743" w:rsidRPr="00EE7BB4">
        <w:t>, se debe el aumento de participantes en eventos como las sesiones de formación sobre el cierre de la brech</w:t>
      </w:r>
      <w:r w:rsidR="005E22CA" w:rsidRPr="00EE7BB4">
        <w:t>a</w:t>
      </w:r>
      <w:r w:rsidR="00144743" w:rsidRPr="00EE7BB4">
        <w:t xml:space="preserve"> de normalización (</w:t>
      </w:r>
      <w:bookmarkStart w:id="64" w:name="lt_pId085"/>
      <w:bookmarkEnd w:id="63"/>
      <w:r w:rsidR="00144743" w:rsidRPr="00EE7BB4">
        <w:t xml:space="preserve">de </w:t>
      </w:r>
      <w:r w:rsidR="00453612" w:rsidRPr="00EE7BB4">
        <w:t>113 participant</w:t>
      </w:r>
      <w:r w:rsidR="00144743" w:rsidRPr="00EE7BB4">
        <w:t>e</w:t>
      </w:r>
      <w:r w:rsidR="00453612" w:rsidRPr="00EE7BB4">
        <w:t xml:space="preserve">s </w:t>
      </w:r>
      <w:r w:rsidR="00144743" w:rsidRPr="00EE7BB4">
        <w:t>e</w:t>
      </w:r>
      <w:r w:rsidR="00453612" w:rsidRPr="00EE7BB4">
        <w:t xml:space="preserve">n 2017 </w:t>
      </w:r>
      <w:r w:rsidR="00144743" w:rsidRPr="00EE7BB4">
        <w:t>a</w:t>
      </w:r>
      <w:r w:rsidR="00453612" w:rsidRPr="00EE7BB4">
        <w:t xml:space="preserve"> 348 participant</w:t>
      </w:r>
      <w:r w:rsidR="00144743" w:rsidRPr="00EE7BB4">
        <w:t>e</w:t>
      </w:r>
      <w:r w:rsidR="00453612" w:rsidRPr="00EE7BB4">
        <w:t>s</w:t>
      </w:r>
      <w:r w:rsidR="00144743" w:rsidRPr="00EE7BB4">
        <w:t xml:space="preserve"> e</w:t>
      </w:r>
      <w:r w:rsidR="00453612" w:rsidRPr="00EE7BB4">
        <w:t>n</w:t>
      </w:r>
      <w:r w:rsidR="002F6252" w:rsidRPr="00EE7BB4">
        <w:t xml:space="preserve"> </w:t>
      </w:r>
      <w:r w:rsidR="00453612" w:rsidRPr="00EE7BB4">
        <w:t>2019).</w:t>
      </w:r>
      <w:bookmarkEnd w:id="64"/>
    </w:p>
    <w:p w14:paraId="207D314E" w14:textId="15514E28" w:rsidR="00453612" w:rsidRPr="00EE7BB4" w:rsidRDefault="008D0F55" w:rsidP="00730134">
      <w:bookmarkStart w:id="65" w:name="lt_pId086"/>
      <w:r w:rsidRPr="00EE7BB4">
        <w:t>2.5</w:t>
      </w:r>
      <w:r w:rsidRPr="00EE7BB4">
        <w:tab/>
      </w:r>
      <w:r w:rsidR="00144743" w:rsidRPr="00EE7BB4">
        <w:t xml:space="preserve">La herramienta de participación a distancia de la </w:t>
      </w:r>
      <w:r w:rsidR="00453612" w:rsidRPr="00EE7BB4">
        <w:t xml:space="preserve">TSB </w:t>
      </w:r>
      <w:proofErr w:type="spellStart"/>
      <w:r w:rsidR="00DC670A" w:rsidRPr="00EE7BB4">
        <w:t>MyMeetings</w:t>
      </w:r>
      <w:proofErr w:type="spellEnd"/>
      <w:r w:rsidR="00453612" w:rsidRPr="00EE7BB4">
        <w:t xml:space="preserve"> </w:t>
      </w:r>
      <w:r w:rsidR="00144743" w:rsidRPr="00EE7BB4">
        <w:t>ya es conforme con</w:t>
      </w:r>
      <w:r w:rsidR="00453612" w:rsidRPr="00EE7BB4">
        <w:t xml:space="preserve"> </w:t>
      </w:r>
      <w:r w:rsidR="00970DC0" w:rsidRPr="00EE7BB4">
        <w:t>"</w:t>
      </w:r>
      <w:r w:rsidR="00453612" w:rsidRPr="00EE7BB4">
        <w:t>WCAG 2.0 AA</w:t>
      </w:r>
      <w:r w:rsidR="00970DC0" w:rsidRPr="00EE7BB4">
        <w:t>"</w:t>
      </w:r>
      <w:r w:rsidR="00453612" w:rsidRPr="00EE7BB4">
        <w:t xml:space="preserve"> (</w:t>
      </w:r>
      <w:r w:rsidR="00453612" w:rsidRPr="00EE7BB4">
        <w:rPr>
          <w:i/>
          <w:iCs/>
        </w:rPr>
        <w:t xml:space="preserve">Web Content </w:t>
      </w:r>
      <w:proofErr w:type="spellStart"/>
      <w:r w:rsidR="00453612" w:rsidRPr="00EE7BB4">
        <w:rPr>
          <w:i/>
          <w:iCs/>
        </w:rPr>
        <w:t>Accessibility</w:t>
      </w:r>
      <w:proofErr w:type="spellEnd"/>
      <w:r w:rsidR="00453612" w:rsidRPr="00EE7BB4">
        <w:rPr>
          <w:i/>
          <w:iCs/>
        </w:rPr>
        <w:t xml:space="preserve"> </w:t>
      </w:r>
      <w:proofErr w:type="spellStart"/>
      <w:r w:rsidR="00453612" w:rsidRPr="00EE7BB4">
        <w:rPr>
          <w:i/>
          <w:iCs/>
        </w:rPr>
        <w:t>Guidelines</w:t>
      </w:r>
      <w:proofErr w:type="spellEnd"/>
      <w:r w:rsidR="00453612" w:rsidRPr="00EE7BB4">
        <w:rPr>
          <w:i/>
          <w:iCs/>
        </w:rPr>
        <w:t xml:space="preserve"> 2.0 AA</w:t>
      </w:r>
      <w:r w:rsidR="00453612" w:rsidRPr="00EE7BB4">
        <w:t>)</w:t>
      </w:r>
      <w:r w:rsidR="00DC670A" w:rsidRPr="00EE7BB4">
        <w:t xml:space="preserve"> para responder a las necesidades de los participantes con discapacidad</w:t>
      </w:r>
      <w:r w:rsidR="00453612" w:rsidRPr="00EE7BB4">
        <w:t>.</w:t>
      </w:r>
      <w:bookmarkEnd w:id="65"/>
      <w:r w:rsidR="00453612" w:rsidRPr="00EE7BB4">
        <w:t xml:space="preserve"> </w:t>
      </w:r>
      <w:bookmarkStart w:id="66" w:name="lt_pId087"/>
      <w:r w:rsidR="00DE145F" w:rsidRPr="00EE7BB4">
        <w:t>Se están mejorando otras aplicaciones y plataformas como</w:t>
      </w:r>
      <w:r w:rsidR="00453612" w:rsidRPr="00EE7BB4">
        <w:t xml:space="preserve"> </w:t>
      </w:r>
      <w:proofErr w:type="spellStart"/>
      <w:r w:rsidR="00453612" w:rsidRPr="00EE7BB4">
        <w:t>MyWorkSpace</w:t>
      </w:r>
      <w:proofErr w:type="spellEnd"/>
      <w:r w:rsidR="00453612" w:rsidRPr="00EE7BB4">
        <w:t xml:space="preserve">, </w:t>
      </w:r>
      <w:proofErr w:type="spellStart"/>
      <w:r w:rsidR="00DC670A" w:rsidRPr="00EE7BB4">
        <w:t>ITU</w:t>
      </w:r>
      <w:r w:rsidR="00453612" w:rsidRPr="00EE7BB4">
        <w:t>Search</w:t>
      </w:r>
      <w:proofErr w:type="spellEnd"/>
      <w:r w:rsidR="00453612" w:rsidRPr="00EE7BB4">
        <w:t xml:space="preserve">, ITU </w:t>
      </w:r>
      <w:proofErr w:type="spellStart"/>
      <w:r w:rsidR="00453612" w:rsidRPr="00EE7BB4">
        <w:t>Translate</w:t>
      </w:r>
      <w:proofErr w:type="spellEnd"/>
      <w:r w:rsidR="00453612" w:rsidRPr="00EE7BB4">
        <w:t xml:space="preserve">, ITU-T </w:t>
      </w:r>
      <w:proofErr w:type="spellStart"/>
      <w:r w:rsidR="00453612" w:rsidRPr="00EE7BB4">
        <w:t>Landscape</w:t>
      </w:r>
      <w:proofErr w:type="spellEnd"/>
      <w:r w:rsidR="00453612" w:rsidRPr="00EE7BB4">
        <w:t xml:space="preserve"> </w:t>
      </w:r>
      <w:r w:rsidR="00DE145F" w:rsidRPr="00EE7BB4">
        <w:t>y</w:t>
      </w:r>
      <w:r w:rsidR="00453612" w:rsidRPr="00EE7BB4">
        <w:t xml:space="preserve"> </w:t>
      </w:r>
      <w:r w:rsidR="00DE145F" w:rsidRPr="00EE7BB4">
        <w:t xml:space="preserve">los sitios web del UIT-T </w:t>
      </w:r>
      <w:r w:rsidR="00DC670A" w:rsidRPr="00EE7BB4">
        <w:t>para hacer que sean conformes con</w:t>
      </w:r>
      <w:r w:rsidR="00453612" w:rsidRPr="00EE7BB4">
        <w:t xml:space="preserve"> WCAG 2.0 AA.</w:t>
      </w:r>
      <w:bookmarkEnd w:id="66"/>
    </w:p>
    <w:p w14:paraId="214E2374" w14:textId="77777777" w:rsidR="00730134" w:rsidRPr="00EE7BB4" w:rsidRDefault="00730134" w:rsidP="00730134">
      <w:pPr>
        <w:pStyle w:val="Figure"/>
      </w:pPr>
      <w:r w:rsidRPr="00EE7BB4">
        <w:rPr>
          <w:rFonts w:asciiTheme="minorHAnsi" w:hAnsiTheme="minorHAnsi" w:cstheme="minorHAnsi"/>
          <w:noProof/>
          <w:color w:val="00B050"/>
          <w:szCs w:val="24"/>
        </w:rPr>
        <mc:AlternateContent>
          <mc:Choice Requires="wps">
            <w:drawing>
              <wp:anchor distT="0" distB="0" distL="114300" distR="114300" simplePos="0" relativeHeight="251667456" behindDoc="0" locked="0" layoutInCell="1" allowOverlap="1" wp14:anchorId="4DB2E4A1" wp14:editId="62F9E19F">
                <wp:simplePos x="0" y="0"/>
                <wp:positionH relativeFrom="column">
                  <wp:posOffset>4559575</wp:posOffset>
                </wp:positionH>
                <wp:positionV relativeFrom="paragraph">
                  <wp:posOffset>251267</wp:posOffset>
                </wp:positionV>
                <wp:extent cx="946205" cy="228600"/>
                <wp:effectExtent l="0" t="0" r="6350" b="0"/>
                <wp:wrapNone/>
                <wp:docPr id="18" name="Text Box 18"/>
                <wp:cNvGraphicFramePr/>
                <a:graphic xmlns:a="http://schemas.openxmlformats.org/drawingml/2006/main">
                  <a:graphicData uri="http://schemas.microsoft.com/office/word/2010/wordprocessingShape">
                    <wps:wsp>
                      <wps:cNvSpPr txBox="1"/>
                      <wps:spPr>
                        <a:xfrm>
                          <a:off x="0" y="0"/>
                          <a:ext cx="946205" cy="228600"/>
                        </a:xfrm>
                        <a:prstGeom prst="rect">
                          <a:avLst/>
                        </a:prstGeom>
                        <a:solidFill>
                          <a:sysClr val="window" lastClr="FFFFFF"/>
                        </a:solidFill>
                        <a:ln w="6350">
                          <a:noFill/>
                        </a:ln>
                      </wps:spPr>
                      <wps:txbx>
                        <w:txbxContent>
                          <w:p w14:paraId="562C66B9" w14:textId="77777777" w:rsidR="00730134" w:rsidRPr="008A6E75" w:rsidRDefault="00730134" w:rsidP="00730134">
                            <w:pPr>
                              <w:spacing w:before="0"/>
                              <w:rPr>
                                <w:b/>
                                <w:bCs/>
                                <w:szCs w:val="24"/>
                                <w:lang w:val="fr-CH"/>
                              </w:rPr>
                            </w:pPr>
                            <w:r w:rsidRPr="008A6E75">
                              <w:rPr>
                                <w:b/>
                                <w:bCs/>
                                <w:szCs w:val="24"/>
                                <w:lang w:val="fr-CH"/>
                              </w:rPr>
                              <w:t>2020 (</w:t>
                            </w:r>
                            <w:proofErr w:type="spellStart"/>
                            <w:r w:rsidRPr="004B77EA">
                              <w:rPr>
                                <w:b/>
                                <w:bCs/>
                                <w:szCs w:val="24"/>
                                <w:lang w:val="fr-CH"/>
                              </w:rPr>
                              <w:t>agosto</w:t>
                            </w:r>
                            <w:proofErr w:type="spellEnd"/>
                            <w:r w:rsidRPr="008A6E75">
                              <w:rPr>
                                <w:b/>
                                <w:bCs/>
                                <w:szCs w:val="24"/>
                                <w:lang w:val="fr-CH"/>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B2E4A1" id="_x0000_t202" coordsize="21600,21600" o:spt="202" path="m,l,21600r21600,l21600,xe">
                <v:stroke joinstyle="miter"/>
                <v:path gradientshapeok="t" o:connecttype="rect"/>
              </v:shapetype>
              <v:shape id="Text Box 18" o:spid="_x0000_s1026" type="#_x0000_t202" style="position:absolute;left:0;text-align:left;margin-left:359pt;margin-top:19.8pt;width:74.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" fillcolor="window" stroked="f" strokeweight=".5pt">
                <v:textbox inset="0,0,0,0">
                  <w:txbxContent>
                    <w:p w14:paraId="562C66B9" w14:textId="77777777" w:rsidR="00730134" w:rsidRPr="008A6E75" w:rsidRDefault="00730134" w:rsidP="00730134">
                      <w:pPr>
                        <w:spacing w:before="0"/>
                        <w:rPr>
                          <w:b/>
                          <w:bCs/>
                          <w:szCs w:val="24"/>
                          <w:lang w:val="fr-CH"/>
                        </w:rPr>
                      </w:pPr>
                      <w:r w:rsidRPr="008A6E75">
                        <w:rPr>
                          <w:b/>
                          <w:bCs/>
                          <w:szCs w:val="24"/>
                          <w:lang w:val="fr-CH"/>
                        </w:rPr>
                        <w:t>2020 (</w:t>
                      </w:r>
                      <w:proofErr w:type="spellStart"/>
                      <w:r w:rsidRPr="004B77EA">
                        <w:rPr>
                          <w:b/>
                          <w:bCs/>
                          <w:szCs w:val="24"/>
                          <w:lang w:val="fr-CH"/>
                        </w:rPr>
                        <w:t>agosto</w:t>
                      </w:r>
                      <w:proofErr w:type="spellEnd"/>
                      <w:r w:rsidRPr="008A6E75">
                        <w:rPr>
                          <w:b/>
                          <w:bCs/>
                          <w:szCs w:val="24"/>
                          <w:lang w:val="fr-CH"/>
                        </w:rPr>
                        <w:t>)</w:t>
                      </w:r>
                    </w:p>
                  </w:txbxContent>
                </v:textbox>
              </v:shape>
            </w:pict>
          </mc:Fallback>
        </mc:AlternateContent>
      </w:r>
      <w:r w:rsidRPr="00EE7BB4">
        <w:rPr>
          <w:rFonts w:asciiTheme="minorHAnsi" w:hAnsiTheme="minorHAnsi" w:cstheme="minorHAnsi"/>
          <w:noProof/>
          <w:color w:val="00B050"/>
          <w:szCs w:val="24"/>
        </w:rPr>
        <mc:AlternateContent>
          <mc:Choice Requires="wps">
            <w:drawing>
              <wp:anchor distT="0" distB="0" distL="114300" distR="114300" simplePos="0" relativeHeight="251669504" behindDoc="0" locked="0" layoutInCell="1" allowOverlap="1" wp14:anchorId="27516CED" wp14:editId="79CC839B">
                <wp:simplePos x="0" y="0"/>
                <wp:positionH relativeFrom="column">
                  <wp:posOffset>104775</wp:posOffset>
                </wp:positionH>
                <wp:positionV relativeFrom="paragraph">
                  <wp:posOffset>1231900</wp:posOffset>
                </wp:positionV>
                <wp:extent cx="825500" cy="4191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825500" cy="419100"/>
                        </a:xfrm>
                        <a:prstGeom prst="rect">
                          <a:avLst/>
                        </a:prstGeom>
                        <a:solidFill>
                          <a:sysClr val="window" lastClr="FFFFFF"/>
                        </a:solidFill>
                        <a:ln w="6350">
                          <a:noFill/>
                        </a:ln>
                      </wps:spPr>
                      <wps:txbx>
                        <w:txbxContent>
                          <w:p w14:paraId="006D9E34" w14:textId="77777777" w:rsidR="00730134" w:rsidRPr="008A6E75" w:rsidRDefault="00730134" w:rsidP="00730134">
                            <w:pPr>
                              <w:spacing w:before="0"/>
                              <w:rPr>
                                <w:b/>
                                <w:bCs/>
                                <w:szCs w:val="24"/>
                                <w:lang w:val="fr-CH"/>
                              </w:rPr>
                            </w:pPr>
                            <w:proofErr w:type="spellStart"/>
                            <w:r w:rsidRPr="004B77EA">
                              <w:rPr>
                                <w:b/>
                                <w:bCs/>
                                <w:color w:val="FF0000"/>
                                <w:szCs w:val="24"/>
                                <w:lang w:val="fr-CH"/>
                              </w:rPr>
                              <w:t>Número</w:t>
                            </w:r>
                            <w:proofErr w:type="spellEnd"/>
                            <w:r w:rsidRPr="004B77EA">
                              <w:rPr>
                                <w:b/>
                                <w:bCs/>
                                <w:color w:val="FF0000"/>
                                <w:szCs w:val="24"/>
                                <w:lang w:val="fr-CH"/>
                              </w:rPr>
                              <w:t xml:space="preserve"> de </w:t>
                            </w:r>
                            <w:proofErr w:type="spellStart"/>
                            <w:r w:rsidRPr="004B77EA">
                              <w:rPr>
                                <w:b/>
                                <w:bCs/>
                                <w:color w:val="FF0000"/>
                                <w:szCs w:val="24"/>
                                <w:lang w:val="fr-CH"/>
                              </w:rPr>
                              <w:t>asistentes</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516CED" id="Text Box 20" o:spid="_x0000_s1027" type="#_x0000_t202" style="position:absolute;left:0;text-align:left;margin-left:8.25pt;margin-top:97pt;width:65pt;height: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" fillcolor="window" stroked="f" strokeweight=".5pt">
                <v:textbox inset="0,0,0,0">
                  <w:txbxContent>
                    <w:p w14:paraId="006D9E34" w14:textId="77777777" w:rsidR="00730134" w:rsidRPr="008A6E75" w:rsidRDefault="00730134" w:rsidP="00730134">
                      <w:pPr>
                        <w:spacing w:before="0"/>
                        <w:rPr>
                          <w:b/>
                          <w:bCs/>
                          <w:szCs w:val="24"/>
                          <w:lang w:val="fr-CH"/>
                        </w:rPr>
                      </w:pPr>
                      <w:proofErr w:type="spellStart"/>
                      <w:r w:rsidRPr="004B77EA">
                        <w:rPr>
                          <w:b/>
                          <w:bCs/>
                          <w:color w:val="FF0000"/>
                          <w:szCs w:val="24"/>
                          <w:lang w:val="fr-CH"/>
                        </w:rPr>
                        <w:t>Número</w:t>
                      </w:r>
                      <w:proofErr w:type="spellEnd"/>
                      <w:r w:rsidRPr="004B77EA">
                        <w:rPr>
                          <w:b/>
                          <w:bCs/>
                          <w:color w:val="FF0000"/>
                          <w:szCs w:val="24"/>
                          <w:lang w:val="fr-CH"/>
                        </w:rPr>
                        <w:t xml:space="preserve"> de </w:t>
                      </w:r>
                      <w:proofErr w:type="spellStart"/>
                      <w:r w:rsidRPr="004B77EA">
                        <w:rPr>
                          <w:b/>
                          <w:bCs/>
                          <w:color w:val="FF0000"/>
                          <w:szCs w:val="24"/>
                          <w:lang w:val="fr-CH"/>
                        </w:rPr>
                        <w:t>asistentes</w:t>
                      </w:r>
                      <w:proofErr w:type="spellEnd"/>
                    </w:p>
                  </w:txbxContent>
                </v:textbox>
              </v:shape>
            </w:pict>
          </mc:Fallback>
        </mc:AlternateContent>
      </w:r>
      <w:r w:rsidRPr="00EE7BB4">
        <w:rPr>
          <w:rFonts w:asciiTheme="minorHAnsi" w:hAnsiTheme="minorHAnsi" w:cstheme="minorHAnsi"/>
          <w:noProof/>
          <w:color w:val="00B050"/>
          <w:szCs w:val="24"/>
        </w:rPr>
        <mc:AlternateContent>
          <mc:Choice Requires="wps">
            <w:drawing>
              <wp:anchor distT="0" distB="0" distL="114300" distR="114300" simplePos="0" relativeHeight="251668480" behindDoc="0" locked="0" layoutInCell="1" allowOverlap="1" wp14:anchorId="35E1C466" wp14:editId="313856E5">
                <wp:simplePos x="0" y="0"/>
                <wp:positionH relativeFrom="column">
                  <wp:posOffset>121285</wp:posOffset>
                </wp:positionH>
                <wp:positionV relativeFrom="paragraph">
                  <wp:posOffset>671830</wp:posOffset>
                </wp:positionV>
                <wp:extent cx="825500" cy="419100"/>
                <wp:effectExtent l="0" t="0" r="12700" b="0"/>
                <wp:wrapNone/>
                <wp:docPr id="19" name="Text Box 19"/>
                <wp:cNvGraphicFramePr/>
                <a:graphic xmlns:a="http://schemas.openxmlformats.org/drawingml/2006/main">
                  <a:graphicData uri="http://schemas.microsoft.com/office/word/2010/wordprocessingShape">
                    <wps:wsp>
                      <wps:cNvSpPr txBox="1"/>
                      <wps:spPr>
                        <a:xfrm>
                          <a:off x="0" y="0"/>
                          <a:ext cx="825500" cy="419100"/>
                        </a:xfrm>
                        <a:prstGeom prst="rect">
                          <a:avLst/>
                        </a:prstGeom>
                        <a:noFill/>
                        <a:ln w="6350">
                          <a:noFill/>
                        </a:ln>
                      </wps:spPr>
                      <wps:txbx>
                        <w:txbxContent>
                          <w:p w14:paraId="085ADFF3" w14:textId="77777777" w:rsidR="00730134" w:rsidRPr="008A6E75" w:rsidRDefault="00730134" w:rsidP="00730134">
                            <w:pPr>
                              <w:shd w:val="clear" w:color="auto" w:fill="DBE5F1" w:themeFill="accent1" w:themeFillTint="33"/>
                              <w:spacing w:before="0"/>
                              <w:rPr>
                                <w:b/>
                                <w:bCs/>
                                <w:szCs w:val="24"/>
                                <w:lang w:val="fr-CH"/>
                              </w:rPr>
                            </w:pPr>
                            <w:proofErr w:type="spellStart"/>
                            <w:r w:rsidRPr="004B77EA">
                              <w:rPr>
                                <w:b/>
                                <w:bCs/>
                                <w:szCs w:val="24"/>
                                <w:lang w:val="fr-CH"/>
                              </w:rPr>
                              <w:t>Número</w:t>
                            </w:r>
                            <w:proofErr w:type="spellEnd"/>
                            <w:r w:rsidRPr="004B77EA">
                              <w:rPr>
                                <w:b/>
                                <w:bCs/>
                                <w:szCs w:val="24"/>
                                <w:lang w:val="fr-CH"/>
                              </w:rPr>
                              <w:t xml:space="preserve"> de </w:t>
                            </w:r>
                            <w:proofErr w:type="spellStart"/>
                            <w:r w:rsidRPr="004B77EA">
                              <w:rPr>
                                <w:b/>
                                <w:bCs/>
                                <w:szCs w:val="24"/>
                                <w:lang w:val="fr-CH"/>
                              </w:rPr>
                              <w:t>reuniones</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1C466" id="Text Box 19" o:spid="_x0000_s1028" type="#_x0000_t202" style="position:absolute;left:0;text-align:left;margin-left:9.55pt;margin-top:52.9pt;width:65pt;height: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" filled="f" stroked="f" strokeweight=".5pt">
                <v:textbox inset="0,0,0,0">
                  <w:txbxContent>
                    <w:p w14:paraId="085ADFF3" w14:textId="77777777" w:rsidR="00730134" w:rsidRPr="008A6E75" w:rsidRDefault="00730134" w:rsidP="00730134">
                      <w:pPr>
                        <w:shd w:val="clear" w:color="auto" w:fill="DBE5F1" w:themeFill="accent1" w:themeFillTint="33"/>
                        <w:spacing w:before="0"/>
                        <w:rPr>
                          <w:b/>
                          <w:bCs/>
                          <w:szCs w:val="24"/>
                          <w:lang w:val="fr-CH"/>
                        </w:rPr>
                      </w:pPr>
                      <w:proofErr w:type="spellStart"/>
                      <w:r w:rsidRPr="004B77EA">
                        <w:rPr>
                          <w:b/>
                          <w:bCs/>
                          <w:szCs w:val="24"/>
                          <w:lang w:val="fr-CH"/>
                        </w:rPr>
                        <w:t>Número</w:t>
                      </w:r>
                      <w:proofErr w:type="spellEnd"/>
                      <w:r w:rsidRPr="004B77EA">
                        <w:rPr>
                          <w:b/>
                          <w:bCs/>
                          <w:szCs w:val="24"/>
                          <w:lang w:val="fr-CH"/>
                        </w:rPr>
                        <w:t xml:space="preserve"> de </w:t>
                      </w:r>
                      <w:proofErr w:type="spellStart"/>
                      <w:r w:rsidRPr="004B77EA">
                        <w:rPr>
                          <w:b/>
                          <w:bCs/>
                          <w:szCs w:val="24"/>
                          <w:lang w:val="fr-CH"/>
                        </w:rPr>
                        <w:t>reuniones</w:t>
                      </w:r>
                      <w:proofErr w:type="spellEnd"/>
                    </w:p>
                  </w:txbxContent>
                </v:textbox>
              </v:shape>
            </w:pict>
          </mc:Fallback>
        </mc:AlternateContent>
      </w:r>
      <w:r w:rsidRPr="00EE7BB4">
        <w:rPr>
          <w:noProof/>
        </w:rPr>
        <w:drawing>
          <wp:inline distT="0" distB="0" distL="0" distR="0" wp14:anchorId="596A60DD" wp14:editId="6112D7AC">
            <wp:extent cx="6120765" cy="1770380"/>
            <wp:effectExtent l="0" t="0" r="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6120765" cy="1770380"/>
                    </a:xfrm>
                    <a:prstGeom prst="rect">
                      <a:avLst/>
                    </a:prstGeom>
                  </pic:spPr>
                </pic:pic>
              </a:graphicData>
            </a:graphic>
          </wp:inline>
        </w:drawing>
      </w:r>
    </w:p>
    <w:p w14:paraId="51F60A34" w14:textId="3A7119BC" w:rsidR="008D0F55" w:rsidRPr="00EE7BB4" w:rsidRDefault="002244B1" w:rsidP="00730134">
      <w:pPr>
        <w:pStyle w:val="Tabletitle"/>
        <w:keepNext w:val="0"/>
        <w:spacing w:before="240"/>
        <w:rPr>
          <w:rFonts w:eastAsia="Calibri"/>
        </w:rPr>
      </w:pPr>
      <w:r w:rsidRPr="00EE7BB4">
        <w:rPr>
          <w:rFonts w:eastAsia="Calibri"/>
        </w:rPr>
        <w:t>Cuadro</w:t>
      </w:r>
      <w:r w:rsidR="008D0F55" w:rsidRPr="00EE7BB4">
        <w:rPr>
          <w:rFonts w:eastAsia="Calibri"/>
        </w:rPr>
        <w:t xml:space="preserve"> 3: N</w:t>
      </w:r>
      <w:r w:rsidRPr="00EE7BB4">
        <w:rPr>
          <w:rFonts w:eastAsia="Calibri"/>
        </w:rPr>
        <w:t xml:space="preserve">úmero de reuniones y asistentes en </w:t>
      </w:r>
      <w:r w:rsidR="008D0F55" w:rsidRPr="00EE7BB4">
        <w:rPr>
          <w:rFonts w:eastAsia="Calibri"/>
        </w:rPr>
        <w:t xml:space="preserve">2017, 2018, 2019 </w:t>
      </w:r>
      <w:r w:rsidRPr="00EE7BB4">
        <w:rPr>
          <w:rFonts w:eastAsia="Calibri"/>
        </w:rPr>
        <w:t>y</w:t>
      </w:r>
      <w:r w:rsidR="008D0F55" w:rsidRPr="00EE7BB4">
        <w:rPr>
          <w:rFonts w:eastAsia="Calibri"/>
        </w:rPr>
        <w:t xml:space="preserve"> 2020</w:t>
      </w:r>
    </w:p>
    <w:p w14:paraId="66F25CD5" w14:textId="27D274B7" w:rsidR="008D0F55" w:rsidRPr="00EE7BB4" w:rsidRDefault="008D0F55" w:rsidP="00730134">
      <w:pPr>
        <w:pStyle w:val="Normalaftertitle"/>
      </w:pPr>
      <w:bookmarkStart w:id="67" w:name="_Hlk51778756"/>
      <w:r w:rsidRPr="00EE7BB4">
        <w:t>2.6</w:t>
      </w:r>
      <w:r w:rsidRPr="00EE7BB4">
        <w:tab/>
      </w:r>
      <w:r w:rsidR="002244B1" w:rsidRPr="00EE7BB4">
        <w:t>En este per</w:t>
      </w:r>
      <w:r w:rsidR="00730134" w:rsidRPr="00EE7BB4">
        <w:t>i</w:t>
      </w:r>
      <w:r w:rsidR="002244B1" w:rsidRPr="00EE7BB4">
        <w:t xml:space="preserve">odo de la </w:t>
      </w:r>
      <w:r w:rsidR="00730134" w:rsidRPr="00EE7BB4">
        <w:t>COVID</w:t>
      </w:r>
      <w:r w:rsidR="002244B1" w:rsidRPr="00EE7BB4">
        <w:t>-19, las TIC ofrecen la única oportunidad de hacer frente al distanciamiento social y al mismo tiempo garantizar la continuidad de las actividades. Varios sectores, como los sistemas de atención de la salud, la educación, el comercio, los servicios de alimentación y el entretenimiento, han utilizado uno o varios servicios de tecnología de la información para conectarse y comunicarse con las personas y acceder a la información. Desde marzo de 2020, la TSB ha podido utilizar diversas herramientas informáticas, muchas de ellas desarrolladas internamente, para permitir una rápida transición de las labores fuera de línea a las actividades en línea. La gran dependencia de estas soluciones informáticas en el marco de la Resolución 32 de la AMNT, y la necesidad de prestar servicios conformes a la Resolución 69 de la</w:t>
      </w:r>
      <w:r w:rsidR="00730134" w:rsidRPr="00EE7BB4">
        <w:t> </w:t>
      </w:r>
      <w:r w:rsidR="002244B1" w:rsidRPr="00EE7BB4">
        <w:t>AMNT nunca han sido tan grandes como en la actualidad. Es necesario desplegar más esfuerzos para mejorar y mantener las soluciones informáticas de la UIT a fin de satisfacer la creciente demanda provocada por la pandemia de la COVID-19. Por lo tanto, la necesidad de aumentar el personal en el ámbito de la TI es de vital importancia y una prioridad para la TSB.</w:t>
      </w:r>
      <w:bookmarkEnd w:id="67"/>
    </w:p>
    <w:p w14:paraId="7DD93741" w14:textId="766C0A18" w:rsidR="00453612" w:rsidRPr="00EE7BB4" w:rsidRDefault="00E25998" w:rsidP="00730134">
      <w:pPr>
        <w:keepNext/>
        <w:keepLines/>
      </w:pPr>
      <w:r w:rsidRPr="00EE7BB4">
        <w:lastRenderedPageBreak/>
        <w:t>2.</w:t>
      </w:r>
      <w:r w:rsidR="008D0F55" w:rsidRPr="00EE7BB4">
        <w:t>7</w:t>
      </w:r>
      <w:r w:rsidR="00453612" w:rsidRPr="00EE7BB4">
        <w:tab/>
      </w:r>
      <w:bookmarkStart w:id="68" w:name="lt_pId089"/>
      <w:r w:rsidR="00DE145F" w:rsidRPr="00EE7BB4">
        <w:t>Es importante que la TSB mantenga y mejore sus herramientas y servicios para ajustarse a las demandas del Sector</w:t>
      </w:r>
      <w:r w:rsidR="008D0F55" w:rsidRPr="00EE7BB4">
        <w:t xml:space="preserve"> </w:t>
      </w:r>
      <w:r w:rsidR="002244B1" w:rsidRPr="00EE7BB4">
        <w:t>y preservar la continuidad de las operaciones</w:t>
      </w:r>
      <w:r w:rsidR="00DE145F" w:rsidRPr="00EE7BB4">
        <w:t xml:space="preserve">. Por consiguiente, la Oficina solicita poder dotar un </w:t>
      </w:r>
      <w:r w:rsidR="00DE145F" w:rsidRPr="00EE7BB4">
        <w:rPr>
          <w:b/>
          <w:bCs/>
        </w:rPr>
        <w:t>puesto</w:t>
      </w:r>
      <w:bookmarkStart w:id="69" w:name="lt_pId090"/>
      <w:bookmarkEnd w:id="68"/>
      <w:r w:rsidR="00453612" w:rsidRPr="00EE7BB4">
        <w:rPr>
          <w:b/>
          <w:bCs/>
        </w:rPr>
        <w:t xml:space="preserve"> P1</w:t>
      </w:r>
      <w:r w:rsidR="00453612" w:rsidRPr="00EE7BB4">
        <w:t> </w:t>
      </w:r>
      <w:r w:rsidR="00DE145F" w:rsidRPr="00EE7BB4">
        <w:t xml:space="preserve">y un </w:t>
      </w:r>
      <w:r w:rsidR="00DE145F" w:rsidRPr="00EE7BB4">
        <w:rPr>
          <w:b/>
          <w:bCs/>
        </w:rPr>
        <w:t>puesto</w:t>
      </w:r>
      <w:r w:rsidR="00453612" w:rsidRPr="00EE7BB4">
        <w:rPr>
          <w:b/>
          <w:bCs/>
        </w:rPr>
        <w:t> P2</w:t>
      </w:r>
      <w:r w:rsidR="00453612" w:rsidRPr="00EE7BB4">
        <w:t> </w:t>
      </w:r>
      <w:r w:rsidR="00DE145F" w:rsidRPr="00EE7BB4">
        <w:t xml:space="preserve">para el soporte de las herramientas y servicios </w:t>
      </w:r>
      <w:r w:rsidR="002244B1" w:rsidRPr="00EE7BB4">
        <w:t>existentes</w:t>
      </w:r>
      <w:r w:rsidR="00DE145F" w:rsidRPr="00EE7BB4">
        <w:t>, así como para su innovación, actualización y constante mejora a fin de ofrecer</w:t>
      </w:r>
      <w:r w:rsidR="0021726E" w:rsidRPr="00EE7BB4">
        <w:t xml:space="preserve"> el mejor servicio a los </w:t>
      </w:r>
      <w:r w:rsidR="00B21D6A" w:rsidRPr="00EE7BB4">
        <w:t xml:space="preserve">miembros </w:t>
      </w:r>
      <w:r w:rsidR="0021726E" w:rsidRPr="00EE7BB4">
        <w:t>y actividades del UIT-T</w:t>
      </w:r>
      <w:r w:rsidR="00453612" w:rsidRPr="00EE7BB4">
        <w:t>.</w:t>
      </w:r>
      <w:bookmarkEnd w:id="69"/>
    </w:p>
    <w:p w14:paraId="1129A21E" w14:textId="49268955" w:rsidR="00453612" w:rsidRPr="00EE7BB4" w:rsidRDefault="00453612" w:rsidP="002B71E1">
      <w:pPr>
        <w:pStyle w:val="Heading1"/>
        <w:rPr>
          <w:rFonts w:eastAsiaTheme="minorEastAsia"/>
          <w:lang w:eastAsia="zh-CN"/>
        </w:rPr>
      </w:pPr>
      <w:bookmarkStart w:id="70" w:name="_Toc37930306"/>
      <w:bookmarkStart w:id="71" w:name="_Toc39047649"/>
      <w:bookmarkStart w:id="72" w:name="_Toc54968535"/>
      <w:bookmarkEnd w:id="49"/>
      <w:bookmarkEnd w:id="50"/>
      <w:bookmarkEnd w:id="51"/>
      <w:bookmarkEnd w:id="52"/>
      <w:r w:rsidRPr="00EE7BB4">
        <w:rPr>
          <w:rFonts w:eastAsiaTheme="minorEastAsia"/>
          <w:lang w:eastAsia="zh-CN"/>
        </w:rPr>
        <w:t>3</w:t>
      </w:r>
      <w:r w:rsidRPr="00EE7BB4">
        <w:rPr>
          <w:rFonts w:eastAsiaTheme="minorEastAsia"/>
          <w:lang w:eastAsia="zh-CN"/>
        </w:rPr>
        <w:tab/>
      </w:r>
      <w:bookmarkStart w:id="73" w:name="lt_pId092"/>
      <w:r w:rsidR="0021726E" w:rsidRPr="00EE7BB4">
        <w:rPr>
          <w:rFonts w:eastAsiaTheme="minorEastAsia"/>
          <w:lang w:eastAsia="zh-CN"/>
        </w:rPr>
        <w:t xml:space="preserve">Solicitud </w:t>
      </w:r>
      <w:r w:rsidR="0021726E" w:rsidRPr="002B71E1">
        <w:rPr>
          <w:rFonts w:eastAsiaTheme="minorEastAsia"/>
        </w:rPr>
        <w:t>de</w:t>
      </w:r>
      <w:r w:rsidR="0021726E" w:rsidRPr="00EE7BB4">
        <w:rPr>
          <w:rFonts w:eastAsiaTheme="minorEastAsia"/>
          <w:lang w:eastAsia="zh-CN"/>
        </w:rPr>
        <w:t xml:space="preserve"> recursos adicionales para las actividades de las Comisiones de</w:t>
      </w:r>
      <w:r w:rsidR="00730134" w:rsidRPr="00EE7BB4">
        <w:rPr>
          <w:rFonts w:eastAsiaTheme="minorEastAsia"/>
          <w:lang w:eastAsia="zh-CN"/>
        </w:rPr>
        <w:t> </w:t>
      </w:r>
      <w:r w:rsidR="0021726E" w:rsidRPr="00EE7BB4">
        <w:rPr>
          <w:rFonts w:eastAsiaTheme="minorEastAsia"/>
          <w:lang w:eastAsia="zh-CN"/>
        </w:rPr>
        <w:t>Estudio</w:t>
      </w:r>
      <w:bookmarkEnd w:id="70"/>
      <w:bookmarkEnd w:id="71"/>
      <w:bookmarkEnd w:id="73"/>
      <w:bookmarkEnd w:id="72"/>
    </w:p>
    <w:p w14:paraId="053D02CA" w14:textId="30593398" w:rsidR="00453612" w:rsidRPr="00EE7BB4" w:rsidRDefault="00453612" w:rsidP="002B71E1">
      <w:pPr>
        <w:pStyle w:val="Heading2"/>
      </w:pPr>
      <w:bookmarkStart w:id="74" w:name="_Toc37930307"/>
      <w:bookmarkStart w:id="75" w:name="_Toc39047650"/>
      <w:bookmarkStart w:id="76" w:name="_Toc54968536"/>
      <w:r w:rsidRPr="00EE7BB4">
        <w:rPr>
          <w:rFonts w:eastAsiaTheme="minorEastAsia"/>
          <w:lang w:eastAsia="zh-CN"/>
        </w:rPr>
        <w:t>3.1</w:t>
      </w:r>
      <w:r w:rsidRPr="00EE7BB4">
        <w:rPr>
          <w:rFonts w:eastAsiaTheme="minorEastAsia"/>
          <w:lang w:eastAsia="zh-CN"/>
        </w:rPr>
        <w:tab/>
      </w:r>
      <w:bookmarkStart w:id="77" w:name="lt_pId094"/>
      <w:r w:rsidRPr="00EE7BB4">
        <w:rPr>
          <w:rFonts w:eastAsiaTheme="minorEastAsia"/>
          <w:lang w:eastAsia="zh-CN"/>
        </w:rPr>
        <w:t>Ci</w:t>
      </w:r>
      <w:r w:rsidR="00AF6A1B" w:rsidRPr="00EE7BB4">
        <w:rPr>
          <w:rFonts w:eastAsiaTheme="minorEastAsia"/>
          <w:lang w:eastAsia="zh-CN"/>
        </w:rPr>
        <w:t xml:space="preserve">udades </w:t>
      </w:r>
      <w:r w:rsidR="00AF6A1B" w:rsidRPr="002B71E1">
        <w:rPr>
          <w:rFonts w:eastAsiaTheme="minorEastAsia"/>
        </w:rPr>
        <w:t>de</w:t>
      </w:r>
      <w:r w:rsidR="00AF6A1B" w:rsidRPr="00EE7BB4">
        <w:rPr>
          <w:rFonts w:eastAsiaTheme="minorEastAsia"/>
          <w:lang w:eastAsia="zh-CN"/>
        </w:rPr>
        <w:t xml:space="preserve"> todo el mundo están utilizando los IFR para ciudades inteligentes y </w:t>
      </w:r>
      <w:r w:rsidR="00970DC0" w:rsidRPr="00EE7BB4">
        <w:rPr>
          <w:rFonts w:eastAsiaTheme="minorEastAsia"/>
          <w:lang w:eastAsia="zh-CN"/>
        </w:rPr>
        <w:t>sostenibles</w:t>
      </w:r>
      <w:r w:rsidR="00AF6A1B" w:rsidRPr="00EE7BB4">
        <w:rPr>
          <w:rFonts w:eastAsiaTheme="minorEastAsia"/>
          <w:lang w:eastAsia="zh-CN"/>
        </w:rPr>
        <w:t xml:space="preserve"> de la UIT</w:t>
      </w:r>
      <w:bookmarkEnd w:id="74"/>
      <w:bookmarkEnd w:id="77"/>
      <w:bookmarkEnd w:id="75"/>
      <w:bookmarkEnd w:id="76"/>
    </w:p>
    <w:p w14:paraId="10A0A11B" w14:textId="27776D3E" w:rsidR="00453612" w:rsidRPr="00EE7BB4" w:rsidRDefault="00453612" w:rsidP="004A7485">
      <w:pPr>
        <w:tabs>
          <w:tab w:val="clear" w:pos="567"/>
          <w:tab w:val="left" w:pos="851"/>
        </w:tabs>
      </w:pPr>
      <w:r w:rsidRPr="00EE7BB4">
        <w:t>3.1.1</w:t>
      </w:r>
      <w:r w:rsidRPr="00EE7BB4">
        <w:tab/>
      </w:r>
      <w:bookmarkStart w:id="78" w:name="lt_pId097"/>
      <w:r w:rsidR="00FB315D" w:rsidRPr="00EE7BB4">
        <w:t xml:space="preserve">Más de 100 ciudades de todo el mundo están midiendo su </w:t>
      </w:r>
      <w:r w:rsidR="00AF6A1B" w:rsidRPr="00EE7BB4">
        <w:t>conversión en ciudades y comunidades inteligentes y sostenibles</w:t>
      </w:r>
      <w:r w:rsidR="00FB315D" w:rsidRPr="00EE7BB4">
        <w:t xml:space="preserve"> con los </w:t>
      </w:r>
      <w:r w:rsidR="00970DC0" w:rsidRPr="00EE7BB4">
        <w:t>"</w:t>
      </w:r>
      <w:r w:rsidR="00FB315D" w:rsidRPr="00EE7BB4">
        <w:t>Indicadores fundamentales de rendimiento para ciudades inteligentes y sostenibles</w:t>
      </w:r>
      <w:r w:rsidR="00970DC0" w:rsidRPr="00EE7BB4">
        <w:t>"</w:t>
      </w:r>
      <w:r w:rsidR="00FB315D" w:rsidRPr="00EE7BB4">
        <w:t>, basados en normas de la UIT. En el marco de los estudios de caso de la UIT se han evaluado los progresos logrados en los proyectos de ciudad inteligente de Dubái</w:t>
      </w:r>
      <w:r w:rsidR="00AF6A1B" w:rsidRPr="00EE7BB4">
        <w:t xml:space="preserve"> (EAU)</w:t>
      </w:r>
      <w:r w:rsidR="00FB315D" w:rsidRPr="00EE7BB4">
        <w:t>, Singapur</w:t>
      </w:r>
      <w:r w:rsidR="00B21D6A" w:rsidRPr="00EE7BB4">
        <w:t>,</w:t>
      </w:r>
      <w:r w:rsidR="00FB315D" w:rsidRPr="00EE7BB4">
        <w:t xml:space="preserve"> Moscú</w:t>
      </w:r>
      <w:r w:rsidR="00AF6A1B" w:rsidRPr="00EE7BB4">
        <w:t xml:space="preserve"> (Federación de Rusia), </w:t>
      </w:r>
      <w:proofErr w:type="spellStart"/>
      <w:r w:rsidR="00AF6A1B" w:rsidRPr="00EE7BB4">
        <w:t>Ålesund</w:t>
      </w:r>
      <w:proofErr w:type="spellEnd"/>
      <w:r w:rsidR="00AF6A1B" w:rsidRPr="00EE7BB4">
        <w:t xml:space="preserve"> (Noruega), Bizert</w:t>
      </w:r>
      <w:r w:rsidR="0094480C" w:rsidRPr="00EE7BB4">
        <w:t>a</w:t>
      </w:r>
      <w:r w:rsidR="00AF6A1B" w:rsidRPr="00EE7BB4">
        <w:t xml:space="preserve"> (Túnez), Riad</w:t>
      </w:r>
      <w:r w:rsidR="004A7485" w:rsidRPr="00EE7BB4">
        <w:t> </w:t>
      </w:r>
      <w:r w:rsidR="00AF6A1B" w:rsidRPr="00EE7BB4">
        <w:t xml:space="preserve">(Arabia Saudita) y </w:t>
      </w:r>
      <w:proofErr w:type="spellStart"/>
      <w:r w:rsidR="00AF6A1B" w:rsidRPr="00EE7BB4">
        <w:t>Pully</w:t>
      </w:r>
      <w:proofErr w:type="spellEnd"/>
      <w:r w:rsidR="00AF6A1B" w:rsidRPr="00EE7BB4">
        <w:t xml:space="preserve"> (Suiza)</w:t>
      </w:r>
      <w:r w:rsidR="00FB315D" w:rsidRPr="00EE7BB4">
        <w:t>, evaluaciones que se llevaron a cabo usando los indicadores fundamentales de rendimiento.</w:t>
      </w:r>
      <w:bookmarkEnd w:id="78"/>
    </w:p>
    <w:p w14:paraId="7D51323E" w14:textId="23B975F1" w:rsidR="00453612" w:rsidRPr="00EE7BB4" w:rsidRDefault="00453612" w:rsidP="004A7485">
      <w:pPr>
        <w:tabs>
          <w:tab w:val="clear" w:pos="567"/>
          <w:tab w:val="left" w:pos="851"/>
        </w:tabs>
      </w:pPr>
      <w:r w:rsidRPr="00EE7BB4">
        <w:t>3.1.2</w:t>
      </w:r>
      <w:r w:rsidRPr="00EE7BB4">
        <w:tab/>
      </w:r>
      <w:bookmarkStart w:id="79" w:name="lt_pId099"/>
      <w:r w:rsidR="00AF6A1B" w:rsidRPr="00EE7BB4">
        <w:t xml:space="preserve">La </w:t>
      </w:r>
      <w:bookmarkStart w:id="80" w:name="_Hlk39052972"/>
      <w:r w:rsidR="00222FB5" w:rsidRPr="00EE7BB4">
        <w:rPr>
          <w:rFonts w:asciiTheme="minorHAnsi" w:hAnsiTheme="minorHAnsi" w:cstheme="minorHAnsi"/>
          <w:szCs w:val="24"/>
        </w:rPr>
        <w:t>iniciativa "</w:t>
      </w:r>
      <w:hyperlink r:id="rId30" w:history="1">
        <w:r w:rsidR="00AF6A1B" w:rsidRPr="00EE7BB4">
          <w:rPr>
            <w:rStyle w:val="Hyperlink"/>
            <w:rFonts w:asciiTheme="minorHAnsi" w:hAnsiTheme="minorHAnsi" w:cstheme="minorHAnsi"/>
            <w:szCs w:val="24"/>
          </w:rPr>
          <w:t>U</w:t>
        </w:r>
        <w:r w:rsidR="00FB315D" w:rsidRPr="00EE7BB4">
          <w:rPr>
            <w:rStyle w:val="Hyperlink"/>
            <w:rFonts w:asciiTheme="minorHAnsi" w:hAnsiTheme="minorHAnsi" w:cstheme="minorHAnsi"/>
            <w:szCs w:val="24"/>
          </w:rPr>
          <w:t>nidos p</w:t>
        </w:r>
        <w:r w:rsidR="00222FB5" w:rsidRPr="00EE7BB4">
          <w:rPr>
            <w:rStyle w:val="Hyperlink"/>
            <w:rFonts w:asciiTheme="minorHAnsi" w:hAnsiTheme="minorHAnsi" w:cstheme="minorHAnsi"/>
            <w:szCs w:val="24"/>
          </w:rPr>
          <w:t>or</w:t>
        </w:r>
        <w:r w:rsidR="00FB315D" w:rsidRPr="00EE7BB4">
          <w:rPr>
            <w:rStyle w:val="Hyperlink"/>
            <w:rFonts w:asciiTheme="minorHAnsi" w:hAnsiTheme="minorHAnsi" w:cstheme="minorHAnsi"/>
            <w:szCs w:val="24"/>
          </w:rPr>
          <w:t xml:space="preserve"> las ciudades inteligentes y sostenibles (U4SSC)</w:t>
        </w:r>
      </w:hyperlink>
      <w:bookmarkEnd w:id="80"/>
      <w:r w:rsidR="00970DC0" w:rsidRPr="00EE7BB4">
        <w:t>"</w:t>
      </w:r>
      <w:r w:rsidR="00AF6A1B" w:rsidRPr="00EE7BB4">
        <w:t xml:space="preserve"> también fomenta la utilización de los indicadores fundamentales de rendimiento de la UIT</w:t>
      </w:r>
      <w:bookmarkEnd w:id="79"/>
      <w:r w:rsidR="00AF6A1B" w:rsidRPr="00EE7BB4">
        <w:t xml:space="preserve">. La </w:t>
      </w:r>
      <w:r w:rsidR="00222FB5" w:rsidRPr="00EE7BB4">
        <w:t>iniciativa</w:t>
      </w:r>
      <w:bookmarkStart w:id="81" w:name="lt_pId100"/>
      <w:r w:rsidR="00222FB5" w:rsidRPr="00EE7BB4">
        <w:t xml:space="preserve"> </w:t>
      </w:r>
      <w:r w:rsidRPr="00EE7BB4">
        <w:t>U4SSC</w:t>
      </w:r>
      <w:r w:rsidR="00AF6A1B" w:rsidRPr="00EE7BB4">
        <w:t xml:space="preserve"> cuenta con el apoyo de</w:t>
      </w:r>
      <w:r w:rsidRPr="00EE7BB4">
        <w:t xml:space="preserve"> 16 </w:t>
      </w:r>
      <w:r w:rsidR="00AF6A1B" w:rsidRPr="00EE7BB4">
        <w:t xml:space="preserve">organismos de las Naciones Unidas y promueve políticas públicas destinadas a </w:t>
      </w:r>
      <w:r w:rsidR="00970DC0" w:rsidRPr="00EE7BB4">
        <w:t>garantizar</w:t>
      </w:r>
      <w:r w:rsidR="00AF6A1B" w:rsidRPr="00EE7BB4">
        <w:t xml:space="preserve"> que las TIC, y concretamente las normas en materia de TIC, desempeñan un papel decisivo en la transición a ciudades inteligentes.</w:t>
      </w:r>
      <w:r w:rsidR="00970DC0" w:rsidRPr="00EE7BB4">
        <w:t xml:space="preserve"> </w:t>
      </w:r>
      <w:r w:rsidR="00BC53FC" w:rsidRPr="00EE7BB4">
        <w:t>En el marco de la 9ª Semana de las Normas Verdes de la UIT se presentaron las fichas descriptivas de varias ciudades, preparadas bajo los auspicios de</w:t>
      </w:r>
      <w:bookmarkStart w:id="82" w:name="lt_pId101"/>
      <w:bookmarkEnd w:id="81"/>
      <w:r w:rsidRPr="00EE7BB4">
        <w:t xml:space="preserve"> U4SSC</w:t>
      </w:r>
      <w:r w:rsidR="00BC53FC" w:rsidRPr="00EE7BB4">
        <w:t>. En esas fichas se expone la relación entre las iniciativas de ciudades inteligentes y los Objetivos de Desarrollo Sostenible con información sobre la experiencia de esas ciudades en este sentido</w:t>
      </w:r>
      <w:bookmarkEnd w:id="82"/>
      <w:r w:rsidR="00BC53FC" w:rsidRPr="00EE7BB4">
        <w:t>.</w:t>
      </w:r>
    </w:p>
    <w:p w14:paraId="62BA59D7" w14:textId="2538EBF0" w:rsidR="00453612" w:rsidRPr="00EE7BB4" w:rsidRDefault="00453612" w:rsidP="004A7485">
      <w:pPr>
        <w:tabs>
          <w:tab w:val="clear" w:pos="567"/>
          <w:tab w:val="left" w:pos="851"/>
        </w:tabs>
        <w:rPr>
          <w:rFonts w:eastAsiaTheme="minorEastAsia"/>
          <w:lang w:eastAsia="zh-CN"/>
        </w:rPr>
      </w:pPr>
      <w:r w:rsidRPr="00EE7BB4">
        <w:rPr>
          <w:rFonts w:eastAsiaTheme="minorEastAsia"/>
          <w:lang w:eastAsia="zh-CN"/>
        </w:rPr>
        <w:t>3.1.</w:t>
      </w:r>
      <w:r w:rsidR="0017737E" w:rsidRPr="00EE7BB4">
        <w:rPr>
          <w:rFonts w:eastAsiaTheme="minorEastAsia"/>
          <w:lang w:eastAsia="zh-CN"/>
        </w:rPr>
        <w:t>3</w:t>
      </w:r>
      <w:r w:rsidRPr="00EE7BB4">
        <w:rPr>
          <w:rFonts w:eastAsiaTheme="minorEastAsia"/>
          <w:lang w:eastAsia="zh-CN"/>
        </w:rPr>
        <w:tab/>
      </w:r>
      <w:bookmarkStart w:id="83" w:name="lt_pId104"/>
      <w:r w:rsidR="00BC53FC" w:rsidRPr="00EE7BB4">
        <w:rPr>
          <w:rFonts w:eastAsiaTheme="minorEastAsia"/>
          <w:lang w:eastAsia="zh-CN"/>
        </w:rPr>
        <w:t>En la Resolución 98 de la AMNT,</w:t>
      </w:r>
      <w:r w:rsidRPr="00EE7BB4">
        <w:rPr>
          <w:rFonts w:eastAsiaTheme="minorEastAsia"/>
          <w:lang w:eastAsia="zh-CN"/>
        </w:rPr>
        <w:t xml:space="preserve"> </w:t>
      </w:r>
      <w:r w:rsidR="00970DC0" w:rsidRPr="00EE7BB4">
        <w:rPr>
          <w:rFonts w:eastAsiaTheme="minorEastAsia"/>
          <w:lang w:eastAsia="zh-CN"/>
        </w:rPr>
        <w:t>"</w:t>
      </w:r>
      <w:r w:rsidR="00FB315D" w:rsidRPr="00EE7BB4">
        <w:rPr>
          <w:rFonts w:eastAsiaTheme="minorEastAsia"/>
          <w:lang w:eastAsia="zh-CN"/>
        </w:rPr>
        <w:t xml:space="preserve">Refuerzo de la normalización sobre Internet de las cosas y las ciudades y </w:t>
      </w:r>
      <w:r w:rsidR="00FB315D" w:rsidRPr="00EE7BB4">
        <w:t>comunidades</w:t>
      </w:r>
      <w:r w:rsidR="00FB315D" w:rsidRPr="00EE7BB4">
        <w:rPr>
          <w:rFonts w:eastAsiaTheme="minorEastAsia"/>
          <w:lang w:eastAsia="zh-CN"/>
        </w:rPr>
        <w:t xml:space="preserve"> inteligentes para el desarrollo mundial</w:t>
      </w:r>
      <w:r w:rsidR="00970DC0" w:rsidRPr="00EE7BB4">
        <w:rPr>
          <w:rFonts w:eastAsiaTheme="minorEastAsia"/>
        </w:rPr>
        <w:t>"</w:t>
      </w:r>
      <w:r w:rsidR="00BC53FC" w:rsidRPr="00EE7BB4">
        <w:rPr>
          <w:rFonts w:eastAsiaTheme="minorEastAsia"/>
        </w:rPr>
        <w:t>,</w:t>
      </w:r>
      <w:r w:rsidR="00970DC0" w:rsidRPr="00EE7BB4">
        <w:rPr>
          <w:rFonts w:eastAsiaTheme="minorEastAsia"/>
        </w:rPr>
        <w:t xml:space="preserve"> </w:t>
      </w:r>
      <w:r w:rsidR="00BC53FC" w:rsidRPr="00EE7BB4">
        <w:rPr>
          <w:rFonts w:eastAsiaTheme="minorEastAsia"/>
          <w:lang w:eastAsia="zh-CN"/>
        </w:rPr>
        <w:t>se encarga al Director de la TSB</w:t>
      </w:r>
      <w:r w:rsidRPr="00EE7BB4">
        <w:rPr>
          <w:rFonts w:eastAsiaTheme="minorEastAsia"/>
          <w:lang w:eastAsia="zh-CN"/>
        </w:rPr>
        <w:t xml:space="preserve"> </w:t>
      </w:r>
      <w:r w:rsidR="00970DC0" w:rsidRPr="00EE7BB4">
        <w:rPr>
          <w:rFonts w:eastAsiaTheme="minorEastAsia"/>
          <w:lang w:eastAsia="zh-CN"/>
        </w:rPr>
        <w:t>"</w:t>
      </w:r>
      <w:r w:rsidR="00987695" w:rsidRPr="00EE7BB4">
        <w:t xml:space="preserve">que siga prestando apoyo a la iniciativa </w:t>
      </w:r>
      <w:r w:rsidR="00970DC0" w:rsidRPr="00EE7BB4">
        <w:t>"</w:t>
      </w:r>
      <w:r w:rsidR="00987695" w:rsidRPr="00EE7BB4">
        <w:t>Unidos por las ciudades inteligentes y sostenibles (U4SSC)</w:t>
      </w:r>
      <w:r w:rsidR="00970DC0" w:rsidRPr="00EE7BB4">
        <w:t>"</w:t>
      </w:r>
      <w:r w:rsidR="00987695" w:rsidRPr="00EE7BB4">
        <w:t>, puesta en marcha por la UIT y la Comisión Económica para Europa de las Naciones Unidas en mayo de 2016</w:t>
      </w:r>
      <w:r w:rsidR="00970DC0" w:rsidRPr="00EE7BB4">
        <w:rPr>
          <w:rFonts w:cs="Calibri"/>
          <w:bCs/>
          <w:sz w:val="22"/>
        </w:rPr>
        <w:t xml:space="preserve"> </w:t>
      </w:r>
      <w:r w:rsidRPr="00EE7BB4">
        <w:t>[…]</w:t>
      </w:r>
      <w:r w:rsidR="00970DC0" w:rsidRPr="00EE7BB4">
        <w:rPr>
          <w:rFonts w:eastAsiaTheme="minorEastAsia"/>
          <w:lang w:eastAsia="zh-CN"/>
        </w:rPr>
        <w:t>"</w:t>
      </w:r>
      <w:r w:rsidRPr="00EE7BB4">
        <w:rPr>
          <w:rFonts w:eastAsiaTheme="minorEastAsia"/>
          <w:lang w:eastAsia="zh-CN"/>
        </w:rPr>
        <w:t>.</w:t>
      </w:r>
      <w:bookmarkEnd w:id="83"/>
    </w:p>
    <w:p w14:paraId="221575DB" w14:textId="125899A5" w:rsidR="00453612" w:rsidRPr="00EE7BB4" w:rsidRDefault="00453612" w:rsidP="004A7485">
      <w:pPr>
        <w:tabs>
          <w:tab w:val="clear" w:pos="567"/>
          <w:tab w:val="left" w:pos="851"/>
        </w:tabs>
      </w:pPr>
      <w:r w:rsidRPr="00EE7BB4">
        <w:t>3.1.4</w:t>
      </w:r>
      <w:r w:rsidRPr="00EE7BB4">
        <w:tab/>
      </w:r>
      <w:bookmarkStart w:id="84" w:name="lt_pId106"/>
      <w:r w:rsidR="00BC53FC" w:rsidRPr="00EE7BB4">
        <w:t>Se necesitan recursos adicionales para gestionar el creciente número de solicitudes de ciudades para aplicar las normas IFR del UIT-T en el marco de la</w:t>
      </w:r>
      <w:r w:rsidRPr="00EE7BB4">
        <w:t xml:space="preserve"> U4SSC, </w:t>
      </w:r>
      <w:r w:rsidR="00BC53FC" w:rsidRPr="00EE7BB4">
        <w:t xml:space="preserve">para cumplir eficazmente las funciones de secretaría de la </w:t>
      </w:r>
      <w:r w:rsidR="00222FB5" w:rsidRPr="00EE7BB4">
        <w:t xml:space="preserve">iniciativa </w:t>
      </w:r>
      <w:r w:rsidRPr="00EE7BB4">
        <w:t xml:space="preserve">U4SSC </w:t>
      </w:r>
      <w:r w:rsidR="00BC53FC" w:rsidRPr="00EE7BB4">
        <w:t>y transmitir las lecciones extraídas y los nuevos requisitos a las Comisiones de Estudio del UIT-T pertinentes</w:t>
      </w:r>
      <w:r w:rsidRPr="00EE7BB4">
        <w:t>.</w:t>
      </w:r>
      <w:bookmarkEnd w:id="84"/>
    </w:p>
    <w:p w14:paraId="2C5729DA" w14:textId="734ED629" w:rsidR="00453612" w:rsidRPr="00EE7BB4" w:rsidRDefault="00453612" w:rsidP="004A7485">
      <w:pPr>
        <w:tabs>
          <w:tab w:val="clear" w:pos="567"/>
          <w:tab w:val="left" w:pos="851"/>
        </w:tabs>
        <w:rPr>
          <w:bCs/>
        </w:rPr>
      </w:pPr>
      <w:r w:rsidRPr="00EE7BB4">
        <w:t>3.1.5</w:t>
      </w:r>
      <w:r w:rsidRPr="00EE7BB4">
        <w:tab/>
      </w:r>
      <w:bookmarkStart w:id="85" w:name="lt_pId108"/>
      <w:r w:rsidR="002244B1" w:rsidRPr="00EE7BB4">
        <w:t xml:space="preserve">La TSB </w:t>
      </w:r>
      <w:r w:rsidR="004A7485" w:rsidRPr="00EE7BB4">
        <w:t xml:space="preserve">solicita </w:t>
      </w:r>
      <w:r w:rsidR="00BC53FC" w:rsidRPr="00EE7BB4">
        <w:t xml:space="preserve">poder dotar un </w:t>
      </w:r>
      <w:r w:rsidR="00BC53FC" w:rsidRPr="00EE7BB4">
        <w:rPr>
          <w:b/>
          <w:bCs/>
        </w:rPr>
        <w:t>puesto</w:t>
      </w:r>
      <w:r w:rsidRPr="00EE7BB4">
        <w:t xml:space="preserve"> </w:t>
      </w:r>
      <w:r w:rsidRPr="00EE7BB4">
        <w:rPr>
          <w:b/>
          <w:bCs/>
        </w:rPr>
        <w:t xml:space="preserve">P2 </w:t>
      </w:r>
      <w:r w:rsidR="00BC53FC" w:rsidRPr="00EE7BB4">
        <w:t xml:space="preserve">adicional </w:t>
      </w:r>
      <w:r w:rsidR="00B20B72" w:rsidRPr="00EE7BB4">
        <w:t xml:space="preserve">para las actividades relacionadas con los IFR para ciudades inteligentes y sostenibles de la UIT y la </w:t>
      </w:r>
      <w:r w:rsidR="00222FB5" w:rsidRPr="00EE7BB4">
        <w:t>iniciativa</w:t>
      </w:r>
      <w:r w:rsidR="00222FB5" w:rsidRPr="00EE7BB4">
        <w:rPr>
          <w:rFonts w:eastAsiaTheme="minorEastAsia"/>
          <w:lang w:eastAsia="zh-CN"/>
        </w:rPr>
        <w:t xml:space="preserve"> </w:t>
      </w:r>
      <w:r w:rsidRPr="00EE7BB4">
        <w:t>U4SSC.</w:t>
      </w:r>
      <w:bookmarkEnd w:id="85"/>
    </w:p>
    <w:p w14:paraId="26ED5B20" w14:textId="6D65167E" w:rsidR="00453612" w:rsidRPr="00EE7BB4" w:rsidRDefault="00453612" w:rsidP="004A7485">
      <w:pPr>
        <w:pStyle w:val="Heading2"/>
        <w:rPr>
          <w:rFonts w:eastAsiaTheme="minorEastAsia"/>
          <w:lang w:eastAsia="zh-CN"/>
        </w:rPr>
      </w:pPr>
      <w:bookmarkStart w:id="86" w:name="_Toc37930308"/>
      <w:bookmarkStart w:id="87" w:name="_Toc39047651"/>
      <w:bookmarkStart w:id="88" w:name="_Toc54968537"/>
      <w:r w:rsidRPr="00EE7BB4">
        <w:rPr>
          <w:rFonts w:eastAsiaTheme="minorEastAsia"/>
          <w:lang w:eastAsia="zh-CN"/>
        </w:rPr>
        <w:lastRenderedPageBreak/>
        <w:t>3.2</w:t>
      </w:r>
      <w:r w:rsidRPr="00EE7BB4">
        <w:rPr>
          <w:rFonts w:eastAsiaTheme="minorEastAsia"/>
          <w:lang w:eastAsia="zh-CN"/>
        </w:rPr>
        <w:tab/>
      </w:r>
      <w:bookmarkStart w:id="89" w:name="lt_pId110"/>
      <w:r w:rsidR="00B20B72" w:rsidRPr="00EE7BB4">
        <w:rPr>
          <w:rFonts w:eastAsiaTheme="minorEastAsia"/>
          <w:lang w:eastAsia="zh-CN"/>
        </w:rPr>
        <w:t>Recursos de numeración internacional</w:t>
      </w:r>
      <w:r w:rsidRPr="00EE7BB4">
        <w:rPr>
          <w:rFonts w:eastAsiaTheme="minorEastAsia"/>
          <w:lang w:eastAsia="zh-CN"/>
        </w:rPr>
        <w:t xml:space="preserve"> (INR), </w:t>
      </w:r>
      <w:r w:rsidR="00B20B72" w:rsidRPr="00EE7BB4">
        <w:rPr>
          <w:rFonts w:eastAsiaTheme="minorEastAsia"/>
          <w:lang w:eastAsia="zh-CN"/>
        </w:rPr>
        <w:t>la columna dorsal de las redes de comunicaciones</w:t>
      </w:r>
      <w:bookmarkEnd w:id="86"/>
      <w:bookmarkEnd w:id="89"/>
      <w:bookmarkEnd w:id="87"/>
      <w:bookmarkEnd w:id="88"/>
    </w:p>
    <w:p w14:paraId="7ACDA6AD" w14:textId="3E256081" w:rsidR="00453612" w:rsidRPr="00EE7BB4" w:rsidRDefault="00453612" w:rsidP="004A7485">
      <w:pPr>
        <w:keepNext/>
        <w:keepLines/>
        <w:tabs>
          <w:tab w:val="clear" w:pos="567"/>
          <w:tab w:val="left" w:pos="851"/>
        </w:tabs>
      </w:pPr>
      <w:r w:rsidRPr="00EE7BB4">
        <w:t>3.2.1</w:t>
      </w:r>
      <w:r w:rsidRPr="00EE7BB4">
        <w:tab/>
      </w:r>
      <w:bookmarkStart w:id="90" w:name="lt_pId112"/>
      <w:r w:rsidR="00B20B72" w:rsidRPr="00EE7BB4">
        <w:t>La UIT asigna directa o indirectamente una veintena</w:t>
      </w:r>
      <w:r w:rsidR="00222FB5" w:rsidRPr="00EE7BB4">
        <w:t xml:space="preserve"> de</w:t>
      </w:r>
      <w:r w:rsidR="00B20B72" w:rsidRPr="00EE7BB4">
        <w:t xml:space="preserve"> recursos de numeración internacional distintos. En la Recomendación UIT</w:t>
      </w:r>
      <w:bookmarkStart w:id="91" w:name="lt_pId113"/>
      <w:bookmarkEnd w:id="90"/>
      <w:r w:rsidRPr="00EE7BB4">
        <w:t xml:space="preserve">-T E.195 </w:t>
      </w:r>
      <w:r w:rsidR="00B20B72" w:rsidRPr="00EE7BB4">
        <w:t>se propone la creación en la TSB de un Grupo de Administración de Numeración de la UIT (GAN</w:t>
      </w:r>
      <w:r w:rsidR="007A7B3A" w:rsidRPr="00EE7BB4">
        <w:t>-</w:t>
      </w:r>
      <w:r w:rsidR="00B20B72" w:rsidRPr="00EE7BB4">
        <w:t>UIT) donde se centralicen esas funciones/responsabilidades</w:t>
      </w:r>
      <w:r w:rsidRPr="00EE7BB4">
        <w:t>.</w:t>
      </w:r>
      <w:bookmarkEnd w:id="91"/>
      <w:r w:rsidRPr="00EE7BB4">
        <w:t xml:space="preserve"> </w:t>
      </w:r>
      <w:r w:rsidR="00987695" w:rsidRPr="00EE7BB4">
        <w:t>Contiene procedimientos recomendados con los que asegurar que todas las peticiones de recursos se tramitan de manera imparcial, uniforme, coherente y eficaz.</w:t>
      </w:r>
    </w:p>
    <w:p w14:paraId="3E8022B3" w14:textId="4AE8D23B" w:rsidR="00453612" w:rsidRPr="00EE7BB4" w:rsidRDefault="00453612" w:rsidP="004A7485">
      <w:pPr>
        <w:tabs>
          <w:tab w:val="clear" w:pos="567"/>
          <w:tab w:val="left" w:pos="851"/>
        </w:tabs>
      </w:pPr>
      <w:r w:rsidRPr="00EE7BB4">
        <w:t>3.2.2</w:t>
      </w:r>
      <w:r w:rsidRPr="00EE7BB4">
        <w:tab/>
      </w:r>
      <w:bookmarkStart w:id="92" w:name="lt_pId116"/>
      <w:r w:rsidR="00C156CC" w:rsidRPr="00EE7BB4">
        <w:t>Las notificaciones de actualización y asignación de los planes nacionales de numeración/identificación, así como las reclamaciones de rec</w:t>
      </w:r>
      <w:r w:rsidR="007A7B3A" w:rsidRPr="00EE7BB4">
        <w:t>ursos nacionales de numeración/</w:t>
      </w:r>
      <w:r w:rsidR="00C156CC" w:rsidRPr="00EE7BB4">
        <w:t>identificación recibidas se publican en el</w:t>
      </w:r>
      <w:r w:rsidRPr="00EE7BB4">
        <w:t xml:space="preserve"> </w:t>
      </w:r>
      <w:hyperlink r:id="rId31" w:history="1">
        <w:r w:rsidR="00C156CC" w:rsidRPr="00EE7BB4">
          <w:rPr>
            <w:color w:val="0000FF"/>
            <w:u w:val="single" w:color="0000FF"/>
          </w:rPr>
          <w:t>Boletín de Explotación de la UIT</w:t>
        </w:r>
      </w:hyperlink>
      <w:r w:rsidRPr="00EE7BB4">
        <w:t>.</w:t>
      </w:r>
      <w:bookmarkEnd w:id="92"/>
      <w:r w:rsidRPr="00EE7BB4">
        <w:t xml:space="preserve"> </w:t>
      </w:r>
      <w:bookmarkStart w:id="93" w:name="lt_pId117"/>
      <w:r w:rsidR="00C156CC" w:rsidRPr="00EE7BB4">
        <w:t>El Boletín de Explotación se publica en los seis idiomas oficiales de la Unión con una periodicidad bimensual. Se mantienen unos 20 anexos en relación con los números e indicativos atribuidos de conformidad con las siguientes Recomendaciones</w:t>
      </w:r>
      <w:bookmarkStart w:id="94" w:name="lt_pId118"/>
      <w:bookmarkEnd w:id="93"/>
      <w:r w:rsidRPr="00EE7BB4">
        <w:t>:</w:t>
      </w:r>
      <w:bookmarkEnd w:id="94"/>
    </w:p>
    <w:p w14:paraId="54BFFD93" w14:textId="0A9A0F2D" w:rsidR="00453612" w:rsidRPr="00EE7BB4" w:rsidRDefault="0017737E" w:rsidP="004A7485">
      <w:pPr>
        <w:pStyle w:val="enumlev1"/>
        <w:rPr>
          <w:rFonts w:eastAsiaTheme="minorEastAsia"/>
        </w:rPr>
      </w:pPr>
      <w:bookmarkStart w:id="95" w:name="lt_pId119"/>
      <w:r w:rsidRPr="00EE7BB4">
        <w:rPr>
          <w:rFonts w:eastAsiaTheme="minorEastAsia"/>
        </w:rPr>
        <w:t>–</w:t>
      </w:r>
      <w:r w:rsidRPr="00EE7BB4">
        <w:rPr>
          <w:rFonts w:eastAsiaTheme="minorEastAsia"/>
        </w:rPr>
        <w:tab/>
      </w:r>
      <w:r w:rsidR="00C156CC" w:rsidRPr="00EE7BB4">
        <w:rPr>
          <w:rFonts w:eastAsiaTheme="minorEastAsia"/>
        </w:rPr>
        <w:t>UIT</w:t>
      </w:r>
      <w:r w:rsidR="00453612" w:rsidRPr="00EE7BB4">
        <w:rPr>
          <w:rFonts w:eastAsiaTheme="minorEastAsia"/>
        </w:rPr>
        <w:t xml:space="preserve">-T E.164 </w:t>
      </w:r>
      <w:r w:rsidR="00970DC0" w:rsidRPr="00EE7BB4">
        <w:rPr>
          <w:rFonts w:eastAsiaTheme="minorEastAsia"/>
        </w:rPr>
        <w:t>"</w:t>
      </w:r>
      <w:r w:rsidR="00C156CC" w:rsidRPr="00EE7BB4">
        <w:rPr>
          <w:rFonts w:eastAsiaTheme="minorEastAsia"/>
        </w:rPr>
        <w:t>Plan internacional de numeración de telecomunicaciones públicas</w:t>
      </w:r>
      <w:r w:rsidR="00970DC0" w:rsidRPr="00EE7BB4">
        <w:rPr>
          <w:rFonts w:eastAsiaTheme="minorEastAsia"/>
        </w:rPr>
        <w:t>"</w:t>
      </w:r>
      <w:bookmarkEnd w:id="95"/>
      <w:r w:rsidR="004A7485" w:rsidRPr="00EE7BB4">
        <w:rPr>
          <w:rFonts w:eastAsiaTheme="minorEastAsia"/>
        </w:rPr>
        <w:t>.</w:t>
      </w:r>
    </w:p>
    <w:p w14:paraId="646FD45B" w14:textId="16027934" w:rsidR="00453612" w:rsidRPr="00EE7BB4" w:rsidRDefault="0017737E" w:rsidP="004A7485">
      <w:pPr>
        <w:pStyle w:val="enumlev1"/>
        <w:rPr>
          <w:rFonts w:eastAsiaTheme="minorEastAsia"/>
        </w:rPr>
      </w:pPr>
      <w:bookmarkStart w:id="96" w:name="lt_pId120"/>
      <w:r w:rsidRPr="00EE7BB4">
        <w:rPr>
          <w:rFonts w:eastAsiaTheme="minorEastAsia"/>
        </w:rPr>
        <w:t>–</w:t>
      </w:r>
      <w:r w:rsidRPr="00EE7BB4">
        <w:rPr>
          <w:rFonts w:eastAsiaTheme="minorEastAsia"/>
        </w:rPr>
        <w:tab/>
      </w:r>
      <w:r w:rsidR="00C156CC" w:rsidRPr="00EE7BB4">
        <w:rPr>
          <w:rFonts w:eastAsiaTheme="minorEastAsia"/>
        </w:rPr>
        <w:t>UIT</w:t>
      </w:r>
      <w:r w:rsidR="00453612" w:rsidRPr="00EE7BB4">
        <w:rPr>
          <w:rFonts w:eastAsiaTheme="minorEastAsia"/>
        </w:rPr>
        <w:t xml:space="preserve">-T E.118 </w:t>
      </w:r>
      <w:r w:rsidR="00970DC0" w:rsidRPr="00EE7BB4">
        <w:rPr>
          <w:rFonts w:eastAsiaTheme="minorEastAsia"/>
        </w:rPr>
        <w:t>"</w:t>
      </w:r>
      <w:r w:rsidR="00C156CC" w:rsidRPr="00EE7BB4">
        <w:rPr>
          <w:rFonts w:eastAsiaTheme="minorEastAsia"/>
        </w:rPr>
        <w:t>Tarjeta con cargo a cuenta para telecomunicaciones internacionales</w:t>
      </w:r>
      <w:r w:rsidR="00970DC0" w:rsidRPr="00EE7BB4">
        <w:rPr>
          <w:rFonts w:eastAsiaTheme="minorEastAsia"/>
        </w:rPr>
        <w:t>"</w:t>
      </w:r>
      <w:bookmarkEnd w:id="96"/>
      <w:r w:rsidR="004A7485" w:rsidRPr="00EE7BB4">
        <w:rPr>
          <w:rFonts w:eastAsiaTheme="minorEastAsia"/>
        </w:rPr>
        <w:t>.</w:t>
      </w:r>
    </w:p>
    <w:p w14:paraId="31328CBD" w14:textId="62D67D28" w:rsidR="00453612" w:rsidRPr="00EE7BB4" w:rsidRDefault="0017737E" w:rsidP="004A7485">
      <w:pPr>
        <w:pStyle w:val="enumlev1"/>
        <w:rPr>
          <w:rFonts w:eastAsiaTheme="minorEastAsia"/>
        </w:rPr>
      </w:pPr>
      <w:bookmarkStart w:id="97" w:name="lt_pId121"/>
      <w:r w:rsidRPr="00EE7BB4">
        <w:rPr>
          <w:rFonts w:eastAsiaTheme="minorEastAsia"/>
        </w:rPr>
        <w:t>–</w:t>
      </w:r>
      <w:r w:rsidRPr="00EE7BB4">
        <w:rPr>
          <w:rFonts w:eastAsiaTheme="minorEastAsia"/>
        </w:rPr>
        <w:tab/>
      </w:r>
      <w:r w:rsidR="00C156CC" w:rsidRPr="00EE7BB4">
        <w:rPr>
          <w:rFonts w:eastAsiaTheme="minorEastAsia"/>
        </w:rPr>
        <w:t>UIT</w:t>
      </w:r>
      <w:r w:rsidR="00453612" w:rsidRPr="00EE7BB4">
        <w:rPr>
          <w:rFonts w:eastAsiaTheme="minorEastAsia"/>
        </w:rPr>
        <w:t xml:space="preserve">-T E.212 </w:t>
      </w:r>
      <w:r w:rsidR="00970DC0" w:rsidRPr="00EE7BB4">
        <w:rPr>
          <w:rFonts w:eastAsiaTheme="minorEastAsia"/>
        </w:rPr>
        <w:t>"</w:t>
      </w:r>
      <w:r w:rsidR="00C156CC" w:rsidRPr="00EE7BB4">
        <w:rPr>
          <w:rFonts w:eastAsiaTheme="minorEastAsia"/>
        </w:rPr>
        <w:t>Plan de identificación internacional para redes públicas y suscripciones</w:t>
      </w:r>
      <w:r w:rsidR="00970DC0" w:rsidRPr="00EE7BB4">
        <w:rPr>
          <w:rFonts w:eastAsiaTheme="minorEastAsia"/>
        </w:rPr>
        <w:t>"</w:t>
      </w:r>
      <w:bookmarkEnd w:id="97"/>
      <w:r w:rsidR="004A7485" w:rsidRPr="00EE7BB4">
        <w:rPr>
          <w:rFonts w:eastAsiaTheme="minorEastAsia"/>
        </w:rPr>
        <w:t>.</w:t>
      </w:r>
    </w:p>
    <w:p w14:paraId="7B4DF4CA" w14:textId="78F8FA09" w:rsidR="00453612" w:rsidRPr="00EE7BB4" w:rsidRDefault="0017737E" w:rsidP="004A7485">
      <w:pPr>
        <w:pStyle w:val="enumlev1"/>
        <w:rPr>
          <w:rFonts w:eastAsiaTheme="minorEastAsia"/>
        </w:rPr>
      </w:pPr>
      <w:bookmarkStart w:id="98" w:name="lt_pId122"/>
      <w:r w:rsidRPr="00EE7BB4">
        <w:rPr>
          <w:rFonts w:eastAsiaTheme="minorEastAsia"/>
        </w:rPr>
        <w:t>–</w:t>
      </w:r>
      <w:r w:rsidRPr="00EE7BB4">
        <w:rPr>
          <w:rFonts w:eastAsiaTheme="minorEastAsia"/>
        </w:rPr>
        <w:tab/>
      </w:r>
      <w:r w:rsidR="00C156CC" w:rsidRPr="00EE7BB4">
        <w:rPr>
          <w:rFonts w:eastAsiaTheme="minorEastAsia"/>
        </w:rPr>
        <w:t>UIT</w:t>
      </w:r>
      <w:r w:rsidR="00453612" w:rsidRPr="00EE7BB4">
        <w:rPr>
          <w:rFonts w:eastAsiaTheme="minorEastAsia"/>
        </w:rPr>
        <w:t xml:space="preserve">-T E.218 </w:t>
      </w:r>
      <w:r w:rsidR="00970DC0" w:rsidRPr="00EE7BB4">
        <w:rPr>
          <w:rFonts w:eastAsiaTheme="minorEastAsia"/>
        </w:rPr>
        <w:t>"</w:t>
      </w:r>
      <w:r w:rsidR="00C156CC" w:rsidRPr="00EE7BB4">
        <w:rPr>
          <w:rFonts w:eastAsiaTheme="minorEastAsia"/>
        </w:rPr>
        <w:t>Gestión de la atribución de indicativos de país para el servicio móvil de radiocomunicación con concentración de enlaces terrenales</w:t>
      </w:r>
      <w:r w:rsidR="00970DC0" w:rsidRPr="00EE7BB4">
        <w:rPr>
          <w:rFonts w:eastAsiaTheme="minorEastAsia"/>
        </w:rPr>
        <w:t>"</w:t>
      </w:r>
      <w:bookmarkEnd w:id="98"/>
      <w:r w:rsidR="004A7485" w:rsidRPr="00EE7BB4">
        <w:rPr>
          <w:rFonts w:eastAsiaTheme="minorEastAsia"/>
        </w:rPr>
        <w:t>.</w:t>
      </w:r>
    </w:p>
    <w:p w14:paraId="78B4EA2E" w14:textId="732B78AF" w:rsidR="00453612" w:rsidRPr="00EE7BB4" w:rsidRDefault="0017737E" w:rsidP="004A7485">
      <w:pPr>
        <w:pStyle w:val="enumlev1"/>
        <w:rPr>
          <w:rFonts w:eastAsiaTheme="minorEastAsia"/>
        </w:rPr>
      </w:pPr>
      <w:bookmarkStart w:id="99" w:name="lt_pId123"/>
      <w:r w:rsidRPr="00EE7BB4">
        <w:rPr>
          <w:rFonts w:eastAsiaTheme="minorEastAsia"/>
        </w:rPr>
        <w:t>–</w:t>
      </w:r>
      <w:r w:rsidRPr="00EE7BB4">
        <w:rPr>
          <w:rFonts w:eastAsiaTheme="minorEastAsia"/>
        </w:rPr>
        <w:tab/>
      </w:r>
      <w:r w:rsidR="00C156CC" w:rsidRPr="00EE7BB4">
        <w:rPr>
          <w:rFonts w:eastAsiaTheme="minorEastAsia"/>
        </w:rPr>
        <w:t>UIT</w:t>
      </w:r>
      <w:r w:rsidR="00453612" w:rsidRPr="00EE7BB4">
        <w:rPr>
          <w:rFonts w:eastAsiaTheme="minorEastAsia"/>
        </w:rPr>
        <w:t xml:space="preserve">-T Q.708 </w:t>
      </w:r>
      <w:r w:rsidR="00970DC0" w:rsidRPr="00EE7BB4">
        <w:rPr>
          <w:rFonts w:eastAsiaTheme="minorEastAsia"/>
        </w:rPr>
        <w:t>"</w:t>
      </w:r>
      <w:r w:rsidR="00C156CC" w:rsidRPr="00EE7BB4">
        <w:rPr>
          <w:rFonts w:eastAsiaTheme="minorEastAsia"/>
        </w:rPr>
        <w:t>Procedimientos de asignación de códigos de puntos de señalización internacional</w:t>
      </w:r>
      <w:r w:rsidR="00970DC0" w:rsidRPr="00EE7BB4">
        <w:rPr>
          <w:rFonts w:eastAsiaTheme="minorEastAsia"/>
        </w:rPr>
        <w:t>"</w:t>
      </w:r>
      <w:r w:rsidR="00453612" w:rsidRPr="00EE7BB4">
        <w:rPr>
          <w:rFonts w:eastAsiaTheme="minorEastAsia"/>
        </w:rPr>
        <w:t>.</w:t>
      </w:r>
      <w:bookmarkEnd w:id="99"/>
    </w:p>
    <w:p w14:paraId="4F88F034" w14:textId="43899DB7" w:rsidR="00453612" w:rsidRPr="00EE7BB4" w:rsidRDefault="00453612" w:rsidP="004A7485">
      <w:pPr>
        <w:tabs>
          <w:tab w:val="clear" w:pos="567"/>
          <w:tab w:val="left" w:pos="851"/>
        </w:tabs>
      </w:pPr>
      <w:r w:rsidRPr="00EE7BB4">
        <w:t>3.2.3</w:t>
      </w:r>
      <w:r w:rsidRPr="00EE7BB4">
        <w:tab/>
      </w:r>
      <w:bookmarkStart w:id="100" w:name="lt_pId125"/>
      <w:r w:rsidR="00410651" w:rsidRPr="00EE7BB4">
        <w:t xml:space="preserve">La Recomendación </w:t>
      </w:r>
      <w:r w:rsidR="00C156CC" w:rsidRPr="00EE7BB4">
        <w:t>UIT</w:t>
      </w:r>
      <w:r w:rsidRPr="00EE7BB4">
        <w:t xml:space="preserve">-T E.156 </w:t>
      </w:r>
      <w:r w:rsidR="00970DC0" w:rsidRPr="00EE7BB4">
        <w:t>"</w:t>
      </w:r>
      <w:r w:rsidR="00C156CC" w:rsidRPr="00EE7BB4">
        <w:t>Directrices para la actuación del UIT-T cuando se le notifique una utilización indebida de recursos de numeración E.164</w:t>
      </w:r>
      <w:r w:rsidR="00970DC0" w:rsidRPr="00EE7BB4">
        <w:t>"</w:t>
      </w:r>
      <w:r w:rsidRPr="00EE7BB4">
        <w:t xml:space="preserve"> </w:t>
      </w:r>
      <w:r w:rsidR="00C156CC" w:rsidRPr="00EE7BB4">
        <w:t>se está revisando para integrar nuevos casos de utilización indebida y explorar medios más eficaces de luchar contra la utilización indebida</w:t>
      </w:r>
      <w:bookmarkEnd w:id="100"/>
      <w:r w:rsidR="00C156CC" w:rsidRPr="00EE7BB4">
        <w:t>.</w:t>
      </w:r>
    </w:p>
    <w:p w14:paraId="5373E0B8" w14:textId="21A0C07D" w:rsidR="00453612" w:rsidRPr="00EE7BB4" w:rsidRDefault="00453612" w:rsidP="004A7485">
      <w:pPr>
        <w:tabs>
          <w:tab w:val="clear" w:pos="567"/>
          <w:tab w:val="left" w:pos="851"/>
        </w:tabs>
        <w:rPr>
          <w:rFonts w:eastAsiaTheme="minorEastAsia"/>
          <w:lang w:eastAsia="zh-CN"/>
        </w:rPr>
      </w:pPr>
      <w:r w:rsidRPr="00EE7BB4">
        <w:t>3.2.4</w:t>
      </w:r>
      <w:r w:rsidRPr="00EE7BB4">
        <w:tab/>
      </w:r>
      <w:r w:rsidR="00371113" w:rsidRPr="00EE7BB4">
        <w:t>Se ha creado un prototipo de nuevo repositorio de los planes nacionales de numeración, que puede consultarse en</w:t>
      </w:r>
      <w:r w:rsidRPr="00EE7BB4">
        <w:t xml:space="preserve">: </w:t>
      </w:r>
      <w:hyperlink r:id="rId32" w:history="1">
        <w:r w:rsidRPr="00EE7BB4">
          <w:rPr>
            <w:rStyle w:val="Hyperlink"/>
            <w:rFonts w:asciiTheme="minorHAnsi" w:hAnsiTheme="minorHAnsi" w:cstheme="minorHAnsi"/>
            <w:szCs w:val="24"/>
          </w:rPr>
          <w:t>https://www.itu.int/net4/itu-t/nnp</w:t>
        </w:r>
      </w:hyperlink>
      <w:r w:rsidRPr="00EE7BB4">
        <w:t xml:space="preserve">. </w:t>
      </w:r>
      <w:r w:rsidR="00371113" w:rsidRPr="00EE7BB4">
        <w:t>Este prototipo responde a la Resolución 91 de la AMNT</w:t>
      </w:r>
      <w:r w:rsidRPr="00EE7BB4">
        <w:rPr>
          <w:rFonts w:eastAsia="SimSun"/>
        </w:rPr>
        <w:t xml:space="preserve"> (</w:t>
      </w:r>
      <w:proofErr w:type="spellStart"/>
      <w:r w:rsidRPr="00EE7BB4">
        <w:rPr>
          <w:rFonts w:eastAsia="SimSun"/>
        </w:rPr>
        <w:t>Hammamet</w:t>
      </w:r>
      <w:proofErr w:type="spellEnd"/>
      <w:r w:rsidRPr="00EE7BB4">
        <w:rPr>
          <w:rFonts w:eastAsia="SimSun"/>
        </w:rPr>
        <w:t>, 2016)</w:t>
      </w:r>
      <w:r w:rsidR="00371113" w:rsidRPr="00EE7BB4">
        <w:rPr>
          <w:rFonts w:eastAsia="SimSun"/>
        </w:rPr>
        <w:t xml:space="preserve">, </w:t>
      </w:r>
      <w:r w:rsidR="00970DC0" w:rsidRPr="00EE7BB4">
        <w:rPr>
          <w:rFonts w:eastAsia="SimSun"/>
        </w:rPr>
        <w:t>"</w:t>
      </w:r>
      <w:r w:rsidR="00371113" w:rsidRPr="00EE7BB4">
        <w:rPr>
          <w:rFonts w:eastAsia="SimSun"/>
        </w:rPr>
        <w:t>Mejora del acceso a un repositorio electrónico de información sobre planes de numeración publicados por el UIT-T</w:t>
      </w:r>
      <w:r w:rsidR="00970DC0" w:rsidRPr="00EE7BB4">
        <w:rPr>
          <w:rFonts w:eastAsia="SimSun"/>
        </w:rPr>
        <w:t>"</w:t>
      </w:r>
      <w:r w:rsidR="00371113" w:rsidRPr="00EE7BB4">
        <w:rPr>
          <w:rFonts w:eastAsia="SimSun"/>
        </w:rPr>
        <w:t>.</w:t>
      </w:r>
    </w:p>
    <w:p w14:paraId="1F80C6EA" w14:textId="225FBF87" w:rsidR="00453612" w:rsidRPr="00EE7BB4" w:rsidRDefault="00453612" w:rsidP="004A7485">
      <w:pPr>
        <w:tabs>
          <w:tab w:val="clear" w:pos="567"/>
          <w:tab w:val="left" w:pos="851"/>
        </w:tabs>
        <w:rPr>
          <w:rFonts w:eastAsiaTheme="minorEastAsia"/>
          <w:lang w:eastAsia="zh-CN"/>
        </w:rPr>
      </w:pPr>
      <w:r w:rsidRPr="00EE7BB4">
        <w:rPr>
          <w:rFonts w:eastAsiaTheme="minorEastAsia"/>
          <w:lang w:eastAsia="zh-CN"/>
        </w:rPr>
        <w:t>3.2.5</w:t>
      </w:r>
      <w:r w:rsidRPr="00EE7BB4">
        <w:rPr>
          <w:rFonts w:eastAsiaTheme="minorEastAsia"/>
          <w:lang w:eastAsia="zh-CN"/>
        </w:rPr>
        <w:tab/>
      </w:r>
      <w:bookmarkStart w:id="101" w:name="lt_pId128"/>
      <w:r w:rsidR="00371113" w:rsidRPr="00EE7BB4">
        <w:rPr>
          <w:rFonts w:eastAsiaTheme="minorEastAsia"/>
          <w:lang w:eastAsia="zh-CN"/>
        </w:rPr>
        <w:t xml:space="preserve">Al </w:t>
      </w:r>
      <w:r w:rsidR="00371113" w:rsidRPr="00EE7BB4">
        <w:t>aumentar</w:t>
      </w:r>
      <w:r w:rsidR="00371113" w:rsidRPr="00EE7BB4">
        <w:rPr>
          <w:rFonts w:eastAsiaTheme="minorEastAsia"/>
          <w:lang w:eastAsia="zh-CN"/>
        </w:rPr>
        <w:t xml:space="preserve"> el número de empresas que solicita códigos compartidos</w:t>
      </w:r>
      <w:r w:rsidRPr="00EE7BB4">
        <w:rPr>
          <w:rFonts w:eastAsiaTheme="minorEastAsia"/>
          <w:lang w:eastAsia="zh-CN"/>
        </w:rPr>
        <w:t xml:space="preserve"> (E.212 </w:t>
      </w:r>
      <w:r w:rsidR="00371113" w:rsidRPr="00EE7BB4">
        <w:rPr>
          <w:rFonts w:eastAsiaTheme="minorEastAsia"/>
          <w:lang w:eastAsia="zh-CN"/>
        </w:rPr>
        <w:t>y</w:t>
      </w:r>
      <w:r w:rsidRPr="00EE7BB4">
        <w:rPr>
          <w:rFonts w:eastAsiaTheme="minorEastAsia"/>
          <w:lang w:eastAsia="zh-CN"/>
        </w:rPr>
        <w:t xml:space="preserve"> E.164), </w:t>
      </w:r>
      <w:r w:rsidR="00371113" w:rsidRPr="00EE7BB4">
        <w:rPr>
          <w:rFonts w:eastAsiaTheme="minorEastAsia"/>
          <w:lang w:eastAsia="zh-CN"/>
        </w:rPr>
        <w:t>el Equipo de Coordinación de Numeración</w:t>
      </w:r>
      <w:r w:rsidRPr="00EE7BB4">
        <w:rPr>
          <w:rFonts w:eastAsiaTheme="minorEastAsia"/>
          <w:lang w:eastAsia="zh-CN"/>
        </w:rPr>
        <w:t xml:space="preserve"> (NCT) ha</w:t>
      </w:r>
      <w:r w:rsidR="00371113" w:rsidRPr="00EE7BB4">
        <w:rPr>
          <w:rFonts w:eastAsiaTheme="minorEastAsia"/>
          <w:lang w:eastAsia="zh-CN"/>
        </w:rPr>
        <w:t xml:space="preserve"> experimentado un aumento notable de su carga de trabajo. El</w:t>
      </w:r>
      <w:bookmarkStart w:id="102" w:name="lt_pId129"/>
      <w:bookmarkEnd w:id="101"/>
      <w:r w:rsidRPr="00EE7BB4">
        <w:rPr>
          <w:rFonts w:eastAsiaTheme="minorEastAsia"/>
          <w:lang w:eastAsia="zh-CN"/>
        </w:rPr>
        <w:t xml:space="preserve"> NCT </w:t>
      </w:r>
      <w:r w:rsidR="00371113" w:rsidRPr="00EE7BB4">
        <w:rPr>
          <w:rFonts w:eastAsiaTheme="minorEastAsia"/>
          <w:lang w:eastAsia="zh-CN"/>
        </w:rPr>
        <w:t>cuenta con el apoyo de la</w:t>
      </w:r>
      <w:r w:rsidRPr="00EE7BB4">
        <w:rPr>
          <w:rFonts w:eastAsiaTheme="minorEastAsia"/>
          <w:lang w:eastAsia="zh-CN"/>
        </w:rPr>
        <w:t xml:space="preserve"> TSB</w:t>
      </w:r>
      <w:r w:rsidR="00371113" w:rsidRPr="00EE7BB4">
        <w:rPr>
          <w:rFonts w:eastAsiaTheme="minorEastAsia"/>
          <w:lang w:eastAsia="zh-CN"/>
        </w:rPr>
        <w:t>, pues el Consejero de la CE</w:t>
      </w:r>
      <w:r w:rsidR="00BA1649" w:rsidRPr="00EE7BB4">
        <w:rPr>
          <w:rFonts w:eastAsiaTheme="minorEastAsia"/>
          <w:lang w:eastAsia="zh-CN"/>
        </w:rPr>
        <w:t xml:space="preserve"> </w:t>
      </w:r>
      <w:r w:rsidR="00371113" w:rsidRPr="00EE7BB4">
        <w:rPr>
          <w:rFonts w:eastAsiaTheme="minorEastAsia"/>
          <w:lang w:eastAsia="zh-CN"/>
        </w:rPr>
        <w:t xml:space="preserve">2 brinda su asesoramiento técnico y la TSB gestiona el flujo de solicitudes, desde su presentación hasta la asignación, dentro de los plazos definidos por las Recomendaciones UIT-T pertinentes en vigor. En el Anexo </w:t>
      </w:r>
      <w:r w:rsidR="004C26E6" w:rsidRPr="00EE7BB4">
        <w:rPr>
          <w:rFonts w:eastAsiaTheme="minorEastAsia"/>
          <w:lang w:eastAsia="zh-CN"/>
        </w:rPr>
        <w:t>5</w:t>
      </w:r>
      <w:r w:rsidR="00371113" w:rsidRPr="00EE7BB4">
        <w:rPr>
          <w:rFonts w:eastAsiaTheme="minorEastAsia"/>
          <w:lang w:eastAsia="zh-CN"/>
        </w:rPr>
        <w:t xml:space="preserve"> se muestra el crecimiento del número de empresas que solicitan</w:t>
      </w:r>
      <w:bookmarkStart w:id="103" w:name="lt_pId130"/>
      <w:bookmarkEnd w:id="102"/>
      <w:r w:rsidRPr="00EE7BB4">
        <w:rPr>
          <w:rFonts w:eastAsiaTheme="minorEastAsia"/>
          <w:lang w:eastAsia="zh-CN"/>
        </w:rPr>
        <w:t xml:space="preserve"> INR.</w:t>
      </w:r>
      <w:bookmarkEnd w:id="103"/>
    </w:p>
    <w:p w14:paraId="2A5BD135" w14:textId="38E04524" w:rsidR="00453612" w:rsidRPr="00EE7BB4" w:rsidRDefault="00453612" w:rsidP="004A7485">
      <w:pPr>
        <w:tabs>
          <w:tab w:val="clear" w:pos="567"/>
          <w:tab w:val="left" w:pos="851"/>
        </w:tabs>
        <w:rPr>
          <w:rFonts w:eastAsiaTheme="minorEastAsia"/>
          <w:lang w:eastAsia="zh-CN"/>
        </w:rPr>
      </w:pPr>
      <w:r w:rsidRPr="00EE7BB4">
        <w:rPr>
          <w:rFonts w:eastAsiaTheme="minorEastAsia"/>
          <w:lang w:eastAsia="zh-CN"/>
        </w:rPr>
        <w:t>3.2.6</w:t>
      </w:r>
      <w:r w:rsidRPr="00EE7BB4">
        <w:rPr>
          <w:rFonts w:eastAsiaTheme="minorEastAsia"/>
          <w:lang w:eastAsia="zh-CN"/>
        </w:rPr>
        <w:tab/>
      </w:r>
      <w:bookmarkStart w:id="104" w:name="lt_pId132"/>
      <w:r w:rsidR="00371113" w:rsidRPr="00EE7BB4">
        <w:rPr>
          <w:rFonts w:eastAsiaTheme="minorEastAsia"/>
          <w:lang w:eastAsia="zh-CN"/>
        </w:rPr>
        <w:t xml:space="preserve">La </w:t>
      </w:r>
      <w:r w:rsidRPr="00EE7BB4">
        <w:rPr>
          <w:rFonts w:eastAsiaTheme="minorEastAsia"/>
          <w:lang w:eastAsia="zh-CN"/>
        </w:rPr>
        <w:t>TSB ha</w:t>
      </w:r>
      <w:r w:rsidR="00371113" w:rsidRPr="00EE7BB4">
        <w:rPr>
          <w:rFonts w:eastAsiaTheme="minorEastAsia"/>
          <w:lang w:eastAsia="zh-CN"/>
        </w:rPr>
        <w:t xml:space="preserve"> experimentado un aumento drástico de las necesidades de recursos para responder oportunamente a las solicitudes de notificación de los Estados Miembros, la publicación del Boletín de Explotación en los seis idiomas cada dos semanas, la aplicación de la Resolución 91 de la AMNT sobre los PNN y la gestión de las solicitudes de nuevas empresas a través del</w:t>
      </w:r>
      <w:r w:rsidRPr="00EE7BB4">
        <w:rPr>
          <w:rFonts w:eastAsiaTheme="minorEastAsia"/>
          <w:lang w:eastAsia="zh-CN"/>
        </w:rPr>
        <w:t xml:space="preserve"> NCT.</w:t>
      </w:r>
      <w:bookmarkEnd w:id="104"/>
    </w:p>
    <w:p w14:paraId="1F759BB3" w14:textId="0EC93B2A" w:rsidR="00453612" w:rsidRPr="00EE7BB4" w:rsidRDefault="00453612" w:rsidP="004A7485">
      <w:pPr>
        <w:tabs>
          <w:tab w:val="clear" w:pos="567"/>
          <w:tab w:val="left" w:pos="851"/>
        </w:tabs>
        <w:rPr>
          <w:rFonts w:eastAsiaTheme="minorEastAsia"/>
          <w:lang w:eastAsia="zh-CN"/>
        </w:rPr>
      </w:pPr>
      <w:r w:rsidRPr="00EE7BB4">
        <w:rPr>
          <w:rFonts w:eastAsiaTheme="minorEastAsia"/>
          <w:lang w:eastAsia="zh-CN"/>
        </w:rPr>
        <w:t>3.2.7</w:t>
      </w:r>
      <w:r w:rsidRPr="00EE7BB4">
        <w:rPr>
          <w:rFonts w:eastAsiaTheme="minorEastAsia"/>
          <w:lang w:eastAsia="zh-CN"/>
        </w:rPr>
        <w:tab/>
      </w:r>
      <w:bookmarkStart w:id="105" w:name="lt_pId134"/>
      <w:r w:rsidR="0094480C" w:rsidRPr="00EE7BB4">
        <w:rPr>
          <w:rFonts w:eastAsiaTheme="minorEastAsia"/>
          <w:lang w:eastAsia="zh-CN"/>
        </w:rPr>
        <w:t xml:space="preserve">La TSB solicita </w:t>
      </w:r>
      <w:r w:rsidR="00371113" w:rsidRPr="00EE7BB4">
        <w:rPr>
          <w:rFonts w:eastAsiaTheme="minorEastAsia"/>
          <w:lang w:eastAsia="zh-CN"/>
        </w:rPr>
        <w:t xml:space="preserve">poder dotar un </w:t>
      </w:r>
      <w:r w:rsidR="00371113" w:rsidRPr="00EE7BB4">
        <w:rPr>
          <w:rFonts w:eastAsiaTheme="minorEastAsia"/>
          <w:b/>
          <w:bCs/>
          <w:lang w:eastAsia="zh-CN"/>
        </w:rPr>
        <w:t>puesto</w:t>
      </w:r>
      <w:r w:rsidRPr="00EE7BB4">
        <w:rPr>
          <w:rFonts w:eastAsiaTheme="minorEastAsia"/>
          <w:lang w:eastAsia="zh-CN"/>
        </w:rPr>
        <w:t xml:space="preserve"> </w:t>
      </w:r>
      <w:r w:rsidRPr="00EE7BB4">
        <w:rPr>
          <w:rFonts w:eastAsiaTheme="minorEastAsia"/>
          <w:b/>
          <w:bCs/>
          <w:lang w:eastAsia="zh-CN"/>
        </w:rPr>
        <w:t>P2</w:t>
      </w:r>
      <w:r w:rsidRPr="00EE7BB4">
        <w:rPr>
          <w:rFonts w:eastAsiaTheme="minorEastAsia"/>
          <w:lang w:eastAsia="zh-CN"/>
        </w:rPr>
        <w:t xml:space="preserve"> </w:t>
      </w:r>
      <w:r w:rsidR="00371113" w:rsidRPr="00EE7BB4">
        <w:rPr>
          <w:rFonts w:eastAsiaTheme="minorEastAsia"/>
          <w:lang w:eastAsia="zh-CN"/>
        </w:rPr>
        <w:t>adicional para las cada vez más numerosas actividades relativas a la numeración</w:t>
      </w:r>
      <w:r w:rsidRPr="00EE7BB4">
        <w:rPr>
          <w:rFonts w:eastAsiaTheme="minorEastAsia"/>
          <w:lang w:eastAsia="zh-CN"/>
        </w:rPr>
        <w:t>.</w:t>
      </w:r>
      <w:bookmarkEnd w:id="105"/>
    </w:p>
    <w:p w14:paraId="7DE2D367" w14:textId="6B0F04FB" w:rsidR="00453612" w:rsidRPr="00EE7BB4" w:rsidRDefault="00453612" w:rsidP="00FA2653">
      <w:pPr>
        <w:pStyle w:val="Heading2"/>
        <w:rPr>
          <w:rFonts w:eastAsiaTheme="minorEastAsia"/>
          <w:lang w:eastAsia="zh-CN"/>
        </w:rPr>
      </w:pPr>
      <w:bookmarkStart w:id="106" w:name="_Toc37930309"/>
      <w:bookmarkStart w:id="107" w:name="_Toc39047652"/>
      <w:bookmarkStart w:id="108" w:name="_Toc54968538"/>
      <w:r w:rsidRPr="00EE7BB4">
        <w:rPr>
          <w:rFonts w:eastAsiaTheme="minorEastAsia"/>
          <w:lang w:eastAsia="zh-CN"/>
        </w:rPr>
        <w:lastRenderedPageBreak/>
        <w:t>3.3</w:t>
      </w:r>
      <w:r w:rsidRPr="00EE7BB4">
        <w:rPr>
          <w:rFonts w:eastAsiaTheme="minorEastAsia"/>
          <w:lang w:eastAsia="zh-CN"/>
        </w:rPr>
        <w:tab/>
      </w:r>
      <w:bookmarkStart w:id="109" w:name="lt_pId136"/>
      <w:r w:rsidR="00371113" w:rsidRPr="00EE7BB4">
        <w:rPr>
          <w:rFonts w:eastAsiaTheme="minorEastAsia"/>
          <w:lang w:eastAsia="zh-CN"/>
        </w:rPr>
        <w:t xml:space="preserve">Los servicios financieros digitales pueden integrar a 2 mil millones de </w:t>
      </w:r>
      <w:proofErr w:type="spellStart"/>
      <w:r w:rsidR="00371113" w:rsidRPr="00EE7BB4">
        <w:rPr>
          <w:rFonts w:eastAsiaTheme="minorEastAsia"/>
          <w:lang w:eastAsia="zh-CN"/>
        </w:rPr>
        <w:t>desbancarizados</w:t>
      </w:r>
      <w:proofErr w:type="spellEnd"/>
      <w:r w:rsidR="00371113" w:rsidRPr="00EE7BB4">
        <w:rPr>
          <w:rFonts w:eastAsiaTheme="minorEastAsia"/>
          <w:lang w:eastAsia="zh-CN"/>
        </w:rPr>
        <w:t xml:space="preserve"> en la economía</w:t>
      </w:r>
      <w:bookmarkEnd w:id="106"/>
      <w:bookmarkEnd w:id="109"/>
      <w:bookmarkEnd w:id="107"/>
      <w:bookmarkEnd w:id="108"/>
    </w:p>
    <w:p w14:paraId="01D50B29" w14:textId="10CA5FB4" w:rsidR="00453612" w:rsidRPr="00EE7BB4" w:rsidRDefault="00453612" w:rsidP="00FE4E5B">
      <w:pPr>
        <w:tabs>
          <w:tab w:val="clear" w:pos="567"/>
          <w:tab w:val="left" w:pos="851"/>
        </w:tabs>
        <w:rPr>
          <w:rFonts w:eastAsiaTheme="minorEastAsia"/>
          <w:lang w:eastAsia="zh-CN"/>
        </w:rPr>
      </w:pPr>
      <w:r w:rsidRPr="00EE7BB4">
        <w:rPr>
          <w:rFonts w:eastAsiaTheme="minorEastAsia"/>
          <w:lang w:eastAsia="zh-CN"/>
        </w:rPr>
        <w:t>3.3.1</w:t>
      </w:r>
      <w:r w:rsidRPr="00EE7BB4">
        <w:rPr>
          <w:rFonts w:eastAsiaTheme="minorEastAsia"/>
          <w:lang w:eastAsia="zh-CN"/>
        </w:rPr>
        <w:tab/>
      </w:r>
      <w:bookmarkStart w:id="110" w:name="lt_pId138"/>
      <w:r w:rsidR="00D01286" w:rsidRPr="00EE7BB4">
        <w:rPr>
          <w:rFonts w:eastAsiaTheme="minorEastAsia"/>
          <w:lang w:eastAsia="zh-CN"/>
        </w:rPr>
        <w:t xml:space="preserve">A día de hoy hay en el mundo cerca de 2 mil millones de personas </w:t>
      </w:r>
      <w:proofErr w:type="spellStart"/>
      <w:r w:rsidR="00D01286" w:rsidRPr="00EE7BB4">
        <w:rPr>
          <w:rFonts w:eastAsiaTheme="minorEastAsia"/>
          <w:lang w:eastAsia="zh-CN"/>
        </w:rPr>
        <w:t>desbancarizadas</w:t>
      </w:r>
      <w:proofErr w:type="spellEnd"/>
      <w:r w:rsidR="00D01286" w:rsidRPr="00EE7BB4">
        <w:rPr>
          <w:rFonts w:eastAsiaTheme="minorEastAsia"/>
          <w:lang w:eastAsia="zh-CN"/>
        </w:rPr>
        <w:t>. De</w:t>
      </w:r>
      <w:r w:rsidR="00FE4E5B" w:rsidRPr="00EE7BB4">
        <w:rPr>
          <w:rFonts w:eastAsiaTheme="minorEastAsia"/>
          <w:lang w:eastAsia="zh-CN"/>
        </w:rPr>
        <w:t> </w:t>
      </w:r>
      <w:r w:rsidR="00D01286" w:rsidRPr="00EE7BB4">
        <w:rPr>
          <w:rFonts w:eastAsiaTheme="minorEastAsia"/>
          <w:lang w:eastAsia="zh-CN"/>
        </w:rPr>
        <w:t xml:space="preserve">ellas, las tres cuartas partes posee un teléfono móvil. La utilización del teléfono móvil como una cuenta bancaria ofrece una oportunidad sin par para integrar en la economía a los </w:t>
      </w:r>
      <w:proofErr w:type="spellStart"/>
      <w:r w:rsidR="00D01286" w:rsidRPr="00EE7BB4">
        <w:rPr>
          <w:rFonts w:eastAsiaTheme="minorEastAsia"/>
          <w:lang w:eastAsia="zh-CN"/>
        </w:rPr>
        <w:t>desbancarizados</w:t>
      </w:r>
      <w:proofErr w:type="spellEnd"/>
      <w:r w:rsidR="00D01286" w:rsidRPr="00EE7BB4">
        <w:rPr>
          <w:rFonts w:eastAsiaTheme="minorEastAsia"/>
          <w:lang w:eastAsia="zh-CN"/>
        </w:rPr>
        <w:t xml:space="preserve"> y mejorar su vida cotidiana</w:t>
      </w:r>
      <w:bookmarkStart w:id="111" w:name="lt_pId140"/>
      <w:bookmarkEnd w:id="110"/>
      <w:r w:rsidRPr="00EE7BB4">
        <w:rPr>
          <w:rFonts w:eastAsiaTheme="minorEastAsia"/>
          <w:lang w:eastAsia="zh-CN"/>
        </w:rPr>
        <w:t>.</w:t>
      </w:r>
      <w:bookmarkEnd w:id="111"/>
    </w:p>
    <w:p w14:paraId="6519D75E" w14:textId="2AA8CAEC" w:rsidR="00453612" w:rsidRPr="00EE7BB4" w:rsidRDefault="00453612" w:rsidP="00FE4E5B">
      <w:pPr>
        <w:tabs>
          <w:tab w:val="clear" w:pos="567"/>
          <w:tab w:val="left" w:pos="851"/>
        </w:tabs>
        <w:rPr>
          <w:rFonts w:eastAsiaTheme="minorEastAsia"/>
          <w:lang w:eastAsia="zh-CN"/>
        </w:rPr>
      </w:pPr>
      <w:r w:rsidRPr="00EE7BB4">
        <w:rPr>
          <w:rFonts w:eastAsiaTheme="minorEastAsia"/>
          <w:lang w:eastAsia="zh-CN"/>
        </w:rPr>
        <w:t>3.3.2</w:t>
      </w:r>
      <w:r w:rsidRPr="00EE7BB4">
        <w:rPr>
          <w:rFonts w:eastAsiaTheme="minorEastAsia"/>
          <w:lang w:eastAsia="zh-CN"/>
        </w:rPr>
        <w:tab/>
      </w:r>
      <w:bookmarkStart w:id="112" w:name="lt_pId142"/>
      <w:r w:rsidR="00D01286" w:rsidRPr="00EE7BB4">
        <w:rPr>
          <w:rFonts w:eastAsiaTheme="minorEastAsia"/>
          <w:lang w:eastAsia="zh-CN"/>
        </w:rPr>
        <w:t xml:space="preserve">Hace unos 15 años empezaron a funcionar los servicios financieros digitales (SFD) en los países en desarrollo: primero en Filipinas y posteriormente en </w:t>
      </w:r>
      <w:proofErr w:type="spellStart"/>
      <w:r w:rsidR="00D01286" w:rsidRPr="00EE7BB4">
        <w:rPr>
          <w:rFonts w:eastAsiaTheme="minorEastAsia"/>
          <w:lang w:eastAsia="zh-CN"/>
        </w:rPr>
        <w:t>Kenya</w:t>
      </w:r>
      <w:proofErr w:type="spellEnd"/>
      <w:r w:rsidR="00D01286" w:rsidRPr="00EE7BB4">
        <w:rPr>
          <w:rFonts w:eastAsiaTheme="minorEastAsia"/>
          <w:lang w:eastAsia="zh-CN"/>
        </w:rPr>
        <w:t xml:space="preserve"> con el ya famoso</w:t>
      </w:r>
      <w:r w:rsidRPr="00EE7BB4">
        <w:rPr>
          <w:rFonts w:eastAsiaTheme="minorEastAsia"/>
          <w:lang w:eastAsia="zh-CN"/>
        </w:rPr>
        <w:t xml:space="preserve"> M-PESA.</w:t>
      </w:r>
      <w:bookmarkEnd w:id="112"/>
      <w:r w:rsidRPr="00EE7BB4">
        <w:rPr>
          <w:rFonts w:eastAsiaTheme="minorEastAsia"/>
          <w:lang w:eastAsia="zh-CN"/>
        </w:rPr>
        <w:t xml:space="preserve"> </w:t>
      </w:r>
      <w:bookmarkStart w:id="113" w:name="lt_pId143"/>
      <w:r w:rsidR="00D01286" w:rsidRPr="00EE7BB4">
        <w:rPr>
          <w:rFonts w:eastAsiaTheme="minorEastAsia"/>
          <w:lang w:eastAsia="zh-CN"/>
        </w:rPr>
        <w:t>Sin</w:t>
      </w:r>
      <w:r w:rsidR="00FE4E5B" w:rsidRPr="00EE7BB4">
        <w:rPr>
          <w:rFonts w:eastAsiaTheme="minorEastAsia"/>
          <w:lang w:eastAsia="zh-CN"/>
        </w:rPr>
        <w:t> </w:t>
      </w:r>
      <w:r w:rsidR="00D01286" w:rsidRPr="00EE7BB4">
        <w:rPr>
          <w:rFonts w:eastAsiaTheme="minorEastAsia"/>
          <w:lang w:eastAsia="zh-CN"/>
        </w:rPr>
        <w:t>embargo, la adopción de los servicios financieros digitales en los países en desarrollo de todo el mundo en los últimos doce años (todavía) no ha cosechado el éxito esperado. Algunos países en desarrollo obtienen mejores resultados que otros a la hora de crear una infraestructura SFD y una cultura SFD. ¿Por qué? ¿Cuál es el secreto para que los SFD funcionen en los países en desarrollo</w:t>
      </w:r>
      <w:bookmarkStart w:id="114" w:name="lt_pId146"/>
      <w:bookmarkEnd w:id="113"/>
      <w:r w:rsidRPr="00EE7BB4">
        <w:rPr>
          <w:rFonts w:eastAsiaTheme="minorEastAsia"/>
          <w:lang w:eastAsia="zh-CN"/>
        </w:rPr>
        <w:t>?</w:t>
      </w:r>
      <w:bookmarkEnd w:id="114"/>
    </w:p>
    <w:p w14:paraId="2B682930" w14:textId="4EBEE281" w:rsidR="00453612" w:rsidRPr="00EE7BB4" w:rsidRDefault="00453612" w:rsidP="00FE4E5B">
      <w:pPr>
        <w:tabs>
          <w:tab w:val="clear" w:pos="567"/>
          <w:tab w:val="left" w:pos="851"/>
        </w:tabs>
        <w:rPr>
          <w:rFonts w:eastAsiaTheme="minorEastAsia"/>
        </w:rPr>
      </w:pPr>
      <w:r w:rsidRPr="00EE7BB4">
        <w:rPr>
          <w:rFonts w:eastAsiaTheme="minorEastAsia"/>
          <w:lang w:eastAsia="zh-CN"/>
        </w:rPr>
        <w:t>3.3.</w:t>
      </w:r>
      <w:r w:rsidR="0017737E" w:rsidRPr="00EE7BB4">
        <w:rPr>
          <w:rFonts w:eastAsiaTheme="minorEastAsia"/>
          <w:lang w:eastAsia="zh-CN"/>
        </w:rPr>
        <w:t>3</w:t>
      </w:r>
      <w:r w:rsidRPr="00EE7BB4">
        <w:rPr>
          <w:rFonts w:eastAsiaTheme="minorEastAsia"/>
          <w:lang w:eastAsia="zh-CN"/>
        </w:rPr>
        <w:tab/>
      </w:r>
      <w:bookmarkStart w:id="115" w:name="lt_pId148"/>
      <w:r w:rsidR="00D01286" w:rsidRPr="00EE7BB4">
        <w:rPr>
          <w:rFonts w:eastAsiaTheme="minorEastAsia"/>
          <w:lang w:eastAsia="zh-CN"/>
        </w:rPr>
        <w:t>La UIT, con la ayuda de la Fundación</w:t>
      </w:r>
      <w:r w:rsidRPr="00EE7BB4">
        <w:rPr>
          <w:rFonts w:eastAsiaTheme="minorEastAsia"/>
          <w:lang w:eastAsia="zh-CN"/>
        </w:rPr>
        <w:t xml:space="preserve"> Bill </w:t>
      </w:r>
      <w:r w:rsidR="00BA1649" w:rsidRPr="00EE7BB4">
        <w:rPr>
          <w:rFonts w:eastAsiaTheme="minorEastAsia"/>
          <w:lang w:eastAsia="zh-CN"/>
        </w:rPr>
        <w:t>y</w:t>
      </w:r>
      <w:r w:rsidRPr="00EE7BB4">
        <w:rPr>
          <w:rFonts w:eastAsiaTheme="minorEastAsia"/>
          <w:lang w:eastAsia="zh-CN"/>
        </w:rPr>
        <w:t xml:space="preserve"> Melinda Gates, </w:t>
      </w:r>
      <w:r w:rsidR="00D01286" w:rsidRPr="00EE7BB4">
        <w:rPr>
          <w:rFonts w:eastAsiaTheme="minorEastAsia"/>
          <w:lang w:eastAsia="zh-CN"/>
        </w:rPr>
        <w:t>está trabajando para responder a esta pregunta. En la Resolución 89 de la AMNT</w:t>
      </w:r>
      <w:bookmarkStart w:id="116" w:name="lt_pId149"/>
      <w:bookmarkEnd w:id="115"/>
      <w:r w:rsidRPr="00EE7BB4">
        <w:rPr>
          <w:rFonts w:eastAsiaTheme="minorEastAsia"/>
          <w:lang w:eastAsia="zh-CN"/>
        </w:rPr>
        <w:t xml:space="preserve">-16 </w:t>
      </w:r>
      <w:r w:rsidR="00D01286" w:rsidRPr="00EE7BB4">
        <w:rPr>
          <w:rFonts w:eastAsiaTheme="minorEastAsia"/>
          <w:lang w:eastAsia="zh-CN"/>
        </w:rPr>
        <w:t>se</w:t>
      </w:r>
      <w:r w:rsidRPr="00EE7BB4">
        <w:rPr>
          <w:rFonts w:eastAsiaTheme="minorEastAsia"/>
          <w:lang w:eastAsia="zh-CN"/>
        </w:rPr>
        <w:t xml:space="preserve"> </w:t>
      </w:r>
      <w:bookmarkEnd w:id="116"/>
      <w:r w:rsidR="0018228C" w:rsidRPr="00EE7BB4">
        <w:rPr>
          <w:rFonts w:eastAsiaTheme="minorEastAsia"/>
          <w:lang w:eastAsia="zh-CN"/>
        </w:rPr>
        <w:t>encarga al Director de la Oficina de Normalización de las Telecomunicaciones en colaboración con los Directores de las demás Oficinas</w:t>
      </w:r>
      <w:r w:rsidR="00D01286" w:rsidRPr="00EE7BB4">
        <w:rPr>
          <w:rFonts w:eastAsiaTheme="minorEastAsia"/>
        </w:rPr>
        <w:t>:</w:t>
      </w:r>
    </w:p>
    <w:p w14:paraId="7AB020C0" w14:textId="614A8FF3" w:rsidR="00453612" w:rsidRPr="00EE7BB4" w:rsidRDefault="0017737E" w:rsidP="00FE4E5B">
      <w:pPr>
        <w:pStyle w:val="enumlev1"/>
        <w:rPr>
          <w:rFonts w:eastAsiaTheme="minorEastAsia"/>
          <w:lang w:eastAsia="zh-CN"/>
        </w:rPr>
      </w:pPr>
      <w:bookmarkStart w:id="117" w:name="lt_pId150"/>
      <w:r w:rsidRPr="00EE7BB4">
        <w:rPr>
          <w:rFonts w:eastAsiaTheme="minorEastAsia"/>
          <w:lang w:eastAsia="zh-CN"/>
        </w:rPr>
        <w:tab/>
      </w:r>
      <w:r w:rsidR="00970DC0" w:rsidRPr="00EE7BB4">
        <w:rPr>
          <w:rFonts w:eastAsiaTheme="minorEastAsia"/>
          <w:lang w:eastAsia="zh-CN"/>
        </w:rPr>
        <w:t>"</w:t>
      </w:r>
      <w:r w:rsidR="00D01286" w:rsidRPr="00EE7BB4">
        <w:rPr>
          <w:rFonts w:eastAsiaTheme="minorEastAsia"/>
          <w:lang w:eastAsia="zh-CN"/>
        </w:rPr>
        <w:t>2</w:t>
      </w:r>
      <w:r w:rsidR="00FE4E5B" w:rsidRPr="00EE7BB4">
        <w:rPr>
          <w:rFonts w:eastAsiaTheme="minorEastAsia"/>
          <w:lang w:eastAsia="zh-CN"/>
        </w:rPr>
        <w:tab/>
      </w:r>
      <w:r w:rsidR="00F86A32" w:rsidRPr="00EE7BB4">
        <w:rPr>
          <w:rFonts w:eastAsiaTheme="minorEastAsia"/>
          <w:lang w:eastAsia="zh-CN"/>
        </w:rPr>
        <w:t>que apoye la elaboración de informes y prácticas idóneas sobre la inclusión financiera digital</w:t>
      </w:r>
      <w:r w:rsidR="00F86A32" w:rsidRPr="00EE7BB4">
        <w:rPr>
          <w:rFonts w:eastAsiaTheme="minorEastAsia"/>
          <w:bCs/>
          <w:lang w:eastAsia="zh-CN"/>
        </w:rPr>
        <w:t xml:space="preserve"> </w:t>
      </w:r>
      <w:r w:rsidR="00453612" w:rsidRPr="00EE7BB4">
        <w:rPr>
          <w:rFonts w:eastAsiaTheme="minorEastAsia"/>
          <w:lang w:eastAsia="zh-CN"/>
        </w:rPr>
        <w:t>[…]</w:t>
      </w:r>
      <w:bookmarkEnd w:id="117"/>
      <w:r w:rsidR="00BE5062" w:rsidRPr="00EE7BB4">
        <w:rPr>
          <w:rFonts w:eastAsiaTheme="minorEastAsia"/>
          <w:lang w:eastAsia="zh-CN"/>
        </w:rPr>
        <w:t>;</w:t>
      </w:r>
    </w:p>
    <w:p w14:paraId="51E558B0" w14:textId="04813D31" w:rsidR="00453612" w:rsidRPr="00EE7BB4" w:rsidRDefault="0017737E" w:rsidP="00FE4E5B">
      <w:pPr>
        <w:pStyle w:val="enumlev1"/>
        <w:rPr>
          <w:rFonts w:asciiTheme="minorHAnsi" w:eastAsiaTheme="minorEastAsia" w:hAnsiTheme="minorHAnsi" w:cstheme="minorHAnsi"/>
          <w:szCs w:val="24"/>
          <w:lang w:eastAsia="zh-CN"/>
        </w:rPr>
      </w:pPr>
      <w:bookmarkStart w:id="118" w:name="lt_pId151"/>
      <w:r w:rsidRPr="00EE7BB4">
        <w:rPr>
          <w:rFonts w:asciiTheme="minorHAnsi" w:eastAsiaTheme="minorEastAsia" w:hAnsiTheme="minorHAnsi" w:cstheme="minorHAnsi"/>
          <w:szCs w:val="24"/>
          <w:lang w:eastAsia="zh-CN"/>
        </w:rPr>
        <w:tab/>
      </w:r>
      <w:r w:rsidR="00F86A32" w:rsidRPr="00EE7BB4">
        <w:rPr>
          <w:rFonts w:asciiTheme="minorHAnsi" w:eastAsiaTheme="minorEastAsia" w:hAnsiTheme="minorHAnsi" w:cstheme="minorHAnsi"/>
          <w:szCs w:val="24"/>
          <w:lang w:eastAsia="zh-CN"/>
        </w:rPr>
        <w:t>3</w:t>
      </w:r>
      <w:r w:rsidR="00F86A32" w:rsidRPr="00EE7BB4">
        <w:rPr>
          <w:rFonts w:asciiTheme="minorHAnsi" w:eastAsiaTheme="minorEastAsia" w:hAnsiTheme="minorHAnsi" w:cstheme="minorHAnsi"/>
          <w:szCs w:val="24"/>
          <w:lang w:eastAsia="zh-CN"/>
        </w:rPr>
        <w:tab/>
        <w:t>que establezca una plataforma o, cuando sea posible, una relación con las ya existentes, para la formación, el diálogo y el intercambio de experiencias entre homólogos con respecto a los servicios financieros digitales entre países y regiones, organismos de reglamentación de los sectores de las telecomunicaciones y los servicios financieros, expertos de la industria y organizaciones internacionales y regionales;</w:t>
      </w:r>
      <w:bookmarkEnd w:id="118"/>
    </w:p>
    <w:p w14:paraId="66884A5A" w14:textId="6D152118" w:rsidR="00453612" w:rsidRPr="00EE7BB4" w:rsidRDefault="0017737E" w:rsidP="00FE4E5B">
      <w:pPr>
        <w:pStyle w:val="enumlev1"/>
        <w:rPr>
          <w:rFonts w:asciiTheme="minorHAnsi" w:eastAsiaTheme="minorEastAsia" w:hAnsiTheme="minorHAnsi" w:cstheme="minorHAnsi"/>
          <w:szCs w:val="24"/>
          <w:lang w:eastAsia="zh-CN"/>
        </w:rPr>
      </w:pPr>
      <w:bookmarkStart w:id="119" w:name="lt_pId153"/>
      <w:r w:rsidRPr="00EE7BB4">
        <w:rPr>
          <w:rFonts w:asciiTheme="minorHAnsi" w:eastAsiaTheme="minorEastAsia" w:hAnsiTheme="minorHAnsi" w:cstheme="minorHAnsi"/>
          <w:szCs w:val="24"/>
          <w:lang w:eastAsia="zh-CN"/>
        </w:rPr>
        <w:tab/>
      </w:r>
      <w:r w:rsidR="00453612" w:rsidRPr="00EE7BB4">
        <w:rPr>
          <w:rFonts w:asciiTheme="minorHAnsi" w:eastAsiaTheme="minorEastAsia" w:hAnsiTheme="minorHAnsi" w:cstheme="minorHAnsi"/>
          <w:szCs w:val="24"/>
          <w:lang w:eastAsia="zh-CN"/>
        </w:rPr>
        <w:t>4</w:t>
      </w:r>
      <w:r w:rsidR="00F86A32" w:rsidRPr="00EE7BB4">
        <w:rPr>
          <w:rFonts w:asciiTheme="minorHAnsi" w:eastAsiaTheme="minorEastAsia" w:hAnsiTheme="minorHAnsi" w:cstheme="minorHAnsi"/>
          <w:szCs w:val="24"/>
          <w:lang w:eastAsia="zh-CN"/>
        </w:rPr>
        <w:tab/>
        <w:t xml:space="preserve">que organice talleres y seminarios para los </w:t>
      </w:r>
      <w:r w:rsidR="00FE4E5B" w:rsidRPr="00EE7BB4">
        <w:rPr>
          <w:rFonts w:asciiTheme="minorHAnsi" w:eastAsiaTheme="minorEastAsia" w:hAnsiTheme="minorHAnsi" w:cstheme="minorHAnsi"/>
          <w:szCs w:val="24"/>
          <w:lang w:eastAsia="zh-CN"/>
        </w:rPr>
        <w:t xml:space="preserve">miembros </w:t>
      </w:r>
      <w:r w:rsidR="00F86A32" w:rsidRPr="00EE7BB4">
        <w:rPr>
          <w:rFonts w:asciiTheme="minorHAnsi" w:eastAsiaTheme="minorEastAsia" w:hAnsiTheme="minorHAnsi" w:cstheme="minorHAnsi"/>
          <w:szCs w:val="24"/>
          <w:lang w:eastAsia="zh-CN"/>
        </w:rPr>
        <w:t>de la UIT en colaboración con otras organizaciones de normalización e instituciones relevantes, responsables principales de la elaboración, implementación y formación relativas a las normas de los servicios financieros, con el fin de fomentar la sensibilización y determinar las necesidades y retos específicos de los reguladores en materia de inclu</w:t>
      </w:r>
      <w:r w:rsidR="00BA1649" w:rsidRPr="00EE7BB4">
        <w:rPr>
          <w:rFonts w:asciiTheme="minorHAnsi" w:eastAsiaTheme="minorEastAsia" w:hAnsiTheme="minorHAnsi" w:cstheme="minorHAnsi"/>
          <w:szCs w:val="24"/>
          <w:lang w:eastAsia="zh-CN"/>
        </w:rPr>
        <w:t>sión financiera</w:t>
      </w:r>
      <w:bookmarkEnd w:id="119"/>
      <w:r w:rsidR="002F6252" w:rsidRPr="00EE7BB4">
        <w:rPr>
          <w:rFonts w:asciiTheme="minorHAnsi" w:eastAsiaTheme="minorEastAsia" w:hAnsiTheme="minorHAnsi" w:cstheme="minorHAnsi"/>
          <w:szCs w:val="24"/>
          <w:lang w:eastAsia="zh-CN"/>
        </w:rPr>
        <w:t>.</w:t>
      </w:r>
      <w:r w:rsidR="00FE4E5B" w:rsidRPr="00EE7BB4">
        <w:rPr>
          <w:rFonts w:asciiTheme="minorHAnsi" w:eastAsiaTheme="minorEastAsia" w:hAnsiTheme="minorHAnsi" w:cstheme="minorHAnsi"/>
          <w:szCs w:val="24"/>
          <w:lang w:eastAsia="zh-CN"/>
        </w:rPr>
        <w:t>"</w:t>
      </w:r>
    </w:p>
    <w:p w14:paraId="1599468D" w14:textId="10AD7A9A" w:rsidR="00453612" w:rsidRPr="00EE7BB4" w:rsidRDefault="00453612" w:rsidP="00FE4E5B">
      <w:pPr>
        <w:tabs>
          <w:tab w:val="clear" w:pos="567"/>
          <w:tab w:val="left" w:pos="851"/>
        </w:tabs>
        <w:rPr>
          <w:rFonts w:eastAsiaTheme="minorEastAsia"/>
        </w:rPr>
      </w:pPr>
      <w:bookmarkStart w:id="120" w:name="lt_pId154"/>
      <w:r w:rsidRPr="00EE7BB4">
        <w:rPr>
          <w:rFonts w:eastAsiaTheme="minorEastAsia"/>
          <w:lang w:eastAsia="zh-CN"/>
        </w:rPr>
        <w:t>3.3.</w:t>
      </w:r>
      <w:r w:rsidR="0017737E" w:rsidRPr="00EE7BB4">
        <w:rPr>
          <w:rFonts w:eastAsiaTheme="minorEastAsia"/>
          <w:lang w:eastAsia="zh-CN"/>
        </w:rPr>
        <w:t>4</w:t>
      </w:r>
      <w:r w:rsidR="0017737E" w:rsidRPr="00EE7BB4">
        <w:rPr>
          <w:rFonts w:eastAsiaTheme="minorEastAsia"/>
          <w:lang w:eastAsia="zh-CN"/>
        </w:rPr>
        <w:tab/>
      </w:r>
      <w:r w:rsidR="00D01286" w:rsidRPr="00EE7BB4">
        <w:rPr>
          <w:rFonts w:eastAsiaTheme="minorEastAsia"/>
          <w:lang w:eastAsia="zh-CN"/>
        </w:rPr>
        <w:t xml:space="preserve">En la Resolución 204 de la </w:t>
      </w:r>
      <w:r w:rsidRPr="00EE7BB4">
        <w:rPr>
          <w:rFonts w:eastAsiaTheme="minorEastAsia"/>
          <w:lang w:eastAsia="zh-CN"/>
        </w:rPr>
        <w:t>PP</w:t>
      </w:r>
      <w:r w:rsidR="00D01286" w:rsidRPr="00EE7BB4">
        <w:rPr>
          <w:rFonts w:eastAsiaTheme="minorEastAsia"/>
          <w:lang w:eastAsia="zh-CN"/>
        </w:rPr>
        <w:t xml:space="preserve"> se encarga a los Directores de la TSB y la</w:t>
      </w:r>
      <w:r w:rsidRPr="00EE7BB4">
        <w:rPr>
          <w:rFonts w:eastAsiaTheme="minorEastAsia"/>
          <w:lang w:eastAsia="zh-CN"/>
        </w:rPr>
        <w:t xml:space="preserve"> </w:t>
      </w:r>
      <w:r w:rsidRPr="00EE7BB4">
        <w:rPr>
          <w:rFonts w:eastAsiaTheme="minorEastAsia"/>
        </w:rPr>
        <w:t>BDT</w:t>
      </w:r>
      <w:bookmarkEnd w:id="120"/>
      <w:r w:rsidR="00BE5062" w:rsidRPr="00EE7BB4">
        <w:rPr>
          <w:rFonts w:eastAsiaTheme="minorEastAsia"/>
        </w:rPr>
        <w:t>:</w:t>
      </w:r>
    </w:p>
    <w:p w14:paraId="34343942" w14:textId="00ADC5C8" w:rsidR="00453612" w:rsidRPr="00EE7BB4" w:rsidRDefault="0017737E" w:rsidP="00FE4E5B">
      <w:pPr>
        <w:pStyle w:val="enumlev1"/>
        <w:rPr>
          <w:rFonts w:asciiTheme="minorHAnsi" w:eastAsiaTheme="minorEastAsia" w:hAnsiTheme="minorHAnsi" w:cstheme="minorHAnsi"/>
          <w:szCs w:val="24"/>
          <w:lang w:eastAsia="zh-CN"/>
        </w:rPr>
      </w:pPr>
      <w:bookmarkStart w:id="121" w:name="lt_pId155"/>
      <w:r w:rsidRPr="00EE7BB4">
        <w:rPr>
          <w:rFonts w:asciiTheme="minorHAnsi" w:eastAsiaTheme="minorEastAsia" w:hAnsiTheme="minorHAnsi" w:cstheme="minorHAnsi"/>
          <w:szCs w:val="24"/>
          <w:lang w:eastAsia="zh-CN"/>
        </w:rPr>
        <w:tab/>
      </w:r>
      <w:r w:rsidR="00FE4E5B" w:rsidRPr="00EE7BB4">
        <w:rPr>
          <w:rFonts w:asciiTheme="minorHAnsi" w:eastAsiaTheme="minorEastAsia" w:hAnsiTheme="minorHAnsi" w:cstheme="minorHAnsi"/>
          <w:szCs w:val="24"/>
          <w:lang w:eastAsia="zh-CN"/>
        </w:rPr>
        <w:t>"</w:t>
      </w:r>
      <w:r w:rsidRPr="00EE7BB4">
        <w:rPr>
          <w:rFonts w:asciiTheme="minorHAnsi" w:eastAsiaTheme="minorEastAsia" w:hAnsiTheme="minorHAnsi" w:cstheme="minorHAnsi"/>
          <w:szCs w:val="24"/>
          <w:lang w:eastAsia="zh-CN"/>
        </w:rPr>
        <w:t>2</w:t>
      </w:r>
      <w:r w:rsidRPr="00EE7BB4">
        <w:rPr>
          <w:rFonts w:asciiTheme="minorHAnsi" w:eastAsiaTheme="minorEastAsia" w:hAnsiTheme="minorHAnsi" w:cstheme="minorHAnsi"/>
          <w:szCs w:val="24"/>
          <w:lang w:eastAsia="zh-CN"/>
        </w:rPr>
        <w:tab/>
      </w:r>
      <w:r w:rsidR="0018228C" w:rsidRPr="00EE7BB4">
        <w:rPr>
          <w:rFonts w:asciiTheme="minorHAnsi" w:eastAsiaTheme="minorEastAsia" w:hAnsiTheme="minorHAnsi" w:cstheme="minorHAnsi"/>
          <w:szCs w:val="24"/>
          <w:lang w:eastAsia="zh-CN"/>
        </w:rPr>
        <w:t>que apoyen la elaboración de informes, estudios y prácticas óptimas sobre la inclusión financiera digita</w:t>
      </w:r>
      <w:r w:rsidRPr="00EE7BB4">
        <w:rPr>
          <w:rFonts w:asciiTheme="minorHAnsi" w:eastAsiaTheme="minorEastAsia" w:hAnsiTheme="minorHAnsi" w:cstheme="minorHAnsi"/>
          <w:szCs w:val="24"/>
          <w:lang w:eastAsia="zh-CN"/>
        </w:rPr>
        <w:t xml:space="preserve">l </w:t>
      </w:r>
      <w:r w:rsidR="00453612" w:rsidRPr="00EE7BB4">
        <w:rPr>
          <w:rFonts w:asciiTheme="minorHAnsi" w:eastAsiaTheme="minorEastAsia" w:hAnsiTheme="minorHAnsi" w:cstheme="minorHAnsi"/>
          <w:szCs w:val="24"/>
          <w:lang w:eastAsia="zh-CN"/>
        </w:rPr>
        <w:t>[…]</w:t>
      </w:r>
      <w:bookmarkEnd w:id="121"/>
      <w:r w:rsidR="00BE5062" w:rsidRPr="00EE7BB4">
        <w:rPr>
          <w:rFonts w:asciiTheme="minorHAnsi" w:eastAsiaTheme="minorEastAsia" w:hAnsiTheme="minorHAnsi" w:cstheme="minorHAnsi"/>
          <w:szCs w:val="24"/>
          <w:lang w:eastAsia="zh-CN"/>
        </w:rPr>
        <w:t>;</w:t>
      </w:r>
    </w:p>
    <w:p w14:paraId="52856EFE" w14:textId="1BF93718" w:rsidR="00453612" w:rsidRPr="00EE7BB4" w:rsidRDefault="0017737E" w:rsidP="00FE4E5B">
      <w:pPr>
        <w:pStyle w:val="enumlev1"/>
        <w:rPr>
          <w:rFonts w:asciiTheme="minorHAnsi" w:eastAsiaTheme="minorEastAsia" w:hAnsiTheme="minorHAnsi" w:cstheme="minorHAnsi"/>
          <w:szCs w:val="24"/>
          <w:lang w:eastAsia="zh-CN"/>
        </w:rPr>
      </w:pPr>
      <w:bookmarkStart w:id="122" w:name="lt_pId156"/>
      <w:r w:rsidRPr="00EE7BB4">
        <w:rPr>
          <w:rFonts w:asciiTheme="minorHAnsi" w:eastAsiaTheme="minorEastAsia" w:hAnsiTheme="minorHAnsi" w:cstheme="minorHAnsi"/>
          <w:szCs w:val="24"/>
          <w:lang w:eastAsia="zh-CN"/>
        </w:rPr>
        <w:tab/>
        <w:t>3</w:t>
      </w:r>
      <w:r w:rsidRPr="00EE7BB4">
        <w:rPr>
          <w:rFonts w:asciiTheme="minorHAnsi" w:eastAsiaTheme="minorEastAsia" w:hAnsiTheme="minorHAnsi" w:cstheme="minorHAnsi"/>
          <w:szCs w:val="24"/>
          <w:lang w:eastAsia="zh-CN"/>
        </w:rPr>
        <w:tab/>
      </w:r>
      <w:r w:rsidR="0018228C" w:rsidRPr="00EE7BB4">
        <w:rPr>
          <w:rFonts w:asciiTheme="minorHAnsi" w:eastAsiaTheme="minorEastAsia" w:hAnsiTheme="minorHAnsi" w:cstheme="minorHAnsi"/>
          <w:szCs w:val="24"/>
          <w:lang w:eastAsia="zh-CN"/>
        </w:rPr>
        <w:t>que den apoyo a las plataformas pertinentes o, cuando sea posible, una relación con otras existentes, para la formación, el diálogo y el intercambio de experiencias entre homólogos con respecto a los servicios financieros digitales entre países y regiones, los organismos de reglamentación de los sectores de las telecomunicaciones y los servicios financieros, los expertos de la industria y las organizaciones internacionales y regionales</w:t>
      </w:r>
      <w:bookmarkEnd w:id="122"/>
      <w:r w:rsidR="00BE5062" w:rsidRPr="00EE7BB4">
        <w:rPr>
          <w:rFonts w:asciiTheme="minorHAnsi" w:eastAsiaTheme="minorEastAsia" w:hAnsiTheme="minorHAnsi" w:cstheme="minorHAnsi"/>
          <w:szCs w:val="24"/>
          <w:lang w:eastAsia="zh-CN"/>
        </w:rPr>
        <w:t>;</w:t>
      </w:r>
    </w:p>
    <w:p w14:paraId="6D47E78C" w14:textId="037DEAFC" w:rsidR="00453612" w:rsidRPr="00EE7BB4" w:rsidRDefault="0017737E" w:rsidP="00FE4E5B">
      <w:pPr>
        <w:pStyle w:val="enumlev1"/>
        <w:rPr>
          <w:rFonts w:asciiTheme="minorHAnsi" w:eastAsiaTheme="minorEastAsia" w:hAnsiTheme="minorHAnsi" w:cstheme="minorHAnsi"/>
          <w:szCs w:val="24"/>
          <w:lang w:eastAsia="zh-CN"/>
        </w:rPr>
      </w:pPr>
      <w:r w:rsidRPr="00EE7BB4">
        <w:rPr>
          <w:rFonts w:asciiTheme="minorHAnsi" w:eastAsiaTheme="minorEastAsia" w:hAnsiTheme="minorHAnsi" w:cstheme="minorHAnsi"/>
          <w:szCs w:val="24"/>
          <w:lang w:eastAsia="zh-CN"/>
        </w:rPr>
        <w:tab/>
      </w:r>
      <w:r w:rsidR="0018228C" w:rsidRPr="00EE7BB4">
        <w:rPr>
          <w:rFonts w:asciiTheme="minorHAnsi" w:eastAsiaTheme="minorEastAsia" w:hAnsiTheme="minorHAnsi" w:cstheme="minorHAnsi"/>
          <w:szCs w:val="24"/>
          <w:lang w:eastAsia="zh-CN"/>
        </w:rPr>
        <w:t>4</w:t>
      </w:r>
      <w:r w:rsidRPr="00EE7BB4">
        <w:rPr>
          <w:rFonts w:asciiTheme="minorHAnsi" w:eastAsiaTheme="minorEastAsia" w:hAnsiTheme="minorHAnsi" w:cstheme="minorHAnsi"/>
          <w:szCs w:val="24"/>
          <w:lang w:eastAsia="zh-CN"/>
        </w:rPr>
        <w:tab/>
      </w:r>
      <w:r w:rsidR="0018228C" w:rsidRPr="00EE7BB4">
        <w:rPr>
          <w:rFonts w:asciiTheme="minorHAnsi" w:eastAsiaTheme="minorEastAsia" w:hAnsiTheme="minorHAnsi" w:cstheme="minorHAnsi"/>
          <w:szCs w:val="24"/>
          <w:lang w:eastAsia="zh-CN"/>
        </w:rPr>
        <w:t xml:space="preserve">que sigan organizando talleres y seminarios para los </w:t>
      </w:r>
      <w:r w:rsidR="00FE4E5B" w:rsidRPr="00EE7BB4">
        <w:rPr>
          <w:rFonts w:asciiTheme="minorHAnsi" w:eastAsiaTheme="minorEastAsia" w:hAnsiTheme="minorHAnsi" w:cstheme="minorHAnsi"/>
          <w:szCs w:val="24"/>
          <w:lang w:eastAsia="zh-CN"/>
        </w:rPr>
        <w:t xml:space="preserve">miembros </w:t>
      </w:r>
      <w:r w:rsidR="0018228C" w:rsidRPr="00EE7BB4">
        <w:rPr>
          <w:rFonts w:asciiTheme="minorHAnsi" w:eastAsiaTheme="minorEastAsia" w:hAnsiTheme="minorHAnsi" w:cstheme="minorHAnsi"/>
          <w:szCs w:val="24"/>
          <w:lang w:eastAsia="zh-CN"/>
        </w:rPr>
        <w:t xml:space="preserve">de la UIT en colaboración con otras organizaciones de normalización e instituciones pertinentes, responsables principales de la elaboración, implementación y formación relativas a las normas de los servicios financieros, con el fin de fomentar la sensibilización y determinar las necesidades y retos específicos de los reguladores en </w:t>
      </w:r>
      <w:r w:rsidR="00BE5062" w:rsidRPr="00EE7BB4">
        <w:rPr>
          <w:rFonts w:asciiTheme="minorHAnsi" w:eastAsiaTheme="minorEastAsia" w:hAnsiTheme="minorHAnsi" w:cstheme="minorHAnsi"/>
          <w:szCs w:val="24"/>
          <w:lang w:eastAsia="zh-CN"/>
        </w:rPr>
        <w:t>materia de inclusión financiera.</w:t>
      </w:r>
      <w:r w:rsidR="00FE4E5B" w:rsidRPr="00EE7BB4">
        <w:rPr>
          <w:rFonts w:asciiTheme="minorHAnsi" w:eastAsiaTheme="minorEastAsia" w:hAnsiTheme="minorHAnsi" w:cstheme="minorHAnsi"/>
          <w:szCs w:val="24"/>
          <w:lang w:eastAsia="zh-CN"/>
        </w:rPr>
        <w:t>"</w:t>
      </w:r>
    </w:p>
    <w:p w14:paraId="7A8AC756" w14:textId="6FEF74AB" w:rsidR="00453612" w:rsidRPr="00EE7BB4" w:rsidRDefault="00453612" w:rsidP="00FE4E5B">
      <w:pPr>
        <w:keepNext/>
        <w:keepLines/>
        <w:tabs>
          <w:tab w:val="clear" w:pos="567"/>
          <w:tab w:val="left" w:pos="851"/>
        </w:tabs>
      </w:pPr>
      <w:r w:rsidRPr="00EE7BB4">
        <w:lastRenderedPageBreak/>
        <w:t>3.3.</w:t>
      </w:r>
      <w:r w:rsidR="0017737E" w:rsidRPr="00EE7BB4">
        <w:t>5</w:t>
      </w:r>
      <w:r w:rsidRPr="00EE7BB4">
        <w:tab/>
      </w:r>
      <w:bookmarkStart w:id="123" w:name="lt_pId159"/>
      <w:r w:rsidR="00AA6A61" w:rsidRPr="00EE7BB4">
        <w:t xml:space="preserve">La </w:t>
      </w:r>
      <w:r w:rsidR="00AA6A61" w:rsidRPr="00EE7BB4">
        <w:rPr>
          <w:rFonts w:eastAsiaTheme="minorEastAsia"/>
          <w:lang w:eastAsia="zh-CN"/>
        </w:rPr>
        <w:t>Fundación</w:t>
      </w:r>
      <w:r w:rsidRPr="00EE7BB4">
        <w:t xml:space="preserve"> Bill </w:t>
      </w:r>
      <w:r w:rsidR="00BE5062" w:rsidRPr="00EE7BB4">
        <w:t>y</w:t>
      </w:r>
      <w:r w:rsidRPr="00EE7BB4">
        <w:t xml:space="preserve"> Melinda Gates </w:t>
      </w:r>
      <w:r w:rsidR="00AA6A61" w:rsidRPr="00EE7BB4">
        <w:t>ha financiado durante los últimos tres años un puesto</w:t>
      </w:r>
      <w:r w:rsidRPr="00EE7BB4">
        <w:t xml:space="preserve"> P4</w:t>
      </w:r>
      <w:r w:rsidR="00AA6A61" w:rsidRPr="00EE7BB4">
        <w:t xml:space="preserve"> y un puesto</w:t>
      </w:r>
      <w:r w:rsidRPr="00EE7BB4">
        <w:t xml:space="preserve"> P2 </w:t>
      </w:r>
      <w:r w:rsidR="00AA6A61" w:rsidRPr="00EE7BB4">
        <w:t>para las actividades corrientes. Esa financiación llegará a su fin en junio de</w:t>
      </w:r>
      <w:bookmarkStart w:id="124" w:name="lt_pId160"/>
      <w:bookmarkEnd w:id="123"/>
      <w:r w:rsidRPr="00EE7BB4">
        <w:t xml:space="preserve"> 2020.</w:t>
      </w:r>
      <w:bookmarkEnd w:id="124"/>
    </w:p>
    <w:p w14:paraId="390E3A95" w14:textId="2C3041CC" w:rsidR="00453612" w:rsidRPr="00EE7BB4" w:rsidRDefault="00453612" w:rsidP="00FE4E5B">
      <w:pPr>
        <w:keepNext/>
        <w:keepLines/>
        <w:tabs>
          <w:tab w:val="clear" w:pos="567"/>
          <w:tab w:val="left" w:pos="851"/>
        </w:tabs>
      </w:pPr>
      <w:r w:rsidRPr="00EE7BB4">
        <w:t>3.3.</w:t>
      </w:r>
      <w:r w:rsidR="0017737E" w:rsidRPr="00EE7BB4">
        <w:t>6</w:t>
      </w:r>
      <w:r w:rsidRPr="00EE7BB4">
        <w:tab/>
      </w:r>
      <w:bookmarkStart w:id="125" w:name="lt_pId162"/>
      <w:r w:rsidR="0094480C" w:rsidRPr="00EE7BB4">
        <w:t xml:space="preserve">La TSB solicita </w:t>
      </w:r>
      <w:r w:rsidR="00AA6A61" w:rsidRPr="00EE7BB4">
        <w:t xml:space="preserve">poder dotar un </w:t>
      </w:r>
      <w:r w:rsidR="00AA6A61" w:rsidRPr="00EE7BB4">
        <w:rPr>
          <w:b/>
          <w:bCs/>
        </w:rPr>
        <w:t>puesto</w:t>
      </w:r>
      <w:r w:rsidRPr="00EE7BB4">
        <w:t xml:space="preserve"> </w:t>
      </w:r>
      <w:r w:rsidRPr="00EE7BB4">
        <w:rPr>
          <w:b/>
          <w:bCs/>
        </w:rPr>
        <w:t xml:space="preserve">P4 </w:t>
      </w:r>
      <w:r w:rsidR="00AA6A61" w:rsidRPr="00EE7BB4">
        <w:t xml:space="preserve">y un </w:t>
      </w:r>
      <w:r w:rsidR="00AA6A61" w:rsidRPr="00EE7BB4">
        <w:rPr>
          <w:b/>
          <w:bCs/>
        </w:rPr>
        <w:t>puesto</w:t>
      </w:r>
      <w:r w:rsidRPr="00EE7BB4">
        <w:t xml:space="preserve"> </w:t>
      </w:r>
      <w:r w:rsidRPr="00EE7BB4">
        <w:rPr>
          <w:b/>
          <w:bCs/>
        </w:rPr>
        <w:t xml:space="preserve">G6 </w:t>
      </w:r>
      <w:r w:rsidR="00AA6A61" w:rsidRPr="00EE7BB4">
        <w:t>adicionales para responder a los encargos de la Resolución 204 de la PP y la Resolución 89 de la AMNT en pro de las actividades relacionadas con la inclusión financiera</w:t>
      </w:r>
      <w:r w:rsidRPr="00EE7BB4">
        <w:t>.</w:t>
      </w:r>
      <w:bookmarkEnd w:id="125"/>
    </w:p>
    <w:p w14:paraId="71EA4835" w14:textId="211DABAE" w:rsidR="00453612" w:rsidRPr="00EE7BB4" w:rsidRDefault="00453612" w:rsidP="00FE4E5B">
      <w:pPr>
        <w:pStyle w:val="Heading2"/>
        <w:rPr>
          <w:rFonts w:eastAsiaTheme="minorEastAsia"/>
          <w:lang w:eastAsia="zh-CN"/>
        </w:rPr>
      </w:pPr>
      <w:bookmarkStart w:id="126" w:name="_Toc37930310"/>
      <w:bookmarkStart w:id="127" w:name="_Toc39047653"/>
      <w:bookmarkStart w:id="128" w:name="_Toc54968539"/>
      <w:r w:rsidRPr="00EE7BB4">
        <w:rPr>
          <w:rFonts w:eastAsiaTheme="minorEastAsia"/>
          <w:lang w:eastAsia="zh-CN"/>
        </w:rPr>
        <w:t>3.4</w:t>
      </w:r>
      <w:r w:rsidRPr="00EE7BB4">
        <w:rPr>
          <w:rFonts w:eastAsiaTheme="minorEastAsia"/>
          <w:lang w:eastAsia="zh-CN"/>
        </w:rPr>
        <w:tab/>
      </w:r>
      <w:bookmarkStart w:id="129" w:name="lt_pId164"/>
      <w:r w:rsidRPr="00EE7BB4">
        <w:rPr>
          <w:rFonts w:eastAsiaTheme="minorEastAsia"/>
          <w:lang w:eastAsia="zh-CN"/>
        </w:rPr>
        <w:t>Expert</w:t>
      </w:r>
      <w:r w:rsidR="00802274" w:rsidRPr="00EE7BB4">
        <w:rPr>
          <w:rFonts w:eastAsiaTheme="minorEastAsia"/>
          <w:lang w:eastAsia="zh-CN"/>
        </w:rPr>
        <w:t>o en la aplicación del aprendizaje automático a la infraestructura y servicios de TIC</w:t>
      </w:r>
      <w:bookmarkEnd w:id="126"/>
      <w:bookmarkEnd w:id="129"/>
      <w:bookmarkEnd w:id="127"/>
      <w:bookmarkEnd w:id="128"/>
    </w:p>
    <w:p w14:paraId="43E1108A" w14:textId="397590B1" w:rsidR="00453612" w:rsidRPr="00EE7BB4" w:rsidRDefault="00453612" w:rsidP="00FE4E5B">
      <w:pPr>
        <w:tabs>
          <w:tab w:val="clear" w:pos="567"/>
          <w:tab w:val="left" w:pos="851"/>
        </w:tabs>
      </w:pPr>
      <w:r w:rsidRPr="00EE7BB4">
        <w:rPr>
          <w:rFonts w:asciiTheme="minorHAnsi" w:hAnsiTheme="minorHAnsi" w:cstheme="minorHAnsi"/>
          <w:szCs w:val="24"/>
        </w:rPr>
        <w:t>3.4.1</w:t>
      </w:r>
      <w:r w:rsidRPr="00EE7BB4">
        <w:rPr>
          <w:rFonts w:asciiTheme="minorHAnsi" w:hAnsiTheme="minorHAnsi" w:cstheme="minorHAnsi"/>
          <w:szCs w:val="24"/>
        </w:rPr>
        <w:tab/>
      </w:r>
      <w:bookmarkStart w:id="130" w:name="lt_pId167"/>
      <w:r w:rsidR="00987695" w:rsidRPr="00EE7BB4">
        <w:t>La inteligencia artificial será la tecnología por excelencia del futuro y tendrá repercusiones en todos los ámbitos de la sociedad.</w:t>
      </w:r>
      <w:r w:rsidR="00987695" w:rsidRPr="00EE7BB4">
        <w:rPr>
          <w:rFonts w:asciiTheme="minorHAnsi" w:hAnsiTheme="minorHAnsi" w:cstheme="minorHAnsi"/>
          <w:szCs w:val="24"/>
        </w:rPr>
        <w:t xml:space="preserve"> En particular, la inteligencia artificial y el aprendizaje automático </w:t>
      </w:r>
      <w:r w:rsidR="006654A8" w:rsidRPr="00EE7BB4">
        <w:rPr>
          <w:rFonts w:asciiTheme="minorHAnsi" w:hAnsiTheme="minorHAnsi" w:cstheme="minorHAnsi"/>
          <w:szCs w:val="24"/>
        </w:rPr>
        <w:t xml:space="preserve">(ML) </w:t>
      </w:r>
      <w:r w:rsidR="00987695" w:rsidRPr="00EE7BB4">
        <w:rPr>
          <w:rFonts w:asciiTheme="minorHAnsi" w:hAnsiTheme="minorHAnsi" w:cstheme="minorHAnsi"/>
          <w:szCs w:val="24"/>
        </w:rPr>
        <w:t>conformarán las pautas de explotación de las redes de comunicación</w:t>
      </w:r>
      <w:r w:rsidR="00802274" w:rsidRPr="00EE7BB4">
        <w:rPr>
          <w:rFonts w:asciiTheme="minorHAnsi" w:hAnsiTheme="minorHAnsi" w:cstheme="minorHAnsi"/>
          <w:szCs w:val="24"/>
        </w:rPr>
        <w:t xml:space="preserve"> y los servicios de TIC se ajustarán a las necesidades de los usuarios</w:t>
      </w:r>
      <w:bookmarkStart w:id="131" w:name="lt_pId168"/>
      <w:bookmarkEnd w:id="130"/>
      <w:r w:rsidR="00802274" w:rsidRPr="00EE7BB4">
        <w:rPr>
          <w:rFonts w:asciiTheme="minorHAnsi" w:hAnsiTheme="minorHAnsi" w:cstheme="minorHAnsi"/>
          <w:szCs w:val="24"/>
        </w:rPr>
        <w:t>.</w:t>
      </w:r>
      <w:r w:rsidR="00987695" w:rsidRPr="00EE7BB4">
        <w:t xml:space="preserve"> Muchas empresas del sector de las TIC están ahondando en la mejor manera de aplicar ambas tecnologías</w:t>
      </w:r>
      <w:r w:rsidRPr="00EE7BB4">
        <w:t>.</w:t>
      </w:r>
      <w:bookmarkEnd w:id="131"/>
    </w:p>
    <w:p w14:paraId="2C445E91" w14:textId="5D66DC76" w:rsidR="00453612" w:rsidRPr="00EE7BB4" w:rsidRDefault="00453612" w:rsidP="00FE4E5B">
      <w:pPr>
        <w:tabs>
          <w:tab w:val="clear" w:pos="567"/>
          <w:tab w:val="left" w:pos="851"/>
        </w:tabs>
      </w:pPr>
      <w:r w:rsidRPr="00EE7BB4">
        <w:t>3.4.2</w:t>
      </w:r>
      <w:r w:rsidRPr="00EE7BB4">
        <w:tab/>
      </w:r>
      <w:bookmarkStart w:id="132" w:name="lt_pId170"/>
      <w:r w:rsidR="00987695" w:rsidRPr="00EE7BB4">
        <w:t xml:space="preserve">La UIT se ha situado a la vanguardia </w:t>
      </w:r>
      <w:r w:rsidR="00802274" w:rsidRPr="00EE7BB4">
        <w:t>en su empeño por explorar</w:t>
      </w:r>
      <w:r w:rsidR="00987695" w:rsidRPr="00EE7BB4">
        <w:t xml:space="preserve"> la mejor manera de aplicar la inteligencia artificial y el aprendizaje automático en redes futuras, como las redes 5G</w:t>
      </w:r>
      <w:r w:rsidR="00802274" w:rsidRPr="00EE7BB4">
        <w:t xml:space="preserve"> y las redes privadas industriales</w:t>
      </w:r>
      <w:r w:rsidR="00987695" w:rsidRPr="00EE7BB4">
        <w:t xml:space="preserve">, </w:t>
      </w:r>
      <w:r w:rsidR="00802274" w:rsidRPr="00EE7BB4">
        <w:t xml:space="preserve">y ya </w:t>
      </w:r>
      <w:r w:rsidR="00987695" w:rsidRPr="00EE7BB4">
        <w:t>ha aprobado cuatro especificaciones que forman parte de un conjunto de herramientas para la integración del aprendizaje automático en las redes de comunicación</w:t>
      </w:r>
      <w:bookmarkStart w:id="133" w:name="lt_pId171"/>
      <w:bookmarkEnd w:id="132"/>
      <w:r w:rsidR="00802274" w:rsidRPr="00EE7BB4">
        <w:t>:</w:t>
      </w:r>
      <w:r w:rsidRPr="00EE7BB4">
        <w:rPr>
          <w:rFonts w:cs="Calibri"/>
          <w:b/>
          <w:color w:val="800000"/>
          <w:sz w:val="22"/>
        </w:rPr>
        <w:t xml:space="preserve"> </w:t>
      </w:r>
      <w:r w:rsidR="00802274" w:rsidRPr="00EE7BB4">
        <w:t>casos de uso</w:t>
      </w:r>
      <w:r w:rsidRPr="00EE7BB4">
        <w:t xml:space="preserve"> (Suplement</w:t>
      </w:r>
      <w:r w:rsidR="00802274" w:rsidRPr="00EE7BB4">
        <w:t>o</w:t>
      </w:r>
      <w:r w:rsidRPr="00EE7BB4">
        <w:t xml:space="preserve"> 55 </w:t>
      </w:r>
      <w:r w:rsidR="00802274" w:rsidRPr="00EE7BB4">
        <w:t>de la serie UIT</w:t>
      </w:r>
      <w:r w:rsidRPr="00EE7BB4">
        <w:t>-T Y.3170);</w:t>
      </w:r>
      <w:bookmarkEnd w:id="133"/>
      <w:r w:rsidRPr="00EE7BB4">
        <w:t xml:space="preserve"> </w:t>
      </w:r>
      <w:bookmarkStart w:id="134" w:name="lt_pId172"/>
      <w:r w:rsidR="00802274" w:rsidRPr="00EE7BB4">
        <w:t>marcos de arquitectura</w:t>
      </w:r>
      <w:r w:rsidRPr="00EE7BB4">
        <w:t xml:space="preserve"> (</w:t>
      </w:r>
      <w:r w:rsidR="00802274" w:rsidRPr="00EE7BB4">
        <w:t>UIT</w:t>
      </w:r>
      <w:r w:rsidRPr="00EE7BB4">
        <w:t>-T Y.3172)</w:t>
      </w:r>
      <w:r w:rsidR="00802274" w:rsidRPr="00EE7BB4">
        <w:t>;</w:t>
      </w:r>
      <w:r w:rsidRPr="00EE7BB4">
        <w:t xml:space="preserve"> </w:t>
      </w:r>
      <w:r w:rsidR="00802274" w:rsidRPr="00EE7BB4">
        <w:t>evaluación del nivel de inteligencia de las redes</w:t>
      </w:r>
      <w:r w:rsidRPr="00EE7BB4">
        <w:t xml:space="preserve"> (</w:t>
      </w:r>
      <w:r w:rsidR="00802274" w:rsidRPr="00EE7BB4">
        <w:t>UIT</w:t>
      </w:r>
      <w:r w:rsidRPr="00EE7BB4">
        <w:t xml:space="preserve">-T Y.3173), </w:t>
      </w:r>
      <w:r w:rsidR="00802274" w:rsidRPr="00EE7BB4">
        <w:t>y tratamiento de los datos</w:t>
      </w:r>
      <w:r w:rsidRPr="00EE7BB4">
        <w:t xml:space="preserve"> (</w:t>
      </w:r>
      <w:r w:rsidR="00802274" w:rsidRPr="00EE7BB4">
        <w:t>UIT</w:t>
      </w:r>
      <w:r w:rsidR="0017737E" w:rsidRPr="00EE7BB4">
        <w:noBreakHyphen/>
      </w:r>
      <w:r w:rsidRPr="00EE7BB4">
        <w:t>T</w:t>
      </w:r>
      <w:r w:rsidR="0017737E" w:rsidRPr="00EE7BB4">
        <w:t> </w:t>
      </w:r>
      <w:r w:rsidRPr="00EE7BB4">
        <w:t>Y.3172).</w:t>
      </w:r>
      <w:bookmarkEnd w:id="134"/>
    </w:p>
    <w:p w14:paraId="55ECB1BF" w14:textId="22AFA351" w:rsidR="00453612" w:rsidRPr="00EE7BB4" w:rsidRDefault="00453612" w:rsidP="00FE4E5B">
      <w:pPr>
        <w:tabs>
          <w:tab w:val="clear" w:pos="567"/>
          <w:tab w:val="left" w:pos="851"/>
        </w:tabs>
      </w:pPr>
      <w:r w:rsidRPr="00EE7BB4">
        <w:t>3.4.3</w:t>
      </w:r>
      <w:r w:rsidRPr="00EE7BB4">
        <w:tab/>
      </w:r>
      <w:bookmarkStart w:id="135" w:name="lt_pId174"/>
      <w:r w:rsidR="00802274" w:rsidRPr="00EE7BB4">
        <w:t xml:space="preserve">Otras normas están en fase de preparación: una norma sobre la interoperabilidad de mercados de aprendizaje automático (mercados que albergan repositorios de modelos de aprendizaje automático); una norma que describe los </w:t>
      </w:r>
      <w:r w:rsidR="00970DC0" w:rsidRPr="00EE7BB4">
        <w:t>"</w:t>
      </w:r>
      <w:r w:rsidR="00802274" w:rsidRPr="00EE7BB4">
        <w:t>entornos de pruebas de aprendizaje automático</w:t>
      </w:r>
      <w:r w:rsidR="00970DC0" w:rsidRPr="00EE7BB4">
        <w:t>"</w:t>
      </w:r>
      <w:r w:rsidR="00802274" w:rsidRPr="00EE7BB4">
        <w:t xml:space="preserve"> (se trata de entornos aislados donde se entrenan, prueban y evalúan aplicaciones de aprendizaje automático antes de su despliegue en una red real), y una norma sobre el </w:t>
      </w:r>
      <w:r w:rsidR="00970DC0" w:rsidRPr="00EE7BB4">
        <w:t>"</w:t>
      </w:r>
      <w:r w:rsidR="00802274" w:rsidRPr="00EE7BB4">
        <w:t>orquestador de funciones de aprendizaje automático</w:t>
      </w:r>
      <w:r w:rsidR="00970DC0" w:rsidRPr="00EE7BB4">
        <w:t>"</w:t>
      </w:r>
      <w:r w:rsidR="00802274" w:rsidRPr="00EE7BB4">
        <w:t xml:space="preserve"> para </w:t>
      </w:r>
      <w:r w:rsidR="006654A8" w:rsidRPr="00EE7BB4">
        <w:t>gestionar redes</w:t>
      </w:r>
      <w:bookmarkStart w:id="136" w:name="lt_pId177"/>
      <w:bookmarkEnd w:id="135"/>
      <w:r w:rsidRPr="00EE7BB4">
        <w:t>.</w:t>
      </w:r>
      <w:bookmarkEnd w:id="136"/>
    </w:p>
    <w:p w14:paraId="746BDAC1" w14:textId="54359146" w:rsidR="00453612" w:rsidRPr="00EE7BB4" w:rsidRDefault="00453612" w:rsidP="00FE4E5B">
      <w:pPr>
        <w:tabs>
          <w:tab w:val="clear" w:pos="567"/>
          <w:tab w:val="left" w:pos="851"/>
        </w:tabs>
      </w:pPr>
      <w:r w:rsidRPr="00EE7BB4">
        <w:t>3.4.4</w:t>
      </w:r>
      <w:r w:rsidRPr="00EE7BB4">
        <w:tab/>
      </w:r>
      <w:bookmarkStart w:id="137" w:name="lt_pId179"/>
      <w:r w:rsidR="006654A8" w:rsidRPr="00EE7BB4">
        <w:t xml:space="preserve">A fin de solventar problemas importantes en la 5G gracias al aprendizaje automático, la UIT también ha organizado el Reto IA/ML 5G de la UIT </w:t>
      </w:r>
      <w:r w:rsidR="0094480C" w:rsidRPr="00EE7BB4">
        <w:t xml:space="preserve">de alcance mundial </w:t>
      </w:r>
      <w:r w:rsidR="006654A8" w:rsidRPr="00EE7BB4">
        <w:t xml:space="preserve">sobre el tema </w:t>
      </w:r>
      <w:r w:rsidR="00970DC0" w:rsidRPr="00EE7BB4">
        <w:t>"</w:t>
      </w:r>
      <w:r w:rsidR="006654A8" w:rsidRPr="00EE7BB4">
        <w:t>Cómo aplicar la arquitectura ML de la UIT a las redes 5G</w:t>
      </w:r>
      <w:r w:rsidR="00970DC0" w:rsidRPr="00EE7BB4">
        <w:t>"</w:t>
      </w:r>
      <w:bookmarkEnd w:id="137"/>
      <w:r w:rsidR="00987695" w:rsidRPr="00EE7BB4">
        <w:t>. Los participantes podrán resolver problemas reales, utilizando tecnologías normalizadas y desarrolladas para integrar el aprendizaje automático en redes 5G. Se requerirá la conformación de equipos a fin de habilitar, crear, formar y desplegar modelos de aprendizaje automático, que permitan a los participantes obtener experiencia práctica en la aplicación de ambas tecnologías en ámbitos pertinentes para la 5G.</w:t>
      </w:r>
    </w:p>
    <w:p w14:paraId="68B40D4E" w14:textId="1B07A0A0" w:rsidR="00453612" w:rsidRPr="00EE7BB4" w:rsidRDefault="00453612" w:rsidP="00FE4E5B">
      <w:pPr>
        <w:tabs>
          <w:tab w:val="clear" w:pos="567"/>
          <w:tab w:val="left" w:pos="851"/>
        </w:tabs>
      </w:pPr>
      <w:r w:rsidRPr="00EE7BB4">
        <w:t>3.4.5</w:t>
      </w:r>
      <w:r w:rsidRPr="00EE7BB4">
        <w:tab/>
      </w:r>
      <w:bookmarkStart w:id="138" w:name="lt_pId183"/>
      <w:r w:rsidR="006654A8" w:rsidRPr="00EE7BB4">
        <w:t xml:space="preserve">Para realizar los trabajos relacionados con la IA/ML de la UIT </w:t>
      </w:r>
      <w:r w:rsidR="0094480C" w:rsidRPr="00EE7BB4">
        <w:t xml:space="preserve">la TSB solicita </w:t>
      </w:r>
      <w:r w:rsidR="006654A8" w:rsidRPr="00EE7BB4">
        <w:t xml:space="preserve">poder dotar </w:t>
      </w:r>
      <w:r w:rsidR="006654A8" w:rsidRPr="00EE7BB4">
        <w:rPr>
          <w:b/>
          <w:bCs/>
        </w:rPr>
        <w:t>un puesto</w:t>
      </w:r>
      <w:r w:rsidRPr="00EE7BB4">
        <w:rPr>
          <w:b/>
          <w:bCs/>
        </w:rPr>
        <w:t xml:space="preserve"> P4 </w:t>
      </w:r>
      <w:r w:rsidR="006654A8" w:rsidRPr="00EE7BB4">
        <w:t>de experto en aplicación del aprendizaje automático a las redes de comunicaciones</w:t>
      </w:r>
      <w:r w:rsidRPr="00EE7BB4">
        <w:t>.</w:t>
      </w:r>
      <w:bookmarkEnd w:id="138"/>
    </w:p>
    <w:p w14:paraId="0EA9E8CE" w14:textId="40FF8272" w:rsidR="00FE4E5B" w:rsidRPr="00EE7BB4" w:rsidRDefault="00FE4E5B" w:rsidP="00FE4E5B">
      <w:pPr>
        <w:tabs>
          <w:tab w:val="clear" w:pos="567"/>
          <w:tab w:val="left" w:pos="851"/>
        </w:tabs>
      </w:pPr>
      <w:r w:rsidRPr="00EE7BB4">
        <w:br w:type="page"/>
      </w:r>
    </w:p>
    <w:p w14:paraId="5E6F5874" w14:textId="6C2B9D48" w:rsidR="00453612" w:rsidRPr="00EE7BB4" w:rsidRDefault="00453612" w:rsidP="00970DC0">
      <w:pPr>
        <w:pStyle w:val="Heading1"/>
      </w:pPr>
      <w:bookmarkStart w:id="139" w:name="_Toc37930311"/>
      <w:bookmarkStart w:id="140" w:name="_Toc39047654"/>
      <w:bookmarkStart w:id="141" w:name="_Toc54968540"/>
      <w:r w:rsidRPr="00EE7BB4">
        <w:lastRenderedPageBreak/>
        <w:t>4</w:t>
      </w:r>
      <w:r w:rsidRPr="00EE7BB4">
        <w:tab/>
      </w:r>
      <w:bookmarkStart w:id="142" w:name="lt_pId185"/>
      <w:r w:rsidR="006654A8" w:rsidRPr="00EE7BB4">
        <w:t>Resumen de los recursos solicitados</w:t>
      </w:r>
      <w:bookmarkEnd w:id="139"/>
      <w:bookmarkEnd w:id="142"/>
      <w:bookmarkEnd w:id="140"/>
      <w:bookmarkEnd w:id="141"/>
    </w:p>
    <w:p w14:paraId="70A1424A" w14:textId="6E639BA8" w:rsidR="00453612" w:rsidRPr="00EE7BB4" w:rsidRDefault="00453612" w:rsidP="00970DC0">
      <w:pPr>
        <w:spacing w:after="120"/>
      </w:pPr>
      <w:r w:rsidRPr="00EE7BB4">
        <w:t>4.1</w:t>
      </w:r>
      <w:r w:rsidRPr="00EE7BB4">
        <w:tab/>
      </w:r>
      <w:bookmarkStart w:id="143" w:name="lt_pId187"/>
      <w:r w:rsidR="006654A8" w:rsidRPr="00EE7BB4">
        <w:t>En el siguiente cuadro se resumen los costes de los recursos adicionales solicitados</w:t>
      </w:r>
      <w:r w:rsidRPr="00EE7BB4">
        <w:t>.</w:t>
      </w:r>
      <w:bookmarkEnd w:id="143"/>
    </w:p>
    <w:tbl>
      <w:tblPr>
        <w:tblW w:w="8505" w:type="dxa"/>
        <w:jc w:val="center"/>
        <w:tblCellMar>
          <w:left w:w="0" w:type="dxa"/>
          <w:right w:w="0" w:type="dxa"/>
        </w:tblCellMar>
        <w:tblLook w:val="04A0" w:firstRow="1" w:lastRow="0" w:firstColumn="1" w:lastColumn="0" w:noHBand="0" w:noVBand="1"/>
      </w:tblPr>
      <w:tblGrid>
        <w:gridCol w:w="6634"/>
        <w:gridCol w:w="1871"/>
      </w:tblGrid>
      <w:tr w:rsidR="00453612" w:rsidRPr="00EE7BB4" w14:paraId="0BC30E2E" w14:textId="77777777" w:rsidTr="00FE4E5B">
        <w:trPr>
          <w:trHeight w:val="288"/>
          <w:jc w:val="center"/>
        </w:trPr>
        <w:tc>
          <w:tcPr>
            <w:tcW w:w="552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578FD27" w14:textId="21FD42BB" w:rsidR="00453612" w:rsidRPr="00EE7BB4" w:rsidRDefault="006654A8" w:rsidP="00FE4E5B">
            <w:pPr>
              <w:pStyle w:val="Tablehead"/>
              <w:jc w:val="left"/>
            </w:pPr>
            <w:bookmarkStart w:id="144" w:name="lt_pId188"/>
            <w:r w:rsidRPr="00EE7BB4">
              <w:t>Actividades de Comisiones de Estudio</w:t>
            </w:r>
            <w:bookmarkEnd w:id="144"/>
          </w:p>
        </w:tc>
        <w:tc>
          <w:tcPr>
            <w:tcW w:w="155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3D94AD24" w14:textId="37E24EC4" w:rsidR="00453612" w:rsidRPr="00EE7BB4" w:rsidRDefault="006654A8" w:rsidP="00970DC0">
            <w:pPr>
              <w:pStyle w:val="Tablehead"/>
            </w:pPr>
            <w:r w:rsidRPr="00EE7BB4">
              <w:t>Coste anual</w:t>
            </w:r>
          </w:p>
        </w:tc>
      </w:tr>
      <w:tr w:rsidR="00453612" w:rsidRPr="00EE7BB4" w14:paraId="099C90D6" w14:textId="77777777" w:rsidTr="00FE4E5B">
        <w:trPr>
          <w:jc w:val="center"/>
        </w:trPr>
        <w:tc>
          <w:tcPr>
            <w:tcW w:w="5529" w:type="dxa"/>
            <w:tcBorders>
              <w:top w:val="nil"/>
              <w:left w:val="single" w:sz="8" w:space="0" w:color="auto"/>
              <w:bottom w:val="nil"/>
              <w:right w:val="single" w:sz="8" w:space="0" w:color="auto"/>
            </w:tcBorders>
            <w:tcMar>
              <w:top w:w="0" w:type="dxa"/>
              <w:left w:w="108" w:type="dxa"/>
              <w:bottom w:w="0" w:type="dxa"/>
              <w:right w:w="108" w:type="dxa"/>
            </w:tcMar>
            <w:vAlign w:val="bottom"/>
            <w:hideMark/>
          </w:tcPr>
          <w:p w14:paraId="5503B4DB" w14:textId="377ECF72" w:rsidR="00453612" w:rsidRPr="00EE7BB4" w:rsidRDefault="00453612" w:rsidP="00970DC0">
            <w:pPr>
              <w:pStyle w:val="Tabletext"/>
            </w:pPr>
            <w:bookmarkStart w:id="145" w:name="lt_pId190"/>
            <w:r w:rsidRPr="00EE7BB4">
              <w:t xml:space="preserve">1 P2, </w:t>
            </w:r>
            <w:r w:rsidR="006654A8" w:rsidRPr="00EE7BB4">
              <w:t>IFR de ciudades inteligentes y</w:t>
            </w:r>
            <w:r w:rsidRPr="00EE7BB4">
              <w:t xml:space="preserve"> U4SSC</w:t>
            </w:r>
            <w:bookmarkEnd w:id="145"/>
          </w:p>
        </w:tc>
        <w:tc>
          <w:tcPr>
            <w:tcW w:w="1559" w:type="dxa"/>
            <w:tcBorders>
              <w:top w:val="nil"/>
              <w:left w:val="nil"/>
              <w:bottom w:val="nil"/>
              <w:right w:val="single" w:sz="8" w:space="0" w:color="auto"/>
            </w:tcBorders>
            <w:noWrap/>
            <w:tcMar>
              <w:top w:w="0" w:type="dxa"/>
              <w:left w:w="108" w:type="dxa"/>
              <w:bottom w:w="0" w:type="dxa"/>
              <w:right w:w="108" w:type="dxa"/>
            </w:tcMar>
            <w:vAlign w:val="bottom"/>
            <w:hideMark/>
          </w:tcPr>
          <w:p w14:paraId="0A3E0D9A" w14:textId="0DAD5C69" w:rsidR="00453612" w:rsidRPr="00EE7BB4" w:rsidRDefault="00453612" w:rsidP="00FE4E5B">
            <w:pPr>
              <w:pStyle w:val="Tabletext"/>
              <w:jc w:val="center"/>
            </w:pPr>
            <w:r w:rsidRPr="00EE7BB4">
              <w:t>120</w:t>
            </w:r>
            <w:r w:rsidR="00FE4E5B" w:rsidRPr="00EE7BB4">
              <w:t> 000</w:t>
            </w:r>
          </w:p>
        </w:tc>
      </w:tr>
      <w:tr w:rsidR="00453612" w:rsidRPr="00EE7BB4" w14:paraId="05DCBA1F" w14:textId="77777777" w:rsidTr="00FE4E5B">
        <w:trPr>
          <w:jc w:val="center"/>
        </w:trPr>
        <w:tc>
          <w:tcPr>
            <w:tcW w:w="5529" w:type="dxa"/>
            <w:tcBorders>
              <w:top w:val="single" w:sz="8" w:space="0" w:color="auto"/>
              <w:left w:val="single" w:sz="8" w:space="0" w:color="auto"/>
              <w:bottom w:val="nil"/>
              <w:right w:val="single" w:sz="8" w:space="0" w:color="auto"/>
            </w:tcBorders>
            <w:tcMar>
              <w:top w:w="0" w:type="dxa"/>
              <w:left w:w="108" w:type="dxa"/>
              <w:bottom w:w="0" w:type="dxa"/>
              <w:right w:w="108" w:type="dxa"/>
            </w:tcMar>
            <w:vAlign w:val="bottom"/>
          </w:tcPr>
          <w:p w14:paraId="566D0495" w14:textId="35937AD1" w:rsidR="00453612" w:rsidRPr="00EE7BB4" w:rsidRDefault="00453612" w:rsidP="00970DC0">
            <w:pPr>
              <w:pStyle w:val="Tabletext"/>
            </w:pPr>
            <w:bookmarkStart w:id="146" w:name="lt_pId192"/>
            <w:r w:rsidRPr="00EE7BB4">
              <w:t xml:space="preserve">1 P2, </w:t>
            </w:r>
            <w:r w:rsidR="006654A8" w:rsidRPr="00EE7BB4">
              <w:t>recursos de numeración</w:t>
            </w:r>
            <w:bookmarkEnd w:id="146"/>
          </w:p>
        </w:tc>
        <w:tc>
          <w:tcPr>
            <w:tcW w:w="1559" w:type="dxa"/>
            <w:tcBorders>
              <w:top w:val="single" w:sz="8" w:space="0" w:color="auto"/>
              <w:left w:val="nil"/>
              <w:bottom w:val="nil"/>
              <w:right w:val="single" w:sz="8" w:space="0" w:color="auto"/>
            </w:tcBorders>
            <w:noWrap/>
            <w:tcMar>
              <w:top w:w="0" w:type="dxa"/>
              <w:left w:w="108" w:type="dxa"/>
              <w:bottom w:w="0" w:type="dxa"/>
              <w:right w:w="108" w:type="dxa"/>
            </w:tcMar>
            <w:vAlign w:val="bottom"/>
          </w:tcPr>
          <w:p w14:paraId="2F55B3BA" w14:textId="70E7004E" w:rsidR="00453612" w:rsidRPr="00EE7BB4" w:rsidRDefault="00453612" w:rsidP="00FE4E5B">
            <w:pPr>
              <w:pStyle w:val="Tabletext"/>
              <w:jc w:val="center"/>
            </w:pPr>
            <w:r w:rsidRPr="00EE7BB4">
              <w:t>120</w:t>
            </w:r>
            <w:r w:rsidR="00FE4E5B" w:rsidRPr="00EE7BB4">
              <w:t> 000</w:t>
            </w:r>
          </w:p>
        </w:tc>
      </w:tr>
      <w:tr w:rsidR="00453612" w:rsidRPr="00EE7BB4" w14:paraId="574FB4B1" w14:textId="77777777" w:rsidTr="00FE4E5B">
        <w:trPr>
          <w:jc w:val="center"/>
        </w:trPr>
        <w:tc>
          <w:tcPr>
            <w:tcW w:w="5529" w:type="dxa"/>
            <w:tcBorders>
              <w:top w:val="single" w:sz="8" w:space="0" w:color="auto"/>
              <w:left w:val="single" w:sz="8" w:space="0" w:color="auto"/>
              <w:bottom w:val="nil"/>
              <w:right w:val="single" w:sz="8" w:space="0" w:color="auto"/>
            </w:tcBorders>
            <w:tcMar>
              <w:top w:w="0" w:type="dxa"/>
              <w:left w:w="108" w:type="dxa"/>
              <w:bottom w:w="0" w:type="dxa"/>
              <w:right w:w="108" w:type="dxa"/>
            </w:tcMar>
            <w:vAlign w:val="bottom"/>
          </w:tcPr>
          <w:p w14:paraId="7FDCD8AD" w14:textId="2BF07BE3" w:rsidR="00453612" w:rsidRPr="00EE7BB4" w:rsidRDefault="00453612" w:rsidP="00970DC0">
            <w:pPr>
              <w:pStyle w:val="Tabletext"/>
            </w:pPr>
            <w:bookmarkStart w:id="147" w:name="lt_pId194"/>
            <w:r w:rsidRPr="00EE7BB4">
              <w:t xml:space="preserve">1 P4, </w:t>
            </w:r>
            <w:r w:rsidR="006654A8" w:rsidRPr="00EE7BB4">
              <w:t>inclusión financiera</w:t>
            </w:r>
            <w:bookmarkEnd w:id="147"/>
          </w:p>
        </w:tc>
        <w:tc>
          <w:tcPr>
            <w:tcW w:w="1559" w:type="dxa"/>
            <w:tcBorders>
              <w:top w:val="single" w:sz="8" w:space="0" w:color="auto"/>
              <w:left w:val="nil"/>
              <w:bottom w:val="nil"/>
              <w:right w:val="single" w:sz="8" w:space="0" w:color="auto"/>
            </w:tcBorders>
            <w:noWrap/>
            <w:tcMar>
              <w:top w:w="0" w:type="dxa"/>
              <w:left w:w="108" w:type="dxa"/>
              <w:bottom w:w="0" w:type="dxa"/>
              <w:right w:w="108" w:type="dxa"/>
            </w:tcMar>
            <w:vAlign w:val="bottom"/>
          </w:tcPr>
          <w:p w14:paraId="56716580" w14:textId="69039530" w:rsidR="00453612" w:rsidRPr="00EE7BB4" w:rsidRDefault="00453612" w:rsidP="00FE4E5B">
            <w:pPr>
              <w:pStyle w:val="Tabletext"/>
              <w:jc w:val="center"/>
            </w:pPr>
            <w:r w:rsidRPr="00EE7BB4">
              <w:t>150</w:t>
            </w:r>
            <w:r w:rsidR="00FE4E5B" w:rsidRPr="00EE7BB4">
              <w:t> 000</w:t>
            </w:r>
          </w:p>
        </w:tc>
      </w:tr>
      <w:tr w:rsidR="00453612" w:rsidRPr="00EE7BB4" w14:paraId="5DC165BA" w14:textId="77777777" w:rsidTr="00FE4E5B">
        <w:trPr>
          <w:jc w:val="center"/>
        </w:trPr>
        <w:tc>
          <w:tcPr>
            <w:tcW w:w="5529" w:type="dxa"/>
            <w:tcBorders>
              <w:top w:val="single" w:sz="8" w:space="0" w:color="auto"/>
              <w:left w:val="single" w:sz="8" w:space="0" w:color="auto"/>
              <w:bottom w:val="nil"/>
              <w:right w:val="single" w:sz="8" w:space="0" w:color="auto"/>
            </w:tcBorders>
            <w:tcMar>
              <w:top w:w="0" w:type="dxa"/>
              <w:left w:w="108" w:type="dxa"/>
              <w:bottom w:w="0" w:type="dxa"/>
              <w:right w:w="108" w:type="dxa"/>
            </w:tcMar>
            <w:vAlign w:val="bottom"/>
          </w:tcPr>
          <w:p w14:paraId="27D3D84C" w14:textId="4F0F88A1" w:rsidR="00453612" w:rsidRPr="00EE7BB4" w:rsidRDefault="00453612" w:rsidP="00970DC0">
            <w:pPr>
              <w:pStyle w:val="Tabletext"/>
            </w:pPr>
            <w:bookmarkStart w:id="148" w:name="lt_pId196"/>
            <w:r w:rsidRPr="00EE7BB4">
              <w:t xml:space="preserve">1 G6, </w:t>
            </w:r>
            <w:r w:rsidR="006654A8" w:rsidRPr="00EE7BB4">
              <w:t>inclusión financiera</w:t>
            </w:r>
            <w:bookmarkEnd w:id="148"/>
          </w:p>
        </w:tc>
        <w:tc>
          <w:tcPr>
            <w:tcW w:w="1559" w:type="dxa"/>
            <w:tcBorders>
              <w:top w:val="single" w:sz="8" w:space="0" w:color="auto"/>
              <w:left w:val="nil"/>
              <w:bottom w:val="nil"/>
              <w:right w:val="single" w:sz="8" w:space="0" w:color="auto"/>
            </w:tcBorders>
            <w:noWrap/>
            <w:tcMar>
              <w:top w:w="0" w:type="dxa"/>
              <w:left w:w="108" w:type="dxa"/>
              <w:bottom w:w="0" w:type="dxa"/>
              <w:right w:w="108" w:type="dxa"/>
            </w:tcMar>
            <w:vAlign w:val="bottom"/>
          </w:tcPr>
          <w:p w14:paraId="051DA7F7" w14:textId="497F3F28" w:rsidR="00453612" w:rsidRPr="00EE7BB4" w:rsidRDefault="00453612" w:rsidP="00FE4E5B">
            <w:pPr>
              <w:pStyle w:val="Tabletext"/>
              <w:jc w:val="center"/>
            </w:pPr>
            <w:r w:rsidRPr="00EE7BB4">
              <w:t>110</w:t>
            </w:r>
            <w:r w:rsidR="00FE4E5B" w:rsidRPr="00EE7BB4">
              <w:t> 000</w:t>
            </w:r>
          </w:p>
        </w:tc>
      </w:tr>
      <w:tr w:rsidR="00453612" w:rsidRPr="00EE7BB4" w14:paraId="485F482A" w14:textId="77777777" w:rsidTr="00FE4E5B">
        <w:trPr>
          <w:jc w:val="center"/>
        </w:trPr>
        <w:tc>
          <w:tcPr>
            <w:tcW w:w="5529" w:type="dxa"/>
            <w:tcBorders>
              <w:top w:val="single" w:sz="8" w:space="0" w:color="auto"/>
              <w:left w:val="single" w:sz="8" w:space="0" w:color="auto"/>
              <w:bottom w:val="nil"/>
              <w:right w:val="single" w:sz="8" w:space="0" w:color="auto"/>
            </w:tcBorders>
            <w:tcMar>
              <w:top w:w="0" w:type="dxa"/>
              <w:left w:w="108" w:type="dxa"/>
              <w:bottom w:w="0" w:type="dxa"/>
              <w:right w:w="108" w:type="dxa"/>
            </w:tcMar>
            <w:vAlign w:val="bottom"/>
          </w:tcPr>
          <w:p w14:paraId="5F6876D9" w14:textId="5FCC868A" w:rsidR="00453612" w:rsidRPr="00EE7BB4" w:rsidRDefault="00453612" w:rsidP="00970DC0">
            <w:pPr>
              <w:pStyle w:val="Tabletext"/>
            </w:pPr>
            <w:bookmarkStart w:id="149" w:name="lt_pId198"/>
            <w:r w:rsidRPr="00EE7BB4">
              <w:t xml:space="preserve">1 P4, </w:t>
            </w:r>
            <w:r w:rsidR="006654A8" w:rsidRPr="00EE7BB4">
              <w:t>aplicaciones de aprendizaje automático para la infraestructura de</w:t>
            </w:r>
            <w:r w:rsidR="00FE4E5B" w:rsidRPr="00EE7BB4">
              <w:t> </w:t>
            </w:r>
            <w:r w:rsidR="006654A8" w:rsidRPr="00EE7BB4">
              <w:t>TIC</w:t>
            </w:r>
            <w:bookmarkEnd w:id="149"/>
          </w:p>
        </w:tc>
        <w:tc>
          <w:tcPr>
            <w:tcW w:w="1559" w:type="dxa"/>
            <w:tcBorders>
              <w:top w:val="single" w:sz="8" w:space="0" w:color="auto"/>
              <w:left w:val="nil"/>
              <w:bottom w:val="nil"/>
              <w:right w:val="single" w:sz="8" w:space="0" w:color="auto"/>
            </w:tcBorders>
            <w:noWrap/>
            <w:tcMar>
              <w:top w:w="0" w:type="dxa"/>
              <w:left w:w="108" w:type="dxa"/>
              <w:bottom w:w="0" w:type="dxa"/>
              <w:right w:w="108" w:type="dxa"/>
            </w:tcMar>
            <w:vAlign w:val="bottom"/>
          </w:tcPr>
          <w:p w14:paraId="45A43A59" w14:textId="31A6D0E0" w:rsidR="00453612" w:rsidRPr="00EE7BB4" w:rsidRDefault="00453612" w:rsidP="00FE4E5B">
            <w:pPr>
              <w:pStyle w:val="Tabletext"/>
              <w:jc w:val="center"/>
            </w:pPr>
            <w:r w:rsidRPr="00EE7BB4">
              <w:t>150</w:t>
            </w:r>
            <w:r w:rsidR="00FE4E5B" w:rsidRPr="00EE7BB4">
              <w:t> 000</w:t>
            </w:r>
          </w:p>
        </w:tc>
      </w:tr>
      <w:tr w:rsidR="00453612" w:rsidRPr="00EE7BB4" w14:paraId="4DD8F6AE" w14:textId="77777777" w:rsidTr="00FE4E5B">
        <w:trPr>
          <w:jc w:val="center"/>
        </w:trPr>
        <w:tc>
          <w:tcPr>
            <w:tcW w:w="5529" w:type="dxa"/>
            <w:tcBorders>
              <w:top w:val="single" w:sz="8" w:space="0" w:color="auto"/>
              <w:left w:val="single" w:sz="8" w:space="0" w:color="auto"/>
              <w:bottom w:val="nil"/>
              <w:right w:val="single" w:sz="8" w:space="0" w:color="auto"/>
            </w:tcBorders>
            <w:tcMar>
              <w:top w:w="0" w:type="dxa"/>
              <w:left w:w="108" w:type="dxa"/>
              <w:bottom w:w="0" w:type="dxa"/>
              <w:right w:w="108" w:type="dxa"/>
            </w:tcMar>
            <w:vAlign w:val="bottom"/>
          </w:tcPr>
          <w:p w14:paraId="0A605950" w14:textId="0BF5C1A6" w:rsidR="00453612" w:rsidRPr="00EE7BB4" w:rsidRDefault="006654A8" w:rsidP="00FE4E5B">
            <w:pPr>
              <w:pStyle w:val="Tablehead"/>
              <w:jc w:val="left"/>
            </w:pPr>
            <w:r w:rsidRPr="00EE7BB4">
              <w:t>Herramientas y aplicaciones de TI</w:t>
            </w:r>
          </w:p>
        </w:tc>
        <w:tc>
          <w:tcPr>
            <w:tcW w:w="1559" w:type="dxa"/>
            <w:tcBorders>
              <w:top w:val="single" w:sz="8" w:space="0" w:color="auto"/>
              <w:left w:val="nil"/>
              <w:bottom w:val="nil"/>
              <w:right w:val="single" w:sz="8" w:space="0" w:color="auto"/>
            </w:tcBorders>
            <w:noWrap/>
            <w:tcMar>
              <w:top w:w="0" w:type="dxa"/>
              <w:left w:w="108" w:type="dxa"/>
              <w:bottom w:w="0" w:type="dxa"/>
              <w:right w:w="108" w:type="dxa"/>
            </w:tcMar>
            <w:vAlign w:val="bottom"/>
          </w:tcPr>
          <w:p w14:paraId="2D4F14AD" w14:textId="77777777" w:rsidR="00453612" w:rsidRPr="00EE7BB4" w:rsidRDefault="00453612" w:rsidP="00FE4E5B">
            <w:pPr>
              <w:pStyle w:val="Tablehead"/>
              <w:jc w:val="left"/>
            </w:pPr>
          </w:p>
        </w:tc>
      </w:tr>
      <w:tr w:rsidR="00453612" w:rsidRPr="00EE7BB4" w14:paraId="0A3C4AE7" w14:textId="77777777" w:rsidTr="00FE4E5B">
        <w:trPr>
          <w:jc w:val="center"/>
        </w:trPr>
        <w:tc>
          <w:tcPr>
            <w:tcW w:w="5529" w:type="dxa"/>
            <w:tcBorders>
              <w:top w:val="single" w:sz="8" w:space="0" w:color="auto"/>
              <w:left w:val="single" w:sz="8" w:space="0" w:color="auto"/>
              <w:bottom w:val="nil"/>
              <w:right w:val="single" w:sz="8" w:space="0" w:color="auto"/>
            </w:tcBorders>
            <w:tcMar>
              <w:top w:w="0" w:type="dxa"/>
              <w:left w:w="108" w:type="dxa"/>
              <w:bottom w:w="0" w:type="dxa"/>
              <w:right w:w="108" w:type="dxa"/>
            </w:tcMar>
            <w:vAlign w:val="bottom"/>
          </w:tcPr>
          <w:p w14:paraId="177C5624" w14:textId="77777777" w:rsidR="00453612" w:rsidRPr="00EE7BB4" w:rsidRDefault="00453612" w:rsidP="00970DC0">
            <w:pPr>
              <w:pStyle w:val="Tabletext"/>
            </w:pPr>
            <w:bookmarkStart w:id="150" w:name="lt_pId201"/>
            <w:r w:rsidRPr="00EE7BB4">
              <w:t>1 P1</w:t>
            </w:r>
            <w:bookmarkEnd w:id="150"/>
          </w:p>
        </w:tc>
        <w:tc>
          <w:tcPr>
            <w:tcW w:w="1559" w:type="dxa"/>
            <w:tcBorders>
              <w:top w:val="single" w:sz="8" w:space="0" w:color="auto"/>
              <w:left w:val="nil"/>
              <w:bottom w:val="nil"/>
              <w:right w:val="single" w:sz="8" w:space="0" w:color="auto"/>
            </w:tcBorders>
            <w:noWrap/>
            <w:tcMar>
              <w:top w:w="0" w:type="dxa"/>
              <w:left w:w="108" w:type="dxa"/>
              <w:bottom w:w="0" w:type="dxa"/>
              <w:right w:w="108" w:type="dxa"/>
            </w:tcMar>
            <w:vAlign w:val="bottom"/>
          </w:tcPr>
          <w:p w14:paraId="18017042" w14:textId="67A7F811" w:rsidR="00453612" w:rsidRPr="00EE7BB4" w:rsidRDefault="00453612" w:rsidP="00FE4E5B">
            <w:pPr>
              <w:pStyle w:val="Tabletext"/>
              <w:jc w:val="center"/>
            </w:pPr>
            <w:r w:rsidRPr="00EE7BB4">
              <w:t>110</w:t>
            </w:r>
            <w:r w:rsidR="00FE4E5B" w:rsidRPr="00EE7BB4">
              <w:t> 000</w:t>
            </w:r>
          </w:p>
        </w:tc>
      </w:tr>
      <w:tr w:rsidR="00453612" w:rsidRPr="00EE7BB4" w14:paraId="0D7FAA32" w14:textId="77777777" w:rsidTr="00FE4E5B">
        <w:trPr>
          <w:jc w:val="center"/>
        </w:trPr>
        <w:tc>
          <w:tcPr>
            <w:tcW w:w="5529"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bottom"/>
          </w:tcPr>
          <w:p w14:paraId="461238DD" w14:textId="77777777" w:rsidR="00453612" w:rsidRPr="00EE7BB4" w:rsidRDefault="00453612" w:rsidP="00970DC0">
            <w:pPr>
              <w:pStyle w:val="Tabletext"/>
            </w:pPr>
            <w:bookmarkStart w:id="151" w:name="lt_pId203"/>
            <w:r w:rsidRPr="00EE7BB4">
              <w:t>1 P2</w:t>
            </w:r>
            <w:bookmarkEnd w:id="151"/>
          </w:p>
        </w:tc>
        <w:tc>
          <w:tcPr>
            <w:tcW w:w="1559" w:type="dxa"/>
            <w:tcBorders>
              <w:top w:val="single" w:sz="8" w:space="0" w:color="auto"/>
              <w:left w:val="nil"/>
              <w:bottom w:val="single" w:sz="4" w:space="0" w:color="auto"/>
              <w:right w:val="single" w:sz="8" w:space="0" w:color="auto"/>
            </w:tcBorders>
            <w:noWrap/>
            <w:tcMar>
              <w:top w:w="0" w:type="dxa"/>
              <w:left w:w="108" w:type="dxa"/>
              <w:bottom w:w="0" w:type="dxa"/>
              <w:right w:w="108" w:type="dxa"/>
            </w:tcMar>
            <w:vAlign w:val="bottom"/>
          </w:tcPr>
          <w:p w14:paraId="441C51EC" w14:textId="31E48416" w:rsidR="00453612" w:rsidRPr="00EE7BB4" w:rsidRDefault="00453612" w:rsidP="00FE4E5B">
            <w:pPr>
              <w:pStyle w:val="Tabletext"/>
              <w:jc w:val="center"/>
            </w:pPr>
            <w:r w:rsidRPr="00EE7BB4">
              <w:t>120</w:t>
            </w:r>
            <w:r w:rsidR="00FE4E5B" w:rsidRPr="00EE7BB4">
              <w:t> 000</w:t>
            </w:r>
          </w:p>
        </w:tc>
      </w:tr>
      <w:tr w:rsidR="00453612" w:rsidRPr="00EE7BB4" w14:paraId="52C2C9AE" w14:textId="77777777" w:rsidTr="00FE4E5B">
        <w:trPr>
          <w:trHeight w:val="288"/>
          <w:jc w:val="center"/>
        </w:trPr>
        <w:tc>
          <w:tcPr>
            <w:tcW w:w="5529" w:type="dxa"/>
            <w:tcBorders>
              <w:top w:val="single" w:sz="4"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bottom"/>
            <w:hideMark/>
          </w:tcPr>
          <w:p w14:paraId="75B1035F" w14:textId="77777777" w:rsidR="00453612" w:rsidRPr="00EE7BB4" w:rsidRDefault="00453612" w:rsidP="00970DC0">
            <w:pPr>
              <w:pStyle w:val="Tabletext"/>
              <w:rPr>
                <w:b/>
              </w:rPr>
            </w:pPr>
            <w:bookmarkStart w:id="152" w:name="lt_pId205"/>
            <w:r w:rsidRPr="00EE7BB4">
              <w:rPr>
                <w:b/>
              </w:rPr>
              <w:t>Total</w:t>
            </w:r>
            <w:bookmarkEnd w:id="152"/>
          </w:p>
        </w:tc>
        <w:tc>
          <w:tcPr>
            <w:tcW w:w="1559" w:type="dxa"/>
            <w:tcBorders>
              <w:top w:val="single" w:sz="4" w:space="0" w:color="auto"/>
              <w:left w:val="nil"/>
              <w:bottom w:val="single" w:sz="8" w:space="0" w:color="auto"/>
              <w:right w:val="single" w:sz="8" w:space="0" w:color="auto"/>
            </w:tcBorders>
            <w:shd w:val="clear" w:color="auto" w:fill="F2F2F2"/>
            <w:noWrap/>
            <w:tcMar>
              <w:top w:w="0" w:type="dxa"/>
              <w:left w:w="108" w:type="dxa"/>
              <w:bottom w:w="0" w:type="dxa"/>
              <w:right w:w="108" w:type="dxa"/>
            </w:tcMar>
            <w:vAlign w:val="bottom"/>
            <w:hideMark/>
          </w:tcPr>
          <w:p w14:paraId="22DB5118" w14:textId="233446AE" w:rsidR="00453612" w:rsidRPr="00EE7BB4" w:rsidRDefault="00453612" w:rsidP="00FE4E5B">
            <w:pPr>
              <w:pStyle w:val="Tabletext"/>
              <w:jc w:val="center"/>
              <w:rPr>
                <w:b/>
              </w:rPr>
            </w:pPr>
            <w:bookmarkStart w:id="153" w:name="lt_pId206"/>
            <w:r w:rsidRPr="00EE7BB4">
              <w:rPr>
                <w:b/>
              </w:rPr>
              <w:t>880</w:t>
            </w:r>
            <w:r w:rsidR="00386EFA" w:rsidRPr="00EE7BB4">
              <w:rPr>
                <w:b/>
              </w:rPr>
              <w:t> 000</w:t>
            </w:r>
            <w:bookmarkEnd w:id="153"/>
          </w:p>
        </w:tc>
      </w:tr>
    </w:tbl>
    <w:p w14:paraId="6EF6FD93" w14:textId="516938EB" w:rsidR="00550FC8" w:rsidRPr="00EE7BB4" w:rsidRDefault="0094480C" w:rsidP="00F87935">
      <w:pPr>
        <w:pStyle w:val="Tabletitle"/>
        <w:keepNext w:val="0"/>
        <w:spacing w:before="240"/>
        <w:rPr>
          <w:rFonts w:eastAsia="Calibri"/>
        </w:rPr>
      </w:pPr>
      <w:bookmarkStart w:id="154" w:name="_Hlk38027531"/>
      <w:r w:rsidRPr="00EE7BB4">
        <w:rPr>
          <w:rFonts w:eastAsia="Calibri"/>
        </w:rPr>
        <w:t>Cuadro</w:t>
      </w:r>
      <w:r w:rsidR="00550FC8" w:rsidRPr="00EE7BB4">
        <w:rPr>
          <w:rFonts w:eastAsia="Calibri"/>
        </w:rPr>
        <w:t xml:space="preserve"> 4: Cost</w:t>
      </w:r>
      <w:r w:rsidRPr="00EE7BB4">
        <w:rPr>
          <w:rFonts w:eastAsia="Calibri"/>
        </w:rPr>
        <w:t>e</w:t>
      </w:r>
      <w:r w:rsidR="00550FC8" w:rsidRPr="00EE7BB4">
        <w:rPr>
          <w:rFonts w:eastAsia="Calibri"/>
        </w:rPr>
        <w:t xml:space="preserve">s </w:t>
      </w:r>
      <w:r w:rsidRPr="00EE7BB4">
        <w:rPr>
          <w:rFonts w:eastAsia="Calibri"/>
        </w:rPr>
        <w:t>de los recursos adicionales necesarios</w:t>
      </w:r>
      <w:r w:rsidR="00550FC8" w:rsidRPr="00EE7BB4">
        <w:rPr>
          <w:rFonts w:eastAsia="Calibri"/>
        </w:rPr>
        <w:t xml:space="preserve"> </w:t>
      </w:r>
    </w:p>
    <w:p w14:paraId="15BFE863" w14:textId="7E0F839C" w:rsidR="00453612" w:rsidRPr="00EE7BB4" w:rsidRDefault="00453612" w:rsidP="00FE4E5B">
      <w:pPr>
        <w:pStyle w:val="Normalaftertitle"/>
        <w:rPr>
          <w:rFonts w:eastAsiaTheme="minorEastAsia"/>
          <w:lang w:eastAsia="zh-CN"/>
        </w:rPr>
      </w:pPr>
      <w:r w:rsidRPr="00EE7BB4">
        <w:rPr>
          <w:rFonts w:eastAsiaTheme="minorEastAsia"/>
          <w:lang w:eastAsia="zh-CN"/>
        </w:rPr>
        <w:t>4.2</w:t>
      </w:r>
      <w:r w:rsidRPr="00EE7BB4">
        <w:rPr>
          <w:rFonts w:eastAsiaTheme="minorEastAsia"/>
          <w:lang w:eastAsia="zh-CN"/>
        </w:rPr>
        <w:tab/>
      </w:r>
      <w:bookmarkStart w:id="155" w:name="lt_pId208"/>
      <w:r w:rsidR="006654A8" w:rsidRPr="00EE7BB4">
        <w:rPr>
          <w:rFonts w:eastAsiaTheme="minorEastAsia"/>
          <w:lang w:eastAsia="zh-CN"/>
        </w:rPr>
        <w:t xml:space="preserve">Como </w:t>
      </w:r>
      <w:r w:rsidR="006654A8" w:rsidRPr="00EE7BB4">
        <w:t>fuente</w:t>
      </w:r>
      <w:r w:rsidR="006654A8" w:rsidRPr="00EE7BB4">
        <w:rPr>
          <w:rFonts w:eastAsiaTheme="minorEastAsia"/>
          <w:lang w:eastAsia="zh-CN"/>
        </w:rPr>
        <w:t xml:space="preserve"> de financiación se propone utilizar </w:t>
      </w:r>
      <w:r w:rsidR="00FE4E5B" w:rsidRPr="00EE7BB4">
        <w:rPr>
          <w:rFonts w:eastAsiaTheme="minorEastAsia"/>
          <w:lang w:eastAsia="zh-CN"/>
        </w:rPr>
        <w:t>el</w:t>
      </w:r>
      <w:r w:rsidR="0094480C" w:rsidRPr="00EE7BB4">
        <w:rPr>
          <w:rFonts w:eastAsiaTheme="minorEastAsia"/>
          <w:lang w:eastAsia="zh-CN"/>
        </w:rPr>
        <w:t xml:space="preserve"> </w:t>
      </w:r>
      <w:r w:rsidR="006654A8" w:rsidRPr="00EE7BB4">
        <w:rPr>
          <w:rFonts w:eastAsiaTheme="minorEastAsia"/>
          <w:lang w:eastAsia="zh-CN"/>
        </w:rPr>
        <w:t>superávit de</w:t>
      </w:r>
      <w:r w:rsidRPr="00EE7BB4">
        <w:rPr>
          <w:rFonts w:eastAsiaTheme="minorEastAsia"/>
          <w:lang w:eastAsia="zh-CN"/>
        </w:rPr>
        <w:t xml:space="preserve"> 2020, </w:t>
      </w:r>
      <w:r w:rsidR="006654A8" w:rsidRPr="00EE7BB4">
        <w:rPr>
          <w:rFonts w:eastAsiaTheme="minorEastAsia"/>
          <w:lang w:eastAsia="zh-CN"/>
        </w:rPr>
        <w:t>las contribuciones voluntarias, la Cuenta de Provisión, como último recurso, o una combinación de cualquiera de los anteriores</w:t>
      </w:r>
      <w:r w:rsidRPr="00EE7BB4">
        <w:rPr>
          <w:rFonts w:eastAsiaTheme="minorEastAsia"/>
          <w:lang w:eastAsia="zh-CN"/>
        </w:rPr>
        <w:t>.</w:t>
      </w:r>
      <w:bookmarkEnd w:id="155"/>
    </w:p>
    <w:bookmarkEnd w:id="154"/>
    <w:bookmarkEnd w:id="30"/>
    <w:p w14:paraId="3438ECC9" w14:textId="77777777" w:rsidR="00FE4E5B" w:rsidRPr="00EE7BB4" w:rsidRDefault="00FE4E5B" w:rsidP="00411C49">
      <w:pPr>
        <w:pStyle w:val="Reasons"/>
      </w:pPr>
    </w:p>
    <w:p w14:paraId="06E0B144" w14:textId="77777777" w:rsidR="00FE4E5B" w:rsidRPr="00EE7BB4" w:rsidRDefault="00FE4E5B">
      <w:pPr>
        <w:jc w:val="center"/>
      </w:pPr>
      <w:r w:rsidRPr="00EE7BB4">
        <w:t>______________</w:t>
      </w:r>
    </w:p>
    <w:sectPr w:rsidR="00FE4E5B" w:rsidRPr="00EE7BB4" w:rsidSect="006710F6">
      <w:headerReference w:type="default" r:id="rId33"/>
      <w:footerReference w:type="default" r:id="rId34"/>
      <w:footerReference w:type="first" r:id="rId3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EE8871" w14:textId="77777777" w:rsidR="002244B1" w:rsidRDefault="002244B1">
      <w:r>
        <w:separator/>
      </w:r>
    </w:p>
  </w:endnote>
  <w:endnote w:type="continuationSeparator" w:id="0">
    <w:p w14:paraId="7D3679F2" w14:textId="77777777" w:rsidR="002244B1" w:rsidRDefault="00224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04EA6" w14:textId="7A82CDF4" w:rsidR="002244B1" w:rsidRPr="00342C58" w:rsidRDefault="002244B1" w:rsidP="002F6252">
    <w:pPr>
      <w:pStyle w:val="Footer"/>
      <w:rPr>
        <w:color w:val="D9D9D9" w:themeColor="background1" w:themeShade="D9"/>
        <w:lang w:val="fr-CH"/>
      </w:rPr>
    </w:pPr>
    <w:r w:rsidRPr="00342C58">
      <w:rPr>
        <w:color w:val="D9D9D9" w:themeColor="background1" w:themeShade="D9"/>
      </w:rPr>
      <w:fldChar w:fldCharType="begin"/>
    </w:r>
    <w:r w:rsidRPr="00342C58">
      <w:rPr>
        <w:color w:val="D9D9D9" w:themeColor="background1" w:themeShade="D9"/>
        <w:lang w:val="fr-CH"/>
      </w:rPr>
      <w:instrText xml:space="preserve"> FILENAME \p  \* MERGEFORMAT </w:instrText>
    </w:r>
    <w:r w:rsidRPr="00342C58">
      <w:rPr>
        <w:color w:val="D9D9D9" w:themeColor="background1" w:themeShade="D9"/>
      </w:rPr>
      <w:fldChar w:fldCharType="separate"/>
    </w:r>
    <w:r w:rsidR="002B71E1" w:rsidRPr="00342C58">
      <w:rPr>
        <w:color w:val="D9D9D9" w:themeColor="background1" w:themeShade="D9"/>
        <w:lang w:val="fr-CH"/>
      </w:rPr>
      <w:t>P:\ESP\SG\CONSEIL\C20\000\014REV1S.docx</w:t>
    </w:r>
    <w:r w:rsidRPr="00342C58">
      <w:rPr>
        <w:color w:val="D9D9D9" w:themeColor="background1" w:themeShade="D9"/>
      </w:rPr>
      <w:fldChar w:fldCharType="end"/>
    </w:r>
    <w:r w:rsidRPr="00342C58">
      <w:rPr>
        <w:color w:val="D9D9D9" w:themeColor="background1" w:themeShade="D9"/>
        <w:lang w:val="fr-CH"/>
      </w:rPr>
      <w:t xml:space="preserve"> (478826)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BCBBF" w14:textId="02A6B3FE" w:rsidR="002244B1" w:rsidRDefault="002244B1">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AD31B6" w14:textId="77777777" w:rsidR="002244B1" w:rsidRDefault="002244B1">
      <w:r>
        <w:t>____________________</w:t>
      </w:r>
    </w:p>
  </w:footnote>
  <w:footnote w:type="continuationSeparator" w:id="0">
    <w:p w14:paraId="42C0C217" w14:textId="77777777" w:rsidR="002244B1" w:rsidRDefault="00224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4BB0B" w14:textId="60F0A09E" w:rsidR="002244B1" w:rsidRDefault="002244B1" w:rsidP="007657F0">
    <w:pPr>
      <w:pStyle w:val="Header"/>
    </w:pPr>
    <w:r>
      <w:fldChar w:fldCharType="begin"/>
    </w:r>
    <w:r>
      <w:instrText>PAGE</w:instrText>
    </w:r>
    <w:r>
      <w:fldChar w:fldCharType="separate"/>
    </w:r>
    <w:r>
      <w:rPr>
        <w:noProof/>
      </w:rPr>
      <w:t>8</w:t>
    </w:r>
    <w:r>
      <w:rPr>
        <w:noProof/>
      </w:rPr>
      <w:fldChar w:fldCharType="end"/>
    </w:r>
  </w:p>
  <w:p w14:paraId="05585656" w14:textId="4C9985AF" w:rsidR="002244B1" w:rsidRDefault="002244B1" w:rsidP="00C2727F">
    <w:pPr>
      <w:pStyle w:val="Header"/>
    </w:pPr>
    <w:r>
      <w:t>C20/14(Rev.1)-S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946C7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510A8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29697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67A39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864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EEA1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783A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0188C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B44C0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7695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2D1A46"/>
    <w:multiLevelType w:val="hybridMultilevel"/>
    <w:tmpl w:val="6152F2AE"/>
    <w:lvl w:ilvl="0" w:tplc="DFAC8B9A">
      <w:start w:val="1"/>
      <w:numFmt w:val="bullet"/>
      <w:lvlText w:val=""/>
      <w:lvlJc w:val="left"/>
      <w:pPr>
        <w:ind w:left="360" w:hanging="360"/>
      </w:pPr>
      <w:rPr>
        <w:rFonts w:ascii="Symbol" w:hAnsi="Symbol" w:hint="default"/>
      </w:rPr>
    </w:lvl>
    <w:lvl w:ilvl="1" w:tplc="FADA1952">
      <w:start w:val="1"/>
      <w:numFmt w:val="bullet"/>
      <w:lvlText w:val="o"/>
      <w:lvlJc w:val="left"/>
      <w:pPr>
        <w:ind w:left="1080" w:hanging="360"/>
      </w:pPr>
      <w:rPr>
        <w:rFonts w:ascii="Courier New" w:hAnsi="Courier New" w:cs="Courier New" w:hint="default"/>
      </w:rPr>
    </w:lvl>
    <w:lvl w:ilvl="2" w:tplc="E9169FA6" w:tentative="1">
      <w:start w:val="1"/>
      <w:numFmt w:val="bullet"/>
      <w:lvlText w:val=""/>
      <w:lvlJc w:val="left"/>
      <w:pPr>
        <w:ind w:left="1800" w:hanging="360"/>
      </w:pPr>
      <w:rPr>
        <w:rFonts w:ascii="Wingdings" w:hAnsi="Wingdings" w:hint="default"/>
      </w:rPr>
    </w:lvl>
    <w:lvl w:ilvl="3" w:tplc="40EC0008" w:tentative="1">
      <w:start w:val="1"/>
      <w:numFmt w:val="bullet"/>
      <w:lvlText w:val=""/>
      <w:lvlJc w:val="left"/>
      <w:pPr>
        <w:ind w:left="2520" w:hanging="360"/>
      </w:pPr>
      <w:rPr>
        <w:rFonts w:ascii="Symbol" w:hAnsi="Symbol" w:hint="default"/>
      </w:rPr>
    </w:lvl>
    <w:lvl w:ilvl="4" w:tplc="76DEA334" w:tentative="1">
      <w:start w:val="1"/>
      <w:numFmt w:val="bullet"/>
      <w:lvlText w:val="o"/>
      <w:lvlJc w:val="left"/>
      <w:pPr>
        <w:ind w:left="3240" w:hanging="360"/>
      </w:pPr>
      <w:rPr>
        <w:rFonts w:ascii="Courier New" w:hAnsi="Courier New" w:cs="Courier New" w:hint="default"/>
      </w:rPr>
    </w:lvl>
    <w:lvl w:ilvl="5" w:tplc="733C459C" w:tentative="1">
      <w:start w:val="1"/>
      <w:numFmt w:val="bullet"/>
      <w:lvlText w:val=""/>
      <w:lvlJc w:val="left"/>
      <w:pPr>
        <w:ind w:left="3960" w:hanging="360"/>
      </w:pPr>
      <w:rPr>
        <w:rFonts w:ascii="Wingdings" w:hAnsi="Wingdings" w:hint="default"/>
      </w:rPr>
    </w:lvl>
    <w:lvl w:ilvl="6" w:tplc="FAFAF5AA" w:tentative="1">
      <w:start w:val="1"/>
      <w:numFmt w:val="bullet"/>
      <w:lvlText w:val=""/>
      <w:lvlJc w:val="left"/>
      <w:pPr>
        <w:ind w:left="4680" w:hanging="360"/>
      </w:pPr>
      <w:rPr>
        <w:rFonts w:ascii="Symbol" w:hAnsi="Symbol" w:hint="default"/>
      </w:rPr>
    </w:lvl>
    <w:lvl w:ilvl="7" w:tplc="0E309938" w:tentative="1">
      <w:start w:val="1"/>
      <w:numFmt w:val="bullet"/>
      <w:lvlText w:val="o"/>
      <w:lvlJc w:val="left"/>
      <w:pPr>
        <w:ind w:left="5400" w:hanging="360"/>
      </w:pPr>
      <w:rPr>
        <w:rFonts w:ascii="Courier New" w:hAnsi="Courier New" w:cs="Courier New" w:hint="default"/>
      </w:rPr>
    </w:lvl>
    <w:lvl w:ilvl="8" w:tplc="7C30BB44" w:tentative="1">
      <w:start w:val="1"/>
      <w:numFmt w:val="bullet"/>
      <w:lvlText w:val=""/>
      <w:lvlJc w:val="left"/>
      <w:pPr>
        <w:ind w:left="6120" w:hanging="360"/>
      </w:pPr>
      <w:rPr>
        <w:rFonts w:ascii="Wingdings" w:hAnsi="Wingdings" w:hint="default"/>
      </w:rPr>
    </w:lvl>
  </w:abstractNum>
  <w:abstractNum w:abstractNumId="11" w15:restartNumberingAfterBreak="0">
    <w:nsid w:val="3E5E6C13"/>
    <w:multiLevelType w:val="hybridMultilevel"/>
    <w:tmpl w:val="B1C20E52"/>
    <w:lvl w:ilvl="0" w:tplc="76E00794">
      <w:start w:val="1"/>
      <w:numFmt w:val="bullet"/>
      <w:lvlText w:val=""/>
      <w:lvlJc w:val="left"/>
      <w:pPr>
        <w:ind w:left="360" w:hanging="360"/>
      </w:pPr>
      <w:rPr>
        <w:rFonts w:ascii="Symbol" w:hAnsi="Symbol" w:hint="default"/>
      </w:rPr>
    </w:lvl>
    <w:lvl w:ilvl="1" w:tplc="0D802550" w:tentative="1">
      <w:start w:val="1"/>
      <w:numFmt w:val="bullet"/>
      <w:lvlText w:val="o"/>
      <w:lvlJc w:val="left"/>
      <w:pPr>
        <w:ind w:left="1080" w:hanging="360"/>
      </w:pPr>
      <w:rPr>
        <w:rFonts w:ascii="Courier New" w:hAnsi="Courier New" w:cs="Courier New" w:hint="default"/>
      </w:rPr>
    </w:lvl>
    <w:lvl w:ilvl="2" w:tplc="EC040D22" w:tentative="1">
      <w:start w:val="1"/>
      <w:numFmt w:val="bullet"/>
      <w:lvlText w:val=""/>
      <w:lvlJc w:val="left"/>
      <w:pPr>
        <w:ind w:left="1800" w:hanging="360"/>
      </w:pPr>
      <w:rPr>
        <w:rFonts w:ascii="Wingdings" w:hAnsi="Wingdings" w:hint="default"/>
      </w:rPr>
    </w:lvl>
    <w:lvl w:ilvl="3" w:tplc="35066EE6" w:tentative="1">
      <w:start w:val="1"/>
      <w:numFmt w:val="bullet"/>
      <w:lvlText w:val=""/>
      <w:lvlJc w:val="left"/>
      <w:pPr>
        <w:ind w:left="2520" w:hanging="360"/>
      </w:pPr>
      <w:rPr>
        <w:rFonts w:ascii="Symbol" w:hAnsi="Symbol" w:hint="default"/>
      </w:rPr>
    </w:lvl>
    <w:lvl w:ilvl="4" w:tplc="EF46199E" w:tentative="1">
      <w:start w:val="1"/>
      <w:numFmt w:val="bullet"/>
      <w:lvlText w:val="o"/>
      <w:lvlJc w:val="left"/>
      <w:pPr>
        <w:ind w:left="3240" w:hanging="360"/>
      </w:pPr>
      <w:rPr>
        <w:rFonts w:ascii="Courier New" w:hAnsi="Courier New" w:cs="Courier New" w:hint="default"/>
      </w:rPr>
    </w:lvl>
    <w:lvl w:ilvl="5" w:tplc="2A02162C" w:tentative="1">
      <w:start w:val="1"/>
      <w:numFmt w:val="bullet"/>
      <w:lvlText w:val=""/>
      <w:lvlJc w:val="left"/>
      <w:pPr>
        <w:ind w:left="3960" w:hanging="360"/>
      </w:pPr>
      <w:rPr>
        <w:rFonts w:ascii="Wingdings" w:hAnsi="Wingdings" w:hint="default"/>
      </w:rPr>
    </w:lvl>
    <w:lvl w:ilvl="6" w:tplc="D7A42AD8" w:tentative="1">
      <w:start w:val="1"/>
      <w:numFmt w:val="bullet"/>
      <w:lvlText w:val=""/>
      <w:lvlJc w:val="left"/>
      <w:pPr>
        <w:ind w:left="4680" w:hanging="360"/>
      </w:pPr>
      <w:rPr>
        <w:rFonts w:ascii="Symbol" w:hAnsi="Symbol" w:hint="default"/>
      </w:rPr>
    </w:lvl>
    <w:lvl w:ilvl="7" w:tplc="26260536" w:tentative="1">
      <w:start w:val="1"/>
      <w:numFmt w:val="bullet"/>
      <w:lvlText w:val="o"/>
      <w:lvlJc w:val="left"/>
      <w:pPr>
        <w:ind w:left="5400" w:hanging="360"/>
      </w:pPr>
      <w:rPr>
        <w:rFonts w:ascii="Courier New" w:hAnsi="Courier New" w:cs="Courier New" w:hint="default"/>
      </w:rPr>
    </w:lvl>
    <w:lvl w:ilvl="8" w:tplc="38D8186E" w:tentative="1">
      <w:start w:val="1"/>
      <w:numFmt w:val="bullet"/>
      <w:lvlText w:val=""/>
      <w:lvlJc w:val="left"/>
      <w:pPr>
        <w:ind w:left="6120" w:hanging="360"/>
      </w:pPr>
      <w:rPr>
        <w:rFonts w:ascii="Wingdings" w:hAnsi="Wingdings" w:hint="default"/>
      </w:rPr>
    </w:lvl>
  </w:abstractNum>
  <w:abstractNum w:abstractNumId="12" w15:restartNumberingAfterBreak="0">
    <w:nsid w:val="659547D1"/>
    <w:multiLevelType w:val="hybridMultilevel"/>
    <w:tmpl w:val="DCF8BE30"/>
    <w:lvl w:ilvl="0" w:tplc="F73C7B24">
      <w:start w:val="1"/>
      <w:numFmt w:val="bullet"/>
      <w:lvlText w:val="–"/>
      <w:lvlJc w:val="left"/>
      <w:pPr>
        <w:ind w:left="720" w:hanging="360"/>
      </w:pPr>
      <w:rPr>
        <w:rFonts w:ascii="Times New Roman" w:hAnsi="Times New Roman" w:cs="Times New Roman" w:hint="default"/>
      </w:rPr>
    </w:lvl>
    <w:lvl w:ilvl="1" w:tplc="7F7C1A0A" w:tentative="1">
      <w:start w:val="1"/>
      <w:numFmt w:val="bullet"/>
      <w:lvlText w:val="o"/>
      <w:lvlJc w:val="left"/>
      <w:pPr>
        <w:ind w:left="1440" w:hanging="360"/>
      </w:pPr>
      <w:rPr>
        <w:rFonts w:ascii="Courier New" w:hAnsi="Courier New" w:cs="Courier New" w:hint="default"/>
      </w:rPr>
    </w:lvl>
    <w:lvl w:ilvl="2" w:tplc="33F8FFCE" w:tentative="1">
      <w:start w:val="1"/>
      <w:numFmt w:val="bullet"/>
      <w:lvlText w:val=""/>
      <w:lvlJc w:val="left"/>
      <w:pPr>
        <w:ind w:left="2160" w:hanging="360"/>
      </w:pPr>
      <w:rPr>
        <w:rFonts w:ascii="Wingdings" w:hAnsi="Wingdings" w:hint="default"/>
      </w:rPr>
    </w:lvl>
    <w:lvl w:ilvl="3" w:tplc="49BC2686" w:tentative="1">
      <w:start w:val="1"/>
      <w:numFmt w:val="bullet"/>
      <w:lvlText w:val=""/>
      <w:lvlJc w:val="left"/>
      <w:pPr>
        <w:ind w:left="2880" w:hanging="360"/>
      </w:pPr>
      <w:rPr>
        <w:rFonts w:ascii="Symbol" w:hAnsi="Symbol" w:hint="default"/>
      </w:rPr>
    </w:lvl>
    <w:lvl w:ilvl="4" w:tplc="25B602B0" w:tentative="1">
      <w:start w:val="1"/>
      <w:numFmt w:val="bullet"/>
      <w:lvlText w:val="o"/>
      <w:lvlJc w:val="left"/>
      <w:pPr>
        <w:ind w:left="3600" w:hanging="360"/>
      </w:pPr>
      <w:rPr>
        <w:rFonts w:ascii="Courier New" w:hAnsi="Courier New" w:cs="Courier New" w:hint="default"/>
      </w:rPr>
    </w:lvl>
    <w:lvl w:ilvl="5" w:tplc="61E29842" w:tentative="1">
      <w:start w:val="1"/>
      <w:numFmt w:val="bullet"/>
      <w:lvlText w:val=""/>
      <w:lvlJc w:val="left"/>
      <w:pPr>
        <w:ind w:left="4320" w:hanging="360"/>
      </w:pPr>
      <w:rPr>
        <w:rFonts w:ascii="Wingdings" w:hAnsi="Wingdings" w:hint="default"/>
      </w:rPr>
    </w:lvl>
    <w:lvl w:ilvl="6" w:tplc="AF5E3612" w:tentative="1">
      <w:start w:val="1"/>
      <w:numFmt w:val="bullet"/>
      <w:lvlText w:val=""/>
      <w:lvlJc w:val="left"/>
      <w:pPr>
        <w:ind w:left="5040" w:hanging="360"/>
      </w:pPr>
      <w:rPr>
        <w:rFonts w:ascii="Symbol" w:hAnsi="Symbol" w:hint="default"/>
      </w:rPr>
    </w:lvl>
    <w:lvl w:ilvl="7" w:tplc="D25A86C8" w:tentative="1">
      <w:start w:val="1"/>
      <w:numFmt w:val="bullet"/>
      <w:lvlText w:val="o"/>
      <w:lvlJc w:val="left"/>
      <w:pPr>
        <w:ind w:left="5760" w:hanging="360"/>
      </w:pPr>
      <w:rPr>
        <w:rFonts w:ascii="Courier New" w:hAnsi="Courier New" w:cs="Courier New" w:hint="default"/>
      </w:rPr>
    </w:lvl>
    <w:lvl w:ilvl="8" w:tplc="20E65B22"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612"/>
    <w:rsid w:val="000441A8"/>
    <w:rsid w:val="00060939"/>
    <w:rsid w:val="00067C59"/>
    <w:rsid w:val="00080EEE"/>
    <w:rsid w:val="00093EEB"/>
    <w:rsid w:val="000B0D00"/>
    <w:rsid w:val="000B7C15"/>
    <w:rsid w:val="000D1D0F"/>
    <w:rsid w:val="000F5290"/>
    <w:rsid w:val="0010165C"/>
    <w:rsid w:val="001325E2"/>
    <w:rsid w:val="00144743"/>
    <w:rsid w:val="00146BFB"/>
    <w:rsid w:val="0017737E"/>
    <w:rsid w:val="0018228C"/>
    <w:rsid w:val="001D4EA9"/>
    <w:rsid w:val="001F14A2"/>
    <w:rsid w:val="0021726E"/>
    <w:rsid w:val="00222FB5"/>
    <w:rsid w:val="002244B1"/>
    <w:rsid w:val="00276314"/>
    <w:rsid w:val="002801AA"/>
    <w:rsid w:val="00297DDC"/>
    <w:rsid w:val="002B71E1"/>
    <w:rsid w:val="002C4676"/>
    <w:rsid w:val="002C70B0"/>
    <w:rsid w:val="002F3CC4"/>
    <w:rsid w:val="002F6252"/>
    <w:rsid w:val="00342C58"/>
    <w:rsid w:val="00371113"/>
    <w:rsid w:val="00386EFA"/>
    <w:rsid w:val="00410651"/>
    <w:rsid w:val="00453612"/>
    <w:rsid w:val="004A7485"/>
    <w:rsid w:val="004C26E6"/>
    <w:rsid w:val="00513630"/>
    <w:rsid w:val="00550FC8"/>
    <w:rsid w:val="00560125"/>
    <w:rsid w:val="00585553"/>
    <w:rsid w:val="005978D4"/>
    <w:rsid w:val="005B34D9"/>
    <w:rsid w:val="005D0CCF"/>
    <w:rsid w:val="005E22CA"/>
    <w:rsid w:val="005E3C98"/>
    <w:rsid w:val="005E73FE"/>
    <w:rsid w:val="005F3BCB"/>
    <w:rsid w:val="005F410F"/>
    <w:rsid w:val="0060149A"/>
    <w:rsid w:val="00601924"/>
    <w:rsid w:val="006447EA"/>
    <w:rsid w:val="0064731F"/>
    <w:rsid w:val="00664572"/>
    <w:rsid w:val="006654A8"/>
    <w:rsid w:val="006710F6"/>
    <w:rsid w:val="0068252D"/>
    <w:rsid w:val="006950C9"/>
    <w:rsid w:val="006C1B56"/>
    <w:rsid w:val="006D4761"/>
    <w:rsid w:val="00726872"/>
    <w:rsid w:val="00730134"/>
    <w:rsid w:val="00760F1C"/>
    <w:rsid w:val="007657F0"/>
    <w:rsid w:val="0077252D"/>
    <w:rsid w:val="007955DA"/>
    <w:rsid w:val="007A7B3A"/>
    <w:rsid w:val="007E4ADE"/>
    <w:rsid w:val="007E5DD3"/>
    <w:rsid w:val="007F350B"/>
    <w:rsid w:val="00802274"/>
    <w:rsid w:val="0081289B"/>
    <w:rsid w:val="008160A2"/>
    <w:rsid w:val="00820BE4"/>
    <w:rsid w:val="00836969"/>
    <w:rsid w:val="008451E8"/>
    <w:rsid w:val="0086534A"/>
    <w:rsid w:val="008D0F55"/>
    <w:rsid w:val="008E6935"/>
    <w:rsid w:val="00913B9C"/>
    <w:rsid w:val="009172D7"/>
    <w:rsid w:val="0094480C"/>
    <w:rsid w:val="00956E77"/>
    <w:rsid w:val="00970DC0"/>
    <w:rsid w:val="00987695"/>
    <w:rsid w:val="009F4811"/>
    <w:rsid w:val="00A4513F"/>
    <w:rsid w:val="00A505F8"/>
    <w:rsid w:val="00AA390C"/>
    <w:rsid w:val="00AA6A61"/>
    <w:rsid w:val="00AB1BFF"/>
    <w:rsid w:val="00AE67DF"/>
    <w:rsid w:val="00AF6A1B"/>
    <w:rsid w:val="00B0200A"/>
    <w:rsid w:val="00B20B72"/>
    <w:rsid w:val="00B21D6A"/>
    <w:rsid w:val="00B574DB"/>
    <w:rsid w:val="00B826C2"/>
    <w:rsid w:val="00B8298E"/>
    <w:rsid w:val="00BA1649"/>
    <w:rsid w:val="00BB4F9A"/>
    <w:rsid w:val="00BC53FC"/>
    <w:rsid w:val="00BD0723"/>
    <w:rsid w:val="00BD2518"/>
    <w:rsid w:val="00BD5C73"/>
    <w:rsid w:val="00BE5062"/>
    <w:rsid w:val="00BE5C39"/>
    <w:rsid w:val="00BF1D1C"/>
    <w:rsid w:val="00C156CC"/>
    <w:rsid w:val="00C20C59"/>
    <w:rsid w:val="00C2727F"/>
    <w:rsid w:val="00C30212"/>
    <w:rsid w:val="00C55B1F"/>
    <w:rsid w:val="00C84D6C"/>
    <w:rsid w:val="00CC75F0"/>
    <w:rsid w:val="00CF1A67"/>
    <w:rsid w:val="00D01286"/>
    <w:rsid w:val="00D26E57"/>
    <w:rsid w:val="00D2750E"/>
    <w:rsid w:val="00D62446"/>
    <w:rsid w:val="00D66753"/>
    <w:rsid w:val="00D94AFE"/>
    <w:rsid w:val="00DA4EA2"/>
    <w:rsid w:val="00DC3D3E"/>
    <w:rsid w:val="00DC670A"/>
    <w:rsid w:val="00DD5362"/>
    <w:rsid w:val="00DE145F"/>
    <w:rsid w:val="00DE2C90"/>
    <w:rsid w:val="00DE3B24"/>
    <w:rsid w:val="00E06947"/>
    <w:rsid w:val="00E25998"/>
    <w:rsid w:val="00E26121"/>
    <w:rsid w:val="00E3592D"/>
    <w:rsid w:val="00E84561"/>
    <w:rsid w:val="00E92DE8"/>
    <w:rsid w:val="00EB1212"/>
    <w:rsid w:val="00EC5C38"/>
    <w:rsid w:val="00ED65AB"/>
    <w:rsid w:val="00EE7BB4"/>
    <w:rsid w:val="00F12850"/>
    <w:rsid w:val="00F1403D"/>
    <w:rsid w:val="00F33BF4"/>
    <w:rsid w:val="00F7105E"/>
    <w:rsid w:val="00F75F57"/>
    <w:rsid w:val="00F80CF2"/>
    <w:rsid w:val="00F82FEE"/>
    <w:rsid w:val="00F86A32"/>
    <w:rsid w:val="00F87935"/>
    <w:rsid w:val="00FA2653"/>
    <w:rsid w:val="00FA2CE5"/>
    <w:rsid w:val="00FB315D"/>
    <w:rsid w:val="00FC48CB"/>
    <w:rsid w:val="00FD57D3"/>
    <w:rsid w:val="00FE4E5B"/>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9A0EDAB"/>
  <w15:docId w15:val="{3D723A82-7252-45EB-9055-DCC90F800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uiPriority w:val="39"/>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uiPriority w:val="39"/>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uiPriority w:val="99"/>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UnresolvedMention1">
    <w:name w:val="Unresolved Mention1"/>
    <w:basedOn w:val="DefaultParagraphFont"/>
    <w:uiPriority w:val="99"/>
    <w:semiHidden/>
    <w:unhideWhenUsed/>
    <w:rsid w:val="00453612"/>
    <w:rPr>
      <w:color w:val="605E5C"/>
      <w:shd w:val="clear" w:color="auto" w:fill="E1DFDD"/>
    </w:rPr>
  </w:style>
  <w:style w:type="paragraph" w:customStyle="1" w:styleId="paragraph">
    <w:name w:val="paragraph"/>
    <w:basedOn w:val="Normal"/>
    <w:rsid w:val="0045361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eastAsia="ja-JP"/>
    </w:rPr>
  </w:style>
  <w:style w:type="character" w:customStyle="1" w:styleId="normaltextrun">
    <w:name w:val="normaltextrun"/>
    <w:basedOn w:val="DefaultParagraphFont"/>
    <w:rsid w:val="00453612"/>
  </w:style>
  <w:style w:type="character" w:customStyle="1" w:styleId="eop">
    <w:name w:val="eop"/>
    <w:basedOn w:val="DefaultParagraphFont"/>
    <w:rsid w:val="00453612"/>
  </w:style>
  <w:style w:type="paragraph" w:styleId="TOCHeading">
    <w:name w:val="TOC Heading"/>
    <w:basedOn w:val="Heading1"/>
    <w:next w:val="Normal"/>
    <w:uiPriority w:val="39"/>
    <w:unhideWhenUsed/>
    <w:qFormat/>
    <w:rsid w:val="002F6252"/>
    <w:pPr>
      <w:tabs>
        <w:tab w:val="clear" w:pos="567"/>
        <w:tab w:val="clear" w:pos="1134"/>
        <w:tab w:val="clear" w:pos="1701"/>
        <w:tab w:val="clear" w:pos="2268"/>
        <w:tab w:val="clear" w:pos="283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character" w:styleId="UnresolvedMention">
    <w:name w:val="Unresolved Mention"/>
    <w:basedOn w:val="DefaultParagraphFont"/>
    <w:uiPriority w:val="99"/>
    <w:semiHidden/>
    <w:unhideWhenUsed/>
    <w:rsid w:val="00550FC8"/>
    <w:rPr>
      <w:color w:val="605E5C"/>
      <w:shd w:val="clear" w:color="auto" w:fill="E1DFDD"/>
    </w:rPr>
  </w:style>
  <w:style w:type="table" w:styleId="TableGrid">
    <w:name w:val="Table Grid"/>
    <w:basedOn w:val="TableNormal"/>
    <w:uiPriority w:val="39"/>
    <w:rsid w:val="00FC48C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2-Accent11">
    <w:name w:val="List Table 2 - Accent 11"/>
    <w:basedOn w:val="TableNormal"/>
    <w:next w:val="ListTable2-Accent1"/>
    <w:uiPriority w:val="47"/>
    <w:rsid w:val="00CC75F0"/>
    <w:rPr>
      <w:rFonts w:ascii="Calibri" w:eastAsia="Calibri" w:hAnsi="Calibri"/>
      <w:sz w:val="22"/>
      <w:szCs w:val="22"/>
      <w:lang w:val="en-GB" w:eastAsia="en-US"/>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1">
    <w:name w:val="List Table 2 Accent 1"/>
    <w:basedOn w:val="TableNormal"/>
    <w:uiPriority w:val="47"/>
    <w:rsid w:val="00CC75F0"/>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F87935"/>
    <w:rPr>
      <w:rFonts w:ascii="Calibri" w:hAnsi="Calibri"/>
      <w:sz w:val="24"/>
      <w:lang w:val="es-ES_tradnl" w:eastAsia="en-US"/>
    </w:rPr>
  </w:style>
  <w:style w:type="paragraph" w:styleId="BalloonText">
    <w:name w:val="Balloon Text"/>
    <w:basedOn w:val="Normal"/>
    <w:link w:val="BalloonTextChar"/>
    <w:semiHidden/>
    <w:unhideWhenUsed/>
    <w:rsid w:val="00F8793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87935"/>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7720550">
      <w:bodyDiv w:val="1"/>
      <w:marLeft w:val="0"/>
      <w:marRight w:val="0"/>
      <w:marTop w:val="0"/>
      <w:marBottom w:val="0"/>
      <w:divBdr>
        <w:top w:val="none" w:sz="0" w:space="0" w:color="auto"/>
        <w:left w:val="none" w:sz="0" w:space="0" w:color="auto"/>
        <w:bottom w:val="none" w:sz="0" w:space="0" w:color="auto"/>
        <w:right w:val="none" w:sz="0" w:space="0" w:color="auto"/>
      </w:divBdr>
    </w:div>
    <w:div w:id="183483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0-CL-INF-0007/en" TargetMode="External"/><Relationship Id="rId18" Type="http://schemas.openxmlformats.org/officeDocument/2006/relationships/hyperlink" Target="https://www.itu.int/myworkspace/" TargetMode="External"/><Relationship Id="rId26" Type="http://schemas.openxmlformats.org/officeDocument/2006/relationships/hyperlink" Target="https://www.itu.int/myworkspace/" TargetMode="External"/><Relationship Id="rId21" Type="http://schemas.openxmlformats.org/officeDocument/2006/relationships/hyperlink" Target="https://www.itu.int/myworkspace/"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itu.int/md/S20-CL-INF-0007/es" TargetMode="External"/><Relationship Id="rId17" Type="http://schemas.openxmlformats.org/officeDocument/2006/relationships/hyperlink" Target="https://www.itu.int/myworkspace/" TargetMode="External"/><Relationship Id="rId25" Type="http://schemas.openxmlformats.org/officeDocument/2006/relationships/hyperlink" Target="https://www.itu.int/myworkspace/"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dfso.itu.int/adfs/oauth2/authorize/?approval_prompt=force&amp;client_id=eaa2cbed-5116-46a4-82d8-ff03872437ed&amp;redirect_uri=https%3A%2F%2Faisdg.itu.int%2Foauth2%2Fcallback&amp;response_type=code&amp;scope=openid+email+profile&amp;state=df4729c1fae3b8ba3f0d32a6b7241f15%3A%2F" TargetMode="External"/><Relationship Id="rId20" Type="http://schemas.openxmlformats.org/officeDocument/2006/relationships/hyperlink" Target="https://www.itu.int/myworkspace/"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itu.int/myworkspace/" TargetMode="External"/><Relationship Id="rId32" Type="http://schemas.openxmlformats.org/officeDocument/2006/relationships/hyperlink" Target="https://www.itu.int/net4/itu-t/nnp"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itu.int/myworkspace/" TargetMode="External"/><Relationship Id="rId28" Type="http://schemas.openxmlformats.org/officeDocument/2006/relationships/hyperlink" Target="https://www.itu.int/net4/ITU-T/landscape"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tu.int/myworkspace/" TargetMode="External"/><Relationship Id="rId31" Type="http://schemas.openxmlformats.org/officeDocument/2006/relationships/hyperlink" Target="https://www.itu.int/pub/T-SP-OB/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tsbcloud.itu.int/nextcloud/login" TargetMode="External"/><Relationship Id="rId27" Type="http://schemas.openxmlformats.org/officeDocument/2006/relationships/hyperlink" Target="http://www.itu.int/search" TargetMode="External"/><Relationship Id="rId30" Type="http://schemas.openxmlformats.org/officeDocument/2006/relationships/hyperlink" Target="https://www.itu.int/en/ITU-T/ssc/united/Pages/default.aspx"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ell\AppData\Roaming\Microsoft\Templates\POOL%20S%20-%20ITU\PS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0" ma:contentTypeDescription="Create a new document." ma:contentTypeScope="" ma:versionID="fa8afc5d86603c1925ed271018c9909a">
  <xsd:schema xmlns:xsd="http://www.w3.org/2001/XMLSchema" xmlns:xs="http://www.w3.org/2001/XMLSchema" xmlns:p="http://schemas.microsoft.com/office/2006/metadata/properties" xmlns:ns3="8480b3bf-ff93-433f-9495-f8457f78f22f" targetNamespace="http://schemas.microsoft.com/office/2006/metadata/properties" ma:root="true" ma:fieldsID="945714bf9aca0f2ad10803486a386f4a" ns3:_="">
    <xsd:import namespace="8480b3bf-ff93-433f-9495-f8457f78f2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5E07A2-11D4-4268-B005-0B987909B1FC}">
  <ds:schemaRefs>
    <ds:schemaRef ds:uri="http://schemas.microsoft.com/sharepoint/v3/contenttype/forms"/>
  </ds:schemaRefs>
</ds:datastoreItem>
</file>

<file path=customXml/itemProps2.xml><?xml version="1.0" encoding="utf-8"?>
<ds:datastoreItem xmlns:ds="http://schemas.openxmlformats.org/officeDocument/2006/customXml" ds:itemID="{25FAA90B-3160-4497-A45D-95EBE70D0654}">
  <ds:schemaRefs>
    <ds:schemaRef ds:uri="http://schemas.openxmlformats.org/officeDocument/2006/bibliography"/>
  </ds:schemaRefs>
</ds:datastoreItem>
</file>

<file path=customXml/itemProps3.xml><?xml version="1.0" encoding="utf-8"?>
<ds:datastoreItem xmlns:ds="http://schemas.openxmlformats.org/officeDocument/2006/customXml" ds:itemID="{773699E0-0293-4368-80F0-3E52E7C07940}">
  <ds:schemaRefs>
    <ds:schemaRef ds:uri="http://www.w3.org/XML/1998/namespace"/>
    <ds:schemaRef ds:uri="http://schemas.microsoft.com/office/2006/documentManagement/types"/>
    <ds:schemaRef ds:uri="http://purl.org/dc/elements/1.1/"/>
    <ds:schemaRef ds:uri="http://purl.org/dc/terms/"/>
    <ds:schemaRef ds:uri="http://purl.org/dc/dcmitype/"/>
    <ds:schemaRef ds:uri="http://schemas.microsoft.com/office/infopath/2007/PartnerControls"/>
    <ds:schemaRef ds:uri="http://schemas.openxmlformats.org/package/2006/metadata/core-properties"/>
    <ds:schemaRef ds:uri="8480b3bf-ff93-433f-9495-f8457f78f22f"/>
    <ds:schemaRef ds:uri="http://schemas.microsoft.com/office/2006/metadata/properties"/>
  </ds:schemaRefs>
</ds:datastoreItem>
</file>

<file path=customXml/itemProps4.xml><?xml version="1.0" encoding="utf-8"?>
<ds:datastoreItem xmlns:ds="http://schemas.openxmlformats.org/officeDocument/2006/customXml" ds:itemID="{AB0FCE3F-5FEF-4397-A5BA-AD1DFA987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PS_C20.dotx</Template>
  <TotalTime>2</TotalTime>
  <Pages>12</Pages>
  <Words>4372</Words>
  <Characters>24994</Characters>
  <Application>Microsoft Office Word</Application>
  <DocSecurity>4</DocSecurity>
  <Lines>208</Lines>
  <Paragraphs>58</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Apoyo a la TSB</vt:lpstr>
    </vt:vector>
  </TitlesOfParts>
  <Manager>Secretaría General - Pool</Manager>
  <Company>Unión Internacional de Telecomunicaciones (UIT)</Company>
  <LinksUpToDate>false</LinksUpToDate>
  <CharactersWithSpaces>29308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Apoyo a la TSB</dc:title>
  <dc:subject>Consejo 2020, Consulta virtual de los consejos</dc:subject>
  <dc:creator>Casellas, Mercedes</dc:creator>
  <cp:keywords>C2020, C20, VC, VCC, VCC-2</cp:keywords>
  <dc:description/>
  <cp:lastModifiedBy>Brouard, Ricarda</cp:lastModifiedBy>
  <cp:revision>2</cp:revision>
  <cp:lastPrinted>2020-04-29T08:18:00Z</cp:lastPrinted>
  <dcterms:created xsi:type="dcterms:W3CDTF">2020-11-02T07:29:00Z</dcterms:created>
  <dcterms:modified xsi:type="dcterms:W3CDTF">2020-11-02T07:29:00Z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y fmtid="{D5CDD505-2E9C-101B-9397-08002B2CF9AE}" pid="8" name="ContentTypeId">
    <vt:lpwstr>0x010100B638F4433E584047A097BE66491F0F20</vt:lpwstr>
  </property>
</Properties>
</file>