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794950" w14:paraId="712B14A4" w14:textId="77777777">
        <w:trPr>
          <w:cantSplit/>
        </w:trPr>
        <w:tc>
          <w:tcPr>
            <w:tcW w:w="6912" w:type="dxa"/>
          </w:tcPr>
          <w:p w14:paraId="5FD95E37" w14:textId="031604D6" w:rsidR="00520F36" w:rsidRPr="00794950" w:rsidRDefault="00520F36" w:rsidP="00F702FE">
            <w:pPr>
              <w:spacing w:before="360"/>
            </w:pPr>
            <w:bookmarkStart w:id="0" w:name="dc06"/>
            <w:bookmarkEnd w:id="0"/>
            <w:r w:rsidRPr="00794950">
              <w:rPr>
                <w:b/>
                <w:bCs/>
                <w:sz w:val="30"/>
                <w:szCs w:val="30"/>
              </w:rPr>
              <w:t>Conseil 20</w:t>
            </w:r>
            <w:r w:rsidR="009C353C" w:rsidRPr="00794950">
              <w:rPr>
                <w:b/>
                <w:bCs/>
                <w:sz w:val="30"/>
                <w:szCs w:val="30"/>
              </w:rPr>
              <w:t>20</w:t>
            </w:r>
          </w:p>
        </w:tc>
        <w:tc>
          <w:tcPr>
            <w:tcW w:w="3261" w:type="dxa"/>
          </w:tcPr>
          <w:p w14:paraId="31003CD9" w14:textId="77777777" w:rsidR="00520F36" w:rsidRPr="00794950" w:rsidRDefault="009C353C" w:rsidP="00F702FE">
            <w:pPr>
              <w:spacing w:before="0"/>
            </w:pPr>
            <w:bookmarkStart w:id="1" w:name="ditulogo"/>
            <w:bookmarkEnd w:id="1"/>
            <w:r w:rsidRPr="00794950">
              <w:rPr>
                <w:noProof/>
              </w:rPr>
              <w:drawing>
                <wp:inline distT="0" distB="0" distL="0" distR="0" wp14:anchorId="42308490" wp14:editId="5A5A648C">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794950" w14:paraId="377B5559" w14:textId="77777777" w:rsidTr="002123D7">
        <w:trPr>
          <w:cantSplit/>
          <w:trHeight w:val="20"/>
        </w:trPr>
        <w:tc>
          <w:tcPr>
            <w:tcW w:w="6912" w:type="dxa"/>
            <w:tcBorders>
              <w:bottom w:val="single" w:sz="12" w:space="0" w:color="auto"/>
            </w:tcBorders>
            <w:vAlign w:val="center"/>
          </w:tcPr>
          <w:p w14:paraId="1CC3C02E" w14:textId="77777777" w:rsidR="00520F36" w:rsidRPr="00794950" w:rsidRDefault="00520F36" w:rsidP="00F702FE">
            <w:pPr>
              <w:spacing w:before="0"/>
              <w:rPr>
                <w:b/>
                <w:bCs/>
                <w:sz w:val="26"/>
                <w:szCs w:val="26"/>
              </w:rPr>
            </w:pPr>
          </w:p>
        </w:tc>
        <w:tc>
          <w:tcPr>
            <w:tcW w:w="3261" w:type="dxa"/>
            <w:tcBorders>
              <w:bottom w:val="single" w:sz="12" w:space="0" w:color="auto"/>
            </w:tcBorders>
          </w:tcPr>
          <w:p w14:paraId="1CB06E11" w14:textId="77777777" w:rsidR="00520F36" w:rsidRPr="00794950" w:rsidRDefault="00520F36" w:rsidP="00F702FE">
            <w:pPr>
              <w:spacing w:before="0"/>
              <w:rPr>
                <w:b/>
                <w:bCs/>
              </w:rPr>
            </w:pPr>
          </w:p>
        </w:tc>
      </w:tr>
      <w:tr w:rsidR="00520F36" w:rsidRPr="00794950" w14:paraId="2D3D45A2" w14:textId="77777777">
        <w:trPr>
          <w:cantSplit/>
          <w:trHeight w:val="20"/>
        </w:trPr>
        <w:tc>
          <w:tcPr>
            <w:tcW w:w="6912" w:type="dxa"/>
            <w:tcBorders>
              <w:top w:val="single" w:sz="12" w:space="0" w:color="auto"/>
            </w:tcBorders>
          </w:tcPr>
          <w:p w14:paraId="118602A3" w14:textId="77777777" w:rsidR="00520F36" w:rsidRPr="00794950" w:rsidRDefault="00520F36" w:rsidP="00F702FE">
            <w:pPr>
              <w:spacing w:before="0"/>
              <w:rPr>
                <w:smallCaps/>
                <w:sz w:val="22"/>
              </w:rPr>
            </w:pPr>
          </w:p>
        </w:tc>
        <w:tc>
          <w:tcPr>
            <w:tcW w:w="3261" w:type="dxa"/>
            <w:tcBorders>
              <w:top w:val="single" w:sz="12" w:space="0" w:color="auto"/>
            </w:tcBorders>
          </w:tcPr>
          <w:p w14:paraId="5D1FEFBE" w14:textId="77777777" w:rsidR="00520F36" w:rsidRPr="00794950" w:rsidRDefault="00520F36" w:rsidP="00F702FE">
            <w:pPr>
              <w:spacing w:before="0"/>
              <w:rPr>
                <w:b/>
                <w:bCs/>
              </w:rPr>
            </w:pPr>
          </w:p>
        </w:tc>
      </w:tr>
      <w:tr w:rsidR="00520F36" w:rsidRPr="00794950" w14:paraId="057F76E5" w14:textId="77777777">
        <w:trPr>
          <w:cantSplit/>
          <w:trHeight w:val="20"/>
        </w:trPr>
        <w:tc>
          <w:tcPr>
            <w:tcW w:w="6912" w:type="dxa"/>
            <w:vMerge w:val="restart"/>
          </w:tcPr>
          <w:p w14:paraId="22A52A20" w14:textId="5B24E243" w:rsidR="00520F36" w:rsidRPr="00794950" w:rsidRDefault="00E07909" w:rsidP="00F702FE">
            <w:pPr>
              <w:spacing w:before="0"/>
              <w:rPr>
                <w:rFonts w:cs="Times"/>
                <w:b/>
                <w:bCs/>
                <w:szCs w:val="24"/>
              </w:rPr>
            </w:pPr>
            <w:bookmarkStart w:id="2" w:name="dnum" w:colFirst="1" w:colLast="1"/>
            <w:bookmarkStart w:id="3" w:name="dmeeting" w:colFirst="0" w:colLast="0"/>
            <w:r w:rsidRPr="00794950">
              <w:rPr>
                <w:rFonts w:cs="Times"/>
                <w:b/>
                <w:bCs/>
                <w:szCs w:val="24"/>
              </w:rPr>
              <w:t>Point de l'ordre du jour: ADM 4</w:t>
            </w:r>
          </w:p>
        </w:tc>
        <w:tc>
          <w:tcPr>
            <w:tcW w:w="3261" w:type="dxa"/>
          </w:tcPr>
          <w:p w14:paraId="354DD209" w14:textId="25E02794" w:rsidR="00520F36" w:rsidRPr="00794950" w:rsidRDefault="0011574B" w:rsidP="00F702FE">
            <w:pPr>
              <w:spacing w:before="0"/>
              <w:rPr>
                <w:b/>
                <w:bCs/>
              </w:rPr>
            </w:pPr>
            <w:r w:rsidRPr="00794950">
              <w:rPr>
                <w:b/>
                <w:bCs/>
              </w:rPr>
              <w:t xml:space="preserve">Révision 1 </w:t>
            </w:r>
            <w:r w:rsidR="000B0FAC" w:rsidRPr="00794950">
              <w:rPr>
                <w:b/>
                <w:bCs/>
              </w:rPr>
              <w:t>d</w:t>
            </w:r>
            <w:r w:rsidRPr="00794950">
              <w:rPr>
                <w:b/>
                <w:bCs/>
              </w:rPr>
              <w:t>u</w:t>
            </w:r>
            <w:r w:rsidRPr="00794950">
              <w:rPr>
                <w:b/>
                <w:bCs/>
              </w:rPr>
              <w:br/>
            </w:r>
            <w:r w:rsidR="00520F36" w:rsidRPr="00794950">
              <w:rPr>
                <w:b/>
                <w:bCs/>
              </w:rPr>
              <w:t>Document C</w:t>
            </w:r>
            <w:r w:rsidR="009C353C" w:rsidRPr="00794950">
              <w:rPr>
                <w:b/>
                <w:bCs/>
              </w:rPr>
              <w:t>20</w:t>
            </w:r>
            <w:r w:rsidR="00520F36" w:rsidRPr="00794950">
              <w:rPr>
                <w:b/>
                <w:bCs/>
              </w:rPr>
              <w:t>/</w:t>
            </w:r>
            <w:r w:rsidR="00E07909" w:rsidRPr="00794950">
              <w:rPr>
                <w:b/>
                <w:bCs/>
              </w:rPr>
              <w:t>14</w:t>
            </w:r>
            <w:r w:rsidR="00520F36" w:rsidRPr="00794950">
              <w:rPr>
                <w:b/>
                <w:bCs/>
              </w:rPr>
              <w:t>-F</w:t>
            </w:r>
          </w:p>
        </w:tc>
      </w:tr>
      <w:tr w:rsidR="00520F36" w:rsidRPr="00794950" w14:paraId="67BE8C51" w14:textId="77777777">
        <w:trPr>
          <w:cantSplit/>
          <w:trHeight w:val="20"/>
        </w:trPr>
        <w:tc>
          <w:tcPr>
            <w:tcW w:w="6912" w:type="dxa"/>
            <w:vMerge/>
          </w:tcPr>
          <w:p w14:paraId="0600D795" w14:textId="77777777" w:rsidR="00520F36" w:rsidRPr="00794950" w:rsidRDefault="00520F36" w:rsidP="00F702FE">
            <w:pPr>
              <w:shd w:val="solid" w:color="FFFFFF" w:fill="FFFFFF"/>
              <w:spacing w:before="180"/>
              <w:rPr>
                <w:smallCaps/>
              </w:rPr>
            </w:pPr>
            <w:bookmarkStart w:id="4" w:name="ddate" w:colFirst="1" w:colLast="1"/>
            <w:bookmarkEnd w:id="2"/>
            <w:bookmarkEnd w:id="3"/>
          </w:p>
        </w:tc>
        <w:tc>
          <w:tcPr>
            <w:tcW w:w="3261" w:type="dxa"/>
          </w:tcPr>
          <w:p w14:paraId="695B1EEE" w14:textId="36018E5D" w:rsidR="00520F36" w:rsidRPr="00794950" w:rsidRDefault="0011574B" w:rsidP="00F702FE">
            <w:pPr>
              <w:spacing w:before="0"/>
              <w:rPr>
                <w:b/>
                <w:bCs/>
              </w:rPr>
            </w:pPr>
            <w:r w:rsidRPr="00794950">
              <w:rPr>
                <w:b/>
                <w:bCs/>
              </w:rPr>
              <w:t>5 octobre</w:t>
            </w:r>
            <w:r w:rsidR="00520F36" w:rsidRPr="00794950">
              <w:rPr>
                <w:b/>
                <w:bCs/>
              </w:rPr>
              <w:t xml:space="preserve"> 20</w:t>
            </w:r>
            <w:r w:rsidR="009C353C" w:rsidRPr="00794950">
              <w:rPr>
                <w:b/>
                <w:bCs/>
              </w:rPr>
              <w:t>20</w:t>
            </w:r>
          </w:p>
        </w:tc>
      </w:tr>
      <w:tr w:rsidR="00520F36" w:rsidRPr="00794950" w14:paraId="32BEB329" w14:textId="77777777">
        <w:trPr>
          <w:cantSplit/>
          <w:trHeight w:val="20"/>
        </w:trPr>
        <w:tc>
          <w:tcPr>
            <w:tcW w:w="6912" w:type="dxa"/>
            <w:vMerge/>
          </w:tcPr>
          <w:p w14:paraId="1419E2EF" w14:textId="77777777" w:rsidR="00520F36" w:rsidRPr="00794950" w:rsidRDefault="00520F36" w:rsidP="00F702FE">
            <w:pPr>
              <w:shd w:val="solid" w:color="FFFFFF" w:fill="FFFFFF"/>
              <w:spacing w:before="180"/>
              <w:rPr>
                <w:smallCaps/>
              </w:rPr>
            </w:pPr>
            <w:bookmarkStart w:id="5" w:name="dorlang" w:colFirst="1" w:colLast="1"/>
            <w:bookmarkEnd w:id="4"/>
          </w:p>
        </w:tc>
        <w:tc>
          <w:tcPr>
            <w:tcW w:w="3261" w:type="dxa"/>
          </w:tcPr>
          <w:p w14:paraId="4023A6B1" w14:textId="77777777" w:rsidR="00520F36" w:rsidRPr="00794950" w:rsidRDefault="00520F36" w:rsidP="00F702FE">
            <w:pPr>
              <w:spacing w:before="0"/>
              <w:rPr>
                <w:b/>
                <w:bCs/>
              </w:rPr>
            </w:pPr>
            <w:r w:rsidRPr="00794950">
              <w:rPr>
                <w:b/>
                <w:bCs/>
              </w:rPr>
              <w:t>Original: anglais</w:t>
            </w:r>
          </w:p>
        </w:tc>
      </w:tr>
      <w:tr w:rsidR="00520F36" w:rsidRPr="00794950" w14:paraId="716591D0" w14:textId="77777777">
        <w:trPr>
          <w:cantSplit/>
        </w:trPr>
        <w:tc>
          <w:tcPr>
            <w:tcW w:w="10173" w:type="dxa"/>
            <w:gridSpan w:val="2"/>
          </w:tcPr>
          <w:p w14:paraId="58EC0415" w14:textId="0EEE3770" w:rsidR="00520F36" w:rsidRPr="00794950" w:rsidRDefault="00E07909" w:rsidP="00F702FE">
            <w:pPr>
              <w:pStyle w:val="Source"/>
            </w:pPr>
            <w:bookmarkStart w:id="6" w:name="dsource" w:colFirst="0" w:colLast="0"/>
            <w:bookmarkEnd w:id="5"/>
            <w:r w:rsidRPr="00794950">
              <w:t>Note du Secrétaire général</w:t>
            </w:r>
          </w:p>
        </w:tc>
      </w:tr>
      <w:tr w:rsidR="00520F36" w:rsidRPr="00794950" w14:paraId="38A953E3" w14:textId="77777777">
        <w:trPr>
          <w:cantSplit/>
        </w:trPr>
        <w:tc>
          <w:tcPr>
            <w:tcW w:w="10173" w:type="dxa"/>
            <w:gridSpan w:val="2"/>
          </w:tcPr>
          <w:p w14:paraId="6097BFE3" w14:textId="4FDD05DC" w:rsidR="00520F36" w:rsidRPr="00794950" w:rsidRDefault="00FD5F35" w:rsidP="00F702FE">
            <w:pPr>
              <w:pStyle w:val="Title1"/>
            </w:pPr>
            <w:bookmarkStart w:id="7" w:name="lt_pId014"/>
            <w:bookmarkStart w:id="8" w:name="dtitle1" w:colFirst="0" w:colLast="0"/>
            <w:bookmarkEnd w:id="6"/>
            <w:r w:rsidRPr="00794950">
              <w:t>APPUI AU</w:t>
            </w:r>
            <w:r w:rsidR="00E07909" w:rsidRPr="00794950">
              <w:t xml:space="preserve"> TSB</w:t>
            </w:r>
            <w:bookmarkEnd w:id="7"/>
          </w:p>
        </w:tc>
      </w:tr>
    </w:tbl>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794950" w14:paraId="4866A78E"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bookmarkEnd w:id="8"/>
          <w:p w14:paraId="5B57FE00" w14:textId="77777777" w:rsidR="00520F36" w:rsidRPr="00794950" w:rsidRDefault="00520F36" w:rsidP="00F702FE">
            <w:pPr>
              <w:pStyle w:val="Headingb"/>
            </w:pPr>
            <w:r w:rsidRPr="00794950">
              <w:t>Résumé</w:t>
            </w:r>
          </w:p>
          <w:p w14:paraId="2E0F0AD7" w14:textId="406268F2" w:rsidR="00E07909" w:rsidRPr="00794950" w:rsidRDefault="007A77F6" w:rsidP="00F702FE">
            <w:pPr>
              <w:spacing w:before="60"/>
            </w:pPr>
            <w:bookmarkStart w:id="9" w:name="lt_pId016"/>
            <w:r w:rsidRPr="00794950">
              <w:t xml:space="preserve">Le nombre de </w:t>
            </w:r>
            <w:r w:rsidR="00CE325A" w:rsidRPr="00794950">
              <w:t xml:space="preserve">nouveaux </w:t>
            </w:r>
            <w:r w:rsidRPr="00794950">
              <w:t>membres</w:t>
            </w:r>
            <w:r w:rsidR="00CE325A" w:rsidRPr="00794950">
              <w:t xml:space="preserve"> et de nouvelles</w:t>
            </w:r>
            <w:r w:rsidR="00F00D96" w:rsidRPr="00794950">
              <w:t xml:space="preserve"> </w:t>
            </w:r>
            <w:r w:rsidRPr="00794950">
              <w:t>communautés,</w:t>
            </w:r>
            <w:r w:rsidR="00F00D96" w:rsidRPr="00794950">
              <w:t xml:space="preserve"> </w:t>
            </w:r>
            <w:r w:rsidRPr="00794950">
              <w:t>activités et</w:t>
            </w:r>
            <w:r w:rsidR="00F00D96" w:rsidRPr="00794950">
              <w:t xml:space="preserve"> </w:t>
            </w:r>
            <w:r w:rsidRPr="00794950">
              <w:t>réunions du</w:t>
            </w:r>
            <w:r w:rsidR="003901AD" w:rsidRPr="00794950">
              <w:t xml:space="preserve"> Secteur de la normalisation de l'UIT a</w:t>
            </w:r>
            <w:r w:rsidR="00E07909" w:rsidRPr="00794950">
              <w:t xml:space="preserve"> </w:t>
            </w:r>
            <w:r w:rsidRPr="00794950">
              <w:t>fortement augmenté</w:t>
            </w:r>
            <w:r w:rsidR="00E07909" w:rsidRPr="00794950">
              <w:t xml:space="preserve"> </w:t>
            </w:r>
            <w:r w:rsidR="003901AD" w:rsidRPr="00794950">
              <w:t>par rapport aux années précédentes</w:t>
            </w:r>
            <w:r w:rsidR="00E07909" w:rsidRPr="00794950">
              <w:t>.</w:t>
            </w:r>
            <w:bookmarkEnd w:id="9"/>
            <w:r w:rsidR="00E07909" w:rsidRPr="00794950">
              <w:t xml:space="preserve"> </w:t>
            </w:r>
            <w:bookmarkStart w:id="10" w:name="lt_pId017"/>
            <w:r w:rsidR="003901AD" w:rsidRPr="00794950">
              <w:t xml:space="preserve">Aux termes de plusieurs </w:t>
            </w:r>
            <w:r w:rsidR="00CE325A" w:rsidRPr="00794950">
              <w:t>R</w:t>
            </w:r>
            <w:r w:rsidR="003901AD" w:rsidRPr="00794950">
              <w:t xml:space="preserve">ésolutions de la Conférence de plénipotentiaires de 2018 et de l'AMNT-16, </w:t>
            </w:r>
            <w:r w:rsidR="00133679" w:rsidRPr="00794950">
              <w:t>le</w:t>
            </w:r>
            <w:r w:rsidR="003901AD" w:rsidRPr="00794950">
              <w:t xml:space="preserve"> TSB </w:t>
            </w:r>
            <w:r w:rsidR="00133679" w:rsidRPr="00794950">
              <w:t xml:space="preserve">est chargé </w:t>
            </w:r>
            <w:r w:rsidR="003901AD" w:rsidRPr="00794950">
              <w:t>d'exécuter de nouvelles tâches</w:t>
            </w:r>
            <w:r w:rsidR="00E07909" w:rsidRPr="00794950">
              <w:t>.</w:t>
            </w:r>
            <w:bookmarkEnd w:id="10"/>
            <w:r w:rsidR="00E07909" w:rsidRPr="00794950">
              <w:t xml:space="preserve"> </w:t>
            </w:r>
            <w:bookmarkStart w:id="11" w:name="lt_pId018"/>
            <w:r w:rsidR="003901AD" w:rsidRPr="00794950">
              <w:t>La charge de travail du personnel du TSB a continué d'au</w:t>
            </w:r>
            <w:r w:rsidR="00206772" w:rsidRPr="00794950">
              <w:t>gmenter de manière considérable</w:t>
            </w:r>
            <w:r w:rsidR="00CE325A" w:rsidRPr="00794950">
              <w:t>,</w:t>
            </w:r>
            <w:r w:rsidR="003901AD" w:rsidRPr="00794950">
              <w:t xml:space="preserve"> alors que le</w:t>
            </w:r>
            <w:r w:rsidR="00DE5CF8" w:rsidRPr="00794950">
              <w:t xml:space="preserve"> nombre de postes au </w:t>
            </w:r>
            <w:r w:rsidR="00E52954" w:rsidRPr="00794950">
              <w:t xml:space="preserve">sein du </w:t>
            </w:r>
            <w:r w:rsidR="00961FE9" w:rsidRPr="00794950">
              <w:t>Secteur</w:t>
            </w:r>
            <w:r w:rsidR="00DE5CF8" w:rsidRPr="00794950">
              <w:t xml:space="preserve">, </w:t>
            </w:r>
            <w:r w:rsidR="00CE325A" w:rsidRPr="00794950">
              <w:t>qui s</w:t>
            </w:r>
            <w:r w:rsidR="00A54667" w:rsidRPr="00794950">
              <w:t>'</w:t>
            </w:r>
            <w:r w:rsidR="00CE325A" w:rsidRPr="00794950">
              <w:t>élève</w:t>
            </w:r>
            <w:r w:rsidR="00F00D96" w:rsidRPr="00794950">
              <w:t xml:space="preserve"> </w:t>
            </w:r>
            <w:r w:rsidR="00DE5CF8" w:rsidRPr="00794950">
              <w:t xml:space="preserve">à environ 65, </w:t>
            </w:r>
            <w:r w:rsidR="003901AD" w:rsidRPr="00794950">
              <w:t>est resté consta</w:t>
            </w:r>
            <w:r w:rsidR="00DE5CF8" w:rsidRPr="00794950">
              <w:t>nt ces deux dernières décennies</w:t>
            </w:r>
            <w:r w:rsidR="00E07909" w:rsidRPr="00794950">
              <w:t>.</w:t>
            </w:r>
            <w:bookmarkEnd w:id="11"/>
            <w:r w:rsidR="00E07909" w:rsidRPr="00794950">
              <w:t xml:space="preserve"> </w:t>
            </w:r>
            <w:bookmarkStart w:id="12" w:name="lt_pId019"/>
            <w:r w:rsidR="003901AD" w:rsidRPr="00794950">
              <w:t xml:space="preserve">Le </w:t>
            </w:r>
            <w:r w:rsidR="00E07909" w:rsidRPr="00794950">
              <w:t xml:space="preserve">TSB </w:t>
            </w:r>
            <w:r w:rsidR="003901AD" w:rsidRPr="00794950">
              <w:t xml:space="preserve">demande </w:t>
            </w:r>
            <w:r w:rsidR="00CE325A" w:rsidRPr="00794950">
              <w:t>que l</w:t>
            </w:r>
            <w:r w:rsidR="003901AD" w:rsidRPr="00794950">
              <w:t xml:space="preserve">es ressources </w:t>
            </w:r>
            <w:r w:rsidR="00CE325A" w:rsidRPr="00794950">
              <w:t>de</w:t>
            </w:r>
            <w:r w:rsidR="00F00D96" w:rsidRPr="00794950">
              <w:t xml:space="preserve"> </w:t>
            </w:r>
            <w:r w:rsidR="00E52954" w:rsidRPr="00794950">
              <w:t>personnel</w:t>
            </w:r>
            <w:r w:rsidR="003901AD" w:rsidRPr="00794950">
              <w:t xml:space="preserve"> supplémentaires</w:t>
            </w:r>
            <w:r w:rsidR="00CE325A" w:rsidRPr="00794950">
              <w:t xml:space="preserve"> ci-après lui soient accordées</w:t>
            </w:r>
            <w:r w:rsidR="00E07909" w:rsidRPr="00794950">
              <w:t>:</w:t>
            </w:r>
            <w:bookmarkEnd w:id="12"/>
          </w:p>
          <w:p w14:paraId="121FA244" w14:textId="23402542" w:rsidR="00E07909" w:rsidRPr="00794950" w:rsidRDefault="00E07909" w:rsidP="00F702FE">
            <w:pPr>
              <w:spacing w:before="80"/>
            </w:pPr>
            <w:bookmarkStart w:id="13" w:name="lt_pId020"/>
            <w:r w:rsidRPr="00794950">
              <w:t xml:space="preserve">1 </w:t>
            </w:r>
            <w:r w:rsidR="00277BF2" w:rsidRPr="00794950">
              <w:t xml:space="preserve">fonctionnaire </w:t>
            </w:r>
            <w:r w:rsidR="00CE325A" w:rsidRPr="00794950">
              <w:t xml:space="preserve">de grade </w:t>
            </w:r>
            <w:r w:rsidRPr="00794950">
              <w:t xml:space="preserve">P2 </w:t>
            </w:r>
            <w:r w:rsidR="00277BF2" w:rsidRPr="00794950">
              <w:t xml:space="preserve">pour </w:t>
            </w:r>
            <w:r w:rsidR="00BD4838" w:rsidRPr="00794950">
              <w:t xml:space="preserve">appuyer </w:t>
            </w:r>
            <w:r w:rsidR="008F1287" w:rsidRPr="00794950">
              <w:t xml:space="preserve">les activités </w:t>
            </w:r>
            <w:r w:rsidR="00BD4838" w:rsidRPr="00794950">
              <w:t>liées aux</w:t>
            </w:r>
            <w:r w:rsidR="00277BF2" w:rsidRPr="00794950">
              <w:t xml:space="preserve"> indicateurs fondamentaux de performance </w:t>
            </w:r>
            <w:r w:rsidR="00C41FB8" w:rsidRPr="00794950">
              <w:t>relatifs aux</w:t>
            </w:r>
            <w:r w:rsidR="00277BF2" w:rsidRPr="00794950">
              <w:t xml:space="preserve"> villes intelligentes </w:t>
            </w:r>
            <w:r w:rsidR="00E4116B" w:rsidRPr="00794950">
              <w:t xml:space="preserve">et durables </w:t>
            </w:r>
            <w:r w:rsidR="00277BF2" w:rsidRPr="00794950">
              <w:t xml:space="preserve">et </w:t>
            </w:r>
            <w:r w:rsidR="003B0174" w:rsidRPr="00794950">
              <w:t xml:space="preserve">à </w:t>
            </w:r>
            <w:r w:rsidR="00277BF2" w:rsidRPr="00794950">
              <w:t xml:space="preserve">l'initiative </w:t>
            </w:r>
            <w:r w:rsidRPr="00794950">
              <w:t>U4SSC</w:t>
            </w:r>
            <w:bookmarkEnd w:id="13"/>
            <w:r w:rsidR="0071127E" w:rsidRPr="00794950">
              <w:t>;</w:t>
            </w:r>
          </w:p>
          <w:p w14:paraId="62A0BB1B" w14:textId="440D2E09" w:rsidR="00E07909" w:rsidRPr="00794950" w:rsidRDefault="00E07909" w:rsidP="00F702FE">
            <w:pPr>
              <w:spacing w:before="80"/>
            </w:pPr>
            <w:bookmarkStart w:id="14" w:name="lt_pId021"/>
            <w:r w:rsidRPr="00794950">
              <w:t xml:space="preserve">1 </w:t>
            </w:r>
            <w:r w:rsidR="00277BF2" w:rsidRPr="00794950">
              <w:t xml:space="preserve">fonctionnaire </w:t>
            </w:r>
            <w:r w:rsidR="00CE325A" w:rsidRPr="00794950">
              <w:t xml:space="preserve">de grade </w:t>
            </w:r>
            <w:r w:rsidRPr="00794950">
              <w:t xml:space="preserve">P2 </w:t>
            </w:r>
            <w:bookmarkEnd w:id="14"/>
            <w:r w:rsidR="00277BF2" w:rsidRPr="00794950">
              <w:t xml:space="preserve">pour </w:t>
            </w:r>
            <w:r w:rsidR="00BD4838" w:rsidRPr="00794950">
              <w:t xml:space="preserve">appuyer </w:t>
            </w:r>
            <w:r w:rsidR="00277BF2" w:rsidRPr="00794950">
              <w:t xml:space="preserve">les </w:t>
            </w:r>
            <w:r w:rsidR="00BD4838" w:rsidRPr="00794950">
              <w:t xml:space="preserve">activités </w:t>
            </w:r>
            <w:r w:rsidR="0071127E" w:rsidRPr="00794950">
              <w:t>liées aux</w:t>
            </w:r>
            <w:r w:rsidR="00BD4838" w:rsidRPr="00794950">
              <w:t xml:space="preserve"> </w:t>
            </w:r>
            <w:r w:rsidR="00277BF2" w:rsidRPr="00794950">
              <w:t>ressources de numérotage</w:t>
            </w:r>
            <w:r w:rsidR="0071127E" w:rsidRPr="00794950">
              <w:t>;</w:t>
            </w:r>
          </w:p>
          <w:p w14:paraId="4B36E1AF" w14:textId="5FC85CF5" w:rsidR="00E07909" w:rsidRPr="00794950" w:rsidRDefault="00E07909" w:rsidP="00F702FE">
            <w:pPr>
              <w:spacing w:before="80"/>
            </w:pPr>
            <w:bookmarkStart w:id="15" w:name="lt_pId022"/>
            <w:r w:rsidRPr="00794950">
              <w:t xml:space="preserve">1 </w:t>
            </w:r>
            <w:r w:rsidR="00277BF2" w:rsidRPr="00794950">
              <w:t xml:space="preserve">fonctionnaire </w:t>
            </w:r>
            <w:r w:rsidR="00CE325A" w:rsidRPr="00794950">
              <w:t xml:space="preserve">de grade </w:t>
            </w:r>
            <w:r w:rsidRPr="00794950">
              <w:t xml:space="preserve">P4 </w:t>
            </w:r>
            <w:r w:rsidR="00277BF2" w:rsidRPr="00794950">
              <w:t>et</w:t>
            </w:r>
            <w:r w:rsidRPr="00794950">
              <w:t xml:space="preserve"> </w:t>
            </w:r>
            <w:r w:rsidR="006515BF" w:rsidRPr="00794950">
              <w:t>1</w:t>
            </w:r>
            <w:r w:rsidR="00277BF2" w:rsidRPr="00794950">
              <w:t xml:space="preserve"> </w:t>
            </w:r>
            <w:r w:rsidR="00CE325A" w:rsidRPr="00794950">
              <w:t xml:space="preserve">fonctionnaire de grade </w:t>
            </w:r>
            <w:r w:rsidRPr="00794950">
              <w:t xml:space="preserve">G6 </w:t>
            </w:r>
            <w:bookmarkEnd w:id="15"/>
            <w:r w:rsidR="00277BF2" w:rsidRPr="00794950">
              <w:t xml:space="preserve">pour </w:t>
            </w:r>
            <w:r w:rsidR="0071127E" w:rsidRPr="00794950">
              <w:t xml:space="preserve">appuyer </w:t>
            </w:r>
            <w:r w:rsidR="00277BF2" w:rsidRPr="00794950">
              <w:t>l'inclusion financière</w:t>
            </w:r>
            <w:r w:rsidR="0071127E" w:rsidRPr="00794950">
              <w:t>;</w:t>
            </w:r>
          </w:p>
          <w:p w14:paraId="137CDF7A" w14:textId="4D879690" w:rsidR="00E07909" w:rsidRPr="00794950" w:rsidRDefault="00E07909" w:rsidP="00F702FE">
            <w:pPr>
              <w:spacing w:before="80"/>
            </w:pPr>
            <w:bookmarkStart w:id="16" w:name="lt_pId023"/>
            <w:r w:rsidRPr="00794950">
              <w:t xml:space="preserve">1 </w:t>
            </w:r>
            <w:r w:rsidR="00277BF2" w:rsidRPr="00794950">
              <w:t xml:space="preserve">fonctionnaire </w:t>
            </w:r>
            <w:r w:rsidR="00CE325A" w:rsidRPr="00794950">
              <w:t xml:space="preserve">de grade </w:t>
            </w:r>
            <w:r w:rsidRPr="00794950">
              <w:t xml:space="preserve">P4 </w:t>
            </w:r>
            <w:r w:rsidR="00A80D40" w:rsidRPr="00794950">
              <w:t>en tant que spécialiste de l'</w:t>
            </w:r>
            <w:r w:rsidR="00277BF2" w:rsidRPr="00794950">
              <w:t xml:space="preserve">application de l'apprentissage automatique </w:t>
            </w:r>
            <w:r w:rsidR="00496FB1" w:rsidRPr="00794950">
              <w:t>dans les</w:t>
            </w:r>
            <w:r w:rsidR="00277BF2" w:rsidRPr="00794950">
              <w:t xml:space="preserve"> réseaux de </w:t>
            </w:r>
            <w:r w:rsidRPr="00794950">
              <w:t>communication</w:t>
            </w:r>
            <w:bookmarkEnd w:id="16"/>
            <w:r w:rsidR="00D70AD7" w:rsidRPr="00794950">
              <w:t>;</w:t>
            </w:r>
          </w:p>
          <w:p w14:paraId="59B82469" w14:textId="24A30B88" w:rsidR="00520F36" w:rsidRPr="00794950" w:rsidRDefault="00E07909" w:rsidP="00F702FE">
            <w:pPr>
              <w:spacing w:before="80"/>
            </w:pPr>
            <w:bookmarkStart w:id="17" w:name="lt_pId024"/>
            <w:r w:rsidRPr="00794950">
              <w:t xml:space="preserve">1 </w:t>
            </w:r>
            <w:r w:rsidR="00277BF2" w:rsidRPr="00794950">
              <w:t xml:space="preserve">fonctionnaire </w:t>
            </w:r>
            <w:r w:rsidR="00CE325A" w:rsidRPr="00794950">
              <w:t xml:space="preserve">de grade </w:t>
            </w:r>
            <w:r w:rsidRPr="00794950">
              <w:t xml:space="preserve">P1 </w:t>
            </w:r>
            <w:r w:rsidR="00277BF2" w:rsidRPr="00794950">
              <w:t>et</w:t>
            </w:r>
            <w:r w:rsidRPr="00794950">
              <w:t xml:space="preserve"> 1 </w:t>
            </w:r>
            <w:r w:rsidR="00CE325A" w:rsidRPr="00794950">
              <w:t xml:space="preserve">fonctionnaire de grade </w:t>
            </w:r>
            <w:r w:rsidRPr="00794950">
              <w:t xml:space="preserve">P2 </w:t>
            </w:r>
            <w:r w:rsidR="00277BF2" w:rsidRPr="00794950">
              <w:t>pour les outils et applications informatiques</w:t>
            </w:r>
            <w:bookmarkEnd w:id="17"/>
            <w:r w:rsidR="00A80D40" w:rsidRPr="00794950">
              <w:t>.</w:t>
            </w:r>
          </w:p>
          <w:p w14:paraId="0859A4E4" w14:textId="77777777" w:rsidR="00520F36" w:rsidRPr="00794950" w:rsidRDefault="00520F36" w:rsidP="00F702FE">
            <w:pPr>
              <w:pStyle w:val="Headingb"/>
              <w:spacing w:before="120"/>
            </w:pPr>
            <w:r w:rsidRPr="00794950">
              <w:t>Suite à donner</w:t>
            </w:r>
          </w:p>
          <w:p w14:paraId="72178303" w14:textId="260ACF8F" w:rsidR="00520F36" w:rsidRPr="00794950" w:rsidRDefault="00D53F54" w:rsidP="00F702FE">
            <w:pPr>
              <w:spacing w:before="60"/>
            </w:pPr>
            <w:bookmarkStart w:id="18" w:name="lt_pId026"/>
            <w:r w:rsidRPr="00794950">
              <w:t>Le Conseil est invité à</w:t>
            </w:r>
            <w:r w:rsidR="00E07909" w:rsidRPr="00794950">
              <w:t xml:space="preserve"> </w:t>
            </w:r>
            <w:r w:rsidRPr="00794950">
              <w:rPr>
                <w:b/>
                <w:bCs/>
              </w:rPr>
              <w:t>examiner</w:t>
            </w:r>
            <w:r w:rsidR="00E07909" w:rsidRPr="00794950">
              <w:t xml:space="preserve"> </w:t>
            </w:r>
            <w:r w:rsidRPr="00794950">
              <w:t>et à approuver les demandes figurant dans la partie 4 du présent</w:t>
            </w:r>
            <w:r w:rsidR="00E07909" w:rsidRPr="00794950">
              <w:t xml:space="preserve"> document.</w:t>
            </w:r>
            <w:bookmarkStart w:id="19" w:name="lt_pId027"/>
            <w:bookmarkEnd w:id="18"/>
            <w:r w:rsidR="00CE325A" w:rsidRPr="00794950">
              <w:t xml:space="preserve"> On trouvera dans le </w:t>
            </w:r>
            <w:r w:rsidR="00E07909" w:rsidRPr="00794950">
              <w:t xml:space="preserve">document </w:t>
            </w:r>
            <w:r w:rsidRPr="00794950">
              <w:t xml:space="preserve">d'information </w:t>
            </w:r>
            <w:r w:rsidR="00E07909" w:rsidRPr="00794950">
              <w:t>INF/7</w:t>
            </w:r>
            <w:r w:rsidR="0011574B" w:rsidRPr="00794950">
              <w:t>(Rév.1)</w:t>
            </w:r>
            <w:r w:rsidR="00CE325A" w:rsidRPr="00794950">
              <w:t xml:space="preserve"> davantage </w:t>
            </w:r>
            <w:r w:rsidRPr="00794950">
              <w:t>de renseignements</w:t>
            </w:r>
            <w:r w:rsidR="00CE325A" w:rsidRPr="00794950">
              <w:t xml:space="preserve"> à cet égard</w:t>
            </w:r>
            <w:r w:rsidR="00E07909" w:rsidRPr="00794950">
              <w:t>.</w:t>
            </w:r>
            <w:bookmarkEnd w:id="19"/>
          </w:p>
          <w:p w14:paraId="0B09EF2C" w14:textId="77777777" w:rsidR="00520F36" w:rsidRPr="00794950" w:rsidRDefault="00520F36" w:rsidP="00F702FE">
            <w:pPr>
              <w:pStyle w:val="Table"/>
              <w:keepNext w:val="0"/>
              <w:spacing w:before="60" w:after="0"/>
              <w:rPr>
                <w:rFonts w:ascii="Calibri" w:hAnsi="Calibri"/>
                <w:caps w:val="0"/>
                <w:sz w:val="22"/>
                <w:lang w:val="fr-FR"/>
              </w:rPr>
            </w:pPr>
            <w:r w:rsidRPr="00794950">
              <w:rPr>
                <w:rFonts w:ascii="Calibri" w:hAnsi="Calibri"/>
                <w:caps w:val="0"/>
                <w:sz w:val="22"/>
                <w:lang w:val="fr-FR"/>
              </w:rPr>
              <w:t>____________</w:t>
            </w:r>
          </w:p>
          <w:p w14:paraId="17291FD0" w14:textId="77777777" w:rsidR="00520F36" w:rsidRPr="00794950" w:rsidRDefault="00520F36" w:rsidP="00F702FE">
            <w:pPr>
              <w:pStyle w:val="Headingb"/>
              <w:spacing w:before="0"/>
            </w:pPr>
            <w:r w:rsidRPr="00794950">
              <w:t>Références</w:t>
            </w:r>
          </w:p>
          <w:p w14:paraId="2998078E" w14:textId="52D3FEDB" w:rsidR="00520F36" w:rsidRPr="00794950" w:rsidRDefault="00111655" w:rsidP="00F702FE">
            <w:pPr>
              <w:spacing w:before="0" w:after="120"/>
              <w:rPr>
                <w:i/>
                <w:iCs/>
              </w:rPr>
            </w:pPr>
            <w:hyperlink r:id="rId12" w:history="1">
              <w:bookmarkStart w:id="20" w:name="lt_pId030"/>
              <w:r w:rsidR="00E07909" w:rsidRPr="00794950">
                <w:rPr>
                  <w:rStyle w:val="Hyperlink"/>
                  <w:i/>
                  <w:iCs/>
                </w:rPr>
                <w:t>Document C20/INF/7</w:t>
              </w:r>
              <w:bookmarkEnd w:id="20"/>
            </w:hyperlink>
            <w:r w:rsidR="0011574B" w:rsidRPr="00794950">
              <w:rPr>
                <w:rStyle w:val="Hyperlink"/>
                <w:i/>
                <w:iCs/>
              </w:rPr>
              <w:t>(Rév.1)</w:t>
            </w:r>
          </w:p>
        </w:tc>
      </w:tr>
    </w:tbl>
    <w:p w14:paraId="6916E3E5" w14:textId="2E31B3CA" w:rsidR="00E07909" w:rsidRPr="00794950" w:rsidRDefault="00E07909" w:rsidP="00F702FE">
      <w:pPr>
        <w:tabs>
          <w:tab w:val="clear" w:pos="567"/>
          <w:tab w:val="clear" w:pos="1134"/>
          <w:tab w:val="clear" w:pos="1701"/>
          <w:tab w:val="clear" w:pos="2268"/>
          <w:tab w:val="clear" w:pos="2835"/>
        </w:tabs>
        <w:overflowPunct/>
        <w:autoSpaceDE/>
        <w:autoSpaceDN/>
        <w:adjustRightInd/>
        <w:spacing w:before="0"/>
        <w:textAlignment w:val="auto"/>
      </w:pPr>
      <w:r w:rsidRPr="00794950">
        <w:br w:type="page"/>
      </w:r>
    </w:p>
    <w:p w14:paraId="43CB1FEE" w14:textId="722287D5" w:rsidR="00E07909" w:rsidRPr="00794950" w:rsidRDefault="00E07909" w:rsidP="00F702FE">
      <w:pPr>
        <w:pStyle w:val="Title4"/>
      </w:pPr>
      <w:r w:rsidRPr="00794950">
        <w:lastRenderedPageBreak/>
        <w:t>Table des matières</w:t>
      </w:r>
    </w:p>
    <w:p w14:paraId="25079370" w14:textId="1E34F413" w:rsidR="00E07909" w:rsidRPr="00794950" w:rsidRDefault="00E07909" w:rsidP="00F702FE">
      <w:pPr>
        <w:pStyle w:val="toc0"/>
        <w:jc w:val="right"/>
      </w:pPr>
      <w:r w:rsidRPr="00794950">
        <w:t>Page</w:t>
      </w:r>
    </w:p>
    <w:p w14:paraId="1C52CCD1" w14:textId="3F5D06BE" w:rsidR="00AF0B22" w:rsidRPr="00794950" w:rsidRDefault="00C17AFF">
      <w:pPr>
        <w:pStyle w:val="TOC1"/>
        <w:rPr>
          <w:rFonts w:asciiTheme="minorHAnsi" w:eastAsiaTheme="minorEastAsia" w:hAnsiTheme="minorHAnsi" w:cstheme="minorBidi"/>
          <w:noProof/>
          <w:sz w:val="22"/>
          <w:szCs w:val="22"/>
          <w:lang w:eastAsia="fr-FR"/>
        </w:rPr>
      </w:pPr>
      <w:r w:rsidRPr="00794950">
        <w:fldChar w:fldCharType="begin"/>
      </w:r>
      <w:r w:rsidRPr="00794950">
        <w:instrText xml:space="preserve"> TOC \o "2-2" \h \z \t "Heading 1;1" </w:instrText>
      </w:r>
      <w:r w:rsidRPr="00794950">
        <w:fldChar w:fldCharType="separate"/>
      </w:r>
      <w:hyperlink w:anchor="_Toc54336495" w:history="1">
        <w:r w:rsidR="00AF0B22" w:rsidRPr="00794950">
          <w:rPr>
            <w:rStyle w:val="Hyperlink"/>
            <w:noProof/>
          </w:rPr>
          <w:t>1</w:t>
        </w:r>
        <w:r w:rsidR="00AF0B22" w:rsidRPr="00794950">
          <w:rPr>
            <w:rFonts w:asciiTheme="minorHAnsi" w:eastAsiaTheme="minorEastAsia" w:hAnsiTheme="minorHAnsi" w:cstheme="minorBidi"/>
            <w:noProof/>
            <w:sz w:val="22"/>
            <w:szCs w:val="22"/>
            <w:lang w:eastAsia="fr-FR"/>
          </w:rPr>
          <w:tab/>
        </w:r>
        <w:r w:rsidR="00AF0B22" w:rsidRPr="00794950">
          <w:rPr>
            <w:rStyle w:val="Hyperlink"/>
            <w:noProof/>
          </w:rPr>
          <w:t>Introduction</w:t>
        </w:r>
        <w:r w:rsidR="00AF0B22" w:rsidRPr="00794950">
          <w:rPr>
            <w:noProof/>
            <w:webHidden/>
          </w:rPr>
          <w:tab/>
        </w:r>
        <w:r w:rsidR="00AF0B22" w:rsidRPr="00794950">
          <w:rPr>
            <w:noProof/>
            <w:webHidden/>
          </w:rPr>
          <w:tab/>
        </w:r>
        <w:r w:rsidR="00AF0B22" w:rsidRPr="00794950">
          <w:rPr>
            <w:noProof/>
            <w:webHidden/>
          </w:rPr>
          <w:fldChar w:fldCharType="begin"/>
        </w:r>
        <w:r w:rsidR="00AF0B22" w:rsidRPr="00794950">
          <w:rPr>
            <w:noProof/>
            <w:webHidden/>
          </w:rPr>
          <w:instrText xml:space="preserve"> PAGEREF _Toc54336495 \h </w:instrText>
        </w:r>
        <w:r w:rsidR="00AF0B22" w:rsidRPr="00794950">
          <w:rPr>
            <w:noProof/>
            <w:webHidden/>
          </w:rPr>
        </w:r>
        <w:r w:rsidR="00AF0B22" w:rsidRPr="00794950">
          <w:rPr>
            <w:noProof/>
            <w:webHidden/>
          </w:rPr>
          <w:fldChar w:fldCharType="separate"/>
        </w:r>
        <w:r w:rsidR="007943DC">
          <w:rPr>
            <w:noProof/>
            <w:webHidden/>
          </w:rPr>
          <w:t>3</w:t>
        </w:r>
        <w:r w:rsidR="00AF0B22" w:rsidRPr="00794950">
          <w:rPr>
            <w:noProof/>
            <w:webHidden/>
          </w:rPr>
          <w:fldChar w:fldCharType="end"/>
        </w:r>
      </w:hyperlink>
    </w:p>
    <w:p w14:paraId="2F88358F" w14:textId="03CBA4D7" w:rsidR="00AF0B22" w:rsidRPr="00794950" w:rsidRDefault="00111655">
      <w:pPr>
        <w:pStyle w:val="TOC1"/>
        <w:rPr>
          <w:rFonts w:asciiTheme="minorHAnsi" w:eastAsiaTheme="minorEastAsia" w:hAnsiTheme="minorHAnsi" w:cstheme="minorBidi"/>
          <w:noProof/>
          <w:sz w:val="22"/>
          <w:szCs w:val="22"/>
          <w:lang w:eastAsia="fr-FR"/>
        </w:rPr>
      </w:pPr>
      <w:hyperlink w:anchor="_Toc54336496" w:history="1">
        <w:r w:rsidR="00AF0B22" w:rsidRPr="00794950">
          <w:rPr>
            <w:rStyle w:val="Hyperlink"/>
            <w:noProof/>
          </w:rPr>
          <w:t>2</w:t>
        </w:r>
        <w:r w:rsidR="00AF0B22" w:rsidRPr="00794950">
          <w:rPr>
            <w:rFonts w:asciiTheme="minorHAnsi" w:eastAsiaTheme="minorEastAsia" w:hAnsiTheme="minorHAnsi" w:cstheme="minorBidi"/>
            <w:noProof/>
            <w:sz w:val="22"/>
            <w:szCs w:val="22"/>
            <w:lang w:eastAsia="fr-FR"/>
          </w:rPr>
          <w:tab/>
        </w:r>
        <w:r w:rsidR="00AF0B22" w:rsidRPr="00794950">
          <w:rPr>
            <w:rStyle w:val="Hyperlink"/>
            <w:noProof/>
          </w:rPr>
          <w:t>Services et outils de l'UIT</w:t>
        </w:r>
        <w:r w:rsidR="00AF0B22" w:rsidRPr="00794950">
          <w:rPr>
            <w:noProof/>
            <w:webHidden/>
          </w:rPr>
          <w:tab/>
        </w:r>
        <w:r w:rsidR="00AF0B22" w:rsidRPr="00794950">
          <w:rPr>
            <w:noProof/>
            <w:webHidden/>
          </w:rPr>
          <w:tab/>
        </w:r>
        <w:r w:rsidR="00AF0B22" w:rsidRPr="00794950">
          <w:rPr>
            <w:noProof/>
            <w:webHidden/>
          </w:rPr>
          <w:fldChar w:fldCharType="begin"/>
        </w:r>
        <w:r w:rsidR="00AF0B22" w:rsidRPr="00794950">
          <w:rPr>
            <w:noProof/>
            <w:webHidden/>
          </w:rPr>
          <w:instrText xml:space="preserve"> PAGEREF _Toc54336496 \h </w:instrText>
        </w:r>
        <w:r w:rsidR="00AF0B22" w:rsidRPr="00794950">
          <w:rPr>
            <w:noProof/>
            <w:webHidden/>
          </w:rPr>
        </w:r>
        <w:r w:rsidR="00AF0B22" w:rsidRPr="00794950">
          <w:rPr>
            <w:noProof/>
            <w:webHidden/>
          </w:rPr>
          <w:fldChar w:fldCharType="separate"/>
        </w:r>
        <w:r w:rsidR="007943DC">
          <w:rPr>
            <w:noProof/>
            <w:webHidden/>
          </w:rPr>
          <w:t>5</w:t>
        </w:r>
        <w:r w:rsidR="00AF0B22" w:rsidRPr="00794950">
          <w:rPr>
            <w:noProof/>
            <w:webHidden/>
          </w:rPr>
          <w:fldChar w:fldCharType="end"/>
        </w:r>
      </w:hyperlink>
    </w:p>
    <w:p w14:paraId="177B7B4E" w14:textId="52DE595B" w:rsidR="00AF0B22" w:rsidRPr="00794950" w:rsidRDefault="00111655">
      <w:pPr>
        <w:pStyle w:val="TOC1"/>
        <w:rPr>
          <w:rFonts w:asciiTheme="minorHAnsi" w:eastAsiaTheme="minorEastAsia" w:hAnsiTheme="minorHAnsi" w:cstheme="minorBidi"/>
          <w:noProof/>
          <w:sz w:val="22"/>
          <w:szCs w:val="22"/>
          <w:lang w:eastAsia="fr-FR"/>
        </w:rPr>
      </w:pPr>
      <w:hyperlink w:anchor="_Toc54336497" w:history="1">
        <w:r w:rsidR="00AF0B22" w:rsidRPr="00794950">
          <w:rPr>
            <w:rStyle w:val="Hyperlink"/>
            <w:noProof/>
          </w:rPr>
          <w:t>3</w:t>
        </w:r>
        <w:r w:rsidR="00AF0B22" w:rsidRPr="00794950">
          <w:rPr>
            <w:rFonts w:asciiTheme="minorHAnsi" w:eastAsiaTheme="minorEastAsia" w:hAnsiTheme="minorHAnsi" w:cstheme="minorBidi"/>
            <w:noProof/>
            <w:sz w:val="22"/>
            <w:szCs w:val="22"/>
            <w:lang w:eastAsia="fr-FR"/>
          </w:rPr>
          <w:tab/>
        </w:r>
        <w:r w:rsidR="00AF0B22" w:rsidRPr="00794950">
          <w:rPr>
            <w:rStyle w:val="Hyperlink"/>
            <w:noProof/>
          </w:rPr>
          <w:t xml:space="preserve">Demande de ressources supplémentaires pour les activités des </w:t>
        </w:r>
        <w:r w:rsidR="00AF0B22" w:rsidRPr="00794950">
          <w:rPr>
            <w:rStyle w:val="Hyperlink"/>
            <w:noProof/>
          </w:rPr>
          <w:br/>
          <w:t>commissions d'études</w:t>
        </w:r>
        <w:r w:rsidR="00AF0B22" w:rsidRPr="00794950">
          <w:rPr>
            <w:noProof/>
            <w:webHidden/>
          </w:rPr>
          <w:tab/>
        </w:r>
        <w:r w:rsidR="00AF0B22" w:rsidRPr="00794950">
          <w:rPr>
            <w:noProof/>
            <w:webHidden/>
          </w:rPr>
          <w:tab/>
        </w:r>
        <w:r w:rsidR="00AF0B22" w:rsidRPr="00794950">
          <w:rPr>
            <w:noProof/>
            <w:webHidden/>
          </w:rPr>
          <w:fldChar w:fldCharType="begin"/>
        </w:r>
        <w:r w:rsidR="00AF0B22" w:rsidRPr="00794950">
          <w:rPr>
            <w:noProof/>
            <w:webHidden/>
          </w:rPr>
          <w:instrText xml:space="preserve"> PAGEREF _Toc54336497 \h </w:instrText>
        </w:r>
        <w:r w:rsidR="00AF0B22" w:rsidRPr="00794950">
          <w:rPr>
            <w:noProof/>
            <w:webHidden/>
          </w:rPr>
        </w:r>
        <w:r w:rsidR="00AF0B22" w:rsidRPr="00794950">
          <w:rPr>
            <w:noProof/>
            <w:webHidden/>
          </w:rPr>
          <w:fldChar w:fldCharType="separate"/>
        </w:r>
        <w:r w:rsidR="007943DC">
          <w:rPr>
            <w:noProof/>
            <w:webHidden/>
          </w:rPr>
          <w:t>8</w:t>
        </w:r>
        <w:r w:rsidR="00AF0B22" w:rsidRPr="00794950">
          <w:rPr>
            <w:noProof/>
            <w:webHidden/>
          </w:rPr>
          <w:fldChar w:fldCharType="end"/>
        </w:r>
      </w:hyperlink>
    </w:p>
    <w:p w14:paraId="77361655" w14:textId="7FFE078D" w:rsidR="00AF0B22" w:rsidRPr="00794950" w:rsidRDefault="00111655">
      <w:pPr>
        <w:pStyle w:val="TOC2"/>
        <w:rPr>
          <w:rFonts w:asciiTheme="minorHAnsi" w:eastAsiaTheme="minorEastAsia" w:hAnsiTheme="minorHAnsi" w:cstheme="minorBidi"/>
          <w:noProof/>
          <w:sz w:val="22"/>
          <w:szCs w:val="22"/>
          <w:lang w:eastAsia="fr-FR"/>
        </w:rPr>
      </w:pPr>
      <w:hyperlink w:anchor="_Toc54336498" w:history="1">
        <w:r w:rsidR="00AF0B22" w:rsidRPr="00794950">
          <w:rPr>
            <w:rStyle w:val="Hyperlink"/>
            <w:noProof/>
          </w:rPr>
          <w:t>3.1</w:t>
        </w:r>
        <w:r w:rsidR="00AF0B22" w:rsidRPr="00794950">
          <w:rPr>
            <w:rFonts w:asciiTheme="minorHAnsi" w:eastAsiaTheme="minorEastAsia" w:hAnsiTheme="minorHAnsi" w:cstheme="minorBidi"/>
            <w:noProof/>
            <w:sz w:val="22"/>
            <w:szCs w:val="22"/>
            <w:lang w:eastAsia="fr-FR"/>
          </w:rPr>
          <w:tab/>
        </w:r>
        <w:r w:rsidR="00AF0B22" w:rsidRPr="00794950">
          <w:rPr>
            <w:rStyle w:val="Hyperlink"/>
            <w:noProof/>
          </w:rPr>
          <w:t xml:space="preserve">Des villes du monde entier utilisent les indicateurs fondamentaux de </w:t>
        </w:r>
        <w:r w:rsidR="00AF0B22" w:rsidRPr="00794950">
          <w:rPr>
            <w:rStyle w:val="Hyperlink"/>
            <w:noProof/>
          </w:rPr>
          <w:br/>
          <w:t>performance (IFP) de l'UIT relatifs aux villes intelligentes et durables</w:t>
        </w:r>
        <w:r w:rsidR="00AF0B22" w:rsidRPr="00794950">
          <w:rPr>
            <w:noProof/>
            <w:webHidden/>
          </w:rPr>
          <w:tab/>
        </w:r>
        <w:r w:rsidR="00AF0B22" w:rsidRPr="00794950">
          <w:rPr>
            <w:noProof/>
            <w:webHidden/>
          </w:rPr>
          <w:tab/>
        </w:r>
        <w:r w:rsidR="00AF0B22" w:rsidRPr="00794950">
          <w:rPr>
            <w:noProof/>
            <w:webHidden/>
          </w:rPr>
          <w:fldChar w:fldCharType="begin"/>
        </w:r>
        <w:r w:rsidR="00AF0B22" w:rsidRPr="00794950">
          <w:rPr>
            <w:noProof/>
            <w:webHidden/>
          </w:rPr>
          <w:instrText xml:space="preserve"> PAGEREF _Toc54336498 \h </w:instrText>
        </w:r>
        <w:r w:rsidR="00AF0B22" w:rsidRPr="00794950">
          <w:rPr>
            <w:noProof/>
            <w:webHidden/>
          </w:rPr>
        </w:r>
        <w:r w:rsidR="00AF0B22" w:rsidRPr="00794950">
          <w:rPr>
            <w:noProof/>
            <w:webHidden/>
          </w:rPr>
          <w:fldChar w:fldCharType="separate"/>
        </w:r>
        <w:r w:rsidR="007943DC">
          <w:rPr>
            <w:noProof/>
            <w:webHidden/>
          </w:rPr>
          <w:t>8</w:t>
        </w:r>
        <w:r w:rsidR="00AF0B22" w:rsidRPr="00794950">
          <w:rPr>
            <w:noProof/>
            <w:webHidden/>
          </w:rPr>
          <w:fldChar w:fldCharType="end"/>
        </w:r>
      </w:hyperlink>
    </w:p>
    <w:p w14:paraId="7103A127" w14:textId="4C3B09FF" w:rsidR="00AF0B22" w:rsidRPr="00794950" w:rsidRDefault="00111655">
      <w:pPr>
        <w:pStyle w:val="TOC2"/>
        <w:rPr>
          <w:rFonts w:asciiTheme="minorHAnsi" w:eastAsiaTheme="minorEastAsia" w:hAnsiTheme="minorHAnsi" w:cstheme="minorBidi"/>
          <w:noProof/>
          <w:sz w:val="22"/>
          <w:szCs w:val="22"/>
          <w:lang w:eastAsia="fr-FR"/>
        </w:rPr>
      </w:pPr>
      <w:hyperlink w:anchor="_Toc54336499" w:history="1">
        <w:r w:rsidR="00AF0B22" w:rsidRPr="00794950">
          <w:rPr>
            <w:rStyle w:val="Hyperlink"/>
            <w:noProof/>
          </w:rPr>
          <w:t>3.2</w:t>
        </w:r>
        <w:r w:rsidR="00AF0B22" w:rsidRPr="00794950">
          <w:rPr>
            <w:rFonts w:asciiTheme="minorHAnsi" w:eastAsiaTheme="minorEastAsia" w:hAnsiTheme="minorHAnsi" w:cstheme="minorBidi"/>
            <w:noProof/>
            <w:sz w:val="22"/>
            <w:szCs w:val="22"/>
            <w:lang w:eastAsia="fr-FR"/>
          </w:rPr>
          <w:tab/>
        </w:r>
        <w:r w:rsidR="00AF0B22" w:rsidRPr="00794950">
          <w:rPr>
            <w:rStyle w:val="Hyperlink"/>
            <w:noProof/>
          </w:rPr>
          <w:t>Ressources internationales de numérotage (INR): la cheville ouvrière des</w:t>
        </w:r>
        <w:r w:rsidR="00AF0B22" w:rsidRPr="00794950">
          <w:rPr>
            <w:rStyle w:val="Hyperlink"/>
            <w:noProof/>
          </w:rPr>
          <w:br/>
          <w:t>réseaux de communication</w:t>
        </w:r>
        <w:r w:rsidR="00AF0B22" w:rsidRPr="00794950">
          <w:rPr>
            <w:noProof/>
            <w:webHidden/>
          </w:rPr>
          <w:tab/>
        </w:r>
        <w:r w:rsidR="00AF0B22" w:rsidRPr="00794950">
          <w:rPr>
            <w:noProof/>
            <w:webHidden/>
          </w:rPr>
          <w:tab/>
        </w:r>
        <w:r w:rsidR="00AF0B22" w:rsidRPr="00794950">
          <w:rPr>
            <w:noProof/>
            <w:webHidden/>
          </w:rPr>
          <w:fldChar w:fldCharType="begin"/>
        </w:r>
        <w:r w:rsidR="00AF0B22" w:rsidRPr="00794950">
          <w:rPr>
            <w:noProof/>
            <w:webHidden/>
          </w:rPr>
          <w:instrText xml:space="preserve"> PAGEREF _Toc54336499 \h </w:instrText>
        </w:r>
        <w:r w:rsidR="00AF0B22" w:rsidRPr="00794950">
          <w:rPr>
            <w:noProof/>
            <w:webHidden/>
          </w:rPr>
        </w:r>
        <w:r w:rsidR="00AF0B22" w:rsidRPr="00794950">
          <w:rPr>
            <w:noProof/>
            <w:webHidden/>
          </w:rPr>
          <w:fldChar w:fldCharType="separate"/>
        </w:r>
        <w:r w:rsidR="007943DC">
          <w:rPr>
            <w:noProof/>
            <w:webHidden/>
          </w:rPr>
          <w:t>8</w:t>
        </w:r>
        <w:r w:rsidR="00AF0B22" w:rsidRPr="00794950">
          <w:rPr>
            <w:noProof/>
            <w:webHidden/>
          </w:rPr>
          <w:fldChar w:fldCharType="end"/>
        </w:r>
      </w:hyperlink>
    </w:p>
    <w:p w14:paraId="334A5320" w14:textId="38B4935D" w:rsidR="00AF0B22" w:rsidRPr="00794950" w:rsidRDefault="00111655">
      <w:pPr>
        <w:pStyle w:val="TOC2"/>
        <w:rPr>
          <w:rFonts w:asciiTheme="minorHAnsi" w:eastAsiaTheme="minorEastAsia" w:hAnsiTheme="minorHAnsi" w:cstheme="minorBidi"/>
          <w:noProof/>
          <w:sz w:val="22"/>
          <w:szCs w:val="22"/>
          <w:lang w:eastAsia="fr-FR"/>
        </w:rPr>
      </w:pPr>
      <w:hyperlink w:anchor="_Toc54336500" w:history="1">
        <w:r w:rsidR="00AF0B22" w:rsidRPr="00794950">
          <w:rPr>
            <w:rStyle w:val="Hyperlink"/>
            <w:noProof/>
          </w:rPr>
          <w:t>3.3</w:t>
        </w:r>
        <w:r w:rsidR="00AF0B22" w:rsidRPr="00794950">
          <w:rPr>
            <w:rFonts w:asciiTheme="minorHAnsi" w:eastAsiaTheme="minorEastAsia" w:hAnsiTheme="minorHAnsi" w:cstheme="minorBidi"/>
            <w:noProof/>
            <w:sz w:val="22"/>
            <w:szCs w:val="22"/>
            <w:lang w:eastAsia="fr-FR"/>
          </w:rPr>
          <w:tab/>
        </w:r>
        <w:r w:rsidR="00AF0B22" w:rsidRPr="00794950">
          <w:rPr>
            <w:rStyle w:val="Hyperlink"/>
            <w:noProof/>
          </w:rPr>
          <w:t xml:space="preserve">Les services financiers numériques peuvent permettre à deux milliards de </w:t>
        </w:r>
        <w:r w:rsidR="00AF0B22" w:rsidRPr="00794950">
          <w:rPr>
            <w:rStyle w:val="Hyperlink"/>
            <w:noProof/>
          </w:rPr>
          <w:br/>
          <w:t>personnes ne possédant pas de compte bancaire d'accéder à la vie économique</w:t>
        </w:r>
        <w:r w:rsidR="00AF0B22" w:rsidRPr="00794950">
          <w:rPr>
            <w:noProof/>
            <w:webHidden/>
          </w:rPr>
          <w:tab/>
        </w:r>
        <w:r w:rsidR="00AF0B22" w:rsidRPr="00794950">
          <w:rPr>
            <w:noProof/>
            <w:webHidden/>
          </w:rPr>
          <w:tab/>
        </w:r>
        <w:r w:rsidR="00AF0B22" w:rsidRPr="00794950">
          <w:rPr>
            <w:noProof/>
            <w:webHidden/>
          </w:rPr>
          <w:fldChar w:fldCharType="begin"/>
        </w:r>
        <w:r w:rsidR="00AF0B22" w:rsidRPr="00794950">
          <w:rPr>
            <w:noProof/>
            <w:webHidden/>
          </w:rPr>
          <w:instrText xml:space="preserve"> PAGEREF _Toc54336500 \h </w:instrText>
        </w:r>
        <w:r w:rsidR="00AF0B22" w:rsidRPr="00794950">
          <w:rPr>
            <w:noProof/>
            <w:webHidden/>
          </w:rPr>
        </w:r>
        <w:r w:rsidR="00AF0B22" w:rsidRPr="00794950">
          <w:rPr>
            <w:noProof/>
            <w:webHidden/>
          </w:rPr>
          <w:fldChar w:fldCharType="separate"/>
        </w:r>
        <w:r w:rsidR="007943DC">
          <w:rPr>
            <w:noProof/>
            <w:webHidden/>
          </w:rPr>
          <w:t>10</w:t>
        </w:r>
        <w:r w:rsidR="00AF0B22" w:rsidRPr="00794950">
          <w:rPr>
            <w:noProof/>
            <w:webHidden/>
          </w:rPr>
          <w:fldChar w:fldCharType="end"/>
        </w:r>
      </w:hyperlink>
    </w:p>
    <w:p w14:paraId="4563B323" w14:textId="6F01B2F2" w:rsidR="00AF0B22" w:rsidRPr="00794950" w:rsidRDefault="00111655">
      <w:pPr>
        <w:pStyle w:val="TOC2"/>
        <w:rPr>
          <w:rFonts w:asciiTheme="minorHAnsi" w:eastAsiaTheme="minorEastAsia" w:hAnsiTheme="minorHAnsi" w:cstheme="minorBidi"/>
          <w:noProof/>
          <w:sz w:val="22"/>
          <w:szCs w:val="22"/>
          <w:lang w:eastAsia="fr-FR"/>
        </w:rPr>
      </w:pPr>
      <w:hyperlink w:anchor="_Toc54336501" w:history="1">
        <w:r w:rsidR="00AF0B22" w:rsidRPr="00794950">
          <w:rPr>
            <w:rStyle w:val="Hyperlink"/>
            <w:noProof/>
          </w:rPr>
          <w:t>3.4</w:t>
        </w:r>
        <w:r w:rsidR="00AF0B22" w:rsidRPr="00794950">
          <w:rPr>
            <w:rFonts w:asciiTheme="minorHAnsi" w:eastAsiaTheme="minorEastAsia" w:hAnsiTheme="minorHAnsi" w:cstheme="minorBidi"/>
            <w:noProof/>
            <w:sz w:val="22"/>
            <w:szCs w:val="22"/>
            <w:lang w:eastAsia="fr-FR"/>
          </w:rPr>
          <w:tab/>
        </w:r>
        <w:r w:rsidR="00AF0B22" w:rsidRPr="00794950">
          <w:rPr>
            <w:rStyle w:val="Hyperlink"/>
            <w:noProof/>
            <w:spacing w:val="-4"/>
          </w:rPr>
          <w:t xml:space="preserve">Spécialiste de l'apprentissage automatique appliqué aux infrastructures et aux </w:t>
        </w:r>
        <w:r w:rsidR="00AF0B22" w:rsidRPr="00794950">
          <w:rPr>
            <w:rStyle w:val="Hyperlink"/>
            <w:noProof/>
            <w:spacing w:val="-4"/>
          </w:rPr>
          <w:br/>
          <w:t>services TIC</w:t>
        </w:r>
        <w:r w:rsidR="00AF0B22" w:rsidRPr="00794950">
          <w:rPr>
            <w:noProof/>
            <w:webHidden/>
          </w:rPr>
          <w:tab/>
        </w:r>
        <w:r w:rsidR="00AF0B22" w:rsidRPr="00794950">
          <w:rPr>
            <w:noProof/>
            <w:webHidden/>
          </w:rPr>
          <w:tab/>
        </w:r>
        <w:r w:rsidR="00AF0B22" w:rsidRPr="00794950">
          <w:rPr>
            <w:noProof/>
            <w:webHidden/>
          </w:rPr>
          <w:fldChar w:fldCharType="begin"/>
        </w:r>
        <w:r w:rsidR="00AF0B22" w:rsidRPr="00794950">
          <w:rPr>
            <w:noProof/>
            <w:webHidden/>
          </w:rPr>
          <w:instrText xml:space="preserve"> PAGEREF _Toc54336501 \h </w:instrText>
        </w:r>
        <w:r w:rsidR="00AF0B22" w:rsidRPr="00794950">
          <w:rPr>
            <w:noProof/>
            <w:webHidden/>
          </w:rPr>
        </w:r>
        <w:r w:rsidR="00AF0B22" w:rsidRPr="00794950">
          <w:rPr>
            <w:noProof/>
            <w:webHidden/>
          </w:rPr>
          <w:fldChar w:fldCharType="separate"/>
        </w:r>
        <w:r w:rsidR="007943DC">
          <w:rPr>
            <w:noProof/>
            <w:webHidden/>
          </w:rPr>
          <w:t>11</w:t>
        </w:r>
        <w:r w:rsidR="00AF0B22" w:rsidRPr="00794950">
          <w:rPr>
            <w:noProof/>
            <w:webHidden/>
          </w:rPr>
          <w:fldChar w:fldCharType="end"/>
        </w:r>
      </w:hyperlink>
    </w:p>
    <w:p w14:paraId="1CDC2E9E" w14:textId="7E4D3181" w:rsidR="00AF0B22" w:rsidRPr="00794950" w:rsidRDefault="00111655">
      <w:pPr>
        <w:pStyle w:val="TOC1"/>
        <w:rPr>
          <w:rFonts w:asciiTheme="minorHAnsi" w:eastAsiaTheme="minorEastAsia" w:hAnsiTheme="minorHAnsi" w:cstheme="minorBidi"/>
          <w:noProof/>
          <w:sz w:val="22"/>
          <w:szCs w:val="22"/>
          <w:lang w:eastAsia="fr-FR"/>
        </w:rPr>
      </w:pPr>
      <w:hyperlink w:anchor="_Toc54336502" w:history="1">
        <w:r w:rsidR="00AF0B22" w:rsidRPr="00794950">
          <w:rPr>
            <w:rStyle w:val="Hyperlink"/>
            <w:noProof/>
          </w:rPr>
          <w:t>4</w:t>
        </w:r>
        <w:r w:rsidR="00AF0B22" w:rsidRPr="00794950">
          <w:rPr>
            <w:rFonts w:asciiTheme="minorHAnsi" w:eastAsiaTheme="minorEastAsia" w:hAnsiTheme="minorHAnsi" w:cstheme="minorBidi"/>
            <w:noProof/>
            <w:sz w:val="22"/>
            <w:szCs w:val="22"/>
            <w:lang w:eastAsia="fr-FR"/>
          </w:rPr>
          <w:tab/>
        </w:r>
        <w:r w:rsidR="00AF0B22" w:rsidRPr="00794950">
          <w:rPr>
            <w:rStyle w:val="Hyperlink"/>
            <w:noProof/>
          </w:rPr>
          <w:t>Résumé des ressources demandées</w:t>
        </w:r>
        <w:r w:rsidR="00AF0B22" w:rsidRPr="00794950">
          <w:rPr>
            <w:noProof/>
            <w:webHidden/>
          </w:rPr>
          <w:tab/>
        </w:r>
        <w:r w:rsidR="00AF0B22" w:rsidRPr="00794950">
          <w:rPr>
            <w:noProof/>
            <w:webHidden/>
          </w:rPr>
          <w:tab/>
        </w:r>
        <w:r w:rsidR="00AF0B22" w:rsidRPr="00794950">
          <w:rPr>
            <w:noProof/>
            <w:webHidden/>
          </w:rPr>
          <w:fldChar w:fldCharType="begin"/>
        </w:r>
        <w:r w:rsidR="00AF0B22" w:rsidRPr="00794950">
          <w:rPr>
            <w:noProof/>
            <w:webHidden/>
          </w:rPr>
          <w:instrText xml:space="preserve"> PAGEREF _Toc54336502 \h </w:instrText>
        </w:r>
        <w:r w:rsidR="00AF0B22" w:rsidRPr="00794950">
          <w:rPr>
            <w:noProof/>
            <w:webHidden/>
          </w:rPr>
        </w:r>
        <w:r w:rsidR="00AF0B22" w:rsidRPr="00794950">
          <w:rPr>
            <w:noProof/>
            <w:webHidden/>
          </w:rPr>
          <w:fldChar w:fldCharType="separate"/>
        </w:r>
        <w:r w:rsidR="007943DC">
          <w:rPr>
            <w:noProof/>
            <w:webHidden/>
          </w:rPr>
          <w:t>12</w:t>
        </w:r>
        <w:r w:rsidR="00AF0B22" w:rsidRPr="00794950">
          <w:rPr>
            <w:noProof/>
            <w:webHidden/>
          </w:rPr>
          <w:fldChar w:fldCharType="end"/>
        </w:r>
      </w:hyperlink>
    </w:p>
    <w:p w14:paraId="10D9B77C" w14:textId="45F52243" w:rsidR="00E07909" w:rsidRPr="00794950" w:rsidRDefault="00C17AFF" w:rsidP="00F702FE">
      <w:pPr>
        <w:pStyle w:val="TOC1"/>
        <w:spacing w:before="160"/>
      </w:pPr>
      <w:r w:rsidRPr="00794950">
        <w:fldChar w:fldCharType="end"/>
      </w:r>
      <w:r w:rsidR="00E07909" w:rsidRPr="00794950">
        <w:br w:type="page"/>
      </w:r>
    </w:p>
    <w:p w14:paraId="4120A526" w14:textId="77777777" w:rsidR="00E07909" w:rsidRPr="00794950" w:rsidRDefault="00E07909" w:rsidP="00F702FE">
      <w:pPr>
        <w:pStyle w:val="Heading1"/>
        <w:tabs>
          <w:tab w:val="clear" w:pos="567"/>
          <w:tab w:val="clear" w:pos="1134"/>
          <w:tab w:val="clear" w:pos="1701"/>
          <w:tab w:val="clear" w:pos="2268"/>
          <w:tab w:val="clear" w:pos="2835"/>
        </w:tabs>
        <w:ind w:left="0" w:firstLine="0"/>
      </w:pPr>
      <w:bookmarkStart w:id="21" w:name="_Toc37930304"/>
      <w:bookmarkStart w:id="22" w:name="_Toc54336495"/>
      <w:r w:rsidRPr="00794950">
        <w:lastRenderedPageBreak/>
        <w:t>1</w:t>
      </w:r>
      <w:r w:rsidRPr="00794950">
        <w:tab/>
        <w:t>Introduction</w:t>
      </w:r>
      <w:bookmarkEnd w:id="21"/>
      <w:bookmarkEnd w:id="22"/>
    </w:p>
    <w:p w14:paraId="1C6C89F2" w14:textId="4CCA668A" w:rsidR="00E07909" w:rsidRPr="00794950" w:rsidRDefault="00E07909" w:rsidP="00F702FE">
      <w:pPr>
        <w:tabs>
          <w:tab w:val="clear" w:pos="567"/>
          <w:tab w:val="clear" w:pos="1134"/>
          <w:tab w:val="clear" w:pos="1701"/>
          <w:tab w:val="clear" w:pos="2268"/>
          <w:tab w:val="clear" w:pos="2835"/>
        </w:tabs>
      </w:pPr>
      <w:r w:rsidRPr="00794950">
        <w:t>1.1</w:t>
      </w:r>
      <w:r w:rsidRPr="00794950">
        <w:tab/>
      </w:r>
      <w:r w:rsidR="00253FE2" w:rsidRPr="00794950">
        <w:t>Les TIC sont devenu</w:t>
      </w:r>
      <w:r w:rsidR="008804A3" w:rsidRPr="00794950">
        <w:t>e</w:t>
      </w:r>
      <w:r w:rsidR="00253FE2" w:rsidRPr="00794950">
        <w:t>s des outils indispensables à notre société</w:t>
      </w:r>
      <w:r w:rsidR="0032470B" w:rsidRPr="00794950">
        <w:t xml:space="preserve"> et </w:t>
      </w:r>
      <w:r w:rsidR="00CE325A" w:rsidRPr="00794950">
        <w:t>sont omniprésentes dans tous les domaines du quotidien et de la vie professionnelle</w:t>
      </w:r>
      <w:r w:rsidR="00A54667" w:rsidRPr="00794950">
        <w:t xml:space="preserve">. </w:t>
      </w:r>
      <w:r w:rsidR="00253FE2" w:rsidRPr="00794950">
        <w:t xml:space="preserve">Tous les secteurs d'activité </w:t>
      </w:r>
      <w:r w:rsidR="00496FB1" w:rsidRPr="00794950">
        <w:t xml:space="preserve">les </w:t>
      </w:r>
      <w:r w:rsidR="00253FE2" w:rsidRPr="00794950">
        <w:t xml:space="preserve">utilisent. </w:t>
      </w:r>
      <w:r w:rsidR="00CE325A" w:rsidRPr="00794950">
        <w:t>Cette tendance à l</w:t>
      </w:r>
      <w:r w:rsidR="00A54667" w:rsidRPr="00794950">
        <w:t>'</w:t>
      </w:r>
      <w:r w:rsidR="00CE325A" w:rsidRPr="00794950">
        <w:t>interdépendance</w:t>
      </w:r>
      <w:r w:rsidR="00F00D96" w:rsidRPr="00794950">
        <w:t xml:space="preserve"> </w:t>
      </w:r>
      <w:r w:rsidR="00EB4460" w:rsidRPr="00794950">
        <w:t>croissante</w:t>
      </w:r>
      <w:r w:rsidR="00F00D96" w:rsidRPr="00794950">
        <w:t xml:space="preserve"> </w:t>
      </w:r>
      <w:r w:rsidR="00253FE2" w:rsidRPr="00794950">
        <w:t xml:space="preserve">entre les TIC et plusieurs autres </w:t>
      </w:r>
      <w:r w:rsidR="00EB4460" w:rsidRPr="00794950">
        <w:t>secteurs verticaux</w:t>
      </w:r>
      <w:r w:rsidRPr="00794950">
        <w:t>/</w:t>
      </w:r>
      <w:r w:rsidR="00253FE2" w:rsidRPr="00794950">
        <w:t>secteurs</w:t>
      </w:r>
      <w:r w:rsidR="00EB4460" w:rsidRPr="00794950">
        <w:t xml:space="preserve"> d'activité</w:t>
      </w:r>
      <w:r w:rsidR="00CE325A" w:rsidRPr="00794950">
        <w:t xml:space="preserve"> se manifeste</w:t>
      </w:r>
      <w:r w:rsidR="00F00D96" w:rsidRPr="00794950">
        <w:t xml:space="preserve"> </w:t>
      </w:r>
      <w:r w:rsidR="00253FE2" w:rsidRPr="00794950">
        <w:t xml:space="preserve">aussi dans le programme de travail, </w:t>
      </w:r>
      <w:r w:rsidR="009F24BD" w:rsidRPr="00794950">
        <w:t>qui</w:t>
      </w:r>
      <w:r w:rsidR="00CE325A" w:rsidRPr="00794950">
        <w:t xml:space="preserve"> comprend </w:t>
      </w:r>
      <w:r w:rsidR="00253FE2" w:rsidRPr="00794950">
        <w:t xml:space="preserve">de nouvelles activités </w:t>
      </w:r>
      <w:r w:rsidR="00A54667" w:rsidRPr="00794950">
        <w:t>–</w:t>
      </w:r>
      <w:r w:rsidR="00CE325A" w:rsidRPr="00794950">
        <w:t xml:space="preserve"> </w:t>
      </w:r>
      <w:r w:rsidR="00253FE2" w:rsidRPr="00794950">
        <w:t>inclusion financière numérique,</w:t>
      </w:r>
      <w:r w:rsidR="00F00D96" w:rsidRPr="00794950">
        <w:t xml:space="preserve"> </w:t>
      </w:r>
      <w:r w:rsidR="00253FE2" w:rsidRPr="00794950">
        <w:t>systèmes de tra</w:t>
      </w:r>
      <w:r w:rsidR="00DA53D1" w:rsidRPr="00794950">
        <w:t>nsport</w:t>
      </w:r>
      <w:r w:rsidR="00253FE2" w:rsidRPr="00794950">
        <w:t xml:space="preserve"> intelligents,</w:t>
      </w:r>
      <w:r w:rsidR="00F00D96" w:rsidRPr="00794950">
        <w:t xml:space="preserve"> </w:t>
      </w:r>
      <w:r w:rsidR="00253FE2" w:rsidRPr="00794950">
        <w:t>villes intelligentes,</w:t>
      </w:r>
      <w:r w:rsidR="00F00D96" w:rsidRPr="00794950">
        <w:t xml:space="preserve"> </w:t>
      </w:r>
      <w:r w:rsidR="00DA53D1" w:rsidRPr="00794950">
        <w:t>réseaux intelligents</w:t>
      </w:r>
      <w:r w:rsidRPr="00794950">
        <w:t>,</w:t>
      </w:r>
      <w:r w:rsidR="00F00D96" w:rsidRPr="00794950">
        <w:t xml:space="preserve"> </w:t>
      </w:r>
      <w:r w:rsidRPr="00794950">
        <w:t>technologies</w:t>
      </w:r>
      <w:r w:rsidR="00790D5B" w:rsidRPr="00794950">
        <w:t xml:space="preserve"> des registres distribué</w:t>
      </w:r>
      <w:r w:rsidR="00DA53D1" w:rsidRPr="00794950">
        <w:t>s</w:t>
      </w:r>
      <w:r w:rsidRPr="00794950">
        <w:t>, intelligence</w:t>
      </w:r>
      <w:r w:rsidR="00DA53D1" w:rsidRPr="00794950">
        <w:t xml:space="preserve"> artificielle</w:t>
      </w:r>
      <w:r w:rsidR="00CE325A" w:rsidRPr="00794950">
        <w:t>/</w:t>
      </w:r>
      <w:r w:rsidR="00DA53D1" w:rsidRPr="00794950">
        <w:t>apprentissage automatique</w:t>
      </w:r>
      <w:r w:rsidR="00F00D96" w:rsidRPr="00794950">
        <w:t xml:space="preserve"> </w:t>
      </w:r>
      <w:r w:rsidR="00DA53D1" w:rsidRPr="00794950">
        <w:t>et</w:t>
      </w:r>
      <w:r w:rsidRPr="00794950">
        <w:t xml:space="preserve"> </w:t>
      </w:r>
      <w:r w:rsidR="00DA53D1" w:rsidRPr="00794950">
        <w:t>informatique quantique</w:t>
      </w:r>
      <w:r w:rsidR="00BC190D" w:rsidRPr="00794950">
        <w:t xml:space="preserve"> –</w:t>
      </w:r>
      <w:r w:rsidR="00CE325A" w:rsidRPr="00794950">
        <w:t>, qui se traduisent par une augmentation du nombre</w:t>
      </w:r>
      <w:r w:rsidR="00F00D96" w:rsidRPr="00794950">
        <w:t xml:space="preserve"> </w:t>
      </w:r>
      <w:r w:rsidR="006B2334" w:rsidRPr="00794950">
        <w:t>de M</w:t>
      </w:r>
      <w:r w:rsidR="00DA53D1" w:rsidRPr="00794950">
        <w:t xml:space="preserve">embres du Secteur </w:t>
      </w:r>
      <w:r w:rsidR="006B2334" w:rsidRPr="00794950">
        <w:t>de l'</w:t>
      </w:r>
      <w:r w:rsidR="00DA53D1" w:rsidRPr="00794950">
        <w:t>UIT-T</w:t>
      </w:r>
      <w:r w:rsidR="00A54667" w:rsidRPr="00794950">
        <w:t>.</w:t>
      </w:r>
    </w:p>
    <w:p w14:paraId="0AF4D0B3" w14:textId="6B0464E1" w:rsidR="00E07909" w:rsidRPr="00794950" w:rsidRDefault="000A6A1A" w:rsidP="00F702FE">
      <w:pPr>
        <w:tabs>
          <w:tab w:val="clear" w:pos="567"/>
          <w:tab w:val="clear" w:pos="1134"/>
          <w:tab w:val="clear" w:pos="1701"/>
          <w:tab w:val="clear" w:pos="2268"/>
          <w:tab w:val="clear" w:pos="2835"/>
        </w:tabs>
      </w:pPr>
      <w:r w:rsidRPr="00794950">
        <w:t>1.2</w:t>
      </w:r>
      <w:r w:rsidRPr="00794950">
        <w:tab/>
        <w:t>E</w:t>
      </w:r>
      <w:r w:rsidR="00E07909" w:rsidRPr="00794950">
        <w:t>n 2019,</w:t>
      </w:r>
      <w:r w:rsidR="00F00D96" w:rsidRPr="00794950">
        <w:t xml:space="preserve"> </w:t>
      </w:r>
      <w:r w:rsidRPr="00794950">
        <w:t xml:space="preserve">34 nouveaux Associés </w:t>
      </w:r>
      <w:r w:rsidR="00E07909" w:rsidRPr="00794950">
        <w:t>(</w:t>
      </w:r>
      <w:r w:rsidRPr="00794950">
        <w:t>augmentation nette de 27 Associés</w:t>
      </w:r>
      <w:r w:rsidR="00E07909" w:rsidRPr="00794950">
        <w:t xml:space="preserve">) </w:t>
      </w:r>
      <w:r w:rsidRPr="00794950">
        <w:t>et</w:t>
      </w:r>
      <w:r w:rsidR="00F00D96" w:rsidRPr="00794950">
        <w:t xml:space="preserve"> </w:t>
      </w:r>
      <w:r w:rsidR="00E07909" w:rsidRPr="00794950">
        <w:t>20</w:t>
      </w:r>
      <w:r w:rsidRPr="00794950">
        <w:t xml:space="preserve"> nouveaux</w:t>
      </w:r>
      <w:r w:rsidR="00E07909" w:rsidRPr="00794950">
        <w:t xml:space="preserve"> </w:t>
      </w:r>
      <w:r w:rsidRPr="00794950">
        <w:t xml:space="preserve">Membres </w:t>
      </w:r>
      <w:r w:rsidR="00F723B4" w:rsidRPr="00794950">
        <w:t xml:space="preserve">de Secteur </w:t>
      </w:r>
      <w:r w:rsidR="00E07909" w:rsidRPr="00794950">
        <w:t>(</w:t>
      </w:r>
      <w:r w:rsidRPr="00794950">
        <w:t>a</w:t>
      </w:r>
      <w:r w:rsidR="00FB1171" w:rsidRPr="00794950">
        <w:t>ugmentation nette de 11 M</w:t>
      </w:r>
      <w:r w:rsidRPr="00794950">
        <w:t>embres</w:t>
      </w:r>
      <w:r w:rsidR="00E07909" w:rsidRPr="00794950">
        <w:t>)</w:t>
      </w:r>
      <w:r w:rsidR="00CE325A" w:rsidRPr="00794950">
        <w:t xml:space="preserve"> ont rejoint l'UIT-T</w:t>
      </w:r>
      <w:r w:rsidR="00E07909" w:rsidRPr="00794950">
        <w:t xml:space="preserve">. </w:t>
      </w:r>
      <w:r w:rsidRPr="00794950">
        <w:t>E</w:t>
      </w:r>
      <w:r w:rsidR="00E07909" w:rsidRPr="00794950">
        <w:t xml:space="preserve">n 2018, </w:t>
      </w:r>
      <w:r w:rsidR="00F723B4" w:rsidRPr="00794950">
        <w:t>l'UIT-T</w:t>
      </w:r>
      <w:r w:rsidR="00CE325A" w:rsidRPr="00794950">
        <w:t xml:space="preserve"> comptait </w:t>
      </w:r>
      <w:r w:rsidRPr="00794950">
        <w:t>31 nouveaux Associés</w:t>
      </w:r>
      <w:r w:rsidR="00E07909" w:rsidRPr="00794950">
        <w:t xml:space="preserve"> (</w:t>
      </w:r>
      <w:r w:rsidRPr="00794950">
        <w:t>augmentation nette de 20 Associés</w:t>
      </w:r>
      <w:r w:rsidR="00E07909" w:rsidRPr="00794950">
        <w:t xml:space="preserve">) </w:t>
      </w:r>
      <w:r w:rsidRPr="00794950">
        <w:t>et</w:t>
      </w:r>
      <w:r w:rsidR="00F00D96" w:rsidRPr="00794950">
        <w:t xml:space="preserve"> </w:t>
      </w:r>
      <w:r w:rsidR="00E07909" w:rsidRPr="00794950">
        <w:t xml:space="preserve">14 </w:t>
      </w:r>
      <w:r w:rsidRPr="00794950">
        <w:t xml:space="preserve">nouveaux Membres </w:t>
      </w:r>
      <w:r w:rsidR="00F723B4" w:rsidRPr="00794950">
        <w:t xml:space="preserve">de Secteur </w:t>
      </w:r>
      <w:r w:rsidR="00E07909" w:rsidRPr="00794950">
        <w:t>(</w:t>
      </w:r>
      <w:r w:rsidRPr="00794950">
        <w:t>augmentation nette égale à</w:t>
      </w:r>
      <w:r w:rsidR="00E07909" w:rsidRPr="00794950">
        <w:t xml:space="preserve"> 0). </w:t>
      </w:r>
      <w:r w:rsidR="008F4B04" w:rsidRPr="00794950">
        <w:t xml:space="preserve">Entre 2017 et 2019, les </w:t>
      </w:r>
      <w:r w:rsidR="0007231E" w:rsidRPr="00794950">
        <w:t>recettes</w:t>
      </w:r>
      <w:r w:rsidR="008F4B04" w:rsidRPr="00794950">
        <w:t xml:space="preserve"> </w:t>
      </w:r>
      <w:r w:rsidR="0007231E" w:rsidRPr="00794950">
        <w:t xml:space="preserve">provenant des contributions des Membres du Secteur </w:t>
      </w:r>
      <w:r w:rsidR="008B4CD4" w:rsidRPr="00794950">
        <w:t>de l'</w:t>
      </w:r>
      <w:r w:rsidR="0007231E" w:rsidRPr="00794950">
        <w:t xml:space="preserve">UIT-T et des Associés de l'UIT-T </w:t>
      </w:r>
      <w:r w:rsidR="008F4B04" w:rsidRPr="00794950">
        <w:t xml:space="preserve">ont augmenté </w:t>
      </w:r>
      <w:r w:rsidR="0007231E" w:rsidRPr="00794950">
        <w:t xml:space="preserve">respectivement </w:t>
      </w:r>
      <w:r w:rsidR="008F4B04" w:rsidRPr="00794950">
        <w:t>d'environ</w:t>
      </w:r>
      <w:r w:rsidR="00496FB1" w:rsidRPr="00794950">
        <w:t xml:space="preserve"> 200 000 </w:t>
      </w:r>
      <w:r w:rsidR="0007231E" w:rsidRPr="00794950">
        <w:t xml:space="preserve">CHF et </w:t>
      </w:r>
      <w:r w:rsidR="00496FB1" w:rsidRPr="00794950">
        <w:t>450 000 </w:t>
      </w:r>
      <w:r w:rsidR="008F4B04" w:rsidRPr="00794950">
        <w:t>CHF</w:t>
      </w:r>
      <w:r w:rsidR="00E07909" w:rsidRPr="00794950">
        <w:t>.</w:t>
      </w:r>
    </w:p>
    <w:p w14:paraId="35BD68CE" w14:textId="7A6EB6B3" w:rsidR="0011574B" w:rsidRPr="00794950" w:rsidRDefault="00E07909" w:rsidP="00F702FE">
      <w:pPr>
        <w:tabs>
          <w:tab w:val="clear" w:pos="567"/>
          <w:tab w:val="clear" w:pos="1134"/>
          <w:tab w:val="clear" w:pos="1701"/>
          <w:tab w:val="clear" w:pos="2268"/>
          <w:tab w:val="clear" w:pos="2835"/>
        </w:tabs>
        <w:rPr>
          <w:rFonts w:eastAsia="Calibri"/>
        </w:rPr>
      </w:pPr>
      <w:r w:rsidRPr="00794950">
        <w:t>1.3</w:t>
      </w:r>
      <w:r w:rsidRPr="00794950">
        <w:tab/>
      </w:r>
      <w:r w:rsidR="0011574B" w:rsidRPr="00794950">
        <w:rPr>
          <w:color w:val="000000"/>
        </w:rPr>
        <w:t xml:space="preserve">Le nombre de membres de l'UIT-T a continué de croître en </w:t>
      </w:r>
      <w:r w:rsidR="0011574B" w:rsidRPr="00794950">
        <w:rPr>
          <w:rFonts w:eastAsia="Calibri"/>
        </w:rPr>
        <w:t>2020</w:t>
      </w:r>
      <w:r w:rsidR="000B0FAC" w:rsidRPr="00794950">
        <w:rPr>
          <w:rFonts w:eastAsia="Calibri"/>
        </w:rPr>
        <w:t>,</w:t>
      </w:r>
      <w:r w:rsidR="0011574B" w:rsidRPr="00794950">
        <w:rPr>
          <w:rFonts w:eastAsia="Calibri"/>
        </w:rPr>
        <w:t xml:space="preserve"> malgré les incidences du COVID-19. </w:t>
      </w:r>
      <w:r w:rsidR="000B0FAC" w:rsidRPr="00794950">
        <w:rPr>
          <w:rFonts w:eastAsia="Calibri"/>
        </w:rPr>
        <w:t>Entre janvier et septembre, 9 Membres de Secteur et 23 Associés ont rejoint l'UIT-T,</w:t>
      </w:r>
      <w:r w:rsidR="000B0FAC" w:rsidRPr="00794950">
        <w:rPr>
          <w:color w:val="000000"/>
        </w:rPr>
        <w:t xml:space="preserve"> ce qui porte à 32 le nombre de nouveaux membres</w:t>
      </w:r>
      <w:r w:rsidR="000B0FAC" w:rsidRPr="00794950">
        <w:rPr>
          <w:rFonts w:eastAsia="Calibri"/>
        </w:rPr>
        <w:t xml:space="preserve">. Au total, l'UIT-T </w:t>
      </w:r>
      <w:r w:rsidR="00B1206F" w:rsidRPr="00794950">
        <w:rPr>
          <w:color w:val="000000"/>
        </w:rPr>
        <w:t>enregistre</w:t>
      </w:r>
      <w:r w:rsidR="00B1206F" w:rsidRPr="00794950">
        <w:rPr>
          <w:rFonts w:eastAsia="Calibri"/>
        </w:rPr>
        <w:t xml:space="preserve"> actuellement</w:t>
      </w:r>
      <w:r w:rsidR="00B1206F" w:rsidRPr="00794950">
        <w:rPr>
          <w:color w:val="000000"/>
        </w:rPr>
        <w:t xml:space="preserve"> une augmentation nette </w:t>
      </w:r>
      <w:r w:rsidR="000B0FAC" w:rsidRPr="00794950">
        <w:rPr>
          <w:rFonts w:eastAsia="Calibri"/>
        </w:rPr>
        <w:t xml:space="preserve">de 18 membres en 2020. Le </w:t>
      </w:r>
      <w:r w:rsidR="00B1206F" w:rsidRPr="00794950">
        <w:rPr>
          <w:rFonts w:eastAsia="Calibri"/>
        </w:rPr>
        <w:t>T</w:t>
      </w:r>
      <w:r w:rsidR="000B0FAC" w:rsidRPr="00794950">
        <w:rPr>
          <w:rFonts w:eastAsia="Calibri"/>
        </w:rPr>
        <w:t>ableau 1 indique le nombre total de Membres de Secteur et d'Associés de l'UIT-T entre 2016 et septembre 2020, y compris les chiffres estimatifs pour le reste de l'année 2020.</w:t>
      </w:r>
    </w:p>
    <w:p w14:paraId="4ED9EA0E" w14:textId="5676A1CF" w:rsidR="0011574B" w:rsidRPr="00794950" w:rsidRDefault="0011574B" w:rsidP="00F702FE">
      <w:pPr>
        <w:tabs>
          <w:tab w:val="clear" w:pos="567"/>
          <w:tab w:val="clear" w:pos="1134"/>
          <w:tab w:val="clear" w:pos="1701"/>
          <w:tab w:val="clear" w:pos="2268"/>
          <w:tab w:val="clear" w:pos="2835"/>
        </w:tabs>
        <w:rPr>
          <w:rFonts w:eastAsia="Calibri"/>
        </w:rPr>
      </w:pPr>
      <w:r w:rsidRPr="00794950">
        <w:rPr>
          <w:rFonts w:eastAsia="Calibri"/>
        </w:rPr>
        <w:t>1.4</w:t>
      </w:r>
      <w:r w:rsidRPr="00794950">
        <w:rPr>
          <w:rFonts w:eastAsia="Calibri"/>
        </w:rPr>
        <w:tab/>
      </w:r>
      <w:r w:rsidR="00590891" w:rsidRPr="00794950">
        <w:rPr>
          <w:rFonts w:eastAsia="Calibri"/>
        </w:rPr>
        <w:t>F</w:t>
      </w:r>
      <w:r w:rsidR="00FD7E81" w:rsidRPr="00794950">
        <w:rPr>
          <w:rFonts w:eastAsia="Calibri"/>
        </w:rPr>
        <w:t xml:space="preserve">aire </w:t>
      </w:r>
      <w:r w:rsidR="009638E1" w:rsidRPr="00794950">
        <w:rPr>
          <w:rFonts w:eastAsia="Calibri"/>
        </w:rPr>
        <w:t xml:space="preserve">un </w:t>
      </w:r>
      <w:r w:rsidR="00FD7E81" w:rsidRPr="00794950">
        <w:rPr>
          <w:rFonts w:eastAsia="Calibri"/>
        </w:rPr>
        <w:t xml:space="preserve">rapprochement entre l'augmentation du nombre de </w:t>
      </w:r>
      <w:r w:rsidR="009638E1" w:rsidRPr="00794950">
        <w:rPr>
          <w:rFonts w:eastAsia="Calibri"/>
        </w:rPr>
        <w:t>M</w:t>
      </w:r>
      <w:r w:rsidR="00FD7E81" w:rsidRPr="00794950">
        <w:rPr>
          <w:rFonts w:eastAsia="Calibri"/>
        </w:rPr>
        <w:t xml:space="preserve">embres de l'UIT-T (nombre et </w:t>
      </w:r>
      <w:r w:rsidR="00F02A27" w:rsidRPr="00794950">
        <w:rPr>
          <w:rFonts w:eastAsia="Calibri"/>
        </w:rPr>
        <w:t>produits</w:t>
      </w:r>
      <w:r w:rsidR="00FD7E81" w:rsidRPr="00794950">
        <w:rPr>
          <w:rFonts w:eastAsia="Calibri"/>
        </w:rPr>
        <w:t>)</w:t>
      </w:r>
      <w:r w:rsidR="006B5D19" w:rsidRPr="00794950">
        <w:rPr>
          <w:rFonts w:eastAsia="Calibri"/>
        </w:rPr>
        <w:t xml:space="preserve"> </w:t>
      </w:r>
      <w:r w:rsidR="00F02A27" w:rsidRPr="00794950">
        <w:rPr>
          <w:rFonts w:eastAsia="Calibri"/>
        </w:rPr>
        <w:t>et</w:t>
      </w:r>
      <w:r w:rsidR="00FD7E81" w:rsidRPr="00794950">
        <w:rPr>
          <w:rFonts w:eastAsia="Calibri"/>
        </w:rPr>
        <w:t xml:space="preserve"> le déficit déclaré entre les</w:t>
      </w:r>
      <w:r w:rsidR="00F02A27" w:rsidRPr="00794950">
        <w:rPr>
          <w:rFonts w:eastAsia="Calibri"/>
        </w:rPr>
        <w:t xml:space="preserve"> </w:t>
      </w:r>
      <w:r w:rsidR="00F02A27" w:rsidRPr="00794950">
        <w:rPr>
          <w:color w:val="000000"/>
        </w:rPr>
        <w:t xml:space="preserve">produits inscrits au budget et </w:t>
      </w:r>
      <w:r w:rsidR="009638E1" w:rsidRPr="00794950">
        <w:rPr>
          <w:color w:val="000000"/>
        </w:rPr>
        <w:t xml:space="preserve">les produits </w:t>
      </w:r>
      <w:r w:rsidR="00F02A27" w:rsidRPr="00794950">
        <w:rPr>
          <w:color w:val="000000"/>
        </w:rPr>
        <w:t>réels</w:t>
      </w:r>
      <w:r w:rsidR="006B5D19" w:rsidRPr="00794950">
        <w:rPr>
          <w:rFonts w:eastAsia="Calibri"/>
        </w:rPr>
        <w:t xml:space="preserve"> </w:t>
      </w:r>
      <w:r w:rsidR="009638E1" w:rsidRPr="00794950">
        <w:rPr>
          <w:color w:val="000000"/>
        </w:rPr>
        <w:t>provenant</w:t>
      </w:r>
      <w:r w:rsidR="00F02A27" w:rsidRPr="00794950">
        <w:rPr>
          <w:color w:val="000000"/>
        </w:rPr>
        <w:t xml:space="preserve"> des contributions</w:t>
      </w:r>
      <w:r w:rsidR="00FD7E81" w:rsidRPr="00794950">
        <w:rPr>
          <w:rFonts w:eastAsia="Calibri"/>
        </w:rPr>
        <w:t xml:space="preserve"> de</w:t>
      </w:r>
      <w:r w:rsidR="00F02A27" w:rsidRPr="00794950">
        <w:rPr>
          <w:rFonts w:eastAsia="Calibri"/>
        </w:rPr>
        <w:t>s</w:t>
      </w:r>
      <w:r w:rsidR="00FD7E81" w:rsidRPr="00794950">
        <w:rPr>
          <w:rFonts w:eastAsia="Calibri"/>
        </w:rPr>
        <w:t xml:space="preserve"> membres</w:t>
      </w:r>
      <w:r w:rsidR="00F02A27" w:rsidRPr="00794950">
        <w:rPr>
          <w:rFonts w:eastAsia="Calibri"/>
        </w:rPr>
        <w:t xml:space="preserve"> peut prêter à confusion</w:t>
      </w:r>
      <w:r w:rsidR="00FD7E81" w:rsidRPr="00794950">
        <w:rPr>
          <w:rFonts w:eastAsia="Calibri"/>
        </w:rPr>
        <w:t>. Il s'est avéré que</w:t>
      </w:r>
      <w:r w:rsidR="00F02A27" w:rsidRPr="00794950">
        <w:rPr>
          <w:rFonts w:eastAsia="Calibri"/>
        </w:rPr>
        <w:t xml:space="preserve"> ces dix</w:t>
      </w:r>
      <w:r w:rsidR="006B5D19" w:rsidRPr="00794950">
        <w:rPr>
          <w:rFonts w:eastAsia="Calibri"/>
        </w:rPr>
        <w:t> </w:t>
      </w:r>
      <w:r w:rsidR="00F02A27" w:rsidRPr="00794950">
        <w:rPr>
          <w:rFonts w:eastAsia="Calibri"/>
        </w:rPr>
        <w:t>dernières années,</w:t>
      </w:r>
      <w:r w:rsidR="006B5D19" w:rsidRPr="00794950">
        <w:rPr>
          <w:rFonts w:eastAsia="Calibri"/>
        </w:rPr>
        <w:t xml:space="preserve"> </w:t>
      </w:r>
      <w:r w:rsidR="00FD7E81" w:rsidRPr="00794950">
        <w:rPr>
          <w:rFonts w:eastAsia="Calibri"/>
        </w:rPr>
        <w:t xml:space="preserve">les </w:t>
      </w:r>
      <w:r w:rsidR="00F02A27" w:rsidRPr="00794950">
        <w:rPr>
          <w:color w:val="000000"/>
        </w:rPr>
        <w:t xml:space="preserve">produits inscrits au budget provenant </w:t>
      </w:r>
      <w:r w:rsidR="00FD7E81" w:rsidRPr="00794950">
        <w:rPr>
          <w:rFonts w:eastAsia="Calibri"/>
        </w:rPr>
        <w:t>des Membres du Secteur de l'UIT</w:t>
      </w:r>
      <w:r w:rsidR="006B5D19" w:rsidRPr="00794950">
        <w:rPr>
          <w:rFonts w:eastAsia="Calibri"/>
        </w:rPr>
        <w:noBreakHyphen/>
      </w:r>
      <w:r w:rsidR="00FD7E81" w:rsidRPr="00794950">
        <w:rPr>
          <w:rFonts w:eastAsia="Calibri"/>
        </w:rPr>
        <w:t xml:space="preserve">T et des Associés de l'UIT-T ont toujours été supérieurs aux </w:t>
      </w:r>
      <w:r w:rsidR="00F02A27" w:rsidRPr="00794950">
        <w:rPr>
          <w:rFonts w:eastAsia="Calibri"/>
        </w:rPr>
        <w:t>produits</w:t>
      </w:r>
      <w:r w:rsidR="00FD7E81" w:rsidRPr="00794950">
        <w:rPr>
          <w:rFonts w:eastAsia="Calibri"/>
        </w:rPr>
        <w:t xml:space="preserve"> réels</w:t>
      </w:r>
      <w:r w:rsidR="006B5D19" w:rsidRPr="00794950">
        <w:rPr>
          <w:rFonts w:eastAsia="Calibri"/>
        </w:rPr>
        <w:t>:</w:t>
      </w:r>
      <w:r w:rsidR="00FD7E81" w:rsidRPr="00794950">
        <w:rPr>
          <w:rFonts w:eastAsia="Calibri"/>
        </w:rPr>
        <w:t xml:space="preserve"> l'écart entre les </w:t>
      </w:r>
      <w:r w:rsidR="00F02A27" w:rsidRPr="00794950">
        <w:rPr>
          <w:color w:val="000000"/>
        </w:rPr>
        <w:t xml:space="preserve">produits inscrits au budget </w:t>
      </w:r>
      <w:r w:rsidR="00FD7E81" w:rsidRPr="00794950">
        <w:rPr>
          <w:rFonts w:eastAsia="Calibri"/>
        </w:rPr>
        <w:t xml:space="preserve">et les </w:t>
      </w:r>
      <w:r w:rsidR="00F02A27" w:rsidRPr="00794950">
        <w:rPr>
          <w:rFonts w:eastAsia="Calibri"/>
        </w:rPr>
        <w:t xml:space="preserve">produits réels </w:t>
      </w:r>
      <w:r w:rsidR="00FD7E81" w:rsidRPr="00794950">
        <w:rPr>
          <w:rFonts w:eastAsia="Calibri"/>
        </w:rPr>
        <w:t xml:space="preserve">pour les Membres du Secteur de l'UIT-T a varié entre </w:t>
      </w:r>
      <w:r w:rsidR="00506021">
        <w:rPr>
          <w:rFonts w:eastAsia="Calibri"/>
        </w:rPr>
        <w:sym w:font="Symbol" w:char="F02D"/>
      </w:r>
      <w:r w:rsidR="00FD7E81" w:rsidRPr="00794950">
        <w:rPr>
          <w:rFonts w:eastAsia="Calibri"/>
        </w:rPr>
        <w:t>249</w:t>
      </w:r>
      <w:r w:rsidR="006B5D19" w:rsidRPr="00794950">
        <w:rPr>
          <w:rFonts w:eastAsia="Calibri"/>
        </w:rPr>
        <w:t> </w:t>
      </w:r>
      <w:r w:rsidR="00F747F1" w:rsidRPr="00794950">
        <w:rPr>
          <w:rFonts w:eastAsia="Calibri"/>
        </w:rPr>
        <w:t>000</w:t>
      </w:r>
      <w:r w:rsidR="00FD7E81" w:rsidRPr="00794950">
        <w:rPr>
          <w:rFonts w:eastAsia="Calibri"/>
        </w:rPr>
        <w:t xml:space="preserve"> et </w:t>
      </w:r>
      <w:r w:rsidR="006B5D19" w:rsidRPr="00794950">
        <w:rPr>
          <w:rFonts w:eastAsia="Calibri"/>
        </w:rPr>
        <w:t>–</w:t>
      </w:r>
      <w:r w:rsidR="00FD7E81" w:rsidRPr="00794950">
        <w:rPr>
          <w:rFonts w:eastAsia="Calibri"/>
        </w:rPr>
        <w:t xml:space="preserve">1,4 million au cours de la période 2010-2019. Les </w:t>
      </w:r>
      <w:r w:rsidR="00F747F1" w:rsidRPr="00794950">
        <w:rPr>
          <w:rFonts w:eastAsia="Calibri"/>
        </w:rPr>
        <w:t xml:space="preserve">produits réels </w:t>
      </w:r>
      <w:r w:rsidR="009638E1" w:rsidRPr="00794950">
        <w:rPr>
          <w:rFonts w:eastAsia="Calibri"/>
        </w:rPr>
        <w:t>concernant</w:t>
      </w:r>
      <w:r w:rsidR="00FD7E81" w:rsidRPr="00794950">
        <w:rPr>
          <w:rFonts w:eastAsia="Calibri"/>
        </w:rPr>
        <w:t xml:space="preserve"> les Membres du Secteur de l'UIT-T et les Associés de l'UIT-T </w:t>
      </w:r>
      <w:r w:rsidR="00F747F1" w:rsidRPr="00794950">
        <w:rPr>
          <w:color w:val="000000"/>
        </w:rPr>
        <w:t>entre 2017 et 2019</w:t>
      </w:r>
      <w:r w:rsidR="00F747F1" w:rsidRPr="00794950">
        <w:rPr>
          <w:rFonts w:eastAsia="Calibri"/>
        </w:rPr>
        <w:t xml:space="preserve"> sont indiqués</w:t>
      </w:r>
      <w:r w:rsidR="00FD7E81" w:rsidRPr="00794950">
        <w:rPr>
          <w:rFonts w:eastAsia="Calibri"/>
        </w:rPr>
        <w:t xml:space="preserve"> dans le Tableau 2. </w:t>
      </w:r>
    </w:p>
    <w:p w14:paraId="6CF716F3" w14:textId="04DBCD26" w:rsidR="00E07909" w:rsidRPr="00794950" w:rsidRDefault="0011574B" w:rsidP="00F702FE">
      <w:pPr>
        <w:tabs>
          <w:tab w:val="clear" w:pos="567"/>
          <w:tab w:val="clear" w:pos="1134"/>
          <w:tab w:val="clear" w:pos="1701"/>
          <w:tab w:val="clear" w:pos="2268"/>
          <w:tab w:val="clear" w:pos="2835"/>
        </w:tabs>
      </w:pPr>
      <w:r w:rsidRPr="00794950">
        <w:t>1.5</w:t>
      </w:r>
      <w:r w:rsidRPr="00794950">
        <w:tab/>
      </w:r>
      <w:r w:rsidR="00E851E4" w:rsidRPr="00794950">
        <w:t>Du fait de l</w:t>
      </w:r>
      <w:r w:rsidR="00A54667" w:rsidRPr="00794950">
        <w:t>'</w:t>
      </w:r>
      <w:r w:rsidR="00E851E4" w:rsidRPr="00794950">
        <w:t>accroissement du nombre de Membres de</w:t>
      </w:r>
      <w:r w:rsidR="00C26281" w:rsidRPr="00794950">
        <w:t xml:space="preserve"> l'UIT-T</w:t>
      </w:r>
      <w:r w:rsidR="00E851E4" w:rsidRPr="00794950">
        <w:t>,</w:t>
      </w:r>
      <w:r w:rsidR="00C26281" w:rsidRPr="00794950">
        <w:t xml:space="preserve"> le nombre de demandes de services et d'appui aux différentes activités de l'UIT-T présentées au TSB continue</w:t>
      </w:r>
      <w:r w:rsidR="00E851E4" w:rsidRPr="00794950">
        <w:t xml:space="preserve"> d</w:t>
      </w:r>
      <w:r w:rsidR="00A54667" w:rsidRPr="00794950">
        <w:t>'</w:t>
      </w:r>
      <w:r w:rsidR="00E851E4" w:rsidRPr="00794950">
        <w:t>augmenter de manière significative. P</w:t>
      </w:r>
      <w:r w:rsidR="00D62CC2" w:rsidRPr="00794950">
        <w:t>ar exemple</w:t>
      </w:r>
      <w:r w:rsidR="00E07909" w:rsidRPr="00794950">
        <w:t xml:space="preserve">, </w:t>
      </w:r>
      <w:r w:rsidR="00D62CC2" w:rsidRPr="00794950">
        <w:t>le nombre de réunions électroniques organisées par le personnel du TSB a</w:t>
      </w:r>
      <w:r w:rsidR="00E851E4" w:rsidRPr="00794950">
        <w:t xml:space="preserve"> pratiquement </w:t>
      </w:r>
      <w:r w:rsidR="00D62CC2" w:rsidRPr="00794950">
        <w:t>doublé ces deux dernières années,</w:t>
      </w:r>
      <w:r w:rsidR="00F00D96" w:rsidRPr="00794950">
        <w:t xml:space="preserve"> </w:t>
      </w:r>
      <w:r w:rsidR="00BC190D" w:rsidRPr="00794950">
        <w:t>passant d'environ 1 100 en </w:t>
      </w:r>
      <w:r w:rsidR="00D62CC2" w:rsidRPr="00794950">
        <w:t xml:space="preserve">2017 à </w:t>
      </w:r>
      <w:r w:rsidR="00E851E4" w:rsidRPr="00794950">
        <w:t xml:space="preserve">près de </w:t>
      </w:r>
      <w:r w:rsidR="00D62CC2" w:rsidRPr="00794950">
        <w:t>1 900 en 2019</w:t>
      </w:r>
      <w:r w:rsidR="00E07909" w:rsidRPr="00794950">
        <w:t xml:space="preserve">. </w:t>
      </w:r>
      <w:r w:rsidR="00E851E4" w:rsidRPr="00794950">
        <w:t>Le recours à des techniques modernes, tel</w:t>
      </w:r>
      <w:r w:rsidR="003B0174" w:rsidRPr="00794950">
        <w:t>l</w:t>
      </w:r>
      <w:r w:rsidR="00E851E4" w:rsidRPr="00794950">
        <w:t>e</w:t>
      </w:r>
      <w:r w:rsidR="003B0174" w:rsidRPr="00794950">
        <w:t>s</w:t>
      </w:r>
      <w:r w:rsidR="00E851E4" w:rsidRPr="00794950">
        <w:t xml:space="preserve"> que </w:t>
      </w:r>
      <w:r w:rsidR="00D62CC2" w:rsidRPr="00794950">
        <w:t>l'apprentissage automatique,</w:t>
      </w:r>
      <w:r w:rsidR="00E851E4" w:rsidRPr="00794950">
        <w:t xml:space="preserve"> a permis au</w:t>
      </w:r>
      <w:r w:rsidR="00F00D96" w:rsidRPr="00794950">
        <w:t xml:space="preserve"> </w:t>
      </w:r>
      <w:r w:rsidR="00D62CC2" w:rsidRPr="00794950">
        <w:t>TSB</w:t>
      </w:r>
      <w:r w:rsidR="00E851E4" w:rsidRPr="00794950">
        <w:t xml:space="preserve"> d</w:t>
      </w:r>
      <w:r w:rsidR="00A54667" w:rsidRPr="00794950">
        <w:t>'</w:t>
      </w:r>
      <w:r w:rsidR="00E851E4" w:rsidRPr="00794950">
        <w:t xml:space="preserve">améliorer </w:t>
      </w:r>
      <w:r w:rsidR="00D62CC2" w:rsidRPr="00794950">
        <w:t xml:space="preserve">ses services existants et </w:t>
      </w:r>
      <w:r w:rsidR="00E851E4" w:rsidRPr="00794950">
        <w:t>d</w:t>
      </w:r>
      <w:r w:rsidR="00A54667" w:rsidRPr="00794950">
        <w:t>'</w:t>
      </w:r>
      <w:r w:rsidR="00E851E4" w:rsidRPr="00794950">
        <w:t>alléger une partie des tâches manuelles, toujours plus nombreuses, qui leur seront dévolues.</w:t>
      </w:r>
      <w:r w:rsidR="00F00D96" w:rsidRPr="00794950">
        <w:t xml:space="preserve"> </w:t>
      </w:r>
      <w:r w:rsidR="004F1F64" w:rsidRPr="00794950">
        <w:t xml:space="preserve">Des informations détaillées </w:t>
      </w:r>
      <w:r w:rsidR="00E851E4" w:rsidRPr="00794950">
        <w:t xml:space="preserve">sur cette question </w:t>
      </w:r>
      <w:r w:rsidR="004F1F64" w:rsidRPr="00794950">
        <w:t>sont</w:t>
      </w:r>
      <w:r w:rsidR="00E851E4" w:rsidRPr="00794950">
        <w:t xml:space="preserve"> fournies </w:t>
      </w:r>
      <w:r w:rsidR="004F1F64" w:rsidRPr="00794950">
        <w:t>dans le</w:t>
      </w:r>
      <w:r w:rsidR="00A96E6C" w:rsidRPr="00794950">
        <w:t xml:space="preserve"> document d'information du Conseil </w:t>
      </w:r>
      <w:r w:rsidR="00E851E4" w:rsidRPr="00794950">
        <w:t xml:space="preserve">à sa session </w:t>
      </w:r>
      <w:r w:rsidR="00A96E6C" w:rsidRPr="00794950">
        <w:t>de 2020</w:t>
      </w:r>
      <w:r w:rsidRPr="00794950">
        <w:t xml:space="preserve"> </w:t>
      </w:r>
      <w:hyperlink r:id="rId13" w:history="1">
        <w:r w:rsidRPr="00794950">
          <w:rPr>
            <w:rStyle w:val="Hyperlink"/>
          </w:rPr>
          <w:t>C20/INF/7(R</w:t>
        </w:r>
        <w:r w:rsidR="004F2870" w:rsidRPr="00794950">
          <w:rPr>
            <w:rStyle w:val="Hyperlink"/>
          </w:rPr>
          <w:t>é</w:t>
        </w:r>
        <w:r w:rsidRPr="00794950">
          <w:rPr>
            <w:rStyle w:val="Hyperlink"/>
          </w:rPr>
          <w:t>v.1)</w:t>
        </w:r>
      </w:hyperlink>
      <w:r w:rsidR="00E851E4" w:rsidRPr="00794950">
        <w:t>,</w:t>
      </w:r>
      <w:r w:rsidR="00A96E6C" w:rsidRPr="00794950">
        <w:t xml:space="preserve"> </w:t>
      </w:r>
      <w:r w:rsidR="00231559" w:rsidRPr="00794950">
        <w:t xml:space="preserve">intitulé "L'utilisation </w:t>
      </w:r>
      <w:r w:rsidR="00522FAC" w:rsidRPr="00794950">
        <w:t xml:space="preserve">massive </w:t>
      </w:r>
      <w:r w:rsidR="00231559" w:rsidRPr="00794950">
        <w:t>des TIC</w:t>
      </w:r>
      <w:r w:rsidR="00E07909" w:rsidRPr="00794950">
        <w:t xml:space="preserve"> </w:t>
      </w:r>
      <w:r w:rsidR="00231559" w:rsidRPr="00794950">
        <w:t xml:space="preserve">est à l'origine </w:t>
      </w:r>
      <w:r w:rsidR="004F1F64" w:rsidRPr="00794950">
        <w:t xml:space="preserve">de l'émergence de </w:t>
      </w:r>
      <w:r w:rsidR="00231559" w:rsidRPr="00794950">
        <w:t>nouvelles activités</w:t>
      </w:r>
      <w:r w:rsidR="004F1F64" w:rsidRPr="00794950">
        <w:t xml:space="preserve"> et </w:t>
      </w:r>
      <w:r w:rsidR="00231559" w:rsidRPr="00794950">
        <w:t>de nouvelles communautés</w:t>
      </w:r>
      <w:r w:rsidR="00E07909" w:rsidRPr="00794950">
        <w:t xml:space="preserve">, </w:t>
      </w:r>
      <w:r w:rsidR="00231559" w:rsidRPr="00794950">
        <w:t xml:space="preserve">d'une </w:t>
      </w:r>
      <w:r w:rsidR="003B0174" w:rsidRPr="00794950">
        <w:t xml:space="preserve">nette </w:t>
      </w:r>
      <w:r w:rsidR="00231559" w:rsidRPr="00794950">
        <w:t>augmentation du nombre de membres de l'UIT-T</w:t>
      </w:r>
      <w:r w:rsidR="00E07909" w:rsidRPr="00794950">
        <w:t>,</w:t>
      </w:r>
      <w:r w:rsidR="00F00D96" w:rsidRPr="00794950">
        <w:t xml:space="preserve"> </w:t>
      </w:r>
      <w:r w:rsidR="00E851E4" w:rsidRPr="00794950">
        <w:t xml:space="preserve">de la mise au point </w:t>
      </w:r>
      <w:r w:rsidR="004F1F64" w:rsidRPr="00794950">
        <w:t>de</w:t>
      </w:r>
      <w:r w:rsidR="00231559" w:rsidRPr="00794950">
        <w:t xml:space="preserve"> nouveaux outils des TIC et </w:t>
      </w:r>
      <w:r w:rsidR="00E851E4" w:rsidRPr="00794950">
        <w:t>de l</w:t>
      </w:r>
      <w:r w:rsidR="00A54667" w:rsidRPr="00794950">
        <w:t>'</w:t>
      </w:r>
      <w:r w:rsidR="00E851E4" w:rsidRPr="00794950">
        <w:t xml:space="preserve">organisation </w:t>
      </w:r>
      <w:r w:rsidR="00231559" w:rsidRPr="00794950">
        <w:t>d'un plus grand nombre de réunions"</w:t>
      </w:r>
      <w:r w:rsidR="00E07909" w:rsidRPr="00794950">
        <w:t>.</w:t>
      </w:r>
    </w:p>
    <w:p w14:paraId="7F59CF24" w14:textId="3337CEF1" w:rsidR="00AF0B22" w:rsidRPr="00794950" w:rsidRDefault="00AF0B22" w:rsidP="00F702FE">
      <w:pPr>
        <w:tabs>
          <w:tab w:val="clear" w:pos="567"/>
          <w:tab w:val="clear" w:pos="1134"/>
          <w:tab w:val="clear" w:pos="1701"/>
          <w:tab w:val="clear" w:pos="2268"/>
          <w:tab w:val="clear" w:pos="2835"/>
        </w:tabs>
      </w:pPr>
      <w:r w:rsidRPr="00794950">
        <w:br w:type="page"/>
      </w:r>
    </w:p>
    <w:tbl>
      <w:tblPr>
        <w:tblStyle w:val="ListTable2-Accent11"/>
        <w:tblW w:w="10343" w:type="dxa"/>
        <w:tblInd w:w="-142" w:type="dxa"/>
        <w:tblLook w:val="04A0" w:firstRow="1" w:lastRow="0" w:firstColumn="1" w:lastColumn="0" w:noHBand="0" w:noVBand="1"/>
      </w:tblPr>
      <w:tblGrid>
        <w:gridCol w:w="2245"/>
        <w:gridCol w:w="1259"/>
        <w:gridCol w:w="1122"/>
        <w:gridCol w:w="1122"/>
        <w:gridCol w:w="1260"/>
        <w:gridCol w:w="1368"/>
        <w:gridCol w:w="1464"/>
        <w:gridCol w:w="503"/>
      </w:tblGrid>
      <w:tr w:rsidR="0011574B" w:rsidRPr="00794950" w14:paraId="6A6F0A79" w14:textId="77777777" w:rsidTr="00F65269">
        <w:trPr>
          <w:cnfStyle w:val="100000000000" w:firstRow="1" w:lastRow="0" w:firstColumn="0" w:lastColumn="0" w:oddVBand="0" w:evenVBand="0" w:oddHBand="0" w:evenHBand="0" w:firstRowFirstColumn="0" w:firstRowLastColumn="0" w:lastRowFirstColumn="0" w:lastRowLastColumn="0"/>
          <w:cantSplit/>
          <w:trHeight w:val="756"/>
        </w:trPr>
        <w:tc>
          <w:tcPr>
            <w:cnfStyle w:val="001000000000" w:firstRow="0" w:lastRow="0" w:firstColumn="1" w:lastColumn="0" w:oddVBand="0" w:evenVBand="0" w:oddHBand="0" w:evenHBand="0" w:firstRowFirstColumn="0" w:firstRowLastColumn="0" w:lastRowFirstColumn="0" w:lastRowLastColumn="0"/>
            <w:tcW w:w="2245" w:type="dxa"/>
            <w:vAlign w:val="center"/>
          </w:tcPr>
          <w:p w14:paraId="319A6EB3" w14:textId="77777777" w:rsidR="0011574B" w:rsidRPr="00794950" w:rsidRDefault="0011574B" w:rsidP="00F702FE">
            <w:pPr>
              <w:pStyle w:val="Tablehead"/>
              <w:rPr>
                <w:b/>
                <w:bCs w:val="0"/>
              </w:rPr>
            </w:pPr>
          </w:p>
        </w:tc>
        <w:tc>
          <w:tcPr>
            <w:tcW w:w="1259" w:type="dxa"/>
            <w:vAlign w:val="center"/>
          </w:tcPr>
          <w:p w14:paraId="0C958C64" w14:textId="77777777" w:rsidR="0011574B" w:rsidRPr="00794950" w:rsidRDefault="0011574B" w:rsidP="00F702FE">
            <w:pPr>
              <w:pStyle w:val="Tablehead"/>
              <w:cnfStyle w:val="100000000000" w:firstRow="1" w:lastRow="0" w:firstColumn="0" w:lastColumn="0" w:oddVBand="0" w:evenVBand="0" w:oddHBand="0" w:evenHBand="0" w:firstRowFirstColumn="0" w:firstRowLastColumn="0" w:lastRowFirstColumn="0" w:lastRowLastColumn="0"/>
              <w:rPr>
                <w:b/>
                <w:bCs w:val="0"/>
              </w:rPr>
            </w:pPr>
            <w:r w:rsidRPr="00794950">
              <w:rPr>
                <w:b/>
                <w:bCs w:val="0"/>
              </w:rPr>
              <w:t>2016</w:t>
            </w:r>
          </w:p>
        </w:tc>
        <w:tc>
          <w:tcPr>
            <w:tcW w:w="1122" w:type="dxa"/>
            <w:vAlign w:val="center"/>
          </w:tcPr>
          <w:p w14:paraId="6037971E" w14:textId="77777777" w:rsidR="0011574B" w:rsidRPr="00794950" w:rsidRDefault="0011574B" w:rsidP="00F702FE">
            <w:pPr>
              <w:pStyle w:val="Tablehead"/>
              <w:cnfStyle w:val="100000000000" w:firstRow="1" w:lastRow="0" w:firstColumn="0" w:lastColumn="0" w:oddVBand="0" w:evenVBand="0" w:oddHBand="0" w:evenHBand="0" w:firstRowFirstColumn="0" w:firstRowLastColumn="0" w:lastRowFirstColumn="0" w:lastRowLastColumn="0"/>
              <w:rPr>
                <w:b/>
                <w:bCs w:val="0"/>
              </w:rPr>
            </w:pPr>
            <w:r w:rsidRPr="00794950">
              <w:rPr>
                <w:b/>
                <w:bCs w:val="0"/>
              </w:rPr>
              <w:t>2017</w:t>
            </w:r>
          </w:p>
        </w:tc>
        <w:tc>
          <w:tcPr>
            <w:tcW w:w="1122" w:type="dxa"/>
            <w:vAlign w:val="center"/>
          </w:tcPr>
          <w:p w14:paraId="4FAD3BFB" w14:textId="77777777" w:rsidR="0011574B" w:rsidRPr="00794950" w:rsidRDefault="0011574B" w:rsidP="00F702FE">
            <w:pPr>
              <w:pStyle w:val="Tablehead"/>
              <w:cnfStyle w:val="100000000000" w:firstRow="1" w:lastRow="0" w:firstColumn="0" w:lastColumn="0" w:oddVBand="0" w:evenVBand="0" w:oddHBand="0" w:evenHBand="0" w:firstRowFirstColumn="0" w:firstRowLastColumn="0" w:lastRowFirstColumn="0" w:lastRowLastColumn="0"/>
              <w:rPr>
                <w:b/>
                <w:bCs w:val="0"/>
              </w:rPr>
            </w:pPr>
            <w:r w:rsidRPr="00794950">
              <w:rPr>
                <w:b/>
                <w:bCs w:val="0"/>
              </w:rPr>
              <w:t>2018</w:t>
            </w:r>
          </w:p>
        </w:tc>
        <w:tc>
          <w:tcPr>
            <w:tcW w:w="1260" w:type="dxa"/>
            <w:vAlign w:val="center"/>
          </w:tcPr>
          <w:p w14:paraId="43E2DD1B" w14:textId="77777777" w:rsidR="0011574B" w:rsidRPr="00794950" w:rsidRDefault="0011574B" w:rsidP="00F702FE">
            <w:pPr>
              <w:pStyle w:val="Tablehead"/>
              <w:cnfStyle w:val="100000000000" w:firstRow="1" w:lastRow="0" w:firstColumn="0" w:lastColumn="0" w:oddVBand="0" w:evenVBand="0" w:oddHBand="0" w:evenHBand="0" w:firstRowFirstColumn="0" w:firstRowLastColumn="0" w:lastRowFirstColumn="0" w:lastRowLastColumn="0"/>
              <w:rPr>
                <w:b/>
                <w:bCs w:val="0"/>
              </w:rPr>
            </w:pPr>
            <w:r w:rsidRPr="00794950">
              <w:rPr>
                <w:b/>
                <w:bCs w:val="0"/>
              </w:rPr>
              <w:t>2019</w:t>
            </w:r>
          </w:p>
        </w:tc>
        <w:tc>
          <w:tcPr>
            <w:tcW w:w="1368" w:type="dxa"/>
            <w:vAlign w:val="center"/>
          </w:tcPr>
          <w:p w14:paraId="7149353D" w14:textId="77777777" w:rsidR="0011574B" w:rsidRPr="00794950" w:rsidRDefault="0011574B" w:rsidP="00F702FE">
            <w:pPr>
              <w:pStyle w:val="Tablehead"/>
              <w:cnfStyle w:val="100000000000" w:firstRow="1" w:lastRow="0" w:firstColumn="0" w:lastColumn="0" w:oddVBand="0" w:evenVBand="0" w:oddHBand="0" w:evenHBand="0" w:firstRowFirstColumn="0" w:firstRowLastColumn="0" w:lastRowFirstColumn="0" w:lastRowLastColumn="0"/>
              <w:rPr>
                <w:b/>
                <w:bCs w:val="0"/>
              </w:rPr>
            </w:pPr>
            <w:r w:rsidRPr="00794950">
              <w:rPr>
                <w:b/>
                <w:bCs w:val="0"/>
              </w:rPr>
              <w:t>2020</w:t>
            </w:r>
          </w:p>
          <w:p w14:paraId="208C5C99" w14:textId="1F0D4030" w:rsidR="0011574B" w:rsidRPr="00794950" w:rsidRDefault="0011574B" w:rsidP="00F702FE">
            <w:pPr>
              <w:pStyle w:val="Tablehead"/>
              <w:cnfStyle w:val="100000000000" w:firstRow="1" w:lastRow="0" w:firstColumn="0" w:lastColumn="0" w:oddVBand="0" w:evenVBand="0" w:oddHBand="0" w:evenHBand="0" w:firstRowFirstColumn="0" w:firstRowLastColumn="0" w:lastRowFirstColumn="0" w:lastRowLastColumn="0"/>
              <w:rPr>
                <w:b/>
                <w:bCs w:val="0"/>
              </w:rPr>
            </w:pPr>
            <w:r w:rsidRPr="00794950">
              <w:rPr>
                <w:b/>
                <w:bCs w:val="0"/>
              </w:rPr>
              <w:t>(Estima</w:t>
            </w:r>
            <w:r w:rsidR="00773F66" w:rsidRPr="00794950">
              <w:rPr>
                <w:b/>
                <w:bCs w:val="0"/>
              </w:rPr>
              <w:t>tion</w:t>
            </w:r>
            <w:r w:rsidRPr="00794950">
              <w:rPr>
                <w:b/>
                <w:bCs w:val="0"/>
              </w:rPr>
              <w:t>)</w:t>
            </w:r>
          </w:p>
        </w:tc>
        <w:tc>
          <w:tcPr>
            <w:tcW w:w="1464" w:type="dxa"/>
            <w:vAlign w:val="center"/>
          </w:tcPr>
          <w:p w14:paraId="43C921BD" w14:textId="78E098D2" w:rsidR="0011574B" w:rsidRPr="00794950" w:rsidRDefault="0011574B" w:rsidP="00F702FE">
            <w:pPr>
              <w:pStyle w:val="Tablehead"/>
              <w:cnfStyle w:val="100000000000" w:firstRow="1" w:lastRow="0" w:firstColumn="0" w:lastColumn="0" w:oddVBand="0" w:evenVBand="0" w:oddHBand="0" w:evenHBand="0" w:firstRowFirstColumn="0" w:firstRowLastColumn="0" w:lastRowFirstColumn="0" w:lastRowLastColumn="0"/>
              <w:rPr>
                <w:b/>
                <w:bCs w:val="0"/>
              </w:rPr>
            </w:pPr>
            <w:r w:rsidRPr="00794950">
              <w:rPr>
                <w:b/>
                <w:bCs w:val="0"/>
              </w:rPr>
              <w:t>2020 (septembre)</w:t>
            </w:r>
          </w:p>
        </w:tc>
        <w:tc>
          <w:tcPr>
            <w:tcW w:w="503" w:type="dxa"/>
          </w:tcPr>
          <w:p w14:paraId="1620266E" w14:textId="77777777" w:rsidR="0011574B" w:rsidRPr="00794950" w:rsidRDefault="0011574B" w:rsidP="00F702FE">
            <w:pPr>
              <w:pStyle w:val="Tablehead"/>
              <w:cnfStyle w:val="100000000000" w:firstRow="1" w:lastRow="0" w:firstColumn="0" w:lastColumn="0" w:oddVBand="0" w:evenVBand="0" w:oddHBand="0" w:evenHBand="0" w:firstRowFirstColumn="0" w:firstRowLastColumn="0" w:lastRowFirstColumn="0" w:lastRowLastColumn="0"/>
              <w:rPr>
                <w:b/>
                <w:bCs w:val="0"/>
              </w:rPr>
            </w:pPr>
          </w:p>
        </w:tc>
      </w:tr>
      <w:tr w:rsidR="0011574B" w:rsidRPr="00794950" w14:paraId="7A243103" w14:textId="77777777" w:rsidTr="00F65269">
        <w:trPr>
          <w:cnfStyle w:val="000000100000" w:firstRow="0" w:lastRow="0" w:firstColumn="0" w:lastColumn="0" w:oddVBand="0" w:evenVBand="0" w:oddHBand="1" w:evenHBand="0" w:firstRowFirstColumn="0" w:firstRowLastColumn="0" w:lastRowFirstColumn="0" w:lastRowLastColumn="0"/>
          <w:cantSplit/>
          <w:trHeight w:val="702"/>
        </w:trPr>
        <w:tc>
          <w:tcPr>
            <w:cnfStyle w:val="001000000000" w:firstRow="0" w:lastRow="0" w:firstColumn="1" w:lastColumn="0" w:oddVBand="0" w:evenVBand="0" w:oddHBand="0" w:evenHBand="0" w:firstRowFirstColumn="0" w:firstRowLastColumn="0" w:lastRowFirstColumn="0" w:lastRowLastColumn="0"/>
            <w:tcW w:w="2245" w:type="dxa"/>
          </w:tcPr>
          <w:p w14:paraId="345FED66" w14:textId="77777777" w:rsidR="00773F66" w:rsidRPr="00794950" w:rsidRDefault="00773F66" w:rsidP="00F702FE">
            <w:pPr>
              <w:pStyle w:val="Tabletext"/>
              <w:rPr>
                <w:b w:val="0"/>
                <w:bCs w:val="0"/>
              </w:rPr>
            </w:pPr>
            <w:r w:rsidRPr="00794950">
              <w:t xml:space="preserve">Membres du Secteur </w:t>
            </w:r>
          </w:p>
          <w:p w14:paraId="128132CA" w14:textId="17B9B234" w:rsidR="0011574B" w:rsidRPr="00794950" w:rsidRDefault="0011574B" w:rsidP="00F702FE">
            <w:pPr>
              <w:pStyle w:val="Tabletext"/>
              <w:rPr>
                <w:i/>
                <w:iCs/>
              </w:rPr>
            </w:pPr>
            <w:r w:rsidRPr="00794950">
              <w:rPr>
                <w:i/>
                <w:iCs/>
              </w:rPr>
              <w:t>(</w:t>
            </w:r>
            <w:r w:rsidRPr="00794950">
              <w:rPr>
                <w:i/>
                <w:iCs/>
                <w:color w:val="FF0000"/>
              </w:rPr>
              <w:t>-</w:t>
            </w:r>
            <w:r w:rsidR="00F65269">
              <w:rPr>
                <w:i/>
                <w:iCs/>
              </w:rPr>
              <w:t>C</w:t>
            </w:r>
            <w:r w:rsidR="00111774" w:rsidRPr="00794950">
              <w:rPr>
                <w:i/>
                <w:iCs/>
              </w:rPr>
              <w:t>essation de la participation</w:t>
            </w:r>
            <w:r w:rsidRPr="00794950">
              <w:rPr>
                <w:i/>
                <w:iCs/>
                <w:color w:val="00B050"/>
              </w:rPr>
              <w:t xml:space="preserve"> +</w:t>
            </w:r>
            <w:r w:rsidR="00773F66" w:rsidRPr="00794950">
              <w:rPr>
                <w:i/>
                <w:iCs/>
              </w:rPr>
              <w:t>Nouveau</w:t>
            </w:r>
            <w:r w:rsidRPr="00794950">
              <w:rPr>
                <w:i/>
                <w:iCs/>
              </w:rPr>
              <w:t>)</w:t>
            </w:r>
          </w:p>
        </w:tc>
        <w:tc>
          <w:tcPr>
            <w:tcW w:w="1259" w:type="dxa"/>
            <w:vAlign w:val="center"/>
          </w:tcPr>
          <w:p w14:paraId="01863213" w14:textId="77777777" w:rsidR="0011574B" w:rsidRPr="00794950" w:rsidRDefault="0011574B" w:rsidP="00F702FE">
            <w:pPr>
              <w:pStyle w:val="Tabletext"/>
              <w:jc w:val="center"/>
              <w:cnfStyle w:val="000000100000" w:firstRow="0" w:lastRow="0" w:firstColumn="0" w:lastColumn="0" w:oddVBand="0" w:evenVBand="0" w:oddHBand="1" w:evenHBand="0" w:firstRowFirstColumn="0" w:firstRowLastColumn="0" w:lastRowFirstColumn="0" w:lastRowLastColumn="0"/>
            </w:pPr>
            <w:r w:rsidRPr="00794950">
              <w:t>253</w:t>
            </w:r>
          </w:p>
          <w:p w14:paraId="143BA958" w14:textId="77777777" w:rsidR="0011574B" w:rsidRPr="00794950" w:rsidRDefault="0011574B" w:rsidP="00F702FE">
            <w:pPr>
              <w:pStyle w:val="Tabletext"/>
              <w:jc w:val="center"/>
              <w:cnfStyle w:val="000000100000" w:firstRow="0" w:lastRow="0" w:firstColumn="0" w:lastColumn="0" w:oddVBand="0" w:evenVBand="0" w:oddHBand="1" w:evenHBand="0" w:firstRowFirstColumn="0" w:firstRowLastColumn="0" w:lastRowFirstColumn="0" w:lastRowLastColumn="0"/>
            </w:pPr>
            <w:r w:rsidRPr="00794950">
              <w:t>(</w:t>
            </w:r>
            <w:r w:rsidRPr="00794950">
              <w:rPr>
                <w:color w:val="FF0000"/>
              </w:rPr>
              <w:t xml:space="preserve">-17 </w:t>
            </w:r>
            <w:r w:rsidRPr="00794950">
              <w:rPr>
                <w:color w:val="00B050"/>
              </w:rPr>
              <w:t>+5</w:t>
            </w:r>
            <w:r w:rsidRPr="00794950">
              <w:t>)</w:t>
            </w:r>
          </w:p>
        </w:tc>
        <w:tc>
          <w:tcPr>
            <w:tcW w:w="1122" w:type="dxa"/>
            <w:vAlign w:val="center"/>
          </w:tcPr>
          <w:p w14:paraId="4FDC4F6A" w14:textId="77777777" w:rsidR="0011574B" w:rsidRPr="00794950" w:rsidRDefault="0011574B" w:rsidP="00F702FE">
            <w:pPr>
              <w:pStyle w:val="Tabletext"/>
              <w:jc w:val="center"/>
              <w:cnfStyle w:val="000000100000" w:firstRow="0" w:lastRow="0" w:firstColumn="0" w:lastColumn="0" w:oddVBand="0" w:evenVBand="0" w:oddHBand="1" w:evenHBand="0" w:firstRowFirstColumn="0" w:firstRowLastColumn="0" w:lastRowFirstColumn="0" w:lastRowLastColumn="0"/>
            </w:pPr>
            <w:r w:rsidRPr="00794950">
              <w:t>257</w:t>
            </w:r>
          </w:p>
          <w:p w14:paraId="51DF6E8F" w14:textId="77777777" w:rsidR="0011574B" w:rsidRPr="00794950" w:rsidRDefault="0011574B" w:rsidP="00F702FE">
            <w:pPr>
              <w:pStyle w:val="Tabletext"/>
              <w:jc w:val="center"/>
              <w:cnfStyle w:val="000000100000" w:firstRow="0" w:lastRow="0" w:firstColumn="0" w:lastColumn="0" w:oddVBand="0" w:evenVBand="0" w:oddHBand="1" w:evenHBand="0" w:firstRowFirstColumn="0" w:firstRowLastColumn="0" w:lastRowFirstColumn="0" w:lastRowLastColumn="0"/>
            </w:pPr>
            <w:r w:rsidRPr="00794950">
              <w:t>(</w:t>
            </w:r>
            <w:r w:rsidRPr="00794950">
              <w:rPr>
                <w:color w:val="FF0000"/>
              </w:rPr>
              <w:t xml:space="preserve">-5 </w:t>
            </w:r>
            <w:r w:rsidRPr="00794950">
              <w:rPr>
                <w:color w:val="00B050"/>
              </w:rPr>
              <w:t>+9</w:t>
            </w:r>
            <w:r w:rsidRPr="00794950">
              <w:t>)</w:t>
            </w:r>
          </w:p>
        </w:tc>
        <w:tc>
          <w:tcPr>
            <w:tcW w:w="1122" w:type="dxa"/>
            <w:vAlign w:val="center"/>
          </w:tcPr>
          <w:p w14:paraId="03A14C67" w14:textId="77777777" w:rsidR="0011574B" w:rsidRPr="00794950" w:rsidRDefault="0011574B" w:rsidP="00F702FE">
            <w:pPr>
              <w:pStyle w:val="Tabletext"/>
              <w:jc w:val="center"/>
              <w:cnfStyle w:val="000000100000" w:firstRow="0" w:lastRow="0" w:firstColumn="0" w:lastColumn="0" w:oddVBand="0" w:evenVBand="0" w:oddHBand="1" w:evenHBand="0" w:firstRowFirstColumn="0" w:firstRowLastColumn="0" w:lastRowFirstColumn="0" w:lastRowLastColumn="0"/>
            </w:pPr>
            <w:r w:rsidRPr="00794950">
              <w:t>257</w:t>
            </w:r>
          </w:p>
          <w:p w14:paraId="5DFCC6D6" w14:textId="77777777" w:rsidR="0011574B" w:rsidRPr="00794950" w:rsidRDefault="0011574B" w:rsidP="00F702FE">
            <w:pPr>
              <w:pStyle w:val="Tabletext"/>
              <w:jc w:val="center"/>
              <w:cnfStyle w:val="000000100000" w:firstRow="0" w:lastRow="0" w:firstColumn="0" w:lastColumn="0" w:oddVBand="0" w:evenVBand="0" w:oddHBand="1" w:evenHBand="0" w:firstRowFirstColumn="0" w:firstRowLastColumn="0" w:lastRowFirstColumn="0" w:lastRowLastColumn="0"/>
            </w:pPr>
            <w:r w:rsidRPr="00794950">
              <w:t>(</w:t>
            </w:r>
            <w:r w:rsidRPr="00794950">
              <w:rPr>
                <w:color w:val="FF0000"/>
              </w:rPr>
              <w:t xml:space="preserve">-14 </w:t>
            </w:r>
            <w:r w:rsidRPr="00794950">
              <w:rPr>
                <w:color w:val="00B050"/>
              </w:rPr>
              <w:t>+14</w:t>
            </w:r>
            <w:r w:rsidRPr="00794950">
              <w:t>)</w:t>
            </w:r>
          </w:p>
        </w:tc>
        <w:tc>
          <w:tcPr>
            <w:tcW w:w="1260" w:type="dxa"/>
            <w:vAlign w:val="center"/>
          </w:tcPr>
          <w:p w14:paraId="4564DB28" w14:textId="77777777" w:rsidR="0011574B" w:rsidRPr="00794950" w:rsidRDefault="0011574B" w:rsidP="00F702FE">
            <w:pPr>
              <w:pStyle w:val="Tabletext"/>
              <w:jc w:val="center"/>
              <w:cnfStyle w:val="000000100000" w:firstRow="0" w:lastRow="0" w:firstColumn="0" w:lastColumn="0" w:oddVBand="0" w:evenVBand="0" w:oddHBand="1" w:evenHBand="0" w:firstRowFirstColumn="0" w:firstRowLastColumn="0" w:lastRowFirstColumn="0" w:lastRowLastColumn="0"/>
            </w:pPr>
            <w:r w:rsidRPr="00794950">
              <w:t>268</w:t>
            </w:r>
          </w:p>
          <w:p w14:paraId="49385816" w14:textId="793FF014" w:rsidR="0011574B" w:rsidRPr="00794950" w:rsidRDefault="0011574B" w:rsidP="00F702FE">
            <w:pPr>
              <w:pStyle w:val="Tabletext"/>
              <w:jc w:val="center"/>
              <w:cnfStyle w:val="000000100000" w:firstRow="0" w:lastRow="0" w:firstColumn="0" w:lastColumn="0" w:oddVBand="0" w:evenVBand="0" w:oddHBand="1" w:evenHBand="0" w:firstRowFirstColumn="0" w:firstRowLastColumn="0" w:lastRowFirstColumn="0" w:lastRowLastColumn="0"/>
            </w:pPr>
            <w:r w:rsidRPr="00794950">
              <w:t>(</w:t>
            </w:r>
            <w:r w:rsidRPr="00794950">
              <w:rPr>
                <w:color w:val="FF0000"/>
              </w:rPr>
              <w:t xml:space="preserve">-9 </w:t>
            </w:r>
            <w:r w:rsidRPr="00794950">
              <w:rPr>
                <w:color w:val="00B050"/>
              </w:rPr>
              <w:t>+20</w:t>
            </w:r>
            <w:r w:rsidRPr="00794950">
              <w:t>)</w:t>
            </w:r>
          </w:p>
        </w:tc>
        <w:tc>
          <w:tcPr>
            <w:tcW w:w="1368" w:type="dxa"/>
            <w:vAlign w:val="center"/>
          </w:tcPr>
          <w:p w14:paraId="11981392" w14:textId="77777777" w:rsidR="0011574B" w:rsidRPr="00794950" w:rsidRDefault="0011574B" w:rsidP="00F702FE">
            <w:pPr>
              <w:pStyle w:val="Tabletext"/>
              <w:jc w:val="center"/>
              <w:cnfStyle w:val="000000100000" w:firstRow="0" w:lastRow="0" w:firstColumn="0" w:lastColumn="0" w:oddVBand="0" w:evenVBand="0" w:oddHBand="1" w:evenHBand="0" w:firstRowFirstColumn="0" w:firstRowLastColumn="0" w:lastRowFirstColumn="0" w:lastRowLastColumn="0"/>
              <w:rPr>
                <w:noProof/>
                <w:lang w:eastAsia="ja-JP"/>
              </w:rPr>
            </w:pPr>
            <w:r w:rsidRPr="00794950">
              <w:rPr>
                <w:noProof/>
                <w:lang w:eastAsia="ja-JP"/>
              </w:rPr>
              <w:t>272</w:t>
            </w:r>
          </w:p>
          <w:p w14:paraId="123377C6" w14:textId="77777777" w:rsidR="0011574B" w:rsidRPr="00794950" w:rsidRDefault="0011574B" w:rsidP="00F702FE">
            <w:pPr>
              <w:pStyle w:val="Tabletext"/>
              <w:jc w:val="center"/>
              <w:cnfStyle w:val="000000100000" w:firstRow="0" w:lastRow="0" w:firstColumn="0" w:lastColumn="0" w:oddVBand="0" w:evenVBand="0" w:oddHBand="1" w:evenHBand="0" w:firstRowFirstColumn="0" w:firstRowLastColumn="0" w:lastRowFirstColumn="0" w:lastRowLastColumn="0"/>
              <w:rPr>
                <w:noProof/>
                <w:lang w:eastAsia="ja-JP"/>
              </w:rPr>
            </w:pPr>
            <w:r w:rsidRPr="00794950">
              <w:rPr>
                <w:noProof/>
                <w:lang w:eastAsia="ja-JP"/>
              </w:rPr>
              <w:t>(</w:t>
            </w:r>
            <w:r w:rsidRPr="00794950">
              <w:rPr>
                <w:noProof/>
                <w:color w:val="FF0000"/>
                <w:lang w:eastAsia="ja-JP"/>
              </w:rPr>
              <w:t xml:space="preserve">-9 </w:t>
            </w:r>
            <w:r w:rsidRPr="00794950">
              <w:rPr>
                <w:noProof/>
                <w:color w:val="00B050"/>
                <w:lang w:eastAsia="ja-JP"/>
              </w:rPr>
              <w:t>+13</w:t>
            </w:r>
            <w:r w:rsidRPr="00794950">
              <w:rPr>
                <w:noProof/>
                <w:lang w:eastAsia="ja-JP"/>
              </w:rPr>
              <w:t>)</w:t>
            </w:r>
          </w:p>
        </w:tc>
        <w:tc>
          <w:tcPr>
            <w:tcW w:w="1464" w:type="dxa"/>
            <w:vAlign w:val="center"/>
          </w:tcPr>
          <w:p w14:paraId="5B868F17" w14:textId="77777777" w:rsidR="0011574B" w:rsidRPr="00794950" w:rsidRDefault="0011574B" w:rsidP="00F702FE">
            <w:pPr>
              <w:pStyle w:val="Tabletext"/>
              <w:jc w:val="center"/>
              <w:cnfStyle w:val="000000100000" w:firstRow="0" w:lastRow="0" w:firstColumn="0" w:lastColumn="0" w:oddVBand="0" w:evenVBand="0" w:oddHBand="1" w:evenHBand="0" w:firstRowFirstColumn="0" w:firstRowLastColumn="0" w:lastRowFirstColumn="0" w:lastRowLastColumn="0"/>
              <w:rPr>
                <w:noProof/>
                <w:lang w:eastAsia="ja-JP"/>
              </w:rPr>
            </w:pPr>
            <w:r w:rsidRPr="00794950">
              <w:rPr>
                <w:noProof/>
                <w:lang w:eastAsia="ja-JP"/>
              </w:rPr>
              <w:t>271</w:t>
            </w:r>
          </w:p>
          <w:p w14:paraId="542C4CFB" w14:textId="77777777" w:rsidR="0011574B" w:rsidRPr="00794950" w:rsidRDefault="0011574B" w:rsidP="00F702FE">
            <w:pPr>
              <w:pStyle w:val="Tabletext"/>
              <w:jc w:val="center"/>
              <w:cnfStyle w:val="000000100000" w:firstRow="0" w:lastRow="0" w:firstColumn="0" w:lastColumn="0" w:oddVBand="0" w:evenVBand="0" w:oddHBand="1" w:evenHBand="0" w:firstRowFirstColumn="0" w:firstRowLastColumn="0" w:lastRowFirstColumn="0" w:lastRowLastColumn="0"/>
              <w:rPr>
                <w:noProof/>
                <w:lang w:eastAsia="ja-JP"/>
              </w:rPr>
            </w:pPr>
            <w:r w:rsidRPr="00794950">
              <w:rPr>
                <w:noProof/>
                <w:lang w:eastAsia="ja-JP"/>
              </w:rPr>
              <w:t>(</w:t>
            </w:r>
            <w:r w:rsidRPr="00794950">
              <w:rPr>
                <w:noProof/>
                <w:color w:val="FF0000"/>
                <w:lang w:eastAsia="ja-JP"/>
              </w:rPr>
              <w:t xml:space="preserve">-6 </w:t>
            </w:r>
            <w:r w:rsidRPr="00794950">
              <w:rPr>
                <w:noProof/>
                <w:color w:val="00B050"/>
                <w:lang w:eastAsia="ja-JP"/>
              </w:rPr>
              <w:t>+9</w:t>
            </w:r>
            <w:r w:rsidRPr="00794950">
              <w:rPr>
                <w:noProof/>
                <w:lang w:eastAsia="ja-JP"/>
              </w:rPr>
              <w:t>)</w:t>
            </w:r>
          </w:p>
        </w:tc>
        <w:tc>
          <w:tcPr>
            <w:tcW w:w="503" w:type="dxa"/>
          </w:tcPr>
          <w:p w14:paraId="42921B0A" w14:textId="77777777" w:rsidR="0011574B" w:rsidRPr="00794950" w:rsidRDefault="0011574B" w:rsidP="00F702FE">
            <w:pPr>
              <w:pStyle w:val="Tabletext"/>
              <w:cnfStyle w:val="000000100000" w:firstRow="0" w:lastRow="0" w:firstColumn="0" w:lastColumn="0" w:oddVBand="0" w:evenVBand="0" w:oddHBand="1" w:evenHBand="0" w:firstRowFirstColumn="0" w:firstRowLastColumn="0" w:lastRowFirstColumn="0" w:lastRowLastColumn="0"/>
              <w:rPr>
                <w:noProof/>
                <w:lang w:eastAsia="ja-JP"/>
              </w:rPr>
            </w:pPr>
            <w:r w:rsidRPr="00794950">
              <w:rPr>
                <w:noProof/>
                <w:lang w:eastAsia="ja-JP"/>
              </w:rPr>
              <mc:AlternateContent>
                <mc:Choice Requires="wps">
                  <w:drawing>
                    <wp:anchor distT="0" distB="0" distL="114300" distR="114300" simplePos="0" relativeHeight="251659264" behindDoc="0" locked="0" layoutInCell="1" allowOverlap="1" wp14:anchorId="08C122AF" wp14:editId="0352ED9A">
                      <wp:simplePos x="0" y="0"/>
                      <wp:positionH relativeFrom="column">
                        <wp:posOffset>1905</wp:posOffset>
                      </wp:positionH>
                      <wp:positionV relativeFrom="paragraph">
                        <wp:posOffset>337185</wp:posOffset>
                      </wp:positionV>
                      <wp:extent cx="196850" cy="190500"/>
                      <wp:effectExtent l="0" t="0" r="0" b="0"/>
                      <wp:wrapNone/>
                      <wp:docPr id="7205" name="Up Arrow 41"/>
                      <wp:cNvGraphicFramePr/>
                      <a:graphic xmlns:a="http://schemas.openxmlformats.org/drawingml/2006/main">
                        <a:graphicData uri="http://schemas.microsoft.com/office/word/2010/wordprocessingShape">
                          <wps:wsp>
                            <wps:cNvSpPr/>
                            <wps:spPr>
                              <a:xfrm>
                                <a:off x="0" y="0"/>
                                <a:ext cx="196850" cy="190500"/>
                              </a:xfrm>
                              <a:prstGeom prst="upArrow">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78176DB"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41" o:spid="_x0000_s1026" type="#_x0000_t68" style="position:absolute;margin-left:.15pt;margin-top:26.55pt;width:15.5pt;height: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vhiXgIAALYEAAAOAAAAZHJzL2Uyb0RvYy54bWysVE1v2zAMvQ/YfxB0X20HSdcGcYosRYcB&#10;RVugLXpWZCk2IIkapcTpfv0o2enXdhp2UUST4iMfH7O4OFjD9gpDB67m1UnJmXISms5ta/74cPXl&#10;jLMQhWuEAadq/qwCv1h+/rTo/VxNoAXTKGSUxIV572vexujnRRFkq6wIJ+CVI6cGtCKSiduiQdFT&#10;dmuKSVmeFj1g4xGkCoG+Xg5Ovsz5tVYy3modVGSm5lRbzCfmc5POYrkQ8y0K33ZyLEP8QxVWdI5A&#10;X1JdiijYDrs/UtlOIgTQ8USCLUDrTqrcA3VTlR+6uW+FV7kXIif4F5rC/0srb/Z3yLqm5l8n5Ywz&#10;JyxN6dGzFSL0bFolhnof5hR47+9wtAJdU7sHjTb9UiPskFl9fmFVHSKT9LE6Pz2bEfeSXNV5OSsz&#10;68XrY48hfldgWbrUfOczdqZT7K9DJEyKPkYluACma646Y7KB283aINuLNOPyGyGkounJuzDjWF/z&#10;yWxK+EwK0po2ItLVeuo+uC1nwmxJxDJixnaQECjTgH0pQjtg5LQjhHHJr7LSxlITWwM/6baB5pkY&#10;RhikF7y86qjNaxHinUDSGlVD+xNv6dAGqEQYb5y1gL/+9j3FkwTIy1lP2qXyf+4EKs7MD0fiOK+m&#10;0yT2bExnNFnO8K1n89bjdnYNRF1Fm+plvqb4aI5XjWCfaM1WCZVcwknCHogajXUcdooWVarVKoeR&#10;wL2I1+7ey5T8yOPD4UmgH2cdSSQ3cNS5mH+Y9xCbXjpY7SLoLovhlVcaczJoOfLAx0VO2/fWzlGv&#10;fzfL3wAAAP//AwBQSwMEFAAGAAgAAAAhAJkhg/zXAAAABQEAAA8AAABkcnMvZG93bnJldi54bWxM&#10;jsFOwzAQRO9I/IO1lbhRJ4RUVYhToUqIGyotH+DG2yRtvLZspw1/z3KC49OMZl69me0orhji4EhB&#10;vsxAILXODNQp+Dq8Pa5BxKTJ6NERKvjGCJvm/q7WlXE3+sTrPnWCRyhWWkGfkq+kjG2PVsel80ic&#10;nVywOjGGTpqgbzxuR/mUZStp9UD80GuP2x7by36yClaXd4PhFD7o2W/PU2n9zu1KpR4W8+sLiIRz&#10;+ivDrz6rQ8NORzeRiWJUUHBPQVnkIDgtcuajgjWzbGr53775AQAA//8DAFBLAQItABQABgAIAAAA&#10;IQC2gziS/gAAAOEBAAATAAAAAAAAAAAAAAAAAAAAAABbQ29udGVudF9UeXBlc10ueG1sUEsBAi0A&#10;FAAGAAgAAAAhADj9If/WAAAAlAEAAAsAAAAAAAAAAAAAAAAALwEAAF9yZWxzLy5yZWxzUEsBAi0A&#10;FAAGAAgAAAAhAPVa+GJeAgAAtgQAAA4AAAAAAAAAAAAAAAAALgIAAGRycy9lMm9Eb2MueG1sUEsB&#10;Ai0AFAAGAAgAAAAhAJkhg/zXAAAABQEAAA8AAAAAAAAAAAAAAAAAuAQAAGRycy9kb3ducmV2Lnht&#10;bFBLBQYAAAAABAAEAPMAAAC8BQAAAAA=&#10;" adj="10800" fillcolor="#00b050" stroked="f" strokeweight="2pt"/>
                  </w:pict>
                </mc:Fallback>
              </mc:AlternateContent>
            </w:r>
          </w:p>
        </w:tc>
      </w:tr>
      <w:tr w:rsidR="0011574B" w:rsidRPr="00794950" w14:paraId="3F94D4E0" w14:textId="77777777" w:rsidTr="00F65269">
        <w:trPr>
          <w:cantSplit/>
          <w:trHeight w:val="698"/>
        </w:trPr>
        <w:tc>
          <w:tcPr>
            <w:cnfStyle w:val="001000000000" w:firstRow="0" w:lastRow="0" w:firstColumn="1" w:lastColumn="0" w:oddVBand="0" w:evenVBand="0" w:oddHBand="0" w:evenHBand="0" w:firstRowFirstColumn="0" w:firstRowLastColumn="0" w:lastRowFirstColumn="0" w:lastRowLastColumn="0"/>
            <w:tcW w:w="2245" w:type="dxa"/>
          </w:tcPr>
          <w:p w14:paraId="59792CE2" w14:textId="7EB30A2F" w:rsidR="0011574B" w:rsidRPr="00794950" w:rsidRDefault="0011574B" w:rsidP="00F702FE">
            <w:pPr>
              <w:pStyle w:val="Tabletext"/>
            </w:pPr>
            <w:r w:rsidRPr="00794950">
              <w:t>Associ</w:t>
            </w:r>
            <w:r w:rsidR="00773F66" w:rsidRPr="00794950">
              <w:t>és</w:t>
            </w:r>
          </w:p>
          <w:p w14:paraId="18BBD06B" w14:textId="04BF2115" w:rsidR="0011574B" w:rsidRPr="00794950" w:rsidRDefault="0011574B" w:rsidP="00F702FE">
            <w:pPr>
              <w:pStyle w:val="Tabletext"/>
            </w:pPr>
            <w:r w:rsidRPr="00794950">
              <w:rPr>
                <w:i/>
                <w:iCs/>
              </w:rPr>
              <w:t>(</w:t>
            </w:r>
            <w:r w:rsidRPr="00794950">
              <w:rPr>
                <w:i/>
                <w:iCs/>
                <w:color w:val="FF0000"/>
              </w:rPr>
              <w:t>-</w:t>
            </w:r>
            <w:r w:rsidR="00F65269">
              <w:rPr>
                <w:i/>
                <w:iCs/>
              </w:rPr>
              <w:t>C</w:t>
            </w:r>
            <w:r w:rsidR="00773F66" w:rsidRPr="00794950">
              <w:rPr>
                <w:i/>
                <w:iCs/>
              </w:rPr>
              <w:t>essation de la participation</w:t>
            </w:r>
            <w:r w:rsidR="00773F66" w:rsidRPr="00794950">
              <w:rPr>
                <w:i/>
                <w:iCs/>
                <w:color w:val="00B050"/>
              </w:rPr>
              <w:t xml:space="preserve"> +</w:t>
            </w:r>
            <w:r w:rsidR="00773F66" w:rsidRPr="00794950">
              <w:rPr>
                <w:i/>
                <w:iCs/>
              </w:rPr>
              <w:t>Nouveau</w:t>
            </w:r>
            <w:r w:rsidRPr="00794950">
              <w:rPr>
                <w:i/>
                <w:iCs/>
              </w:rPr>
              <w:t>)</w:t>
            </w:r>
          </w:p>
        </w:tc>
        <w:tc>
          <w:tcPr>
            <w:tcW w:w="1259" w:type="dxa"/>
            <w:vAlign w:val="center"/>
          </w:tcPr>
          <w:p w14:paraId="78374513" w14:textId="77777777" w:rsidR="0011574B" w:rsidRPr="00794950" w:rsidRDefault="0011574B" w:rsidP="00F702FE">
            <w:pPr>
              <w:pStyle w:val="Tabletext"/>
              <w:jc w:val="center"/>
              <w:cnfStyle w:val="000000000000" w:firstRow="0" w:lastRow="0" w:firstColumn="0" w:lastColumn="0" w:oddVBand="0" w:evenVBand="0" w:oddHBand="0" w:evenHBand="0" w:firstRowFirstColumn="0" w:firstRowLastColumn="0" w:lastRowFirstColumn="0" w:lastRowLastColumn="0"/>
            </w:pPr>
            <w:r w:rsidRPr="00794950">
              <w:t>128</w:t>
            </w:r>
          </w:p>
          <w:p w14:paraId="7B61F08C" w14:textId="77777777" w:rsidR="0011574B" w:rsidRPr="00794950" w:rsidRDefault="0011574B" w:rsidP="00F702FE">
            <w:pPr>
              <w:pStyle w:val="Tabletext"/>
              <w:jc w:val="center"/>
              <w:cnfStyle w:val="000000000000" w:firstRow="0" w:lastRow="0" w:firstColumn="0" w:lastColumn="0" w:oddVBand="0" w:evenVBand="0" w:oddHBand="0" w:evenHBand="0" w:firstRowFirstColumn="0" w:firstRowLastColumn="0" w:lastRowFirstColumn="0" w:lastRowLastColumn="0"/>
            </w:pPr>
            <w:r w:rsidRPr="00794950">
              <w:t>(</w:t>
            </w:r>
            <w:r w:rsidRPr="00794950">
              <w:rPr>
                <w:color w:val="FF0000"/>
              </w:rPr>
              <w:t xml:space="preserve">-21 </w:t>
            </w:r>
            <w:r w:rsidRPr="00794950">
              <w:rPr>
                <w:color w:val="00B050"/>
              </w:rPr>
              <w:t>+21</w:t>
            </w:r>
            <w:r w:rsidRPr="00794950">
              <w:t>)</w:t>
            </w:r>
          </w:p>
        </w:tc>
        <w:tc>
          <w:tcPr>
            <w:tcW w:w="1122" w:type="dxa"/>
            <w:vAlign w:val="center"/>
          </w:tcPr>
          <w:p w14:paraId="7756146E" w14:textId="77777777" w:rsidR="0011574B" w:rsidRPr="00794950" w:rsidRDefault="0011574B" w:rsidP="00F702FE">
            <w:pPr>
              <w:pStyle w:val="Tabletext"/>
              <w:jc w:val="center"/>
              <w:cnfStyle w:val="000000000000" w:firstRow="0" w:lastRow="0" w:firstColumn="0" w:lastColumn="0" w:oddVBand="0" w:evenVBand="0" w:oddHBand="0" w:evenHBand="0" w:firstRowFirstColumn="0" w:firstRowLastColumn="0" w:lastRowFirstColumn="0" w:lastRowLastColumn="0"/>
            </w:pPr>
            <w:r w:rsidRPr="00794950">
              <w:t>137</w:t>
            </w:r>
          </w:p>
          <w:p w14:paraId="3C5ABD9E" w14:textId="77777777" w:rsidR="0011574B" w:rsidRPr="00794950" w:rsidRDefault="0011574B" w:rsidP="00F702FE">
            <w:pPr>
              <w:pStyle w:val="Tabletext"/>
              <w:jc w:val="center"/>
              <w:cnfStyle w:val="000000000000" w:firstRow="0" w:lastRow="0" w:firstColumn="0" w:lastColumn="0" w:oddVBand="0" w:evenVBand="0" w:oddHBand="0" w:evenHBand="0" w:firstRowFirstColumn="0" w:firstRowLastColumn="0" w:lastRowFirstColumn="0" w:lastRowLastColumn="0"/>
            </w:pPr>
            <w:r w:rsidRPr="00794950">
              <w:t>(</w:t>
            </w:r>
            <w:r w:rsidRPr="00794950">
              <w:rPr>
                <w:color w:val="FF0000"/>
              </w:rPr>
              <w:t xml:space="preserve">-12 </w:t>
            </w:r>
            <w:r w:rsidRPr="00794950">
              <w:rPr>
                <w:color w:val="00B050"/>
              </w:rPr>
              <w:t>+21</w:t>
            </w:r>
            <w:r w:rsidRPr="00794950">
              <w:t>)</w:t>
            </w:r>
          </w:p>
        </w:tc>
        <w:tc>
          <w:tcPr>
            <w:tcW w:w="1122" w:type="dxa"/>
            <w:vAlign w:val="center"/>
          </w:tcPr>
          <w:p w14:paraId="00292168" w14:textId="77777777" w:rsidR="0011574B" w:rsidRPr="00794950" w:rsidRDefault="0011574B" w:rsidP="00F702FE">
            <w:pPr>
              <w:pStyle w:val="Tabletext"/>
              <w:jc w:val="center"/>
              <w:cnfStyle w:val="000000000000" w:firstRow="0" w:lastRow="0" w:firstColumn="0" w:lastColumn="0" w:oddVBand="0" w:evenVBand="0" w:oddHBand="0" w:evenHBand="0" w:firstRowFirstColumn="0" w:firstRowLastColumn="0" w:lastRowFirstColumn="0" w:lastRowLastColumn="0"/>
            </w:pPr>
            <w:r w:rsidRPr="00794950">
              <w:t>157</w:t>
            </w:r>
          </w:p>
          <w:p w14:paraId="44F33F70" w14:textId="77777777" w:rsidR="0011574B" w:rsidRPr="00794950" w:rsidRDefault="0011574B" w:rsidP="00F702FE">
            <w:pPr>
              <w:pStyle w:val="Tabletext"/>
              <w:jc w:val="center"/>
              <w:cnfStyle w:val="000000000000" w:firstRow="0" w:lastRow="0" w:firstColumn="0" w:lastColumn="0" w:oddVBand="0" w:evenVBand="0" w:oddHBand="0" w:evenHBand="0" w:firstRowFirstColumn="0" w:firstRowLastColumn="0" w:lastRowFirstColumn="0" w:lastRowLastColumn="0"/>
            </w:pPr>
            <w:r w:rsidRPr="00794950">
              <w:t>(</w:t>
            </w:r>
            <w:r w:rsidRPr="00794950">
              <w:rPr>
                <w:color w:val="FF0000"/>
              </w:rPr>
              <w:t xml:space="preserve">-11 </w:t>
            </w:r>
            <w:r w:rsidRPr="00794950">
              <w:rPr>
                <w:color w:val="00B050"/>
              </w:rPr>
              <w:t>+31</w:t>
            </w:r>
            <w:r w:rsidRPr="00794950">
              <w:t>)</w:t>
            </w:r>
          </w:p>
        </w:tc>
        <w:tc>
          <w:tcPr>
            <w:tcW w:w="1260" w:type="dxa"/>
            <w:vAlign w:val="center"/>
          </w:tcPr>
          <w:p w14:paraId="42D58F6B" w14:textId="77777777" w:rsidR="0011574B" w:rsidRPr="00794950" w:rsidRDefault="0011574B" w:rsidP="00F702FE">
            <w:pPr>
              <w:pStyle w:val="Tabletext"/>
              <w:jc w:val="center"/>
              <w:cnfStyle w:val="000000000000" w:firstRow="0" w:lastRow="0" w:firstColumn="0" w:lastColumn="0" w:oddVBand="0" w:evenVBand="0" w:oddHBand="0" w:evenHBand="0" w:firstRowFirstColumn="0" w:firstRowLastColumn="0" w:lastRowFirstColumn="0" w:lastRowLastColumn="0"/>
            </w:pPr>
            <w:r w:rsidRPr="00794950">
              <w:t>184</w:t>
            </w:r>
          </w:p>
          <w:p w14:paraId="15EBDB08" w14:textId="77777777" w:rsidR="0011574B" w:rsidRPr="00794950" w:rsidRDefault="0011574B" w:rsidP="00F702FE">
            <w:pPr>
              <w:pStyle w:val="Tabletext"/>
              <w:jc w:val="center"/>
              <w:cnfStyle w:val="000000000000" w:firstRow="0" w:lastRow="0" w:firstColumn="0" w:lastColumn="0" w:oddVBand="0" w:evenVBand="0" w:oddHBand="0" w:evenHBand="0" w:firstRowFirstColumn="0" w:firstRowLastColumn="0" w:lastRowFirstColumn="0" w:lastRowLastColumn="0"/>
            </w:pPr>
            <w:r w:rsidRPr="00794950">
              <w:t>(</w:t>
            </w:r>
            <w:r w:rsidRPr="00794950">
              <w:rPr>
                <w:color w:val="FF0000"/>
              </w:rPr>
              <w:t xml:space="preserve">-7 </w:t>
            </w:r>
            <w:r w:rsidRPr="00794950">
              <w:rPr>
                <w:color w:val="00B050"/>
              </w:rPr>
              <w:t>+34</w:t>
            </w:r>
            <w:r w:rsidRPr="00794950">
              <w:t>)</w:t>
            </w:r>
          </w:p>
        </w:tc>
        <w:tc>
          <w:tcPr>
            <w:tcW w:w="1368" w:type="dxa"/>
            <w:vAlign w:val="center"/>
          </w:tcPr>
          <w:p w14:paraId="143E8F9C" w14:textId="77777777" w:rsidR="0011574B" w:rsidRPr="00794950" w:rsidRDefault="0011574B" w:rsidP="00F702FE">
            <w:pPr>
              <w:pStyle w:val="Tabletext"/>
              <w:jc w:val="center"/>
              <w:cnfStyle w:val="000000000000" w:firstRow="0" w:lastRow="0" w:firstColumn="0" w:lastColumn="0" w:oddVBand="0" w:evenVBand="0" w:oddHBand="0" w:evenHBand="0" w:firstRowFirstColumn="0" w:firstRowLastColumn="0" w:lastRowFirstColumn="0" w:lastRowLastColumn="0"/>
              <w:rPr>
                <w:noProof/>
                <w:lang w:eastAsia="ja-JP"/>
              </w:rPr>
            </w:pPr>
            <w:r w:rsidRPr="00794950">
              <w:rPr>
                <w:noProof/>
                <w:lang w:eastAsia="ja-JP"/>
              </w:rPr>
              <w:t>216</w:t>
            </w:r>
          </w:p>
          <w:p w14:paraId="3F181502" w14:textId="77777777" w:rsidR="0011574B" w:rsidRPr="00794950" w:rsidRDefault="0011574B" w:rsidP="00F702FE">
            <w:pPr>
              <w:pStyle w:val="Tabletext"/>
              <w:jc w:val="center"/>
              <w:cnfStyle w:val="000000000000" w:firstRow="0" w:lastRow="0" w:firstColumn="0" w:lastColumn="0" w:oddVBand="0" w:evenVBand="0" w:oddHBand="0" w:evenHBand="0" w:firstRowFirstColumn="0" w:firstRowLastColumn="0" w:lastRowFirstColumn="0" w:lastRowLastColumn="0"/>
              <w:rPr>
                <w:noProof/>
                <w:lang w:eastAsia="ja-JP"/>
              </w:rPr>
            </w:pPr>
            <w:r w:rsidRPr="00794950">
              <w:rPr>
                <w:noProof/>
                <w:lang w:eastAsia="ja-JP"/>
              </w:rPr>
              <w:t>(</w:t>
            </w:r>
            <w:r w:rsidRPr="00794950">
              <w:rPr>
                <w:noProof/>
                <w:color w:val="FF0000"/>
                <w:lang w:eastAsia="ja-JP"/>
              </w:rPr>
              <w:t xml:space="preserve">-9 </w:t>
            </w:r>
            <w:r w:rsidRPr="00794950">
              <w:rPr>
                <w:noProof/>
                <w:color w:val="00B050"/>
                <w:lang w:eastAsia="ja-JP"/>
              </w:rPr>
              <w:t>+40</w:t>
            </w:r>
            <w:r w:rsidRPr="00794950">
              <w:rPr>
                <w:noProof/>
                <w:lang w:eastAsia="ja-JP"/>
              </w:rPr>
              <w:t>)</w:t>
            </w:r>
          </w:p>
        </w:tc>
        <w:tc>
          <w:tcPr>
            <w:tcW w:w="1464" w:type="dxa"/>
            <w:vAlign w:val="center"/>
          </w:tcPr>
          <w:p w14:paraId="19EAD68E" w14:textId="77777777" w:rsidR="0011574B" w:rsidRPr="00794950" w:rsidRDefault="0011574B" w:rsidP="00F702FE">
            <w:pPr>
              <w:pStyle w:val="Tabletext"/>
              <w:jc w:val="center"/>
              <w:cnfStyle w:val="000000000000" w:firstRow="0" w:lastRow="0" w:firstColumn="0" w:lastColumn="0" w:oddVBand="0" w:evenVBand="0" w:oddHBand="0" w:evenHBand="0" w:firstRowFirstColumn="0" w:firstRowLastColumn="0" w:lastRowFirstColumn="0" w:lastRowLastColumn="0"/>
              <w:rPr>
                <w:noProof/>
                <w:lang w:eastAsia="ja-JP"/>
              </w:rPr>
            </w:pPr>
            <w:r w:rsidRPr="00794950">
              <w:rPr>
                <w:noProof/>
                <w:lang w:eastAsia="ja-JP"/>
              </w:rPr>
              <w:t>199</w:t>
            </w:r>
          </w:p>
          <w:p w14:paraId="65B304DA" w14:textId="3364CC37" w:rsidR="0011574B" w:rsidRPr="00794950" w:rsidRDefault="0011574B" w:rsidP="00F65269">
            <w:pPr>
              <w:pStyle w:val="Tabletext"/>
              <w:jc w:val="center"/>
              <w:cnfStyle w:val="000000000000" w:firstRow="0" w:lastRow="0" w:firstColumn="0" w:lastColumn="0" w:oddVBand="0" w:evenVBand="0" w:oddHBand="0" w:evenHBand="0" w:firstRowFirstColumn="0" w:firstRowLastColumn="0" w:lastRowFirstColumn="0" w:lastRowLastColumn="0"/>
              <w:rPr>
                <w:noProof/>
                <w:sz w:val="16"/>
                <w:szCs w:val="16"/>
                <w:lang w:eastAsia="ja-JP"/>
              </w:rPr>
            </w:pPr>
            <w:r w:rsidRPr="00794950">
              <w:rPr>
                <w:noProof/>
                <w:lang w:eastAsia="ja-JP"/>
              </w:rPr>
              <w:t>(</w:t>
            </w:r>
            <w:r w:rsidRPr="00794950">
              <w:rPr>
                <w:noProof/>
                <w:color w:val="FF0000"/>
                <w:lang w:eastAsia="ja-JP"/>
              </w:rPr>
              <w:t xml:space="preserve">-8 </w:t>
            </w:r>
            <w:r w:rsidRPr="00794950">
              <w:rPr>
                <w:noProof/>
                <w:color w:val="00B050"/>
                <w:lang w:eastAsia="ja-JP"/>
              </w:rPr>
              <w:t>+23</w:t>
            </w:r>
            <w:r w:rsidRPr="00794950">
              <w:rPr>
                <w:noProof/>
                <w:lang w:eastAsia="ja-JP"/>
              </w:rPr>
              <w:t>)</w:t>
            </w:r>
          </w:p>
        </w:tc>
        <w:tc>
          <w:tcPr>
            <w:tcW w:w="503" w:type="dxa"/>
          </w:tcPr>
          <w:p w14:paraId="1FCE11FD" w14:textId="77777777" w:rsidR="0011574B" w:rsidRPr="00794950" w:rsidRDefault="0011574B" w:rsidP="00F702FE">
            <w:pPr>
              <w:pStyle w:val="Tabletext"/>
              <w:cnfStyle w:val="000000000000" w:firstRow="0" w:lastRow="0" w:firstColumn="0" w:lastColumn="0" w:oddVBand="0" w:evenVBand="0" w:oddHBand="0" w:evenHBand="0" w:firstRowFirstColumn="0" w:firstRowLastColumn="0" w:lastRowFirstColumn="0" w:lastRowLastColumn="0"/>
              <w:rPr>
                <w:noProof/>
                <w:lang w:eastAsia="ja-JP"/>
              </w:rPr>
            </w:pPr>
            <w:r w:rsidRPr="00794950">
              <w:rPr>
                <w:noProof/>
                <w:lang w:eastAsia="ja-JP"/>
              </w:rPr>
              <mc:AlternateContent>
                <mc:Choice Requires="wps">
                  <w:drawing>
                    <wp:anchor distT="0" distB="0" distL="114300" distR="114300" simplePos="0" relativeHeight="251660288" behindDoc="0" locked="0" layoutInCell="1" allowOverlap="1" wp14:anchorId="12E511FC" wp14:editId="51530729">
                      <wp:simplePos x="0" y="0"/>
                      <wp:positionH relativeFrom="column">
                        <wp:posOffset>-10795</wp:posOffset>
                      </wp:positionH>
                      <wp:positionV relativeFrom="paragraph">
                        <wp:posOffset>281940</wp:posOffset>
                      </wp:positionV>
                      <wp:extent cx="196850" cy="190500"/>
                      <wp:effectExtent l="0" t="0" r="0" b="0"/>
                      <wp:wrapNone/>
                      <wp:docPr id="7207" name="Up Arrow 41"/>
                      <wp:cNvGraphicFramePr/>
                      <a:graphic xmlns:a="http://schemas.openxmlformats.org/drawingml/2006/main">
                        <a:graphicData uri="http://schemas.microsoft.com/office/word/2010/wordprocessingShape">
                          <wps:wsp>
                            <wps:cNvSpPr/>
                            <wps:spPr>
                              <a:xfrm>
                                <a:off x="0" y="0"/>
                                <a:ext cx="196850" cy="190500"/>
                              </a:xfrm>
                              <a:prstGeom prst="upArrow">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DFA3EF" id="Up Arrow 41" o:spid="_x0000_s1026" type="#_x0000_t68" style="position:absolute;margin-left:-.85pt;margin-top:22.2pt;width:15.5pt;height: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EfXgIAALYEAAAOAAAAZHJzL2Uyb0RvYy54bWysVE1v2zAMvQ/YfxB0X20HST+COkWWoMOA&#10;oi3QFj0rshQbkESNUuJ0v36U7LRdt9OwiyKaFB/5+JjLq4M1bK8wdOBqXp2UnCknoenctuZPj9df&#10;zjkLUbhGGHCq5i8q8KvF50+XvZ+rCbRgGoWMkrgw733N2xj9vCiCbJUV4QS8cuTUgFZEMnFbNCh6&#10;ym5NMSnL06IHbDyCVCHQ1/Xg5IucX2sl453WQUVmak61xXxiPjfpLBaXYr5F4dtOjmWIf6jCis4R&#10;6GuqtYiC7bD7I5XtJEIAHU8k2AK07qTKPVA3Vfmhm4dWeJV7IXKCf6Up/L+08nZ/j6xran42Kc84&#10;c8LSlJ48WyJCz6ZVYqj3YU6BD/4eRyvQNbV70GjTLzXCDpnVl1dW1SEySR+ri9PzGXEvyVVdlLMy&#10;s168PfYY4jcFlqVLzXc+Y2c6xf4mRMKk6GNUggtguua6MyYbuN2sDLK9SDMuvxJCKpqe/BZmHOtr&#10;PplNCZ9JQVrTRkS6Wk/dB7flTJgtiVhGzNgOEgJlGrDXIrQDRk47QhiX/CorbSw1sTXwk24baF6I&#10;YYRBesHL647avBEh3gskrVE1tD/xjg5tgEqE8cZZC/jzb99TPEmAvJz1pF0q/8dOoOLMfHckjotq&#10;Ok1iz8Z0RpPlDN97Nu89bmdXQNRVtKle5muKj+Z41Qj2mdZsmVDJJZwk7IGo0VjFYadoUaVaLnMY&#10;CdyLeOMevEzJjzw+Hp4F+nHWkURyC0edi/mHeQ+x6aWD5S6C7rIY3nilMSeDliMPfFzktH3v7Rz1&#10;9nez+AUAAP//AwBQSwMEFAAGAAgAAAAhAPZ87jraAAAABwEAAA8AAABkcnMvZG93bnJldi54bWxM&#10;jsFuwjAQRO+V+g/WVuoNHGiAEuKgCqnqraK0H2DiJUmJ15btQPr33Z7KcTSjN6/cjrYXFwyxc6Rg&#10;Ns1AINXOdNQo+Pp8nTyDiEmT0b0jVPCDEbbV/V2pC+Ou9IGXQ2oEQygWWkGbki+kjHWLVsep80jc&#10;nVywOnEMjTRBXxlueznPsqW0uiN+aLXHXYv1+TBYBcvzm8FwCu+U+933sLB+7/YLpR4fxpcNiIRj&#10;+h/Dnz6rQ8VORzeQiaJXMJmteKkgz3MQ3M/XTyCOClacZVXKW//qFwAA//8DAFBLAQItABQABgAI&#10;AAAAIQC2gziS/gAAAOEBAAATAAAAAAAAAAAAAAAAAAAAAABbQ29udGVudF9UeXBlc10ueG1sUEsB&#10;Ai0AFAAGAAgAAAAhADj9If/WAAAAlAEAAAsAAAAAAAAAAAAAAAAALwEAAF9yZWxzLy5yZWxzUEsB&#10;Ai0AFAAGAAgAAAAhAD/mQR9eAgAAtgQAAA4AAAAAAAAAAAAAAAAALgIAAGRycy9lMm9Eb2MueG1s&#10;UEsBAi0AFAAGAAgAAAAhAPZ87jraAAAABwEAAA8AAAAAAAAAAAAAAAAAuAQAAGRycy9kb3ducmV2&#10;LnhtbFBLBQYAAAAABAAEAPMAAAC/BQAAAAA=&#10;" adj="10800" fillcolor="#00b050" stroked="f" strokeweight="2pt"/>
                  </w:pict>
                </mc:Fallback>
              </mc:AlternateContent>
            </w:r>
          </w:p>
        </w:tc>
      </w:tr>
      <w:tr w:rsidR="0011574B" w:rsidRPr="00794950" w14:paraId="22B385B2" w14:textId="77777777" w:rsidTr="00F65269">
        <w:trPr>
          <w:cnfStyle w:val="000000100000" w:firstRow="0" w:lastRow="0" w:firstColumn="0" w:lastColumn="0" w:oddVBand="0" w:evenVBand="0" w:oddHBand="1" w:evenHBand="0" w:firstRowFirstColumn="0" w:firstRowLastColumn="0" w:lastRowFirstColumn="0" w:lastRowLastColumn="0"/>
          <w:cantSplit/>
          <w:trHeight w:val="800"/>
        </w:trPr>
        <w:tc>
          <w:tcPr>
            <w:cnfStyle w:val="001000000000" w:firstRow="0" w:lastRow="0" w:firstColumn="1" w:lastColumn="0" w:oddVBand="0" w:evenVBand="0" w:oddHBand="0" w:evenHBand="0" w:firstRowFirstColumn="0" w:firstRowLastColumn="0" w:lastRowFirstColumn="0" w:lastRowLastColumn="0"/>
            <w:tcW w:w="2245" w:type="dxa"/>
          </w:tcPr>
          <w:p w14:paraId="5871744C" w14:textId="79142C44" w:rsidR="0011574B" w:rsidRPr="00794950" w:rsidRDefault="00773F66" w:rsidP="00F702FE">
            <w:pPr>
              <w:pStyle w:val="Tabletext"/>
              <w:rPr>
                <w:i/>
                <w:iCs/>
              </w:rPr>
            </w:pPr>
            <w:r w:rsidRPr="00794950">
              <w:t xml:space="preserve">Total cumulé </w:t>
            </w:r>
            <w:r w:rsidR="0011574B" w:rsidRPr="00794950">
              <w:rPr>
                <w:i/>
                <w:iCs/>
              </w:rPr>
              <w:t>(</w:t>
            </w:r>
            <w:r w:rsidRPr="00794950">
              <w:rPr>
                <w:i/>
                <w:iCs/>
              </w:rPr>
              <w:t>Augmentation nette</w:t>
            </w:r>
            <w:r w:rsidR="0011574B" w:rsidRPr="00794950">
              <w:rPr>
                <w:i/>
                <w:iCs/>
              </w:rPr>
              <w:t xml:space="preserve">) </w:t>
            </w:r>
          </w:p>
        </w:tc>
        <w:tc>
          <w:tcPr>
            <w:tcW w:w="1259" w:type="dxa"/>
            <w:vAlign w:val="center"/>
          </w:tcPr>
          <w:p w14:paraId="138763ED" w14:textId="77777777" w:rsidR="0011574B" w:rsidRPr="00794950" w:rsidRDefault="0011574B" w:rsidP="00F702FE">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794950">
              <w:rPr>
                <w:b/>
                <w:bCs/>
              </w:rPr>
              <w:t>381</w:t>
            </w:r>
          </w:p>
          <w:p w14:paraId="4C11262E" w14:textId="77777777" w:rsidR="0011574B" w:rsidRPr="00794950" w:rsidRDefault="0011574B" w:rsidP="00F702FE">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794950">
              <w:rPr>
                <w:b/>
                <w:bCs/>
                <w:color w:val="FF0000"/>
              </w:rPr>
              <w:t>-12</w:t>
            </w:r>
          </w:p>
        </w:tc>
        <w:tc>
          <w:tcPr>
            <w:tcW w:w="1122" w:type="dxa"/>
            <w:vAlign w:val="center"/>
          </w:tcPr>
          <w:p w14:paraId="48F29D8F" w14:textId="77777777" w:rsidR="0011574B" w:rsidRPr="00794950" w:rsidRDefault="0011574B" w:rsidP="00F702FE">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794950">
              <w:rPr>
                <w:b/>
                <w:bCs/>
              </w:rPr>
              <w:t>394</w:t>
            </w:r>
          </w:p>
          <w:p w14:paraId="1E93518A" w14:textId="77777777" w:rsidR="0011574B" w:rsidRPr="00794950" w:rsidRDefault="0011574B" w:rsidP="00F702FE">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794950">
              <w:rPr>
                <w:b/>
                <w:bCs/>
                <w:color w:val="00B050"/>
              </w:rPr>
              <w:t>+13</w:t>
            </w:r>
          </w:p>
        </w:tc>
        <w:tc>
          <w:tcPr>
            <w:tcW w:w="1122" w:type="dxa"/>
            <w:vAlign w:val="center"/>
          </w:tcPr>
          <w:p w14:paraId="14ABE5C4" w14:textId="77777777" w:rsidR="0011574B" w:rsidRPr="00794950" w:rsidRDefault="0011574B" w:rsidP="00F702FE">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794950">
              <w:rPr>
                <w:b/>
                <w:bCs/>
              </w:rPr>
              <w:t>414</w:t>
            </w:r>
          </w:p>
          <w:p w14:paraId="219A4062" w14:textId="77777777" w:rsidR="0011574B" w:rsidRPr="00794950" w:rsidRDefault="0011574B" w:rsidP="00F702FE">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794950">
              <w:rPr>
                <w:b/>
                <w:bCs/>
                <w:color w:val="00B050"/>
              </w:rPr>
              <w:t>+20</w:t>
            </w:r>
          </w:p>
        </w:tc>
        <w:tc>
          <w:tcPr>
            <w:tcW w:w="1260" w:type="dxa"/>
            <w:vAlign w:val="center"/>
          </w:tcPr>
          <w:p w14:paraId="35A4C193" w14:textId="77777777" w:rsidR="0011574B" w:rsidRPr="00794950" w:rsidRDefault="0011574B" w:rsidP="00F702FE">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794950">
              <w:rPr>
                <w:b/>
                <w:bCs/>
              </w:rPr>
              <w:t>452</w:t>
            </w:r>
          </w:p>
          <w:p w14:paraId="0CA2F34E" w14:textId="77777777" w:rsidR="0011574B" w:rsidRPr="00794950" w:rsidRDefault="0011574B" w:rsidP="00F702FE">
            <w:pPr>
              <w:pStyle w:val="Tabletext"/>
              <w:jc w:val="center"/>
              <w:cnfStyle w:val="000000100000" w:firstRow="0" w:lastRow="0" w:firstColumn="0" w:lastColumn="0" w:oddVBand="0" w:evenVBand="0" w:oddHBand="1" w:evenHBand="0" w:firstRowFirstColumn="0" w:firstRowLastColumn="0" w:lastRowFirstColumn="0" w:lastRowLastColumn="0"/>
              <w:rPr>
                <w:b/>
                <w:bCs/>
              </w:rPr>
            </w:pPr>
            <w:r w:rsidRPr="00794950">
              <w:rPr>
                <w:b/>
                <w:bCs/>
                <w:color w:val="00B050"/>
              </w:rPr>
              <w:t>+38</w:t>
            </w:r>
          </w:p>
        </w:tc>
        <w:tc>
          <w:tcPr>
            <w:tcW w:w="1368" w:type="dxa"/>
            <w:vAlign w:val="center"/>
          </w:tcPr>
          <w:p w14:paraId="625CB513" w14:textId="77777777" w:rsidR="0011574B" w:rsidRPr="00794950" w:rsidRDefault="0011574B" w:rsidP="00F702FE">
            <w:pPr>
              <w:pStyle w:val="Tabletext"/>
              <w:jc w:val="center"/>
              <w:cnfStyle w:val="000000100000" w:firstRow="0" w:lastRow="0" w:firstColumn="0" w:lastColumn="0" w:oddVBand="0" w:evenVBand="0" w:oddHBand="1" w:evenHBand="0" w:firstRowFirstColumn="0" w:firstRowLastColumn="0" w:lastRowFirstColumn="0" w:lastRowLastColumn="0"/>
              <w:rPr>
                <w:b/>
                <w:bCs/>
                <w:noProof/>
                <w:lang w:eastAsia="ja-JP"/>
              </w:rPr>
            </w:pPr>
            <w:r w:rsidRPr="00794950">
              <w:rPr>
                <w:b/>
                <w:bCs/>
                <w:noProof/>
                <w:lang w:eastAsia="ja-JP"/>
              </w:rPr>
              <w:t>488</w:t>
            </w:r>
          </w:p>
          <w:p w14:paraId="199B8D85" w14:textId="77777777" w:rsidR="0011574B" w:rsidRPr="00794950" w:rsidRDefault="0011574B" w:rsidP="00F702FE">
            <w:pPr>
              <w:pStyle w:val="Tabletext"/>
              <w:jc w:val="center"/>
              <w:cnfStyle w:val="000000100000" w:firstRow="0" w:lastRow="0" w:firstColumn="0" w:lastColumn="0" w:oddVBand="0" w:evenVBand="0" w:oddHBand="1" w:evenHBand="0" w:firstRowFirstColumn="0" w:firstRowLastColumn="0" w:lastRowFirstColumn="0" w:lastRowLastColumn="0"/>
              <w:rPr>
                <w:b/>
                <w:bCs/>
                <w:noProof/>
                <w:lang w:eastAsia="ja-JP"/>
              </w:rPr>
            </w:pPr>
            <w:r w:rsidRPr="00794950">
              <w:rPr>
                <w:b/>
                <w:bCs/>
                <w:noProof/>
                <w:color w:val="00B050"/>
                <w:lang w:eastAsia="ja-JP"/>
              </w:rPr>
              <w:t>+35</w:t>
            </w:r>
          </w:p>
        </w:tc>
        <w:tc>
          <w:tcPr>
            <w:tcW w:w="1464" w:type="dxa"/>
            <w:vAlign w:val="center"/>
          </w:tcPr>
          <w:p w14:paraId="7F90E534" w14:textId="77777777" w:rsidR="0011574B" w:rsidRPr="00794950" w:rsidRDefault="0011574B" w:rsidP="00F702FE">
            <w:pPr>
              <w:pStyle w:val="Tabletext"/>
              <w:jc w:val="center"/>
              <w:cnfStyle w:val="000000100000" w:firstRow="0" w:lastRow="0" w:firstColumn="0" w:lastColumn="0" w:oddVBand="0" w:evenVBand="0" w:oddHBand="1" w:evenHBand="0" w:firstRowFirstColumn="0" w:firstRowLastColumn="0" w:lastRowFirstColumn="0" w:lastRowLastColumn="0"/>
              <w:rPr>
                <w:b/>
                <w:bCs/>
                <w:noProof/>
                <w:lang w:eastAsia="ja-JP"/>
              </w:rPr>
            </w:pPr>
            <w:r w:rsidRPr="00794950">
              <w:rPr>
                <w:b/>
                <w:bCs/>
                <w:noProof/>
                <w:lang w:eastAsia="ja-JP"/>
              </w:rPr>
              <w:t>471</w:t>
            </w:r>
          </w:p>
          <w:p w14:paraId="74B5FD70" w14:textId="77777777" w:rsidR="0011574B" w:rsidRPr="00794950" w:rsidRDefault="0011574B" w:rsidP="00F702FE">
            <w:pPr>
              <w:pStyle w:val="Tabletext"/>
              <w:jc w:val="center"/>
              <w:cnfStyle w:val="000000100000" w:firstRow="0" w:lastRow="0" w:firstColumn="0" w:lastColumn="0" w:oddVBand="0" w:evenVBand="0" w:oddHBand="1" w:evenHBand="0" w:firstRowFirstColumn="0" w:firstRowLastColumn="0" w:lastRowFirstColumn="0" w:lastRowLastColumn="0"/>
              <w:rPr>
                <w:b/>
                <w:bCs/>
                <w:noProof/>
                <w:color w:val="00B050"/>
                <w:lang w:eastAsia="ja-JP"/>
              </w:rPr>
            </w:pPr>
            <w:r w:rsidRPr="00794950">
              <w:rPr>
                <w:b/>
                <w:bCs/>
                <w:noProof/>
                <w:color w:val="00B050"/>
                <w:lang w:eastAsia="ja-JP"/>
              </w:rPr>
              <w:t>+18</w:t>
            </w:r>
          </w:p>
        </w:tc>
        <w:tc>
          <w:tcPr>
            <w:tcW w:w="503" w:type="dxa"/>
          </w:tcPr>
          <w:p w14:paraId="04C8B424" w14:textId="77777777" w:rsidR="0011574B" w:rsidRPr="00794950" w:rsidRDefault="0011574B" w:rsidP="00F702FE">
            <w:pPr>
              <w:pStyle w:val="Tabletext"/>
              <w:cnfStyle w:val="000000100000" w:firstRow="0" w:lastRow="0" w:firstColumn="0" w:lastColumn="0" w:oddVBand="0" w:evenVBand="0" w:oddHBand="1" w:evenHBand="0" w:firstRowFirstColumn="0" w:firstRowLastColumn="0" w:lastRowFirstColumn="0" w:lastRowLastColumn="0"/>
              <w:rPr>
                <w:noProof/>
                <w:lang w:eastAsia="ja-JP"/>
              </w:rPr>
            </w:pPr>
            <w:r w:rsidRPr="00794950">
              <w:rPr>
                <w:noProof/>
                <w:lang w:eastAsia="ja-JP"/>
              </w:rPr>
              <mc:AlternateContent>
                <mc:Choice Requires="wps">
                  <w:drawing>
                    <wp:anchor distT="0" distB="0" distL="114300" distR="114300" simplePos="0" relativeHeight="251661312" behindDoc="0" locked="0" layoutInCell="1" allowOverlap="1" wp14:anchorId="1D43428B" wp14:editId="385C8BDD">
                      <wp:simplePos x="0" y="0"/>
                      <wp:positionH relativeFrom="column">
                        <wp:posOffset>8255</wp:posOffset>
                      </wp:positionH>
                      <wp:positionV relativeFrom="paragraph">
                        <wp:posOffset>136525</wp:posOffset>
                      </wp:positionV>
                      <wp:extent cx="196850" cy="190500"/>
                      <wp:effectExtent l="0" t="0" r="0" b="0"/>
                      <wp:wrapNone/>
                      <wp:docPr id="7217" name="Up Arrow 41"/>
                      <wp:cNvGraphicFramePr/>
                      <a:graphic xmlns:a="http://schemas.openxmlformats.org/drawingml/2006/main">
                        <a:graphicData uri="http://schemas.microsoft.com/office/word/2010/wordprocessingShape">
                          <wps:wsp>
                            <wps:cNvSpPr/>
                            <wps:spPr>
                              <a:xfrm>
                                <a:off x="0" y="0"/>
                                <a:ext cx="196850" cy="190500"/>
                              </a:xfrm>
                              <a:prstGeom prst="upArrow">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EA23E50" id="Up Arrow 41" o:spid="_x0000_s1026" type="#_x0000_t68" style="position:absolute;margin-left:.65pt;margin-top:10.75pt;width:15.5pt;height: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6ciXgIAALYEAAAOAAAAZHJzL2Uyb0RvYy54bWysVE1v2zAMvQ/YfxB0X20HST+COkWWoMOA&#10;oi3QFj0rshQbkESNUuJ0v36U7LRdt9Owi0KaFB/59JjLq4M1bK8wdOBqXp2UnCknoenctuZPj9df&#10;zjkLUbhGGHCq5i8q8KvF50+XvZ+rCbRgGoWMirgw733N2xj9vCiCbJUV4QS8chTUgFZEcnFbNCh6&#10;qm5NMSnL06IHbDyCVCHQ1/UQ5ItcX2sl453WQUVmak69xXxiPjfpLBaXYr5F4dtOjm2If+jCis4R&#10;6GuptYiC7bD7o5TtJEIAHU8k2AK07qTKM9A0VflhmodWeJVnIXKCf6Up/L+y8nZ/j6xran42qc44&#10;c8LSKz15tkSEnk2rxFDvw5wSH/w9jl4gM4170GjTLw3CDpnVl1dW1SEySR+ri9PzGXEvKVRdlLMy&#10;s168XfYY4jcFliWj5jufsTOdYn8TImFS9jErwQUwXXPdGZMd3G5WBtlepDcuvxJCapqu/JZmHOtr&#10;PplNCZ9JQVrTRkQyrafpg9tyJsyWRCwjZmwHCYEqDdhrEdoBI5cdIYxLcZWVNraa2Br4SdYGmhdi&#10;GGGQXvDyuqMxb0SI9wJJa9QN7U+8o0MboBZhtDhrAX/+7XvKJwlQlLOetEvt/9gJVJyZ747EcVFN&#10;p0ns2ZnOzibk4PvI5n3E7ewKiLqKNtXLbKb8aI6mRrDPtGbLhEoh4SRhD0SNzioOO0WLKtVymdNI&#10;4F7EG/fgZSp+5PHx8CzQj28dSSS3cNS5mH947yE33XSw3EXQXRbDG6/0zMmh5cgPPi5y2r73fs56&#10;+7tZ/AIAAP//AwBQSwMEFAAGAAgAAAAhAAezKYfXAAAABgEAAA8AAABkcnMvZG93bnJldi54bWxM&#10;jsFuwjAQRO+V+g/WVuqtOIQGoTQOqpCq3hAFPsDES5ISry3bgfD33Z7a49OMZl61nuwgrhhi70jB&#10;fJaBQGqc6alVcDx8vKxAxKTJ6MERKrhjhHX9+FDp0rgbfeF1n1rBIxRLraBLyZdSxqZDq+PMeSTO&#10;zi5YnRhDK03QNx63g8yzbCmt7okfOu1x02Fz2Y9WwfLyaTCcw5Ze/eZ7LKzfuV2h1PPT9P4GIuGU&#10;/srwq8/qULPTyY1kohiYF1xUkM8LEBwvcuaTgoJZ1pX8r1//AAAA//8DAFBLAQItABQABgAIAAAA&#10;IQC2gziS/gAAAOEBAAATAAAAAAAAAAAAAAAAAAAAAABbQ29udGVudF9UeXBlc10ueG1sUEsBAi0A&#10;FAAGAAgAAAAhADj9If/WAAAAlAEAAAsAAAAAAAAAAAAAAAAALwEAAF9yZWxzLy5yZWxzUEsBAi0A&#10;FAAGAAgAAAAhADavpyJeAgAAtgQAAA4AAAAAAAAAAAAAAAAALgIAAGRycy9lMm9Eb2MueG1sUEsB&#10;Ai0AFAAGAAgAAAAhAAezKYfXAAAABgEAAA8AAAAAAAAAAAAAAAAAuAQAAGRycy9kb3ducmV2Lnht&#10;bFBLBQYAAAAABAAEAPMAAAC8BQAAAAA=&#10;" adj="10800" fillcolor="#00b050" stroked="f" strokeweight="2pt"/>
                  </w:pict>
                </mc:Fallback>
              </mc:AlternateContent>
            </w:r>
          </w:p>
        </w:tc>
      </w:tr>
    </w:tbl>
    <w:p w14:paraId="5C1CD57B" w14:textId="4E3CDA1A" w:rsidR="0011574B" w:rsidRPr="00794950" w:rsidRDefault="0011574B" w:rsidP="00F702FE">
      <w:pPr>
        <w:pStyle w:val="Tabletitle"/>
        <w:keepNext w:val="0"/>
        <w:spacing w:before="240"/>
        <w:rPr>
          <w:rFonts w:eastAsia="Calibri"/>
        </w:rPr>
      </w:pPr>
      <w:r w:rsidRPr="00794950">
        <w:rPr>
          <w:rFonts w:eastAsia="Calibri"/>
        </w:rPr>
        <w:t xml:space="preserve">Tableau 1: </w:t>
      </w:r>
      <w:r w:rsidR="009638E1" w:rsidRPr="00794950">
        <w:rPr>
          <w:rFonts w:eastAsia="Calibri"/>
        </w:rPr>
        <w:t>N</w:t>
      </w:r>
      <w:r w:rsidR="00773F66" w:rsidRPr="00794950">
        <w:rPr>
          <w:rFonts w:eastAsia="Calibri"/>
        </w:rPr>
        <w:t>ombre total de Membres du Secteur de l'UIT-T et d'Associés de l'UIT-T de 2016 à septembre 2020, y compris les chiffres estimatifs pour le reste de l'année 2020</w:t>
      </w:r>
      <w:r w:rsidR="006B5D19" w:rsidRPr="00794950">
        <w:rPr>
          <w:rFonts w:eastAsia="Calibri"/>
        </w:rPr>
        <w:t xml:space="preserve"> </w:t>
      </w:r>
    </w:p>
    <w:p w14:paraId="5936A507" w14:textId="5CE87C9B" w:rsidR="0011574B" w:rsidRPr="00794950" w:rsidRDefault="0011574B" w:rsidP="00F65269">
      <w:pPr>
        <w:pStyle w:val="Note"/>
        <w:spacing w:before="360" w:after="120"/>
        <w:rPr>
          <w:rFonts w:eastAsia="Calibri"/>
          <w:i/>
          <w:iCs/>
          <w:sz w:val="20"/>
        </w:rPr>
      </w:pPr>
      <w:r w:rsidRPr="00794950">
        <w:rPr>
          <w:rFonts w:eastAsia="Calibri"/>
          <w:i/>
          <w:iCs/>
          <w:sz w:val="20"/>
        </w:rPr>
        <w:t>*Note:</w:t>
      </w:r>
      <w:r w:rsidR="00773F66" w:rsidRPr="00794950">
        <w:t xml:space="preserve"> </w:t>
      </w:r>
      <w:r w:rsidR="00773F66" w:rsidRPr="00794950">
        <w:rPr>
          <w:rFonts w:eastAsia="Calibri"/>
          <w:i/>
          <w:iCs/>
          <w:sz w:val="20"/>
        </w:rPr>
        <w:t>La colonne "2020 (Estimation)" représente les membres qui devraient mettre fin à leur participation en 2020 ainsi que les membres potentiels qui ont officiellement engagé la procédure d'admission et doivent</w:t>
      </w:r>
      <w:r w:rsidR="006D23F4" w:rsidRPr="00794950">
        <w:rPr>
          <w:rFonts w:eastAsia="Calibri"/>
          <w:i/>
          <w:iCs/>
          <w:sz w:val="20"/>
        </w:rPr>
        <w:t xml:space="preserve"> à présent</w:t>
      </w:r>
      <w:r w:rsidR="00773F66" w:rsidRPr="00794950">
        <w:rPr>
          <w:rFonts w:eastAsia="Calibri"/>
          <w:i/>
          <w:iCs/>
          <w:sz w:val="20"/>
        </w:rPr>
        <w:t xml:space="preserve"> </w:t>
      </w:r>
      <w:r w:rsidR="00A3704D" w:rsidRPr="00794950">
        <w:rPr>
          <w:rFonts w:eastAsia="Calibri"/>
          <w:i/>
          <w:iCs/>
          <w:sz w:val="20"/>
        </w:rPr>
        <w:t xml:space="preserve">recevoir l'approbation de </w:t>
      </w:r>
      <w:r w:rsidR="00773F66" w:rsidRPr="00794950">
        <w:rPr>
          <w:rFonts w:eastAsia="Calibri"/>
          <w:i/>
          <w:iCs/>
          <w:sz w:val="20"/>
        </w:rPr>
        <w:t xml:space="preserve">leurs administrations nationales respectives. Ces chiffres ne tiennent pas compte des exclusions </w:t>
      </w:r>
      <w:r w:rsidR="009638E1" w:rsidRPr="00794950">
        <w:rPr>
          <w:rFonts w:eastAsia="Calibri"/>
          <w:i/>
          <w:iCs/>
          <w:sz w:val="20"/>
        </w:rPr>
        <w:t>possibles</w:t>
      </w:r>
      <w:r w:rsidR="00773F66" w:rsidRPr="00794950">
        <w:rPr>
          <w:rFonts w:eastAsia="Calibri"/>
          <w:i/>
          <w:iCs/>
          <w:sz w:val="20"/>
        </w:rPr>
        <w:t xml:space="preserve"> et des admissions</w:t>
      </w:r>
      <w:r w:rsidR="006D23F4" w:rsidRPr="00794950">
        <w:rPr>
          <w:rFonts w:eastAsia="Calibri"/>
          <w:i/>
          <w:iCs/>
          <w:sz w:val="20"/>
        </w:rPr>
        <w:t xml:space="preserve"> en qualité de Mem</w:t>
      </w:r>
      <w:r w:rsidR="009638E1" w:rsidRPr="00794950">
        <w:rPr>
          <w:rFonts w:eastAsia="Calibri"/>
          <w:i/>
          <w:iCs/>
          <w:sz w:val="20"/>
        </w:rPr>
        <w:t>bres</w:t>
      </w:r>
      <w:r w:rsidR="00773F66" w:rsidRPr="00794950">
        <w:rPr>
          <w:rFonts w:eastAsia="Calibri"/>
          <w:i/>
          <w:iCs/>
          <w:sz w:val="20"/>
        </w:rPr>
        <w:t xml:space="preserve"> </w:t>
      </w:r>
      <w:r w:rsidR="006D23F4" w:rsidRPr="00794950">
        <w:rPr>
          <w:rFonts w:eastAsia="Calibri"/>
          <w:i/>
          <w:iCs/>
          <w:sz w:val="20"/>
        </w:rPr>
        <w:t xml:space="preserve">exonérés de toute contribution financière, </w:t>
      </w:r>
      <w:r w:rsidR="00773F66" w:rsidRPr="00794950">
        <w:rPr>
          <w:rFonts w:eastAsia="Calibri"/>
          <w:i/>
          <w:iCs/>
          <w:sz w:val="20"/>
        </w:rPr>
        <w:t xml:space="preserve">qui seront décidées </w:t>
      </w:r>
      <w:r w:rsidR="00A3704D" w:rsidRPr="00794950">
        <w:rPr>
          <w:rFonts w:eastAsia="Calibri"/>
          <w:i/>
          <w:iCs/>
          <w:sz w:val="20"/>
        </w:rPr>
        <w:t>par le</w:t>
      </w:r>
      <w:r w:rsidR="00773F66" w:rsidRPr="00794950">
        <w:rPr>
          <w:rFonts w:eastAsia="Calibri"/>
          <w:i/>
          <w:iCs/>
          <w:sz w:val="20"/>
        </w:rPr>
        <w:t xml:space="preserve"> Conseil</w:t>
      </w:r>
      <w:r w:rsidR="00A3704D" w:rsidRPr="00794950">
        <w:rPr>
          <w:rFonts w:eastAsia="Calibri"/>
          <w:i/>
          <w:iCs/>
          <w:sz w:val="20"/>
        </w:rPr>
        <w:t xml:space="preserve"> à sa session de</w:t>
      </w:r>
      <w:r w:rsidR="00773F66" w:rsidRPr="00794950">
        <w:rPr>
          <w:rFonts w:eastAsia="Calibri"/>
          <w:i/>
          <w:iCs/>
          <w:sz w:val="20"/>
        </w:rPr>
        <w:t xml:space="preserve"> 2020.</w:t>
      </w:r>
      <w:r w:rsidR="006D23F4" w:rsidRPr="00794950">
        <w:rPr>
          <w:rFonts w:eastAsia="Calibri"/>
          <w:i/>
          <w:iCs/>
          <w:sz w:val="20"/>
        </w:rPr>
        <w:t xml:space="preserve"> </w:t>
      </w:r>
    </w:p>
    <w:p w14:paraId="2065D31D" w14:textId="23F06933" w:rsidR="0011574B" w:rsidRPr="00794950" w:rsidRDefault="00AF0B22" w:rsidP="00F702FE">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color w:val="00B050"/>
          <w:szCs w:val="24"/>
        </w:rPr>
      </w:pPr>
      <w:r w:rsidRPr="00794950">
        <w:rPr>
          <w:rFonts w:asciiTheme="minorHAnsi" w:hAnsiTheme="minorHAnsi" w:cstheme="minorHAnsi"/>
          <w:noProof/>
          <w:color w:val="00B050"/>
          <w:szCs w:val="24"/>
        </w:rPr>
        <mc:AlternateContent>
          <mc:Choice Requires="wps">
            <w:drawing>
              <wp:anchor distT="0" distB="0" distL="114300" distR="114300" simplePos="0" relativeHeight="251668480" behindDoc="0" locked="0" layoutInCell="1" allowOverlap="1" wp14:anchorId="477E34F0" wp14:editId="1D5ACB7D">
                <wp:simplePos x="0" y="0"/>
                <wp:positionH relativeFrom="column">
                  <wp:posOffset>3498850</wp:posOffset>
                </wp:positionH>
                <wp:positionV relativeFrom="paragraph">
                  <wp:posOffset>128905</wp:posOffset>
                </wp:positionV>
                <wp:extent cx="2343150" cy="412750"/>
                <wp:effectExtent l="0" t="0" r="0" b="6350"/>
                <wp:wrapNone/>
                <wp:docPr id="9" name="Text Box 9"/>
                <wp:cNvGraphicFramePr/>
                <a:graphic xmlns:a="http://schemas.openxmlformats.org/drawingml/2006/main">
                  <a:graphicData uri="http://schemas.microsoft.com/office/word/2010/wordprocessingShape">
                    <wps:wsp>
                      <wps:cNvSpPr txBox="1"/>
                      <wps:spPr>
                        <a:xfrm>
                          <a:off x="0" y="0"/>
                          <a:ext cx="2343150" cy="412750"/>
                        </a:xfrm>
                        <a:prstGeom prst="rect">
                          <a:avLst/>
                        </a:prstGeom>
                        <a:solidFill>
                          <a:schemeClr val="lt1"/>
                        </a:solidFill>
                        <a:ln w="6350">
                          <a:noFill/>
                        </a:ln>
                      </wps:spPr>
                      <wps:txbx>
                        <w:txbxContent>
                          <w:p w14:paraId="17850D47" w14:textId="4AEB7BB7" w:rsidR="00AF0B22" w:rsidRPr="004F2870" w:rsidRDefault="00AF0B22" w:rsidP="004F2870">
                            <w:pPr>
                              <w:jc w:val="center"/>
                              <w:rPr>
                                <w:sz w:val="20"/>
                                <w:lang w:val="fr-CH"/>
                              </w:rPr>
                            </w:pPr>
                            <w:r w:rsidRPr="004F2870">
                              <w:rPr>
                                <w:sz w:val="20"/>
                              </w:rPr>
                              <w:t>Produits réels provenant des Associés</w:t>
                            </w:r>
                            <w:r w:rsidRPr="004F2870">
                              <w:rPr>
                                <w:sz w:val="20"/>
                                <w:lang w:val="fr-CH"/>
                              </w:rPr>
                              <w:t xml:space="preserve"> de l'UIT-T</w:t>
                            </w:r>
                            <w:r w:rsidRPr="004F2870">
                              <w:rPr>
                                <w:sz w:val="20"/>
                              </w:rPr>
                              <w:t xml:space="preserve"> – milliers CHF</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77E34F0" id="_x0000_t202" coordsize="21600,21600" o:spt="202" path="m,l,21600r21600,l21600,xe">
                <v:stroke joinstyle="miter"/>
                <v:path gradientshapeok="t" o:connecttype="rect"/>
              </v:shapetype>
              <v:shape id="Text Box 9" o:spid="_x0000_s1026" type="#_x0000_t202" style="position:absolute;left:0;text-align:left;margin-left:275.5pt;margin-top:10.15pt;width:184.5pt;height:3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tgqOgIAAHAEAAAOAAAAZHJzL2Uyb0RvYy54bWysVE1v2zAMvQ/YfxB0X5yPrmuDOEWWIsOA&#10;oi2QDD0rspwYkEVNUmJnv35Pcpxu3U7DLjJFUo/kI+nZXVtrdlTOV2RyPhoMOVNGUlGZXc6/bVYf&#10;bjjzQZhCaDIq5yfl+d38/btZY6dqTHvShXIMIMZPG5vzfQh2mmVe7lUt/ICsMjCW5GoRcHW7rHCi&#10;AXqts/FweJ015ArrSCrvob3vjHye8MtSyfBUll4FpnOO3EI6XTq38czmMzHdOWH3lTynIf4hi1pU&#10;BkEvUPciCHZw1R9QdSUdeSrDQFKdUVlWUqUaUM1o+Kaa9V5YlWoBOd5eaPL/D1Y+Hp8dq4qc33Jm&#10;RI0WbVQb2Gdq2W1kp7F+Cqe1hVtooUaXe72HMhbdlq6OX5TDYAfPpwu3EUxCOZ5cTUYfYZKwXY3G&#10;nyADPnt9bZ0PXxTVLAo5d+hdolQcH3zoXHuXGMyTropVpXW6xHlRS+3YUaDTOqQcAf6blzasyfn1&#10;BKHjI0PxeYesDXKJtXY1RSm02zYxM+nr3VJxAg2OujHyVq4q5PogfHgWDnOD8rAL4QlHqQmx6Cxx&#10;tif342/66I92wspZgznMuf9+EE5xpr8aNDoObS+4Xtj2gjnUS0LBI2yZlUnEAxd0L5aO6hesyCJG&#10;gUkYiVg5D724DN02YMWkWiySE0bTivBg1lZG6MhVZH7Tvghnz+0JaOwj9RMqpm+61Pl2LC8Ogcoq&#10;tTDy2rF4phtjnYbgvIJxb369J6/XH8X8JwAAAP//AwBQSwMEFAAGAAgAAAAhAJj1rHrhAAAACQEA&#10;AA8AAABkcnMvZG93bnJldi54bWxMj8FOwzAQRO9I/IO1SFwQddqSUkKcCpA4IBUhCurZjZc41F6H&#10;2G1Tvp7lBMfVjt68KReDd2KPfWwDKRiPMhBIdTAtNQre3x4v5yBi0mS0C4QKjhhhUZ2elLow4UCv&#10;uF+lRjCEYqEV2JS6QspYW/Q6jkKHxL+P0Hud+OwbaXp9YLh3cpJlM+l1S9xgdYcPFuvtaucVzI9X&#10;zxfr2fX607083dvv5ouWW63U+dlwdwsi4ZD+wvCrz+pQsdMm7MhE4RTk+Zi3JAWTbAqCAzfcB2LD&#10;9HwKsirl/wXVDwAAAP//AwBQSwECLQAUAAYACAAAACEAtoM4kv4AAADhAQAAEwAAAAAAAAAAAAAA&#10;AAAAAAAAW0NvbnRlbnRfVHlwZXNdLnhtbFBLAQItABQABgAIAAAAIQA4/SH/1gAAAJQBAAALAAAA&#10;AAAAAAAAAAAAAC8BAABfcmVscy8ucmVsc1BLAQItABQABgAIAAAAIQC7ttgqOgIAAHAEAAAOAAAA&#10;AAAAAAAAAAAAAC4CAABkcnMvZTJvRG9jLnhtbFBLAQItABQABgAIAAAAIQCY9ax64QAAAAkBAAAP&#10;AAAAAAAAAAAAAAAAAJQEAABkcnMvZG93bnJldi54bWxQSwUGAAAAAAQABADzAAAAogUAAAAA&#10;" fillcolor="white [3201]" stroked="f" strokeweight=".5pt">
                <v:textbox inset="0,0,0,0">
                  <w:txbxContent>
                    <w:p w14:paraId="17850D47" w14:textId="4AEB7BB7" w:rsidR="00AF0B22" w:rsidRPr="004F2870" w:rsidRDefault="00AF0B22" w:rsidP="004F2870">
                      <w:pPr>
                        <w:jc w:val="center"/>
                        <w:rPr>
                          <w:sz w:val="20"/>
                          <w:lang w:val="fr-CH"/>
                        </w:rPr>
                      </w:pPr>
                      <w:r w:rsidRPr="004F2870">
                        <w:rPr>
                          <w:sz w:val="20"/>
                        </w:rPr>
                        <w:t>Produits réels provenant des Associés</w:t>
                      </w:r>
                      <w:r w:rsidRPr="004F2870">
                        <w:rPr>
                          <w:sz w:val="20"/>
                          <w:lang w:val="fr-CH"/>
                        </w:rPr>
                        <w:t xml:space="preserve"> de l'UIT-T</w:t>
                      </w:r>
                      <w:r w:rsidRPr="004F2870">
                        <w:rPr>
                          <w:sz w:val="20"/>
                        </w:rPr>
                        <w:t xml:space="preserve"> – milliers CHF</w:t>
                      </w:r>
                    </w:p>
                  </w:txbxContent>
                </v:textbox>
              </v:shape>
            </w:pict>
          </mc:Fallback>
        </mc:AlternateContent>
      </w:r>
      <w:r w:rsidR="004F2870" w:rsidRPr="00794950">
        <w:rPr>
          <w:rFonts w:asciiTheme="minorHAnsi" w:hAnsiTheme="minorHAnsi" w:cstheme="minorHAnsi"/>
          <w:noProof/>
          <w:color w:val="00B050"/>
          <w:szCs w:val="24"/>
        </w:rPr>
        <mc:AlternateContent>
          <mc:Choice Requires="wps">
            <w:drawing>
              <wp:anchor distT="0" distB="0" distL="114300" distR="114300" simplePos="0" relativeHeight="251664384" behindDoc="0" locked="0" layoutInCell="1" allowOverlap="1" wp14:anchorId="26430C98" wp14:editId="3704B7EF">
                <wp:simplePos x="0" y="0"/>
                <wp:positionH relativeFrom="column">
                  <wp:posOffset>556260</wp:posOffset>
                </wp:positionH>
                <wp:positionV relativeFrom="paragraph">
                  <wp:posOffset>1662430</wp:posOffset>
                </wp:positionV>
                <wp:extent cx="2209800" cy="279400"/>
                <wp:effectExtent l="0" t="0" r="0" b="6350"/>
                <wp:wrapNone/>
                <wp:docPr id="7" name="Text Box 7"/>
                <wp:cNvGraphicFramePr/>
                <a:graphic xmlns:a="http://schemas.openxmlformats.org/drawingml/2006/main">
                  <a:graphicData uri="http://schemas.microsoft.com/office/word/2010/wordprocessingShape">
                    <wps:wsp>
                      <wps:cNvSpPr txBox="1"/>
                      <wps:spPr>
                        <a:xfrm>
                          <a:off x="0" y="0"/>
                          <a:ext cx="2209800" cy="279400"/>
                        </a:xfrm>
                        <a:prstGeom prst="rect">
                          <a:avLst/>
                        </a:prstGeom>
                        <a:solidFill>
                          <a:schemeClr val="lt1"/>
                        </a:solidFill>
                        <a:ln w="6350">
                          <a:noFill/>
                        </a:ln>
                      </wps:spPr>
                      <wps:txbx>
                        <w:txbxContent>
                          <w:p w14:paraId="35983D86" w14:textId="77777777" w:rsidR="00AF0B22" w:rsidRPr="004F2870" w:rsidRDefault="00AF0B22" w:rsidP="004F2870">
                            <w:pPr>
                              <w:spacing w:before="0"/>
                              <w:rPr>
                                <w:sz w:val="16"/>
                                <w:szCs w:val="16"/>
                                <w:lang w:val="fr-CH"/>
                              </w:rPr>
                            </w:pPr>
                            <w:r w:rsidRPr="004F2870">
                              <w:rPr>
                                <w:sz w:val="16"/>
                                <w:szCs w:val="16"/>
                              </w:rPr>
                              <w:t xml:space="preserve">Produits réels provenant des Membres </w:t>
                            </w:r>
                            <w:r w:rsidRPr="004F2870">
                              <w:rPr>
                                <w:sz w:val="16"/>
                                <w:szCs w:val="16"/>
                                <w:lang w:val="fr-CH"/>
                              </w:rPr>
                              <w:t>du Secteur de l'UIT-T –</w:t>
                            </w:r>
                            <w:r w:rsidRPr="004F2870">
                              <w:rPr>
                                <w:sz w:val="16"/>
                                <w:szCs w:val="16"/>
                              </w:rPr>
                              <w:t xml:space="preserve"> milliers CHF</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430C98" id="Text Box 7" o:spid="_x0000_s1027" type="#_x0000_t202" style="position:absolute;left:0;text-align:left;margin-left:43.8pt;margin-top:130.9pt;width:174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WiOQIAAHAEAAAOAAAAZHJzL2Uyb0RvYy54bWysVE2P2jAQvVfqf7B8Lwm03Q9EWFFWVJXQ&#10;7kpQ7dk4NrFke1zbkNBf37FD2O22p6oXM5kZP897M8PsrjOaHIUPCmxFx6OSEmE51MruK/p9u/pw&#10;Q0mIzNZMgxUVPYlA7+bv381aNxUTaEDXwhMEsWHauoo2MbppUQTeCMPCCJywGJTgDYv46fdF7VmL&#10;6EYXk7K8KlrwtfPARQjove+DdJ7xpRQ8PkoZRCS6olhbzKfP5y6dxXzGpnvPXKP4uQz2D1UYpiw+&#10;eoG6Z5GRg1d/QBnFPQSQccTBFCCl4iJzQDbj8g2bTcOcyFxQnOAuMoX/B8sfjk+eqLqi15RYZrBF&#10;W9FF8gU6cp3UaV2YYtLGYVrs0I1dHvwBnYl0J71Jv0iHYBx1Pl20TWAcnZNJeXtTYohjbHJ9+wlt&#10;hC9ebjsf4lcBhiSjoh57lyVlx3WIfeqQkh4LoFW9UlrnjzQvYqk9OTLstI65RgT/LUtb0lb06uPn&#10;MgNbSNd7ZG2xlsS155Ss2O26rMyF7w7qE8rgoR+j4PhKYa1rFuIT8zg3SA93IT7iITXgW3C2KGnA&#10;//ybP+VjOzFKSYtzWNHw48C8oER/s9joNLSD4QdjNxj2YJaAhMe4ZY5nEy/4qAdTejDPuCKL9AqG&#10;mOX4VkXjYC5jvw24YlwsFjkJR9OxuLYbxxN0Ejgpv+2emXfn9kRs7AMME8qmb7rU56abFhaHCFLl&#10;FiZdexXPcuNY5yE4r2Dam9ffOevlj2L+CwAA//8DAFBLAwQUAAYACAAAACEAgLMEg+EAAAAKAQAA&#10;DwAAAGRycy9kb3ducmV2LnhtbEyPTU/DMAyG70j8h8hIXBBL99VVpekESByQhhAD7ew1oSlrnNJk&#10;W8evx5zG0farx89bLAfXioPpQ+NJwXiUgDBUed1QreDj/ek2AxEiksbWk1FwMgGW5eVFgbn2R3oz&#10;h3WsBUMo5KjAxtjlUobKGodh5DtDfPv0vcPIY19L3eOR4a6VkyRJpcOG+IPFzjxaU+3We6cgO81e&#10;bjbpYvPVvj4/2J/6m1Y7VOr6ari/AxHNEM9h+NNndSjZaev3pINombFIOalgko65Agdm0zlvtgqm&#10;yTwDWRbyf4XyFwAA//8DAFBLAQItABQABgAIAAAAIQC2gziS/gAAAOEBAAATAAAAAAAAAAAAAAAA&#10;AAAAAABbQ29udGVudF9UeXBlc10ueG1sUEsBAi0AFAAGAAgAAAAhADj9If/WAAAAlAEAAAsAAAAA&#10;AAAAAAAAAAAALwEAAF9yZWxzLy5yZWxzUEsBAi0AFAAGAAgAAAAhAL6C9aI5AgAAcAQAAA4AAAAA&#10;AAAAAAAAAAAALgIAAGRycy9lMm9Eb2MueG1sUEsBAi0AFAAGAAgAAAAhAICzBIPhAAAACgEAAA8A&#10;AAAAAAAAAAAAAAAAkwQAAGRycy9kb3ducmV2LnhtbFBLBQYAAAAABAAEAPMAAAChBQAAAAA=&#10;" fillcolor="white [3201]" stroked="f" strokeweight=".5pt">
                <v:textbox inset="0,0,0,0">
                  <w:txbxContent>
                    <w:p w14:paraId="35983D86" w14:textId="77777777" w:rsidR="00AF0B22" w:rsidRPr="004F2870" w:rsidRDefault="00AF0B22" w:rsidP="004F2870">
                      <w:pPr>
                        <w:spacing w:before="0"/>
                        <w:rPr>
                          <w:sz w:val="16"/>
                          <w:szCs w:val="16"/>
                          <w:lang w:val="fr-CH"/>
                        </w:rPr>
                      </w:pPr>
                      <w:r w:rsidRPr="004F2870">
                        <w:rPr>
                          <w:sz w:val="16"/>
                          <w:szCs w:val="16"/>
                        </w:rPr>
                        <w:t xml:space="preserve">Produits réels provenant des Membres </w:t>
                      </w:r>
                      <w:r w:rsidRPr="004F2870">
                        <w:rPr>
                          <w:sz w:val="16"/>
                          <w:szCs w:val="16"/>
                          <w:lang w:val="fr-CH"/>
                        </w:rPr>
                        <w:t>du Secteur de l'UIT-T –</w:t>
                      </w:r>
                      <w:r w:rsidRPr="004F2870">
                        <w:rPr>
                          <w:sz w:val="16"/>
                          <w:szCs w:val="16"/>
                        </w:rPr>
                        <w:t xml:space="preserve"> milliers CHF</w:t>
                      </w:r>
                    </w:p>
                  </w:txbxContent>
                </v:textbox>
              </v:shape>
            </w:pict>
          </mc:Fallback>
        </mc:AlternateContent>
      </w:r>
      <w:r w:rsidR="004F2870" w:rsidRPr="00794950">
        <w:rPr>
          <w:rFonts w:asciiTheme="minorHAnsi" w:hAnsiTheme="minorHAnsi" w:cstheme="minorHAnsi"/>
          <w:noProof/>
          <w:color w:val="00B050"/>
          <w:szCs w:val="24"/>
        </w:rPr>
        <mc:AlternateContent>
          <mc:Choice Requires="wps">
            <w:drawing>
              <wp:anchor distT="0" distB="0" distL="114300" distR="114300" simplePos="0" relativeHeight="251666432" behindDoc="0" locked="0" layoutInCell="1" allowOverlap="1" wp14:anchorId="64AFE909" wp14:editId="31BA62A5">
                <wp:simplePos x="0" y="0"/>
                <wp:positionH relativeFrom="column">
                  <wp:posOffset>3832860</wp:posOffset>
                </wp:positionH>
                <wp:positionV relativeFrom="paragraph">
                  <wp:posOffset>1662430</wp:posOffset>
                </wp:positionV>
                <wp:extent cx="2114550" cy="279400"/>
                <wp:effectExtent l="0" t="0" r="0" b="6350"/>
                <wp:wrapNone/>
                <wp:docPr id="8" name="Text Box 8"/>
                <wp:cNvGraphicFramePr/>
                <a:graphic xmlns:a="http://schemas.openxmlformats.org/drawingml/2006/main">
                  <a:graphicData uri="http://schemas.microsoft.com/office/word/2010/wordprocessingShape">
                    <wps:wsp>
                      <wps:cNvSpPr txBox="1"/>
                      <wps:spPr>
                        <a:xfrm>
                          <a:off x="0" y="0"/>
                          <a:ext cx="2114550" cy="279400"/>
                        </a:xfrm>
                        <a:prstGeom prst="rect">
                          <a:avLst/>
                        </a:prstGeom>
                        <a:solidFill>
                          <a:schemeClr val="lt1"/>
                        </a:solidFill>
                        <a:ln w="6350">
                          <a:noFill/>
                        </a:ln>
                      </wps:spPr>
                      <wps:txbx>
                        <w:txbxContent>
                          <w:p w14:paraId="5221B9A5" w14:textId="06DBDCBC" w:rsidR="00AF0B22" w:rsidRPr="004F2870" w:rsidRDefault="00AF0B22" w:rsidP="004F2870">
                            <w:pPr>
                              <w:spacing w:before="0"/>
                              <w:rPr>
                                <w:sz w:val="16"/>
                                <w:szCs w:val="16"/>
                                <w:lang w:val="fr-CH"/>
                              </w:rPr>
                            </w:pPr>
                            <w:r w:rsidRPr="004F2870">
                              <w:rPr>
                                <w:sz w:val="16"/>
                                <w:szCs w:val="16"/>
                              </w:rPr>
                              <w:t>Produits réels provenant des Associés</w:t>
                            </w:r>
                            <w:r w:rsidRPr="004F2870">
                              <w:rPr>
                                <w:sz w:val="16"/>
                                <w:szCs w:val="16"/>
                                <w:lang w:val="fr-CH"/>
                              </w:rPr>
                              <w:t xml:space="preserve"> de l'UIT-T</w:t>
                            </w:r>
                            <w:r w:rsidRPr="004F2870">
                              <w:rPr>
                                <w:sz w:val="16"/>
                                <w:szCs w:val="16"/>
                              </w:rPr>
                              <w:t xml:space="preserve"> – milliers CHF</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AFE909" id="Text Box 8" o:spid="_x0000_s1028" type="#_x0000_t202" style="position:absolute;left:0;text-align:left;margin-left:301.8pt;margin-top:130.9pt;width:166.5pt;height:2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OdNOgIAAHAEAAAOAAAAZHJzL2Uyb0RvYy54bWysVN9v2jAQfp+0/8Hy+wiwtusQoWJUTJNQ&#10;WwmmPhvHgUiOz7MNCfvr99khtOv2NO3FOd+d78f33WV619aaHZXzFZmcjwZDzpSRVFRml/Pvm+WH&#10;W858EKYQmozK+Ul5fjd7/27a2Ika0550oRxDEOMnjc35PgQ7yTIv96oWfkBWGRhLcrUIuLpdVjjR&#10;IHqts/FweJM15ArrSCrvob3vjHyW4pelkuGxLL0KTOcctYV0unRu45nNpmKyc8LuK3kuQ/xDFbWo&#10;DJJeQt2LINjBVX+EqivpyFMZBpLqjMqykir1gG5GwzfdrPfCqtQLwPH2ApP/f2Hlw/HJsarIOYgy&#10;ogZFG9UG9oVadhvRaayfwGlt4RZaqMFyr/dQxqbb0tXxi3YY7MD5dME2BpNQjkejq+trmCRs40+f&#10;r4YJ/OzltXU+fFVUsyjk3IG7BKk4rnxAJXDtXWIyT7oqlpXW6RLnRS20Y0cBpnVINeLFb17asCbn&#10;Nx9RRnxkKD7vImuDBLHXrqcohXbbJmTGfb9bKk6AwVE3Rt7KZYVaV8KHJ+EwN2gPuxAecZSakIvO&#10;Emd7cj//po/+oBNWzhrMYc79j4NwijP9zYDoOLS94Hph2wvmUC8IDY+wZVYmEQ9c0L1YOqqfsSLz&#10;mAUmYSRy5Tz04iJ024AVk2o+T04YTSvCyqytjKEjVhH5TfssnD3TE0DsA/UTKiZvWOp8O5Tnh0Bl&#10;lSiMuHYonuHGWCdmzysY9+b1PXm9/ChmvwAAAP//AwBQSwMEFAAGAAgAAAAhACPxME/iAAAACwEA&#10;AA8AAABkcnMvZG93bnJldi54bWxMj8FOwzAMhu9IvENkJC5oS7ZCKKXpBEgckECIDe2ctaEpS5zS&#10;ZFvH02NOcLT96ff3l4vRO7Y3Q+wCKphNBTCDdWg6bBW8rx4nObCYNDbaBTQKjibCojo9KXXRhAO+&#10;mf0ytYxCMBZagU2pLziPtTVex2noDdLtIwxeJxqHljeDPlC4d3wuhORed0gfrO7NgzX1drnzCvLj&#10;5cvFWl6vP93r0739br/weauVOj8b726BJTOmPxh+9UkdKnLahB02kTkFUmSSUAVzOaMORNxkkjYb&#10;BZm4yoFXJf/fofoBAAD//wMAUEsBAi0AFAAGAAgAAAAhALaDOJL+AAAA4QEAABMAAAAAAAAAAAAA&#10;AAAAAAAAAFtDb250ZW50X1R5cGVzXS54bWxQSwECLQAUAAYACAAAACEAOP0h/9YAAACUAQAACwAA&#10;AAAAAAAAAAAAAAAvAQAAX3JlbHMvLnJlbHNQSwECLQAUAAYACAAAACEAMZznTToCAABwBAAADgAA&#10;AAAAAAAAAAAAAAAuAgAAZHJzL2Uyb0RvYy54bWxQSwECLQAUAAYACAAAACEAI/EwT+IAAAALAQAA&#10;DwAAAAAAAAAAAAAAAACUBAAAZHJzL2Rvd25yZXYueG1sUEsFBgAAAAAEAAQA8wAAAKMFAAAAAA==&#10;" fillcolor="white [3201]" stroked="f" strokeweight=".5pt">
                <v:textbox inset="0,0,0,0">
                  <w:txbxContent>
                    <w:p w14:paraId="5221B9A5" w14:textId="06DBDCBC" w:rsidR="00AF0B22" w:rsidRPr="004F2870" w:rsidRDefault="00AF0B22" w:rsidP="004F2870">
                      <w:pPr>
                        <w:spacing w:before="0"/>
                        <w:rPr>
                          <w:sz w:val="16"/>
                          <w:szCs w:val="16"/>
                          <w:lang w:val="fr-CH"/>
                        </w:rPr>
                      </w:pPr>
                      <w:r w:rsidRPr="004F2870">
                        <w:rPr>
                          <w:sz w:val="16"/>
                          <w:szCs w:val="16"/>
                        </w:rPr>
                        <w:t>Produits réels provenant des Associés</w:t>
                      </w:r>
                      <w:r w:rsidRPr="004F2870">
                        <w:rPr>
                          <w:sz w:val="16"/>
                          <w:szCs w:val="16"/>
                          <w:lang w:val="fr-CH"/>
                        </w:rPr>
                        <w:t xml:space="preserve"> de l'UIT-T</w:t>
                      </w:r>
                      <w:r w:rsidRPr="004F2870">
                        <w:rPr>
                          <w:sz w:val="16"/>
                          <w:szCs w:val="16"/>
                        </w:rPr>
                        <w:t xml:space="preserve"> – milliers CHF</w:t>
                      </w:r>
                    </w:p>
                  </w:txbxContent>
                </v:textbox>
              </v:shape>
            </w:pict>
          </mc:Fallback>
        </mc:AlternateContent>
      </w:r>
      <w:r w:rsidR="004F2870" w:rsidRPr="00794950">
        <w:rPr>
          <w:rFonts w:asciiTheme="minorHAnsi" w:hAnsiTheme="minorHAnsi" w:cstheme="minorHAnsi"/>
          <w:noProof/>
          <w:color w:val="00B050"/>
          <w:szCs w:val="24"/>
        </w:rPr>
        <mc:AlternateContent>
          <mc:Choice Requires="wps">
            <w:drawing>
              <wp:anchor distT="0" distB="0" distL="114300" distR="114300" simplePos="0" relativeHeight="251662336" behindDoc="0" locked="0" layoutInCell="1" allowOverlap="1" wp14:anchorId="3F607846" wp14:editId="3BF98FFF">
                <wp:simplePos x="0" y="0"/>
                <wp:positionH relativeFrom="column">
                  <wp:posOffset>372110</wp:posOffset>
                </wp:positionH>
                <wp:positionV relativeFrom="paragraph">
                  <wp:posOffset>87630</wp:posOffset>
                </wp:positionV>
                <wp:extent cx="2343150" cy="412750"/>
                <wp:effectExtent l="0" t="0" r="0" b="6350"/>
                <wp:wrapNone/>
                <wp:docPr id="4" name="Text Box 4"/>
                <wp:cNvGraphicFramePr/>
                <a:graphic xmlns:a="http://schemas.openxmlformats.org/drawingml/2006/main">
                  <a:graphicData uri="http://schemas.microsoft.com/office/word/2010/wordprocessingShape">
                    <wps:wsp>
                      <wps:cNvSpPr txBox="1"/>
                      <wps:spPr>
                        <a:xfrm>
                          <a:off x="0" y="0"/>
                          <a:ext cx="2343150" cy="412750"/>
                        </a:xfrm>
                        <a:prstGeom prst="rect">
                          <a:avLst/>
                        </a:prstGeom>
                        <a:solidFill>
                          <a:schemeClr val="lt1"/>
                        </a:solidFill>
                        <a:ln w="6350">
                          <a:noFill/>
                        </a:ln>
                      </wps:spPr>
                      <wps:txbx>
                        <w:txbxContent>
                          <w:p w14:paraId="090472A5" w14:textId="00B7EEC9" w:rsidR="00AF0B22" w:rsidRPr="004F2870" w:rsidRDefault="00AF0B22" w:rsidP="004F2870">
                            <w:pPr>
                              <w:jc w:val="center"/>
                              <w:rPr>
                                <w:sz w:val="20"/>
                                <w:lang w:val="fr-CH"/>
                              </w:rPr>
                            </w:pPr>
                            <w:r w:rsidRPr="004F2870">
                              <w:rPr>
                                <w:sz w:val="20"/>
                              </w:rPr>
                              <w:t xml:space="preserve">Produits réels provenant des Membres </w:t>
                            </w:r>
                            <w:r w:rsidRPr="004F2870">
                              <w:rPr>
                                <w:sz w:val="20"/>
                                <w:lang w:val="fr-CH"/>
                              </w:rPr>
                              <w:t>du Secteur de l'UIT-T –</w:t>
                            </w:r>
                            <w:r w:rsidRPr="004F2870">
                              <w:rPr>
                                <w:sz w:val="20"/>
                              </w:rPr>
                              <w:t xml:space="preserve"> milliers CHF</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607846" id="Text Box 4" o:spid="_x0000_s1029" type="#_x0000_t202" style="position:absolute;left:0;text-align:left;margin-left:29.3pt;margin-top:6.9pt;width:184.5pt;height:3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UIkNgIAAGkEAAAOAAAAZHJzL2Uyb0RvYy54bWysVE1v2zAMvQ/YfxB0X5yvdUUQp8hSZBhQ&#10;tAWSoWdFlhMDsqhJSuzs1+9JjtOt22nYRaZI6pF8JD2/a2vNTsr5ikzOR4MhZ8pIKiqzz/m37frD&#10;LWc+CFMITUbl/Kw8v1u8fzdv7EyN6UC6UI4BxPhZY3N+CMHOsszLg6qFH5BVBsaSXC0Crm6fFU40&#10;QK91Nh4Ob7KGXGEdSeU9tPedkS8SflkqGZ7K0qvAdM6RW0inS+cuntliLmZ7J+yhkpc0xD9kUYvK&#10;IOgV6l4EwY6u+gOqrqQjT2UYSKozKstKqlQDqhkN31SzOQirUi0gx9srTf7/wcrH07NjVZHzKWdG&#10;1GjRVrWBfaaWTSM7jfUzOG0s3EILNbrc6z2Usei2dHX8ohwGO3g+X7mNYBLK8WQ6GX2EScI2HY0/&#10;QQZ89vraOh++KKpZFHLu0LtEqTg9+NC59i4xmCddFetK63SJ86JW2rGTQKd1SDkC/DcvbViT85sJ&#10;QsdHhuLzDlkb5BJr7WqKUmh37YWAHRVn1O+omx9v5bpCkg/Ch2fhMDCoC0sQnnCUmhCELhJnB3I/&#10;/qaP/ugjrJw1GMCc++9H4RRn+qtBh+O09oLrhV0vmGO9IlQ6wnpZmUQ8cEH3YumofsFuLGMUmISR&#10;iJXz0Iur0K0Bdkuq5TI5YSatCA9mY2WEjiRFyrfti3D20peAjj5SP5pi9qY9nW9H7/IYqKxS7yKh&#10;HYsXnjHPqfuX3YsL8+s9eb3+IRY/AQAA//8DAFBLAwQUAAYACAAAACEAimCo898AAAAIAQAADwAA&#10;AGRycy9kb3ducmV2LnhtbEyPwU7DMBBE70j8g7VIXFDrUEpihTgVIHFAokK0qGc3NnGovQ6x26Z8&#10;PcsJjjszmn1TLUbv2MEMsQso4XqaATPYBN1hK+F9/TQRwGJSqJULaCScTIRFfX5WqVKHI76Zwyq1&#10;jEowlkqCTakvOY+NNV7FaegNkvcRBq8SnUPL9aCOVO4dn2VZzr3qkD5Y1ZtHa5rdau8liNN8ebXJ&#10;i82ne31+sN/tF77slJSXF+P9HbBkxvQXhl98QoeamLZhjzoyJ+FW5JQk/YYWkD+fFSRsJRRCAK8r&#10;/n9A/QMAAP//AwBQSwECLQAUAAYACAAAACEAtoM4kv4AAADhAQAAEwAAAAAAAAAAAAAAAAAAAAAA&#10;W0NvbnRlbnRfVHlwZXNdLnhtbFBLAQItABQABgAIAAAAIQA4/SH/1gAAAJQBAAALAAAAAAAAAAAA&#10;AAAAAC8BAABfcmVscy8ucmVsc1BLAQItABQABgAIAAAAIQCNMUIkNgIAAGkEAAAOAAAAAAAAAAAA&#10;AAAAAC4CAABkcnMvZTJvRG9jLnhtbFBLAQItABQABgAIAAAAIQCKYKjz3wAAAAgBAAAPAAAAAAAA&#10;AAAAAAAAAJAEAABkcnMvZG93bnJldi54bWxQSwUGAAAAAAQABADzAAAAnAUAAAAA&#10;" fillcolor="white [3201]" stroked="f" strokeweight=".5pt">
                <v:textbox inset="0,0,0,0">
                  <w:txbxContent>
                    <w:p w14:paraId="090472A5" w14:textId="00B7EEC9" w:rsidR="00AF0B22" w:rsidRPr="004F2870" w:rsidRDefault="00AF0B22" w:rsidP="004F2870">
                      <w:pPr>
                        <w:jc w:val="center"/>
                        <w:rPr>
                          <w:sz w:val="20"/>
                          <w:lang w:val="fr-CH"/>
                        </w:rPr>
                      </w:pPr>
                      <w:r w:rsidRPr="004F2870">
                        <w:rPr>
                          <w:sz w:val="20"/>
                        </w:rPr>
                        <w:t xml:space="preserve">Produits réels provenant des Membres </w:t>
                      </w:r>
                      <w:r w:rsidRPr="004F2870">
                        <w:rPr>
                          <w:sz w:val="20"/>
                          <w:lang w:val="fr-CH"/>
                        </w:rPr>
                        <w:t>du Secteur de l'UIT-T –</w:t>
                      </w:r>
                      <w:r w:rsidRPr="004F2870">
                        <w:rPr>
                          <w:sz w:val="20"/>
                        </w:rPr>
                        <w:t xml:space="preserve"> milliers CHF</w:t>
                      </w:r>
                    </w:p>
                  </w:txbxContent>
                </v:textbox>
              </v:shape>
            </w:pict>
          </mc:Fallback>
        </mc:AlternateContent>
      </w:r>
      <w:r w:rsidR="006B5D19" w:rsidRPr="00794950">
        <w:rPr>
          <w:rFonts w:asciiTheme="minorHAnsi" w:hAnsiTheme="minorHAnsi" w:cstheme="minorHAnsi"/>
          <w:color w:val="00B050"/>
          <w:szCs w:val="24"/>
        </w:rPr>
        <w:t xml:space="preserve"> </w:t>
      </w:r>
      <w:r w:rsidR="0011574B" w:rsidRPr="00794950">
        <w:rPr>
          <w:rFonts w:asciiTheme="minorHAnsi" w:hAnsiTheme="minorHAnsi" w:cstheme="minorHAnsi"/>
          <w:color w:val="00B050"/>
          <w:szCs w:val="24"/>
        </w:rPr>
        <w:t xml:space="preserve"> </w:t>
      </w:r>
      <w:r w:rsidR="0011574B" w:rsidRPr="00794950">
        <w:rPr>
          <w:rFonts w:asciiTheme="minorHAnsi" w:hAnsiTheme="minorHAnsi" w:cstheme="minorHAnsi"/>
          <w:noProof/>
          <w:color w:val="00B050"/>
          <w:szCs w:val="24"/>
        </w:rPr>
        <w:drawing>
          <wp:inline distT="0" distB="0" distL="0" distR="0" wp14:anchorId="516E6E0F" wp14:editId="148107F3">
            <wp:extent cx="2825750" cy="2000250"/>
            <wp:effectExtent l="0" t="0" r="1270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6B5D19" w:rsidRPr="00794950">
        <w:rPr>
          <w:rFonts w:asciiTheme="minorHAnsi" w:hAnsiTheme="minorHAnsi" w:cstheme="minorHAnsi"/>
          <w:color w:val="00B050"/>
          <w:szCs w:val="24"/>
        </w:rPr>
        <w:t xml:space="preserve"> </w:t>
      </w:r>
      <w:r w:rsidR="0011574B" w:rsidRPr="00794950">
        <w:rPr>
          <w:rFonts w:asciiTheme="minorHAnsi" w:hAnsiTheme="minorHAnsi" w:cstheme="minorHAnsi"/>
          <w:color w:val="00B050"/>
          <w:szCs w:val="24"/>
        </w:rPr>
        <w:t xml:space="preserve">      </w:t>
      </w:r>
      <w:r w:rsidR="0011574B" w:rsidRPr="00794950">
        <w:rPr>
          <w:rFonts w:asciiTheme="minorHAnsi" w:hAnsiTheme="minorHAnsi" w:cstheme="minorHAnsi"/>
          <w:noProof/>
          <w:color w:val="00B050"/>
          <w:szCs w:val="24"/>
        </w:rPr>
        <w:drawing>
          <wp:inline distT="0" distB="0" distL="0" distR="0" wp14:anchorId="351AA83B" wp14:editId="5AB4A6B0">
            <wp:extent cx="2895600" cy="1993900"/>
            <wp:effectExtent l="0" t="0" r="0" b="63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BAB81FD" w14:textId="77777777" w:rsidR="00AF0B22" w:rsidRPr="00794950" w:rsidRDefault="00AF0B22" w:rsidP="00AF0B22">
      <w:pPr>
        <w:rPr>
          <w:lang w:eastAsia="en-GB"/>
        </w:rPr>
      </w:pPr>
    </w:p>
    <w:tbl>
      <w:tblPr>
        <w:tblW w:w="6936" w:type="dxa"/>
        <w:jc w:val="center"/>
        <w:tblCellMar>
          <w:left w:w="0" w:type="dxa"/>
          <w:right w:w="0" w:type="dxa"/>
        </w:tblCellMar>
        <w:tblLook w:val="04A0" w:firstRow="1" w:lastRow="0" w:firstColumn="1" w:lastColumn="0" w:noHBand="0" w:noVBand="1"/>
      </w:tblPr>
      <w:tblGrid>
        <w:gridCol w:w="1266"/>
        <w:gridCol w:w="2977"/>
        <w:gridCol w:w="2693"/>
      </w:tblGrid>
      <w:tr w:rsidR="0011574B" w:rsidRPr="00794950" w14:paraId="4DA76D10" w14:textId="77777777" w:rsidTr="00C47D15">
        <w:trPr>
          <w:trHeight w:val="917"/>
          <w:jc w:val="center"/>
        </w:trPr>
        <w:tc>
          <w:tcPr>
            <w:tcW w:w="126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43E6F0E" w14:textId="4422243B" w:rsidR="0011574B" w:rsidRPr="00794950" w:rsidRDefault="00172BAC" w:rsidP="00F702FE">
            <w:pPr>
              <w:pStyle w:val="Tablehead"/>
            </w:pPr>
            <w:r w:rsidRPr="00794950">
              <w:t>Année</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A3724F4" w14:textId="1086DEA0" w:rsidR="0011574B" w:rsidRPr="00794950" w:rsidRDefault="00172BAC" w:rsidP="00F702FE">
            <w:pPr>
              <w:pStyle w:val="Tablehead"/>
            </w:pPr>
            <w:r w:rsidRPr="00794950">
              <w:t>Produits réels</w:t>
            </w:r>
            <w:r w:rsidR="006B5D19" w:rsidRPr="00794950">
              <w:t xml:space="preserve"> </w:t>
            </w:r>
            <w:r w:rsidRPr="00794950">
              <w:t>provenant des Membres du Secteur de l'UIT</w:t>
            </w:r>
            <w:r w:rsidR="004F2870" w:rsidRPr="00794950">
              <w:noBreakHyphen/>
            </w:r>
            <w:r w:rsidRPr="00794950">
              <w:t>T</w:t>
            </w:r>
            <w:r w:rsidR="004F2870" w:rsidRPr="00794950">
              <w:t xml:space="preserve"> –</w:t>
            </w:r>
            <w:r w:rsidRPr="00794950">
              <w:t xml:space="preserve"> milliers CHF</w:t>
            </w:r>
          </w:p>
        </w:tc>
        <w:tc>
          <w:tcPr>
            <w:tcW w:w="26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0919FAC" w14:textId="15CF998D" w:rsidR="0011574B" w:rsidRPr="00794950" w:rsidRDefault="00172BAC" w:rsidP="00F702FE">
            <w:pPr>
              <w:pStyle w:val="Tablehead"/>
            </w:pPr>
            <w:r w:rsidRPr="00794950">
              <w:t>Produits réels</w:t>
            </w:r>
            <w:r w:rsidR="006B5D19" w:rsidRPr="00794950">
              <w:t xml:space="preserve"> </w:t>
            </w:r>
            <w:r w:rsidRPr="00794950">
              <w:t xml:space="preserve">provenant des Associés de l'UIT-T </w:t>
            </w:r>
            <w:r w:rsidR="004F2870" w:rsidRPr="00794950">
              <w:t>–</w:t>
            </w:r>
            <w:r w:rsidRPr="00794950">
              <w:t xml:space="preserve"> milliers CHF</w:t>
            </w:r>
          </w:p>
        </w:tc>
      </w:tr>
      <w:tr w:rsidR="0011574B" w:rsidRPr="00794950" w14:paraId="1880286F" w14:textId="77777777" w:rsidTr="00C47D15">
        <w:trPr>
          <w:trHeight w:val="300"/>
          <w:jc w:val="center"/>
        </w:trPr>
        <w:tc>
          <w:tcPr>
            <w:tcW w:w="126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B0FE803" w14:textId="77777777" w:rsidR="0011574B" w:rsidRPr="00794950" w:rsidRDefault="0011574B" w:rsidP="00F702FE">
            <w:pPr>
              <w:pStyle w:val="Tabletext"/>
              <w:jc w:val="center"/>
            </w:pPr>
            <w:r w:rsidRPr="00794950">
              <w:t>2017</w:t>
            </w:r>
          </w:p>
        </w:tc>
        <w:tc>
          <w:tcPr>
            <w:tcW w:w="297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C4495D5" w14:textId="39BDF268" w:rsidR="0011574B" w:rsidRPr="00794950" w:rsidRDefault="0011574B" w:rsidP="00F702FE">
            <w:pPr>
              <w:pStyle w:val="Tabletext"/>
              <w:jc w:val="center"/>
            </w:pPr>
            <w:r w:rsidRPr="00794950">
              <w:t>6</w:t>
            </w:r>
            <w:r w:rsidR="0031580F" w:rsidRPr="00794950">
              <w:t xml:space="preserve"> </w:t>
            </w:r>
            <w:r w:rsidRPr="00794950">
              <w:t>184</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E34BE96" w14:textId="273BA5D9" w:rsidR="0011574B" w:rsidRPr="00794950" w:rsidRDefault="0011574B" w:rsidP="00F702FE">
            <w:pPr>
              <w:pStyle w:val="Tabletext"/>
              <w:jc w:val="center"/>
            </w:pPr>
            <w:r w:rsidRPr="00794950">
              <w:t>1</w:t>
            </w:r>
            <w:r w:rsidR="0031580F" w:rsidRPr="00794950">
              <w:t xml:space="preserve"> </w:t>
            </w:r>
            <w:r w:rsidRPr="00794950">
              <w:t>321</w:t>
            </w:r>
          </w:p>
        </w:tc>
      </w:tr>
      <w:tr w:rsidR="0011574B" w:rsidRPr="00794950" w14:paraId="7425F557" w14:textId="77777777" w:rsidTr="00C47D15">
        <w:trPr>
          <w:trHeight w:val="300"/>
          <w:jc w:val="center"/>
        </w:trPr>
        <w:tc>
          <w:tcPr>
            <w:tcW w:w="126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79BD6AF" w14:textId="77777777" w:rsidR="0011574B" w:rsidRPr="00794950" w:rsidRDefault="0011574B" w:rsidP="00F702FE">
            <w:pPr>
              <w:pStyle w:val="Tabletext"/>
              <w:jc w:val="center"/>
            </w:pPr>
            <w:r w:rsidRPr="00794950">
              <w:t>2018</w:t>
            </w:r>
          </w:p>
        </w:tc>
        <w:tc>
          <w:tcPr>
            <w:tcW w:w="297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087BF6F" w14:textId="4A7B548F" w:rsidR="0011574B" w:rsidRPr="00794950" w:rsidRDefault="0011574B" w:rsidP="00F702FE">
            <w:pPr>
              <w:pStyle w:val="Tabletext"/>
              <w:jc w:val="center"/>
            </w:pPr>
            <w:r w:rsidRPr="00794950">
              <w:t>6</w:t>
            </w:r>
            <w:r w:rsidR="0031580F" w:rsidRPr="00794950">
              <w:t xml:space="preserve"> </w:t>
            </w:r>
            <w:r w:rsidRPr="00794950">
              <w:t>218</w:t>
            </w:r>
          </w:p>
        </w:tc>
        <w:tc>
          <w:tcPr>
            <w:tcW w:w="2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2C7C037" w14:textId="2316C664" w:rsidR="0011574B" w:rsidRPr="00794950" w:rsidRDefault="0011574B" w:rsidP="00F702FE">
            <w:pPr>
              <w:pStyle w:val="Tabletext"/>
              <w:jc w:val="center"/>
            </w:pPr>
            <w:r w:rsidRPr="00794950">
              <w:t>1</w:t>
            </w:r>
            <w:r w:rsidR="0031580F" w:rsidRPr="00794950">
              <w:t xml:space="preserve"> </w:t>
            </w:r>
            <w:r w:rsidRPr="00794950">
              <w:t>529</w:t>
            </w:r>
          </w:p>
        </w:tc>
      </w:tr>
      <w:tr w:rsidR="0011574B" w:rsidRPr="00794950" w14:paraId="61584FB7" w14:textId="77777777" w:rsidTr="00C47D15">
        <w:trPr>
          <w:trHeight w:val="300"/>
          <w:jc w:val="center"/>
        </w:trPr>
        <w:tc>
          <w:tcPr>
            <w:tcW w:w="126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F41FD9E" w14:textId="77777777" w:rsidR="0011574B" w:rsidRPr="00794950" w:rsidRDefault="0011574B" w:rsidP="00F702FE">
            <w:pPr>
              <w:pStyle w:val="Tabletext"/>
              <w:jc w:val="center"/>
            </w:pPr>
            <w:r w:rsidRPr="00794950">
              <w:t>2019</w:t>
            </w:r>
          </w:p>
        </w:tc>
        <w:tc>
          <w:tcPr>
            <w:tcW w:w="297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51AB8FB5" w14:textId="3F35EABF" w:rsidR="0011574B" w:rsidRPr="00794950" w:rsidRDefault="0011574B" w:rsidP="00F702FE">
            <w:pPr>
              <w:pStyle w:val="Tabletext"/>
              <w:jc w:val="center"/>
            </w:pPr>
            <w:r w:rsidRPr="00794950">
              <w:t>6</w:t>
            </w:r>
            <w:r w:rsidR="0031580F" w:rsidRPr="00794950">
              <w:t xml:space="preserve"> </w:t>
            </w:r>
            <w:r w:rsidRPr="00794950">
              <w:t>376</w:t>
            </w:r>
          </w:p>
        </w:tc>
        <w:tc>
          <w:tcPr>
            <w:tcW w:w="269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3DB4EF97" w14:textId="2857AD18" w:rsidR="0011574B" w:rsidRPr="00794950" w:rsidRDefault="0011574B" w:rsidP="00F702FE">
            <w:pPr>
              <w:pStyle w:val="Tabletext"/>
              <w:jc w:val="center"/>
            </w:pPr>
            <w:r w:rsidRPr="00794950">
              <w:t>1</w:t>
            </w:r>
            <w:r w:rsidR="0031580F" w:rsidRPr="00794950">
              <w:t xml:space="preserve"> </w:t>
            </w:r>
            <w:r w:rsidRPr="00794950">
              <w:t>784</w:t>
            </w:r>
          </w:p>
        </w:tc>
      </w:tr>
    </w:tbl>
    <w:p w14:paraId="6DC095FF" w14:textId="17A09BDE" w:rsidR="0011574B" w:rsidRPr="00794950" w:rsidRDefault="0011574B" w:rsidP="00F65269">
      <w:pPr>
        <w:pStyle w:val="Tabletitle"/>
        <w:keepNext w:val="0"/>
        <w:spacing w:before="240" w:after="360"/>
      </w:pPr>
      <w:r w:rsidRPr="00794950">
        <w:t>Table</w:t>
      </w:r>
      <w:r w:rsidR="0031580F" w:rsidRPr="00794950">
        <w:t>au</w:t>
      </w:r>
      <w:r w:rsidRPr="00794950">
        <w:t xml:space="preserve"> 2: </w:t>
      </w:r>
      <w:r w:rsidR="00172BAC" w:rsidRPr="00794950">
        <w:rPr>
          <w:color w:val="000000"/>
        </w:rPr>
        <w:t>Produits réels</w:t>
      </w:r>
      <w:r w:rsidR="006B5D19" w:rsidRPr="00794950">
        <w:rPr>
          <w:color w:val="000000"/>
        </w:rPr>
        <w:t xml:space="preserve"> </w:t>
      </w:r>
      <w:r w:rsidR="00172BAC" w:rsidRPr="00794950">
        <w:rPr>
          <w:color w:val="000000"/>
        </w:rPr>
        <w:t xml:space="preserve">provenant des Membres </w:t>
      </w:r>
      <w:r w:rsidR="00172BAC" w:rsidRPr="00794950">
        <w:rPr>
          <w:rFonts w:eastAsia="Calibri"/>
        </w:rPr>
        <w:t>du Secteur de l'UIT-T</w:t>
      </w:r>
      <w:r w:rsidR="00172BAC" w:rsidRPr="00794950">
        <w:rPr>
          <w:color w:val="000000"/>
        </w:rPr>
        <w:t xml:space="preserve"> et des </w:t>
      </w:r>
      <w:r w:rsidR="00C47D15">
        <w:rPr>
          <w:color w:val="000000"/>
        </w:rPr>
        <w:br/>
      </w:r>
      <w:r w:rsidR="00172BAC" w:rsidRPr="00794950">
        <w:rPr>
          <w:color w:val="000000"/>
        </w:rPr>
        <w:t>Associés</w:t>
      </w:r>
      <w:r w:rsidR="00172BAC" w:rsidRPr="00794950">
        <w:rPr>
          <w:rFonts w:eastAsia="Calibri"/>
        </w:rPr>
        <w:t xml:space="preserve"> de l'UIT-T</w:t>
      </w:r>
      <w:r w:rsidR="006B5D19" w:rsidRPr="00794950">
        <w:rPr>
          <w:rFonts w:eastAsia="Calibri"/>
        </w:rPr>
        <w:t xml:space="preserve"> </w:t>
      </w:r>
      <w:r w:rsidR="00172BAC" w:rsidRPr="00794950">
        <w:rPr>
          <w:bCs/>
        </w:rPr>
        <w:t>entre</w:t>
      </w:r>
      <w:r w:rsidR="00172BAC" w:rsidRPr="00794950">
        <w:t xml:space="preserve"> </w:t>
      </w:r>
      <w:r w:rsidRPr="00794950">
        <w:t>2017</w:t>
      </w:r>
      <w:r w:rsidR="00172BAC" w:rsidRPr="00794950">
        <w:t xml:space="preserve"> et</w:t>
      </w:r>
      <w:r w:rsidRPr="00794950">
        <w:t xml:space="preserve"> 2019</w:t>
      </w:r>
    </w:p>
    <w:p w14:paraId="5E3863C2" w14:textId="1D0CEEEC" w:rsidR="00E07909" w:rsidRPr="00794950" w:rsidRDefault="00E07909" w:rsidP="00F702FE">
      <w:pPr>
        <w:tabs>
          <w:tab w:val="clear" w:pos="567"/>
          <w:tab w:val="clear" w:pos="1134"/>
          <w:tab w:val="clear" w:pos="1701"/>
          <w:tab w:val="clear" w:pos="2268"/>
          <w:tab w:val="clear" w:pos="2835"/>
        </w:tabs>
      </w:pPr>
      <w:r w:rsidRPr="00794950">
        <w:lastRenderedPageBreak/>
        <w:t>1.</w:t>
      </w:r>
      <w:r w:rsidR="0031580F" w:rsidRPr="00794950">
        <w:t>6</w:t>
      </w:r>
      <w:r w:rsidRPr="00794950">
        <w:tab/>
      </w:r>
      <w:r w:rsidR="00CB4BDD" w:rsidRPr="00794950">
        <w:t xml:space="preserve">Aux termes de plusieurs </w:t>
      </w:r>
      <w:r w:rsidR="00E851E4" w:rsidRPr="00794950">
        <w:t>R</w:t>
      </w:r>
      <w:r w:rsidR="00CB4BDD" w:rsidRPr="00794950">
        <w:t>ésolutions de la Conférence de plénipotentiaires de 2018 et de l'AMNT-16, le TSB est chargé d'exécuter de nouvelles tâches</w:t>
      </w:r>
      <w:r w:rsidRPr="00794950">
        <w:t xml:space="preserve">. </w:t>
      </w:r>
      <w:r w:rsidR="00E851E4" w:rsidRPr="00794950">
        <w:t>Ainsi</w:t>
      </w:r>
      <w:r w:rsidRPr="00794950">
        <w:t xml:space="preserve">, </w:t>
      </w:r>
      <w:r w:rsidR="00511C66" w:rsidRPr="00794950">
        <w:t xml:space="preserve">le nombre de demandes </w:t>
      </w:r>
      <w:r w:rsidR="00C0691F" w:rsidRPr="00794950">
        <w:t>d'indicatifs internationaux partagés</w:t>
      </w:r>
      <w:r w:rsidR="00D70370" w:rsidRPr="00794950">
        <w:t xml:space="preserve"> </w:t>
      </w:r>
      <w:r w:rsidR="00511C66" w:rsidRPr="00794950">
        <w:t>a augmenté de manière significative</w:t>
      </w:r>
      <w:r w:rsidR="00D254D8" w:rsidRPr="00794950">
        <w:t xml:space="preserve">, </w:t>
      </w:r>
      <w:r w:rsidR="00E851E4" w:rsidRPr="00794950">
        <w:t>en raison des besoins des</w:t>
      </w:r>
      <w:r w:rsidR="00BC190D" w:rsidRPr="00794950">
        <w:t> </w:t>
      </w:r>
      <w:r w:rsidR="00C0691F" w:rsidRPr="00794950">
        <w:t>secteurs</w:t>
      </w:r>
      <w:r w:rsidR="00E851E4" w:rsidRPr="00794950">
        <w:t xml:space="preserve"> en matière d</w:t>
      </w:r>
      <w:r w:rsidR="00A54667" w:rsidRPr="00794950">
        <w:t>'</w:t>
      </w:r>
      <w:r w:rsidR="00E851E4" w:rsidRPr="00794950">
        <w:t>identifiants</w:t>
      </w:r>
      <w:r w:rsidR="00F00D96" w:rsidRPr="00794950">
        <w:t xml:space="preserve"> </w:t>
      </w:r>
      <w:r w:rsidR="00C0691F" w:rsidRPr="00794950">
        <w:t>IoT/M2M</w:t>
      </w:r>
      <w:r w:rsidR="00E851E4" w:rsidRPr="00794950">
        <w:t xml:space="preserve">. </w:t>
      </w:r>
      <w:r w:rsidR="00677237" w:rsidRPr="00794950">
        <w:t xml:space="preserve">La charge de travail du personnel du TSB </w:t>
      </w:r>
      <w:r w:rsidR="00E851E4" w:rsidRPr="00794950">
        <w:t>s</w:t>
      </w:r>
      <w:r w:rsidR="00A54667" w:rsidRPr="00794950">
        <w:t>'</w:t>
      </w:r>
      <w:r w:rsidR="00E851E4" w:rsidRPr="00794950">
        <w:t>est considérablement accrue</w:t>
      </w:r>
      <w:r w:rsidR="00F00D96" w:rsidRPr="00794950">
        <w:t>,</w:t>
      </w:r>
      <w:r w:rsidR="00E851E4" w:rsidRPr="00794950">
        <w:t xml:space="preserve"> tandis</w:t>
      </w:r>
      <w:r w:rsidR="00F00D96" w:rsidRPr="00794950">
        <w:t xml:space="preserve"> </w:t>
      </w:r>
      <w:r w:rsidR="00677237" w:rsidRPr="00794950">
        <w:t xml:space="preserve">que le nombre de postes au sein du Secteur, </w:t>
      </w:r>
      <w:r w:rsidR="00E851E4" w:rsidRPr="00794950">
        <w:t>qui s</w:t>
      </w:r>
      <w:r w:rsidR="00A54667" w:rsidRPr="00794950">
        <w:t>'</w:t>
      </w:r>
      <w:r w:rsidR="00E851E4" w:rsidRPr="00794950">
        <w:t>élève</w:t>
      </w:r>
      <w:r w:rsidR="00F00D96" w:rsidRPr="00794950">
        <w:t xml:space="preserve"> </w:t>
      </w:r>
      <w:r w:rsidR="00BC190D" w:rsidRPr="00794950">
        <w:t>à environ </w:t>
      </w:r>
      <w:r w:rsidR="00677237" w:rsidRPr="00794950">
        <w:t>65, est resté constant ces deux dernières décennies</w:t>
      </w:r>
      <w:r w:rsidRPr="00794950">
        <w:t xml:space="preserve">. </w:t>
      </w:r>
      <w:r w:rsidR="00E851E4" w:rsidRPr="00794950">
        <w:t xml:space="preserve">Cette </w:t>
      </w:r>
      <w:r w:rsidR="00820999" w:rsidRPr="00794950">
        <w:t xml:space="preserve">charge de travail </w:t>
      </w:r>
      <w:r w:rsidR="00E851E4" w:rsidRPr="00794950">
        <w:t xml:space="preserve">sans cesse plus importante </w:t>
      </w:r>
      <w:r w:rsidR="00AC0FC1" w:rsidRPr="00794950">
        <w:t xml:space="preserve">à laquelle le personnel </w:t>
      </w:r>
      <w:r w:rsidR="00C13333" w:rsidRPr="00794950">
        <w:t>est confronté</w:t>
      </w:r>
      <w:r w:rsidR="00E851E4" w:rsidRPr="00794950">
        <w:t xml:space="preserve"> se traduit par </w:t>
      </w:r>
      <w:r w:rsidR="00B46A5F" w:rsidRPr="00794950">
        <w:t xml:space="preserve">une </w:t>
      </w:r>
      <w:r w:rsidR="007548D6" w:rsidRPr="00794950">
        <w:t>hausse</w:t>
      </w:r>
      <w:r w:rsidR="00B46A5F" w:rsidRPr="00794950">
        <w:t xml:space="preserve"> du nombre</w:t>
      </w:r>
      <w:r w:rsidR="00E851E4" w:rsidRPr="00794950">
        <w:t xml:space="preserve"> d</w:t>
      </w:r>
      <w:r w:rsidR="00A54667" w:rsidRPr="00794950">
        <w:t>'</w:t>
      </w:r>
      <w:r w:rsidR="00E851E4" w:rsidRPr="00794950">
        <w:t>arrêts maladie</w:t>
      </w:r>
      <w:r w:rsidR="00F00D96" w:rsidRPr="00794950">
        <w:t xml:space="preserve"> </w:t>
      </w:r>
      <w:r w:rsidR="00B46A5F" w:rsidRPr="00794950">
        <w:t>liés au stress</w:t>
      </w:r>
      <w:r w:rsidRPr="00794950">
        <w:t xml:space="preserve">, </w:t>
      </w:r>
      <w:r w:rsidR="00B46A5F" w:rsidRPr="00794950">
        <w:t xml:space="preserve">ce qui </w:t>
      </w:r>
      <w:r w:rsidR="00083CA9" w:rsidRPr="00794950">
        <w:t>alourdit</w:t>
      </w:r>
      <w:r w:rsidR="00F00D96" w:rsidRPr="00794950">
        <w:t xml:space="preserve"> </w:t>
      </w:r>
      <w:r w:rsidR="00083CA9" w:rsidRPr="00794950">
        <w:t>la charge de travail des autres collègues</w:t>
      </w:r>
      <w:r w:rsidR="00F00D96" w:rsidRPr="00794950">
        <w:t xml:space="preserve"> </w:t>
      </w:r>
      <w:r w:rsidR="00E851E4" w:rsidRPr="00794950">
        <w:t>et entraîne une augmentation</w:t>
      </w:r>
      <w:r w:rsidR="00F00D96" w:rsidRPr="00794950">
        <w:t xml:space="preserve"> </w:t>
      </w:r>
      <w:r w:rsidR="00083CA9" w:rsidRPr="00794950">
        <w:t xml:space="preserve">encore plus </w:t>
      </w:r>
      <w:r w:rsidR="00EC04F7" w:rsidRPr="00794950">
        <w:t>forte</w:t>
      </w:r>
      <w:r w:rsidR="00083CA9" w:rsidRPr="00794950">
        <w:t xml:space="preserve"> </w:t>
      </w:r>
      <w:r w:rsidR="0089755E" w:rsidRPr="00794950">
        <w:t>du nombre</w:t>
      </w:r>
      <w:r w:rsidR="00E851E4" w:rsidRPr="00794950">
        <w:t xml:space="preserve"> d</w:t>
      </w:r>
      <w:r w:rsidR="00A54667" w:rsidRPr="00794950">
        <w:t>'</w:t>
      </w:r>
      <w:r w:rsidR="00E851E4" w:rsidRPr="00794950">
        <w:t xml:space="preserve">arrêts </w:t>
      </w:r>
      <w:r w:rsidR="00083CA9" w:rsidRPr="00794950">
        <w:t>maladie liés au stress</w:t>
      </w:r>
      <w:r w:rsidRPr="00794950">
        <w:t>.</w:t>
      </w:r>
    </w:p>
    <w:p w14:paraId="14368A96" w14:textId="1540A716" w:rsidR="0031580F" w:rsidRPr="00794950" w:rsidRDefault="0031580F" w:rsidP="00F65269">
      <w:pPr>
        <w:tabs>
          <w:tab w:val="clear" w:pos="567"/>
          <w:tab w:val="clear" w:pos="1134"/>
          <w:tab w:val="clear" w:pos="1701"/>
          <w:tab w:val="clear" w:pos="2268"/>
          <w:tab w:val="clear" w:pos="2835"/>
        </w:tabs>
        <w:spacing w:after="120"/>
      </w:pPr>
      <w:r w:rsidRPr="00794950">
        <w:t>1.7</w:t>
      </w:r>
      <w:r w:rsidRPr="00794950">
        <w:tab/>
      </w:r>
      <w:r w:rsidR="00172BAC" w:rsidRPr="00794950">
        <w:t>Il ressort d</w:t>
      </w:r>
      <w:r w:rsidR="004F2870" w:rsidRPr="00794950">
        <w:t>'</w:t>
      </w:r>
      <w:r w:rsidR="00172BAC" w:rsidRPr="00794950">
        <w:t xml:space="preserve">une enquête de l'UIT sur le bien-être menée </w:t>
      </w:r>
      <w:r w:rsidR="0022700A" w:rsidRPr="00794950">
        <w:t>entre le</w:t>
      </w:r>
      <w:r w:rsidR="00172BAC" w:rsidRPr="00794950">
        <w:t xml:space="preserve"> 7 février </w:t>
      </w:r>
      <w:r w:rsidR="0022700A" w:rsidRPr="00794950">
        <w:t>et le</w:t>
      </w:r>
      <w:r w:rsidR="00172BAC" w:rsidRPr="00794950">
        <w:t xml:space="preserve"> 30 avril 2020 (Questionnaire psychosocial de Copenhague, auquel 281 collègues de l'UIT ont répondu</w:t>
      </w:r>
      <w:r w:rsidR="009638E1" w:rsidRPr="00794950">
        <w:t xml:space="preserve"> et pour lequel </w:t>
      </w:r>
      <w:r w:rsidR="00172BAC" w:rsidRPr="00794950">
        <w:t>le taux de réponse</w:t>
      </w:r>
      <w:r w:rsidR="009638E1" w:rsidRPr="00794950">
        <w:t xml:space="preserve"> au TSB</w:t>
      </w:r>
      <w:r w:rsidR="00172BAC" w:rsidRPr="00794950">
        <w:t xml:space="preserve"> s</w:t>
      </w:r>
      <w:r w:rsidR="004F2870" w:rsidRPr="00794950">
        <w:t>'</w:t>
      </w:r>
      <w:r w:rsidR="00172BAC" w:rsidRPr="00794950">
        <w:t>est établi à 56%, ce qui est assez élevé) qu'</w:t>
      </w:r>
      <w:r w:rsidR="0022700A" w:rsidRPr="00794950">
        <w:t xml:space="preserve">au TSB, </w:t>
      </w:r>
      <w:r w:rsidR="00172BAC" w:rsidRPr="00794950">
        <w:t>environ 4</w:t>
      </w:r>
      <w:r w:rsidR="004F2870" w:rsidRPr="00794950">
        <w:t> </w:t>
      </w:r>
      <w:r w:rsidR="00172BAC" w:rsidRPr="00794950">
        <w:t xml:space="preserve">collègues </w:t>
      </w:r>
      <w:r w:rsidR="0022700A" w:rsidRPr="00794950">
        <w:t xml:space="preserve">sur 5 </w:t>
      </w:r>
      <w:r w:rsidR="00172BAC" w:rsidRPr="00794950">
        <w:t>estiment que le travail</w:t>
      </w:r>
      <w:r w:rsidR="007706E9" w:rsidRPr="00794950">
        <w:t xml:space="preserve"> demande beaucoup d</w:t>
      </w:r>
      <w:r w:rsidR="00172BAC" w:rsidRPr="00794950">
        <w:t xml:space="preserve">'énergie et a </w:t>
      </w:r>
      <w:r w:rsidR="007706E9" w:rsidRPr="00794950">
        <w:t>des</w:t>
      </w:r>
      <w:r w:rsidR="00172BAC" w:rsidRPr="00794950">
        <w:t xml:space="preserve"> effet</w:t>
      </w:r>
      <w:r w:rsidR="007706E9" w:rsidRPr="00794950">
        <w:t>s</w:t>
      </w:r>
      <w:r w:rsidR="00172BAC" w:rsidRPr="00794950">
        <w:t xml:space="preserve"> négatif</w:t>
      </w:r>
      <w:r w:rsidR="007706E9" w:rsidRPr="00794950">
        <w:t>s</w:t>
      </w:r>
      <w:r w:rsidR="00172BAC" w:rsidRPr="00794950">
        <w:t xml:space="preserve"> sur l</w:t>
      </w:r>
      <w:r w:rsidR="007706E9" w:rsidRPr="00794950">
        <w:t>a</w:t>
      </w:r>
      <w:r w:rsidR="00172BAC" w:rsidRPr="00794950">
        <w:t xml:space="preserve"> vie privée</w:t>
      </w:r>
      <w:r w:rsidR="006B5D19" w:rsidRPr="00794950">
        <w:t>;</w:t>
      </w:r>
      <w:r w:rsidR="00172BAC" w:rsidRPr="00794950">
        <w:t xml:space="preserve"> pour </w:t>
      </w:r>
      <w:r w:rsidR="007706E9" w:rsidRPr="00794950">
        <w:t xml:space="preserve">près de </w:t>
      </w:r>
      <w:r w:rsidR="00172BAC" w:rsidRPr="00794950">
        <w:t>2 collègues sur 5</w:t>
      </w:r>
      <w:r w:rsidR="007706E9" w:rsidRPr="00794950">
        <w:t xml:space="preserve"> du TSB</w:t>
      </w:r>
      <w:r w:rsidR="00172BAC" w:rsidRPr="00794950">
        <w:t xml:space="preserve">, le travail a dans une (très) large mesure </w:t>
      </w:r>
      <w:r w:rsidR="007706E9" w:rsidRPr="00794950">
        <w:t>des incidences</w:t>
      </w:r>
      <w:r w:rsidR="00172BAC" w:rsidRPr="00794950">
        <w:t xml:space="preserve"> négati</w:t>
      </w:r>
      <w:r w:rsidR="007706E9" w:rsidRPr="00794950">
        <w:t>ves</w:t>
      </w:r>
      <w:r w:rsidR="00172BAC" w:rsidRPr="00794950">
        <w:t xml:space="preserve"> sur la vie privée.</w:t>
      </w:r>
    </w:p>
    <w:p w14:paraId="2FD94D15" w14:textId="519F83D0" w:rsidR="0031580F" w:rsidRPr="00794950" w:rsidRDefault="00F65269" w:rsidP="00F702FE">
      <w:pPr>
        <w:pStyle w:val="Figure"/>
      </w:pPr>
      <w:r w:rsidRPr="00794950">
        <w:rPr>
          <w:rFonts w:asciiTheme="minorHAnsi" w:hAnsiTheme="minorHAnsi" w:cstheme="minorHAnsi"/>
          <w:noProof/>
          <w:color w:val="00B050"/>
          <w:szCs w:val="24"/>
        </w:rPr>
        <mc:AlternateContent>
          <mc:Choice Requires="wps">
            <w:drawing>
              <wp:anchor distT="0" distB="0" distL="114300" distR="114300" simplePos="0" relativeHeight="251676672" behindDoc="0" locked="0" layoutInCell="1" allowOverlap="1" wp14:anchorId="6D6BE0A7" wp14:editId="3E0D47F1">
                <wp:simplePos x="0" y="0"/>
                <wp:positionH relativeFrom="column">
                  <wp:posOffset>438785</wp:posOffset>
                </wp:positionH>
                <wp:positionV relativeFrom="paragraph">
                  <wp:posOffset>2794635</wp:posOffset>
                </wp:positionV>
                <wp:extent cx="1212850" cy="190500"/>
                <wp:effectExtent l="0" t="0" r="6350" b="0"/>
                <wp:wrapNone/>
                <wp:docPr id="13" name="Text Box 13"/>
                <wp:cNvGraphicFramePr/>
                <a:graphic xmlns:a="http://schemas.openxmlformats.org/drawingml/2006/main">
                  <a:graphicData uri="http://schemas.microsoft.com/office/word/2010/wordprocessingShape">
                    <wps:wsp>
                      <wps:cNvSpPr txBox="1"/>
                      <wps:spPr>
                        <a:xfrm>
                          <a:off x="0" y="0"/>
                          <a:ext cx="1212850" cy="190500"/>
                        </a:xfrm>
                        <a:prstGeom prst="rect">
                          <a:avLst/>
                        </a:prstGeom>
                        <a:solidFill>
                          <a:schemeClr val="lt1"/>
                        </a:solidFill>
                        <a:ln w="6350">
                          <a:noFill/>
                        </a:ln>
                      </wps:spPr>
                      <wps:txbx>
                        <w:txbxContent>
                          <w:p w14:paraId="1A19C00B" w14:textId="0846C21C" w:rsidR="00AF0B22" w:rsidRPr="004F2870" w:rsidRDefault="00AF0B22" w:rsidP="0071698B">
                            <w:pPr>
                              <w:spacing w:before="0"/>
                              <w:rPr>
                                <w:sz w:val="16"/>
                                <w:szCs w:val="16"/>
                                <w:lang w:val="fr-CH"/>
                              </w:rPr>
                            </w:pPr>
                            <w:r w:rsidRPr="0071698B">
                              <w:rPr>
                                <w:sz w:val="16"/>
                                <w:szCs w:val="16"/>
                                <w:lang w:val="fr-CH"/>
                              </w:rPr>
                              <w:t>Dans une très large mesure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6BE0A7" id="_x0000_t202" coordsize="21600,21600" o:spt="202" path="m,l,21600r21600,l21600,xe">
                <v:stroke joinstyle="miter"/>
                <v:path gradientshapeok="t" o:connecttype="rect"/>
              </v:shapetype>
              <v:shape id="Text Box 13" o:spid="_x0000_s1030" type="#_x0000_t202" style="position:absolute;left:0;text-align:left;margin-left:34.55pt;margin-top:220.05pt;width:95.5pt;height: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j5VOAIAAHIEAAAOAAAAZHJzL2Uyb0RvYy54bWysVF1v2jAUfZ+0/2D5fSRQtWoRoWJUTJNQ&#10;WwmmPhvHgUiOr2cbku7X79ghdOv2NO3F3Nzve869zO67RrOTcr4mU/DxKOdMGUllbfYF/7Zdfbrl&#10;zAdhSqHJqIK/Ks/v5x8/zFo7VRM6kC6VY0hi/LS1BT+EYKdZ5uVBNcKPyCoDY0WuEQGfbp+VTrTI&#10;3uhskuc3WUuutI6k8h7ah97I5yl/VSkZnqrKq8B0wdFbSK9L7y6+2Xwmpnsn7KGW5zbEP3TRiNqg&#10;6CXVgwiCHV39R6qmlo48VWEkqcmoqmqp0gyYZpy/m2ZzEFalWQCOtxeY/P9LKx9Pz47VJbi74syI&#10;BhxtVRfYZ+oYVMCntX4Kt42FY+igh++g91DGsbvKNfEXAzHYgfTrBd2YTcagyXhyew2ThG18l1/n&#10;Cf7sLdo6H74oalgUCu7AXgJVnNY+oBO4Di6xmCddl6ta6/QRN0YttWMnAa51SD0i4jcvbVhb8Jsr&#10;tBGDDMXwPrM2KBBn7WeKUuh2XcLmbph3R+UrYHDUL5K3clWj17Xw4Vk4bA7GwzWEJzyVJtSis8TZ&#10;gdyPv+mjPwiFlbMWm1hw//0onOJMfzWgOq7tILhB2A2COTZLwsBj3JmVSUSAC3oQK0fNC45kEavA&#10;JIxErYKHQVyG/h5wZFItFskJy2lFWJuNlTF1xCoiv+1ehLNnegKIfaRhR8X0HUu9b4/y4hioqhOF&#10;EdcexTPcWOzE7PkI4+X8+p283v4q5j8BAAD//wMAUEsDBBQABgAIAAAAIQCXho/23wAAAAoBAAAP&#10;AAAAZHJzL2Rvd25yZXYueG1sTI9BT8MwDIXvSPyHyEhcEEs3Vd0oTSdA4oAEQgy0s9eEpixxSpNt&#10;Hb8e7wS3Z7+n58/VcvRO7M0Qu0AKppMMhKEm6I5aBR/vj9cLEDEhaXSBjIKjibCsz88qLHU40JvZ&#10;r1IruIRiiQpsSn0pZWys8RgnoTfE3mcYPCYeh1bqAQ9c7p2cZVkhPXbEFyz25sGaZrvaeQWLY/5y&#10;tS7m6y/3+nRvf9pvet6iUpcX490tiGTG9BeGEz6jQ81Mm7AjHYVTUNxMOakgzzMWHJgVJ7HhzZyF&#10;rCv5/4X6FwAA//8DAFBLAQItABQABgAIAAAAIQC2gziS/gAAAOEBAAATAAAAAAAAAAAAAAAAAAAA&#10;AABbQ29udGVudF9UeXBlc10ueG1sUEsBAi0AFAAGAAgAAAAhADj9If/WAAAAlAEAAAsAAAAAAAAA&#10;AAAAAAAALwEAAF9yZWxzLy5yZWxzUEsBAi0AFAAGAAgAAAAhAImqPlU4AgAAcgQAAA4AAAAAAAAA&#10;AAAAAAAALgIAAGRycy9lMm9Eb2MueG1sUEsBAi0AFAAGAAgAAAAhAJeGj/bfAAAACgEAAA8AAAAA&#10;AAAAAAAAAAAAkgQAAGRycy9kb3ducmV2LnhtbFBLBQYAAAAABAAEAPMAAACeBQAAAAA=&#10;" fillcolor="white [3201]" stroked="f" strokeweight=".5pt">
                <v:textbox inset="0,0,0,0">
                  <w:txbxContent>
                    <w:p w14:paraId="1A19C00B" w14:textId="0846C21C" w:rsidR="00AF0B22" w:rsidRPr="004F2870" w:rsidRDefault="00AF0B22" w:rsidP="0071698B">
                      <w:pPr>
                        <w:spacing w:before="0"/>
                        <w:rPr>
                          <w:sz w:val="16"/>
                          <w:szCs w:val="16"/>
                          <w:lang w:val="fr-CH"/>
                        </w:rPr>
                      </w:pPr>
                      <w:r w:rsidRPr="0071698B">
                        <w:rPr>
                          <w:sz w:val="16"/>
                          <w:szCs w:val="16"/>
                          <w:lang w:val="fr-CH"/>
                        </w:rPr>
                        <w:t>Dans une très large mesure</w:t>
                      </w:r>
                    </w:p>
                  </w:txbxContent>
                </v:textbox>
              </v:shape>
            </w:pict>
          </mc:Fallback>
        </mc:AlternateContent>
      </w:r>
      <w:r w:rsidRPr="00794950">
        <w:rPr>
          <w:rFonts w:asciiTheme="minorHAnsi" w:hAnsiTheme="minorHAnsi" w:cstheme="minorHAnsi"/>
          <w:noProof/>
          <w:color w:val="00B050"/>
          <w:szCs w:val="24"/>
        </w:rPr>
        <mc:AlternateContent>
          <mc:Choice Requires="wps">
            <w:drawing>
              <wp:anchor distT="0" distB="0" distL="114300" distR="114300" simplePos="0" relativeHeight="251670528" behindDoc="0" locked="0" layoutInCell="1" allowOverlap="1" wp14:anchorId="4F947F1D" wp14:editId="2A1F7936">
                <wp:simplePos x="0" y="0"/>
                <wp:positionH relativeFrom="column">
                  <wp:posOffset>105410</wp:posOffset>
                </wp:positionH>
                <wp:positionV relativeFrom="paragraph">
                  <wp:posOffset>38735</wp:posOffset>
                </wp:positionV>
                <wp:extent cx="4406900" cy="4000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406900" cy="400050"/>
                        </a:xfrm>
                        <a:prstGeom prst="rect">
                          <a:avLst/>
                        </a:prstGeom>
                        <a:solidFill>
                          <a:schemeClr val="lt1"/>
                        </a:solidFill>
                        <a:ln w="6350">
                          <a:noFill/>
                        </a:ln>
                      </wps:spPr>
                      <wps:txbx>
                        <w:txbxContent>
                          <w:p w14:paraId="518CC520" w14:textId="467168F4" w:rsidR="00AF0B22" w:rsidRPr="004F2870" w:rsidRDefault="00AF0B22" w:rsidP="004F2870">
                            <w:pPr>
                              <w:spacing w:before="0"/>
                              <w:rPr>
                                <w:b/>
                                <w:bCs/>
                                <w:sz w:val="22"/>
                                <w:szCs w:val="22"/>
                                <w:lang w:val="fr-CH"/>
                              </w:rPr>
                            </w:pPr>
                            <w:r w:rsidRPr="004F2870">
                              <w:rPr>
                                <w:b/>
                                <w:bCs/>
                                <w:sz w:val="22"/>
                                <w:szCs w:val="22"/>
                                <w:lang w:val="fr-CH"/>
                              </w:rPr>
                              <w:t>Différences les plus importantes</w:t>
                            </w:r>
                          </w:p>
                          <w:p w14:paraId="07D425D2" w14:textId="63D7FD26" w:rsidR="00AF0B22" w:rsidRPr="004F2870" w:rsidRDefault="00AF0B22" w:rsidP="004F2870">
                            <w:pPr>
                              <w:spacing w:before="0"/>
                              <w:rPr>
                                <w:b/>
                                <w:bCs/>
                                <w:sz w:val="20"/>
                                <w:lang w:val="fr-CH"/>
                              </w:rPr>
                            </w:pPr>
                            <w:r w:rsidRPr="004F2870">
                              <w:rPr>
                                <w:b/>
                                <w:bCs/>
                                <w:color w:val="FF0000"/>
                                <w:sz w:val="22"/>
                                <w:szCs w:val="22"/>
                                <w:lang w:val="fr-CH"/>
                              </w:rPr>
                              <w:t xml:space="preserve">Interface domicile/travail: </w:t>
                            </w:r>
                            <w:r w:rsidRPr="004F2870">
                              <w:rPr>
                                <w:b/>
                                <w:bCs/>
                                <w:sz w:val="22"/>
                                <w:szCs w:val="22"/>
                                <w:lang w:val="fr-CH"/>
                              </w:rPr>
                              <w:t>conflit entre vie professionnelle et vie privée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947F1D" id="Text Box 10" o:spid="_x0000_s1031" type="#_x0000_t202" style="position:absolute;left:0;text-align:left;margin-left:8.3pt;margin-top:3.05pt;width:347pt;height:3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uUbOAIAAHMEAAAOAAAAZHJzL2Uyb0RvYy54bWysVMFu2zAMvQ/YPwi6L3a6LNiCOEWWIsOA&#10;oi2QDD0rspwYkEVNUmJnX78nOU63bqdhF5kiqUfykfT8tms0OynnazIFH49yzpSRVNZmX/Bv2/W7&#10;j5z5IEwpNBlV8LPy/Hbx9s28tTN1QwfSpXIMIMbPWlvwQwh2lmVeHlQj/IisMjBW5BoRcHX7rHSi&#10;BXqjs5s8n2YtudI6ksp7aO96I18k/KpSMjxWlVeB6YIjt5BOl85dPLPFXMz2TthDLS9piH/IohG1&#10;QdAr1J0Igh1d/QdUU0tHnqowktRkVFW1VKkGVDPOX1WzOQirUi0gx9srTf7/wcqH05NjdYnegR4j&#10;GvRoq7rAPlPHoAI/rfUzuG0sHEMHPXwHvYcylt1VrolfFMRgB9T5ym5Ek1BOJvn0Uw6ThG2S5/mH&#10;BJ+9vLbOhy+KGhaFgjt0L5EqTvc+IBO4Di4xmCddl+ta63SJE6NW2rGTQK91SDnixW9e2rC24NP3&#10;CB0fGYrPe2RtECDW2tcUpdDtup6ba8E7Ks/gwVE/Sd7KdY1k74UPT8JhdFAf1iE84qg0IRhdJM4O&#10;5H78TR/90VFYOWsxigX334/CKc70V4NeAzIMghuE3SCYY7MiVDzGolmZRDxwQQ9i5ah5xpYsYxSY&#10;hJGIVfAwiKvQLwS2TKrlMjlhOq0I92ZjZYSOZEXqt92zcPbSn4DOPtAwpGL2qk29b0/z8hioqlMP&#10;I7E9ixe+MdmptZctjKvz6z15vfwrFj8BAAD//wMAUEsDBBQABgAIAAAAIQBJIO1e3AAAAAcBAAAP&#10;AAAAZHJzL2Rvd25yZXYueG1sTI7BTsMwEETvSPyDtUhcUOsEobSEOBUgcUACVZSqZzde4lB7HWK3&#10;Tfl6lhMcn2Y086rF6J044BC7QAryaQYCqQmmo1bB+v1pMgcRkyajXSBUcMIIi/r8rNKlCUd6w8Mq&#10;tYJHKJZagU2pL6WMjUWv4zT0SJx9hMHrxDi00gz6yOPeyessK6TXHfGD1T0+Wmx2q71XMD/dvF5t&#10;itnm0y2fH+x3+0UvO63U5cV4fwci4Zj+yvCrz+pQs9M27MlE4ZiLgpsKihwEx7M8Y94y3+Yg60r+&#10;969/AAAA//8DAFBLAQItABQABgAIAAAAIQC2gziS/gAAAOEBAAATAAAAAAAAAAAAAAAAAAAAAABb&#10;Q29udGVudF9UeXBlc10ueG1sUEsBAi0AFAAGAAgAAAAhADj9If/WAAAAlAEAAAsAAAAAAAAAAAAA&#10;AAAALwEAAF9yZWxzLy5yZWxzUEsBAi0AFAAGAAgAAAAhAJKK5Rs4AgAAcwQAAA4AAAAAAAAAAAAA&#10;AAAALgIAAGRycy9lMm9Eb2MueG1sUEsBAi0AFAAGAAgAAAAhAEkg7V7cAAAABwEAAA8AAAAAAAAA&#10;AAAAAAAAkgQAAGRycy9kb3ducmV2LnhtbFBLBQYAAAAABAAEAPMAAACbBQAAAAA=&#10;" fillcolor="white [3201]" stroked="f" strokeweight=".5pt">
                <v:textbox inset="0,0,0,0">
                  <w:txbxContent>
                    <w:p w14:paraId="518CC520" w14:textId="467168F4" w:rsidR="00AF0B22" w:rsidRPr="004F2870" w:rsidRDefault="00AF0B22" w:rsidP="004F2870">
                      <w:pPr>
                        <w:spacing w:before="0"/>
                        <w:rPr>
                          <w:b/>
                          <w:bCs/>
                          <w:sz w:val="22"/>
                          <w:szCs w:val="22"/>
                          <w:lang w:val="fr-CH"/>
                        </w:rPr>
                      </w:pPr>
                      <w:r w:rsidRPr="004F2870">
                        <w:rPr>
                          <w:b/>
                          <w:bCs/>
                          <w:sz w:val="22"/>
                          <w:szCs w:val="22"/>
                          <w:lang w:val="fr-CH"/>
                        </w:rPr>
                        <w:t>Différences les plus importantes</w:t>
                      </w:r>
                    </w:p>
                    <w:p w14:paraId="07D425D2" w14:textId="63D7FD26" w:rsidR="00AF0B22" w:rsidRPr="004F2870" w:rsidRDefault="00AF0B22" w:rsidP="004F2870">
                      <w:pPr>
                        <w:spacing w:before="0"/>
                        <w:rPr>
                          <w:b/>
                          <w:bCs/>
                          <w:sz w:val="20"/>
                          <w:lang w:val="fr-CH"/>
                        </w:rPr>
                      </w:pPr>
                      <w:r w:rsidRPr="004F2870">
                        <w:rPr>
                          <w:b/>
                          <w:bCs/>
                          <w:color w:val="FF0000"/>
                          <w:sz w:val="22"/>
                          <w:szCs w:val="22"/>
                          <w:lang w:val="fr-CH"/>
                        </w:rPr>
                        <w:t xml:space="preserve">Interface domicile/travail: </w:t>
                      </w:r>
                      <w:r w:rsidRPr="004F2870">
                        <w:rPr>
                          <w:b/>
                          <w:bCs/>
                          <w:sz w:val="22"/>
                          <w:szCs w:val="22"/>
                          <w:lang w:val="fr-CH"/>
                        </w:rPr>
                        <w:t>conflit entre vie professionnelle et vie privée</w:t>
                      </w:r>
                    </w:p>
                  </w:txbxContent>
                </v:textbox>
              </v:shape>
            </w:pict>
          </mc:Fallback>
        </mc:AlternateContent>
      </w:r>
      <w:r w:rsidR="00AF0B22" w:rsidRPr="00794950">
        <w:rPr>
          <w:rFonts w:asciiTheme="minorHAnsi" w:hAnsiTheme="minorHAnsi" w:cstheme="minorHAnsi"/>
          <w:noProof/>
          <w:color w:val="00B050"/>
          <w:szCs w:val="24"/>
        </w:rPr>
        <mc:AlternateContent>
          <mc:Choice Requires="wps">
            <w:drawing>
              <wp:anchor distT="0" distB="0" distL="114300" distR="114300" simplePos="0" relativeHeight="251674624" behindDoc="0" locked="0" layoutInCell="1" allowOverlap="1" wp14:anchorId="3F20C1BB" wp14:editId="7D0BF606">
                <wp:simplePos x="0" y="0"/>
                <wp:positionH relativeFrom="column">
                  <wp:posOffset>-389890</wp:posOffset>
                </wp:positionH>
                <wp:positionV relativeFrom="paragraph">
                  <wp:posOffset>1718310</wp:posOffset>
                </wp:positionV>
                <wp:extent cx="800100" cy="279400"/>
                <wp:effectExtent l="0" t="0" r="0" b="6350"/>
                <wp:wrapNone/>
                <wp:docPr id="12" name="Text Box 12"/>
                <wp:cNvGraphicFramePr/>
                <a:graphic xmlns:a="http://schemas.openxmlformats.org/drawingml/2006/main">
                  <a:graphicData uri="http://schemas.microsoft.com/office/word/2010/wordprocessingShape">
                    <wps:wsp>
                      <wps:cNvSpPr txBox="1"/>
                      <wps:spPr>
                        <a:xfrm>
                          <a:off x="0" y="0"/>
                          <a:ext cx="800100" cy="279400"/>
                        </a:xfrm>
                        <a:prstGeom prst="rect">
                          <a:avLst/>
                        </a:prstGeom>
                        <a:solidFill>
                          <a:schemeClr val="lt1"/>
                        </a:solidFill>
                        <a:ln w="6350">
                          <a:noFill/>
                        </a:ln>
                      </wps:spPr>
                      <wps:txbx>
                        <w:txbxContent>
                          <w:p w14:paraId="7EFEAADC" w14:textId="68FB719C" w:rsidR="00AF0B22" w:rsidRPr="004F2870" w:rsidRDefault="00AF0B22" w:rsidP="0071698B">
                            <w:pPr>
                              <w:spacing w:before="0"/>
                              <w:jc w:val="center"/>
                              <w:rPr>
                                <w:sz w:val="16"/>
                                <w:szCs w:val="16"/>
                                <w:lang w:val="fr-CH"/>
                              </w:rPr>
                            </w:pPr>
                            <w:r w:rsidRPr="0071698B">
                              <w:rPr>
                                <w:sz w:val="16"/>
                                <w:szCs w:val="16"/>
                                <w:lang w:val="fr-CH"/>
                              </w:rPr>
                              <w:t>Secrétariat général + Telecom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20C1BB" id="Text Box 12" o:spid="_x0000_s1030" type="#_x0000_t202" style="position:absolute;left:0;text-align:left;margin-left:-30.7pt;margin-top:135.3pt;width:63pt;height:2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z0gOAIAAHEEAAAOAAAAZHJzL2Uyb0RvYy54bWysVMGO2jAQvVfqP1i+lwBt6RYRVpQVVSW0&#10;uxJUezaOA5Ecj2sbEvr1fXYIu932VPViJjPj53lvZpjdtrVmJ+V8RSbno8GQM2UkFZXZ5/z7dvXu&#10;hjMfhCmEJqNyflae387fvpk1dqrGdCBdKMcAYvy0sTk/hGCnWeblQdXCD8gqg2BJrhYBn26fFU40&#10;QK91Nh4OJ1lDrrCOpPIe3rsuyOcJvyyVDA9l6VVgOueoLaTTpXMXz2w+E9O9E/ZQyUsZ4h+qqEVl&#10;8OgV6k4EwY6u+gOqrqQjT2UYSKozKstKqsQBbEbDV2w2B2FV4gJxvL3K5P8frLw/PTpWFejdmDMj&#10;avRoq9rAvlDL4II+jfVTpG0sEkMLP3J7v4cz0m5LV8dfEGKIQ+nzVd2IJuG8GYIhIhKh8afPH2AD&#10;PXu+bJ0PXxXVLBo5d2he0lSc1j50qX1KfMuTropVpXX6iAOjltqxk0CrdUglAvy3LG1Yk/PJ+4/D&#10;BGwoXu+QtUEtkWpHKVqh3bVJmklPd0fFGSo46ubIW7mqUOta+PAoHAYH9LAM4QFHqQlv0cXi7EDu&#10;59/8MR/9RJSzBoOYc//jKJziTH8z6HSc2t5wvbHrDXOslwTCI6yZlcnEBRd0b5aO6ifsyCK+gpAw&#10;Em/lPPTmMnTrgB2TarFISZhNK8LabKyM0FHgqPy2fRLOXtoT0Nd76kdUTF91qcuNNw0tjoHKKrUw&#10;6tqpeJEbc52G4LKDcXFefqes53+K+S8AAAD//wMAUEsDBBQABgAIAAAAIQDmV/By4QAAAAoBAAAP&#10;AAAAZHJzL2Rvd25yZXYueG1sTI/BTsMwDIbvSLxDZCQuaEs7qmwqTSdA4oA0hBho56wJTVnilCbb&#10;Op4e7wQn2/Kn35+r5egdO5ghdgEl5NMMmMEm6A5bCR/vT5MFsJgUauUCGgknE2FZX15UqtThiG/m&#10;sE4toxCMpZJgU+pLzmNjjVdxGnqDtPsMg1eJxqHlelBHCveOz7JMcK86pAtW9ebRmma33nsJi1Px&#10;crMR882Xe31+sD/tN652Ssrrq/H+DlgyY/qD4axP6lCT0zbsUUfmJExEXhAqYTbPBDAiREF1K+E2&#10;p4bXFf//Qv0LAAD//wMAUEsBAi0AFAAGAAgAAAAhALaDOJL+AAAA4QEAABMAAAAAAAAAAAAAAAAA&#10;AAAAAFtDb250ZW50X1R5cGVzXS54bWxQSwECLQAUAAYACAAAACEAOP0h/9YAAACUAQAACwAAAAAA&#10;AAAAAAAAAAAvAQAAX3JlbHMvLnJlbHNQSwECLQAUAAYACAAAACEAJpM9IDgCAABxBAAADgAAAAAA&#10;AAAAAAAAAAAuAgAAZHJzL2Uyb0RvYy54bWxQSwECLQAUAAYACAAAACEA5lfwcuEAAAAKAQAADwAA&#10;AAAAAAAAAAAAAACSBAAAZHJzL2Rvd25yZXYueG1sUEsFBgAAAAAEAAQA8wAAAKAFAAAAAA==&#10;" fillcolor="white [3201]" stroked="f" strokeweight=".5pt">
                <v:textbox inset="0,0,0,0">
                  <w:txbxContent>
                    <w:p w14:paraId="7EFEAADC" w14:textId="68FB719C" w:rsidR="00AF0B22" w:rsidRPr="004F2870" w:rsidRDefault="00AF0B22" w:rsidP="0071698B">
                      <w:pPr>
                        <w:spacing w:before="0"/>
                        <w:jc w:val="center"/>
                        <w:rPr>
                          <w:sz w:val="16"/>
                          <w:szCs w:val="16"/>
                          <w:lang w:val="fr-CH"/>
                        </w:rPr>
                      </w:pPr>
                      <w:r w:rsidRPr="0071698B">
                        <w:rPr>
                          <w:sz w:val="16"/>
                          <w:szCs w:val="16"/>
                          <w:lang w:val="fr-CH"/>
                        </w:rPr>
                        <w:t>Secrétariat général + Telecom</w:t>
                      </w:r>
                    </w:p>
                  </w:txbxContent>
                </v:textbox>
              </v:shape>
            </w:pict>
          </mc:Fallback>
        </mc:AlternateContent>
      </w:r>
      <w:r w:rsidR="00AF0B22" w:rsidRPr="00794950">
        <w:rPr>
          <w:rFonts w:asciiTheme="minorHAnsi" w:hAnsiTheme="minorHAnsi" w:cstheme="minorHAnsi"/>
          <w:noProof/>
          <w:color w:val="00B050"/>
          <w:szCs w:val="24"/>
        </w:rPr>
        <mc:AlternateContent>
          <mc:Choice Requires="wps">
            <w:drawing>
              <wp:anchor distT="0" distB="0" distL="114300" distR="114300" simplePos="0" relativeHeight="251680768" behindDoc="0" locked="0" layoutInCell="1" allowOverlap="1" wp14:anchorId="0C3231CB" wp14:editId="195E002A">
                <wp:simplePos x="0" y="0"/>
                <wp:positionH relativeFrom="column">
                  <wp:posOffset>2918460</wp:posOffset>
                </wp:positionH>
                <wp:positionV relativeFrom="paragraph">
                  <wp:posOffset>2832735</wp:posOffset>
                </wp:positionV>
                <wp:extent cx="654050" cy="203200"/>
                <wp:effectExtent l="0" t="0" r="0" b="6350"/>
                <wp:wrapNone/>
                <wp:docPr id="15" name="Text Box 15"/>
                <wp:cNvGraphicFramePr/>
                <a:graphic xmlns:a="http://schemas.openxmlformats.org/drawingml/2006/main">
                  <a:graphicData uri="http://schemas.microsoft.com/office/word/2010/wordprocessingShape">
                    <wps:wsp>
                      <wps:cNvSpPr txBox="1"/>
                      <wps:spPr>
                        <a:xfrm>
                          <a:off x="0" y="0"/>
                          <a:ext cx="654050" cy="203200"/>
                        </a:xfrm>
                        <a:prstGeom prst="rect">
                          <a:avLst/>
                        </a:prstGeom>
                        <a:solidFill>
                          <a:schemeClr val="lt1"/>
                        </a:solidFill>
                        <a:ln w="6350">
                          <a:noFill/>
                        </a:ln>
                      </wps:spPr>
                      <wps:txbx>
                        <w:txbxContent>
                          <w:p w14:paraId="2F4D9186" w14:textId="3CAAC9C3" w:rsidR="00AF0B22" w:rsidRPr="004F2870" w:rsidRDefault="00AF0B22" w:rsidP="0071698B">
                            <w:pPr>
                              <w:spacing w:before="0"/>
                              <w:rPr>
                                <w:sz w:val="16"/>
                                <w:szCs w:val="16"/>
                                <w:lang w:val="fr-CH"/>
                              </w:rPr>
                            </w:pPr>
                            <w:r w:rsidRPr="0071698B">
                              <w:rPr>
                                <w:sz w:val="16"/>
                                <w:szCs w:val="16"/>
                                <w:lang w:val="fr-CH"/>
                              </w:rPr>
                              <w:t>Un peu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3231CB" id="Text Box 15" o:spid="_x0000_s1031" type="#_x0000_t202" style="position:absolute;left:0;text-align:left;margin-left:229.8pt;margin-top:223.05pt;width:51.5pt;height:1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SJ6NwIAAHEEAAAOAAAAZHJzL2Uyb0RvYy54bWysVMGO2jAQvVfqP1i+lwBbVl1EWFFWVJXQ&#10;7kpQ7dk4DkRyPK5tSOjX99khbLvtqerFTGbG43nvzTC7b2vNTsr5ikzOR4MhZ8pIKiqzz/m37erD&#10;J858EKYQmozK+Vl5fj9//27W2Kka04F0oRxDEeOnjc35IQQ7zTIvD6oWfkBWGQRLcrUI+HT7rHCi&#10;QfVaZ+Ph8DZryBXWkVTew/vQBfk81S9LJcNTWXoVmM45egvpdOncxTObz8R074Q9VPLShviHLmpR&#10;GTx6LfUggmBHV/1Rqq6kI09lGEiqMyrLSqqEAWhGwzdoNgdhVcICcry90uT/X1n5eHp2rCqg3YQz&#10;I2potFVtYJ+pZXCBn8b6KdI2FomhhR+5vd/DGWG3pavjLwAxxMH0+cpurCbhvJ18HE4QkQiNhzdQ&#10;L1bJXi9b58MXRTWLRs4dxEucitPahy61T4lvedJVsaq0Th9xYNRSO3YSkFqH1CKK/5alDWvQyA3a&#10;iJcMxetdZW3QS4TaQYpWaHdtouauh7uj4gwWHHVz5K1cVeh1LXx4Fg6DA3hYhvCEo9SEt+hicXYg&#10;9+Nv/pgPPRHlrMEg5tx/PwqnONNfDZSOU9sbrjd2vWGO9ZIAeIQ1szKZuOCC7s3SUf2CHVnEVxAS&#10;RuKtnIfeXIZuHbBjUi0WKQmzaUVYm42VsXTkKjK/bV+Esxd5AnR9pH5ExfSNSl1ux/LiGKiskoSR&#10;147FC92Y6zQElx2Mi/Prd8p6/aeY/wQAAP//AwBQSwMEFAAGAAgAAAAhANpNO17jAAAACwEAAA8A&#10;AABkcnMvZG93bnJldi54bWxMj8FOwzAQRO9I/IO1SFxQ66RK3RDiVIDEAYkK0aKe3djEofE6xG6b&#10;8vUsJ7jtzoxm35bL0XXsaIbQepSQThNgBmuvW2wkvG+eJjmwEBVq1Xk0Es4mwLK6vChVof0J38xx&#10;HRtGJRgKJcHG2Bech9oap8LU9wbJ+/CDU5HWoeF6UCcqdx2fJYngTrVIF6zqzaM19X59cBLyc7a6&#10;2YrF9rN7fX6w380XvuyVlNdX4/0dsGjG+BeGX3xCh4qYdv6AOrBOQja/FRSlIRMpMErMxYyUHSmL&#10;PAVelfz/D9UPAAAA//8DAFBLAQItABQABgAIAAAAIQC2gziS/gAAAOEBAAATAAAAAAAAAAAAAAAA&#10;AAAAAABbQ29udGVudF9UeXBlc10ueG1sUEsBAi0AFAAGAAgAAAAhADj9If/WAAAAlAEAAAsAAAAA&#10;AAAAAAAAAAAALwEAAF9yZWxzLy5yZWxzUEsBAi0AFAAGAAgAAAAhADJBIno3AgAAcQQAAA4AAAAA&#10;AAAAAAAAAAAALgIAAGRycy9lMm9Eb2MueG1sUEsBAi0AFAAGAAgAAAAhANpNO17jAAAACwEAAA8A&#10;AAAAAAAAAAAAAAAAkQQAAGRycy9kb3ducmV2LnhtbFBLBQYAAAAABAAEAPMAAAChBQAAAAA=&#10;" fillcolor="white [3201]" stroked="f" strokeweight=".5pt">
                <v:textbox inset="0,0,0,0">
                  <w:txbxContent>
                    <w:p w14:paraId="2F4D9186" w14:textId="3CAAC9C3" w:rsidR="00AF0B22" w:rsidRPr="004F2870" w:rsidRDefault="00AF0B22" w:rsidP="0071698B">
                      <w:pPr>
                        <w:spacing w:before="0"/>
                        <w:rPr>
                          <w:sz w:val="16"/>
                          <w:szCs w:val="16"/>
                          <w:lang w:val="fr-CH"/>
                        </w:rPr>
                      </w:pPr>
                      <w:r w:rsidRPr="0071698B">
                        <w:rPr>
                          <w:sz w:val="16"/>
                          <w:szCs w:val="16"/>
                          <w:lang w:val="fr-CH"/>
                        </w:rPr>
                        <w:t>Un peu</w:t>
                      </w:r>
                    </w:p>
                  </w:txbxContent>
                </v:textbox>
              </v:shape>
            </w:pict>
          </mc:Fallback>
        </mc:AlternateContent>
      </w:r>
      <w:r w:rsidR="00AF0B22" w:rsidRPr="00794950">
        <w:rPr>
          <w:rFonts w:asciiTheme="minorHAnsi" w:hAnsiTheme="minorHAnsi" w:cstheme="minorHAnsi"/>
          <w:noProof/>
          <w:color w:val="00B050"/>
          <w:szCs w:val="24"/>
        </w:rPr>
        <mc:AlternateContent>
          <mc:Choice Requires="wps">
            <w:drawing>
              <wp:anchor distT="0" distB="0" distL="114300" distR="114300" simplePos="0" relativeHeight="251682816" behindDoc="0" locked="0" layoutInCell="1" allowOverlap="1" wp14:anchorId="719A1155" wp14:editId="0385E00A">
                <wp:simplePos x="0" y="0"/>
                <wp:positionH relativeFrom="column">
                  <wp:posOffset>3750310</wp:posOffset>
                </wp:positionH>
                <wp:positionV relativeFrom="paragraph">
                  <wp:posOffset>2772410</wp:posOffset>
                </wp:positionV>
                <wp:extent cx="1003300" cy="266700"/>
                <wp:effectExtent l="0" t="0" r="6350" b="0"/>
                <wp:wrapNone/>
                <wp:docPr id="16" name="Text Box 16"/>
                <wp:cNvGraphicFramePr/>
                <a:graphic xmlns:a="http://schemas.openxmlformats.org/drawingml/2006/main">
                  <a:graphicData uri="http://schemas.microsoft.com/office/word/2010/wordprocessingShape">
                    <wps:wsp>
                      <wps:cNvSpPr txBox="1"/>
                      <wps:spPr>
                        <a:xfrm>
                          <a:off x="0" y="0"/>
                          <a:ext cx="1003300" cy="266700"/>
                        </a:xfrm>
                        <a:prstGeom prst="rect">
                          <a:avLst/>
                        </a:prstGeom>
                        <a:solidFill>
                          <a:schemeClr val="lt1"/>
                        </a:solidFill>
                        <a:ln w="6350">
                          <a:noFill/>
                        </a:ln>
                      </wps:spPr>
                      <wps:txbx>
                        <w:txbxContent>
                          <w:p w14:paraId="61D8BEDB" w14:textId="5A4095C4" w:rsidR="00AF0B22" w:rsidRPr="004F2870" w:rsidRDefault="00AF0B22" w:rsidP="0071698B">
                            <w:pPr>
                              <w:spacing w:before="0"/>
                              <w:rPr>
                                <w:sz w:val="16"/>
                                <w:szCs w:val="16"/>
                                <w:lang w:val="fr-CH"/>
                              </w:rPr>
                            </w:pPr>
                            <w:r>
                              <w:rPr>
                                <w:sz w:val="16"/>
                                <w:szCs w:val="16"/>
                              </w:rPr>
                              <w:t>D</w:t>
                            </w:r>
                            <w:r w:rsidRPr="0071698B">
                              <w:rPr>
                                <w:sz w:val="16"/>
                                <w:szCs w:val="16"/>
                              </w:rPr>
                              <w:t xml:space="preserve">ans une moindre </w:t>
                            </w:r>
                            <w:r>
                              <w:rPr>
                                <w:sz w:val="16"/>
                                <w:szCs w:val="16"/>
                              </w:rPr>
                              <w:br/>
                            </w:r>
                            <w:r w:rsidRPr="0071698B">
                              <w:rPr>
                                <w:sz w:val="16"/>
                                <w:szCs w:val="16"/>
                              </w:rPr>
                              <w:t>mesure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9A1155" id="Text Box 16" o:spid="_x0000_s1032" type="#_x0000_t202" style="position:absolute;left:0;text-align:left;margin-left:295.3pt;margin-top:218.3pt;width:79pt;height:2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hF+OAIAAHMEAAAOAAAAZHJzL2Uyb0RvYy54bWysVE1v2zAMvQ/YfxB0X+ymWDYYdYqsRYcB&#10;QVsgHXpWZCkxIIuapMTufv2e5Ljtup2GXWSKH0/kI+mLy6Ez7Kh8aMnW/GxWcqaspKa1u5p/f7j5&#10;8JmzEIVthCGrav6kAr9cvn930btKzWlPplGeAcSGqnc138foqqIIcq86EWbklIVRk+9ExNXvisaL&#10;HuidKeZluSh68o3zJFUI0F6PRr7M+ForGe+0DioyU3PkFvPp87lNZ7G8ENXOC7dv5SkN8Q9ZdKK1&#10;ePQZ6lpEwQ6+/QOqa6WnQDrOJHUFad1KlWtANWflm2o2e+FUrgXkBPdMU/h/sPL2eO9Z26B3C86s&#10;6NCjBzVE9oUGBhX46V2o4LZxcIwD9PCd9AHKVPagfZe+KIjBDqafntlNaDIFleX5eQmThG2+WHyC&#10;DPjiJdr5EL8q6lgSau7RvUyqOK5DHF0nl/RYINM2N60x+ZImRl0Zz44CvTYx5wjw37yMZX3NF+cf&#10;ywxsKYWPyMYil1TrWFOS4rAdRm5ypkm1peYJPHgaJyk4edMi2bUI8V54jA7qwzrEOxzaEB6jk8TZ&#10;nvzPv+mTPzoKK2c9RrHm4cdBeMWZ+WbR6zS3k+AnYTsJ9tBdESo+w6I5mUUE+GgmUXvqHrElq/QK&#10;TMJKvFXzOIlXcVwIbJlUq1V2wnQ6Edd242SCTgwn6h+GR+HdqT8Rnb2laUhF9aZNo2+KtLQ6RNJt&#10;7uELiye+Mdl5Ck5bmFbn9T17vfwrlr8AAAD//wMAUEsDBBQABgAIAAAAIQAFWxbE4QAAAAsBAAAP&#10;AAAAZHJzL2Rvd25yZXYueG1sTI9BT8MwDIXvSPyHyEhcEEuB0pbSdAIkDkhDiIF29prQlDVOabKt&#10;49djTnB79nt6/lzNJ9eLnRlD50nBxSwBYajxuqNWwfvb43kBIkQkjb0no+BgAszr46MKS+339Gp2&#10;y9gKLqFQogIb41BKGRprHIaZHwyx9+FHh5HHsZV6xD2Xu15eJkkmHXbEFywO5sGaZrPcOgXFIX0+&#10;W2X56rN/ebq33+0XLTao1OnJdHcLIpop/oXhF5/RoWamtd+SDqJXcH2TZBxVkF5lLDiRpwWLNW9y&#10;FrKu5P8f6h8AAAD//wMAUEsBAi0AFAAGAAgAAAAhALaDOJL+AAAA4QEAABMAAAAAAAAAAAAAAAAA&#10;AAAAAFtDb250ZW50X1R5cGVzXS54bWxQSwECLQAUAAYACAAAACEAOP0h/9YAAACUAQAACwAAAAAA&#10;AAAAAAAAAAAvAQAAX3JlbHMvLnJlbHNQSwECLQAUAAYACAAAACEAjtoRfjgCAABzBAAADgAAAAAA&#10;AAAAAAAAAAAuAgAAZHJzL2Uyb0RvYy54bWxQSwECLQAUAAYACAAAACEABVsWxOEAAAALAQAADwAA&#10;AAAAAAAAAAAAAACSBAAAZHJzL2Rvd25yZXYueG1sUEsFBgAAAAAEAAQA8wAAAKAFAAAAAA==&#10;" fillcolor="white [3201]" stroked="f" strokeweight=".5pt">
                <v:textbox inset="0,0,0,0">
                  <w:txbxContent>
                    <w:p w14:paraId="61D8BEDB" w14:textId="5A4095C4" w:rsidR="00AF0B22" w:rsidRPr="004F2870" w:rsidRDefault="00AF0B22" w:rsidP="0071698B">
                      <w:pPr>
                        <w:spacing w:before="0"/>
                        <w:rPr>
                          <w:sz w:val="16"/>
                          <w:szCs w:val="16"/>
                          <w:lang w:val="fr-CH"/>
                        </w:rPr>
                      </w:pPr>
                      <w:r>
                        <w:rPr>
                          <w:sz w:val="16"/>
                          <w:szCs w:val="16"/>
                        </w:rPr>
                        <w:t>D</w:t>
                      </w:r>
                      <w:r w:rsidRPr="0071698B">
                        <w:rPr>
                          <w:sz w:val="16"/>
                          <w:szCs w:val="16"/>
                        </w:rPr>
                        <w:t xml:space="preserve">ans une moindre </w:t>
                      </w:r>
                      <w:r>
                        <w:rPr>
                          <w:sz w:val="16"/>
                          <w:szCs w:val="16"/>
                        </w:rPr>
                        <w:br/>
                      </w:r>
                      <w:r w:rsidRPr="0071698B">
                        <w:rPr>
                          <w:sz w:val="16"/>
                          <w:szCs w:val="16"/>
                        </w:rPr>
                        <w:t>mesure</w:t>
                      </w:r>
                    </w:p>
                  </w:txbxContent>
                </v:textbox>
              </v:shape>
            </w:pict>
          </mc:Fallback>
        </mc:AlternateContent>
      </w:r>
      <w:r w:rsidR="00AF0B22" w:rsidRPr="00794950">
        <w:rPr>
          <w:rFonts w:asciiTheme="minorHAnsi" w:hAnsiTheme="minorHAnsi" w:cstheme="minorHAnsi"/>
          <w:noProof/>
          <w:color w:val="00B050"/>
          <w:szCs w:val="24"/>
        </w:rPr>
        <mc:AlternateContent>
          <mc:Choice Requires="wps">
            <w:drawing>
              <wp:anchor distT="0" distB="0" distL="114300" distR="114300" simplePos="0" relativeHeight="251678720" behindDoc="0" locked="0" layoutInCell="1" allowOverlap="1" wp14:anchorId="0AA5A7B5" wp14:editId="2E58EE9E">
                <wp:simplePos x="0" y="0"/>
                <wp:positionH relativeFrom="column">
                  <wp:posOffset>1794510</wp:posOffset>
                </wp:positionH>
                <wp:positionV relativeFrom="paragraph">
                  <wp:posOffset>2813685</wp:posOffset>
                </wp:positionV>
                <wp:extent cx="1016000" cy="1905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016000" cy="190500"/>
                        </a:xfrm>
                        <a:prstGeom prst="rect">
                          <a:avLst/>
                        </a:prstGeom>
                        <a:solidFill>
                          <a:schemeClr val="lt1"/>
                        </a:solidFill>
                        <a:ln w="6350">
                          <a:noFill/>
                        </a:ln>
                      </wps:spPr>
                      <wps:txbx>
                        <w:txbxContent>
                          <w:p w14:paraId="22B0099B" w14:textId="7679DEAB" w:rsidR="00AF0B22" w:rsidRPr="004F2870" w:rsidRDefault="00AF0B22" w:rsidP="0071698B">
                            <w:pPr>
                              <w:spacing w:before="0"/>
                              <w:rPr>
                                <w:sz w:val="16"/>
                                <w:szCs w:val="16"/>
                                <w:lang w:val="fr-CH"/>
                              </w:rPr>
                            </w:pPr>
                            <w:r w:rsidRPr="0071698B">
                              <w:rPr>
                                <w:sz w:val="16"/>
                                <w:szCs w:val="16"/>
                                <w:lang w:val="fr-CH"/>
                              </w:rPr>
                              <w:t>Dans une large mesure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A5A7B5" id="Text Box 14" o:spid="_x0000_s1033" type="#_x0000_t202" style="position:absolute;left:0;text-align:left;margin-left:141.3pt;margin-top:221.55pt;width:80pt;height: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I4LOQIAAHIEAAAOAAAAZHJzL2Uyb0RvYy54bWysVFFv2jAQfp+0/2D5fSR0K2oRoWJUTJOq&#10;thJMfTaOA5Ecn2cbEvbr99khdOv2NO3FXO7On+/77o7ZXddodlTO12QKPh7lnCkjqazNruDfNqsP&#10;N5z5IEwpNBlV8JPy/G7+/t2stVN1RXvSpXIMIMZPW1vwfQh2mmVe7lUj/IisMghW5BoR8Ol2WelE&#10;C/RGZ1d5PslacqV1JJX38N73QT5P+FWlZHiqKq8C0wVHbSGdLp3beGbzmZjunLD7Wp7LEP9QRSNq&#10;g0cvUPciCHZw9R9QTS0dearCSFKTUVXVUiUOYDPO37BZ74VViQvE8fYik/9/sPLx+OxYXaJ3nzgz&#10;okGPNqoL7DN1DC7o01o/RdraIjF08CN38Hs4I+2uck38BSGGOJQ+XdSNaDJeyseTPEdIIja+za9h&#10;Az57vW2dD18UNSwaBXfoXhJVHB986FOHlPiYJ12Xq1rr9BEnRi21Y0eBXuuQagT4b1nasLbgk4/X&#10;eQI2FK/3yNqglsi15xSt0G27pM3NwHdL5QkyOOoHyVu5qlHrg/DhWThMDuhhG8ITjkoT3qKzxdme&#10;3I+/+WM+GoooZy0mseD++0E4xZn+atDqOLaD4QZjOxjm0CwJhMfYMyuTiQsu6MGsHDUvWJJFfAUh&#10;YSTeKngYzGXo9wFLJtVikZIwnFaEB7O2MkJHgaPym+5FOHtuT0BjH2mYUTF906U+N940tDgEqurU&#10;wqhrr+JZbgx2GoLzEsbN+fU7Zb3+Vcx/AgAA//8DAFBLAwQUAAYACAAAACEAKmNM4uEAAAALAQAA&#10;DwAAAGRycy9kb3ducmV2LnhtbEyPwU7DMBBE70j8g7VIXBB1Gqw0CnEqQOKABEIU1LMbmzjUXofY&#10;bVO+nu0Jbrszo9m39XLyju3NGPuAEuazDJjBNugeOwkf74/XJbCYFGrlAhoJRxNh2Zyf1arS4YBv&#10;Zr9KHaMSjJWSYFMaKs5ja41XcRYGg+R9htGrROvYcT2qA5V7x/MsK7hXPdIFqwbzYE27Xe28hPIo&#10;Xq7WxWL95V6f7u1P943PWyXl5cV0dwssmSn9heGET+jQENMm7FBH5iTkZV5QVIIQN3NglBDipGxo&#10;WJDCm5r//6H5BQAA//8DAFBLAQItABQABgAIAAAAIQC2gziS/gAAAOEBAAATAAAAAAAAAAAAAAAA&#10;AAAAAABbQ29udGVudF9UeXBlc10ueG1sUEsBAi0AFAAGAAgAAAAhADj9If/WAAAAlAEAAAsAAAAA&#10;AAAAAAAAAAAALwEAAF9yZWxzLy5yZWxzUEsBAi0AFAAGAAgAAAAhAGc0jgs5AgAAcgQAAA4AAAAA&#10;AAAAAAAAAAAALgIAAGRycy9lMm9Eb2MueG1sUEsBAi0AFAAGAAgAAAAhACpjTOLhAAAACwEAAA8A&#10;AAAAAAAAAAAAAAAAkwQAAGRycy9kb3ducmV2LnhtbFBLBQYAAAAABAAEAPMAAAChBQAAAAA=&#10;" fillcolor="white [3201]" stroked="f" strokeweight=".5pt">
                <v:textbox inset="0,0,0,0">
                  <w:txbxContent>
                    <w:p w14:paraId="22B0099B" w14:textId="7679DEAB" w:rsidR="00AF0B22" w:rsidRPr="004F2870" w:rsidRDefault="00AF0B22" w:rsidP="0071698B">
                      <w:pPr>
                        <w:spacing w:before="0"/>
                        <w:rPr>
                          <w:sz w:val="16"/>
                          <w:szCs w:val="16"/>
                          <w:lang w:val="fr-CH"/>
                        </w:rPr>
                      </w:pPr>
                      <w:r w:rsidRPr="0071698B">
                        <w:rPr>
                          <w:sz w:val="16"/>
                          <w:szCs w:val="16"/>
                          <w:lang w:val="fr-CH"/>
                        </w:rPr>
                        <w:t>Dans une large mesure</w:t>
                      </w:r>
                    </w:p>
                  </w:txbxContent>
                </v:textbox>
              </v:shape>
            </w:pict>
          </mc:Fallback>
        </mc:AlternateContent>
      </w:r>
      <w:r w:rsidR="00AF0B22" w:rsidRPr="00794950">
        <w:rPr>
          <w:rFonts w:asciiTheme="minorHAnsi" w:hAnsiTheme="minorHAnsi" w:cstheme="minorHAnsi"/>
          <w:noProof/>
          <w:color w:val="00B050"/>
          <w:szCs w:val="24"/>
        </w:rPr>
        <mc:AlternateContent>
          <mc:Choice Requires="wps">
            <w:drawing>
              <wp:anchor distT="0" distB="0" distL="114300" distR="114300" simplePos="0" relativeHeight="251684864" behindDoc="0" locked="0" layoutInCell="1" allowOverlap="1" wp14:anchorId="7BA379BD" wp14:editId="4D5D4F8D">
                <wp:simplePos x="0" y="0"/>
                <wp:positionH relativeFrom="column">
                  <wp:posOffset>4886325</wp:posOffset>
                </wp:positionH>
                <wp:positionV relativeFrom="paragraph">
                  <wp:posOffset>2816860</wp:posOffset>
                </wp:positionV>
                <wp:extent cx="1231265" cy="190500"/>
                <wp:effectExtent l="0" t="0" r="6985" b="0"/>
                <wp:wrapNone/>
                <wp:docPr id="17" name="Text Box 17"/>
                <wp:cNvGraphicFramePr/>
                <a:graphic xmlns:a="http://schemas.openxmlformats.org/drawingml/2006/main">
                  <a:graphicData uri="http://schemas.microsoft.com/office/word/2010/wordprocessingShape">
                    <wps:wsp>
                      <wps:cNvSpPr txBox="1"/>
                      <wps:spPr>
                        <a:xfrm>
                          <a:off x="0" y="0"/>
                          <a:ext cx="1231265" cy="190500"/>
                        </a:xfrm>
                        <a:prstGeom prst="rect">
                          <a:avLst/>
                        </a:prstGeom>
                        <a:solidFill>
                          <a:schemeClr val="lt1"/>
                        </a:solidFill>
                        <a:ln w="6350">
                          <a:noFill/>
                        </a:ln>
                      </wps:spPr>
                      <wps:txbx>
                        <w:txbxContent>
                          <w:p w14:paraId="65BAE206" w14:textId="452060A9" w:rsidR="00AF0B22" w:rsidRPr="004F2870" w:rsidRDefault="00AF0B22" w:rsidP="0071698B">
                            <w:pPr>
                              <w:spacing w:before="0"/>
                              <w:rPr>
                                <w:sz w:val="16"/>
                                <w:szCs w:val="16"/>
                                <w:lang w:val="fr-CH"/>
                              </w:rPr>
                            </w:pPr>
                            <w:r w:rsidRPr="0071698B">
                              <w:rPr>
                                <w:sz w:val="16"/>
                                <w:szCs w:val="16"/>
                                <w:lang w:val="fr-CH"/>
                              </w:rPr>
                              <w:t>Très peu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A379BD" id="Text Box 17" o:spid="_x0000_s1036" type="#_x0000_t202" style="position:absolute;left:0;text-align:left;margin-left:384.75pt;margin-top:221.8pt;width:96.95pt;height: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tROwIAAHIEAAAOAAAAZHJzL2Uyb0RvYy54bWysVF1v0zAUfUfiP1h+p0k7tYxo6VQ6FSFN&#10;26QO7dl1nDWS42tst0n59Rw7zQaDJ8SLe3O/7zn39uq6bzU7KucbMiWfTnLOlJFUNea55N8eNx8u&#10;OfNBmEpoMqrkJ+X59fL9u6vOFmpGe9KVcgxJjC86W/J9CLbIMi/3qhV+QlYZGGtyrQj4dM9Z5USH&#10;7K3OZnm+yDpylXUklffQ3gxGvkz561rJcF/XXgWmS47eQnpdenfxzZZXonh2wu4beW5D/EMXrWgM&#10;ir6kuhFBsINr/kjVNtKRpzpMJLUZ1XUjVZoB00zzN9Ns98KqNAvA8fYFJv//0sq744NjTQXuPnJm&#10;RAuOHlUf2GfqGVTAp7O+gNvWwjH00MN31Hso49h97dr4i4EY7ED69IJuzCZj0OxiOlvMOZOwTT/l&#10;8zzBn71GW+fDF0Uti0LJHdhLoIrjrQ/oBK6jSyzmSTfVptE6fcSNUWvt2FGAax1Sj4j4zUsb1pV8&#10;cTHPU2JDMXzIrA0KxFmHmaIU+l2fsLkc591RdQIMjoZF8lZuGvR6K3x4EA6bg8lxDeEeT60Jtegs&#10;cbYn9+Nv+ugPQmHlrMMmltx/PwinONNfDaiOazsKbhR2o2AO7Zow8BR3ZmUSEeCCHsXaUfuEI1nF&#10;KjAJI1Gr5GEU12G4BxyZVKtVcsJyWhFuzdbKmDoCHJF/7J+Es2d6Aoi9o3FHRfGGpcE3RhpaHQLV&#10;TaIw4jqgeIYbi52YPR9hvJxfv5PX61/F8icAAAD//wMAUEsDBBQABgAIAAAAIQDoHKBk4gAAAAsB&#10;AAAPAAAAZHJzL2Rvd25yZXYueG1sTI/BTsMwDIbvSLxDZCQuiKWwkm6l6QRIHJCGEAPtnDWhKUuc&#10;0mRbx9NjTnD070+/P1eL0Tu2N0PsAkq4mmTADDZBd9hKeH97vJwBi0mhVi6gkXA0ERb16UmlSh0O&#10;+Gr2q9QyKsFYKgk2pb7kPDbWeBUnoTdIu48weJVoHFquB3Wgcu/4dZYJ7lWHdMGq3jxY02xXOy9h&#10;dsyfL9aiWH+6l6d7+91+4XKrpDw/G+9ugSUzpj8YfvVJHWpy2oQd6sichELMbwiVkOdTAYyIuZjm&#10;wDaUFJTwuuL/f6h/AAAA//8DAFBLAQItABQABgAIAAAAIQC2gziS/gAAAOEBAAATAAAAAAAAAAAA&#10;AAAAAAAAAABbQ29udGVudF9UeXBlc10ueG1sUEsBAi0AFAAGAAgAAAAhADj9If/WAAAAlAEAAAsA&#10;AAAAAAAAAAAAAAAALwEAAF9yZWxzLy5yZWxzUEsBAi0AFAAGAAgAAAAhAGSX61E7AgAAcgQAAA4A&#10;AAAAAAAAAAAAAAAALgIAAGRycy9lMm9Eb2MueG1sUEsBAi0AFAAGAAgAAAAhAOgcoGTiAAAACwEA&#10;AA8AAAAAAAAAAAAAAAAAlQQAAGRycy9kb3ducmV2LnhtbFBLBQYAAAAABAAEAPMAAACkBQAAAAA=&#10;" fillcolor="white [3201]" stroked="f" strokeweight=".5pt">
                <v:textbox inset="0,0,0,0">
                  <w:txbxContent>
                    <w:p w14:paraId="65BAE206" w14:textId="452060A9" w:rsidR="00AF0B22" w:rsidRPr="004F2870" w:rsidRDefault="00AF0B22" w:rsidP="0071698B">
                      <w:pPr>
                        <w:spacing w:before="0"/>
                        <w:rPr>
                          <w:sz w:val="16"/>
                          <w:szCs w:val="16"/>
                          <w:lang w:val="fr-CH"/>
                        </w:rPr>
                      </w:pPr>
                      <w:r w:rsidRPr="0071698B">
                        <w:rPr>
                          <w:sz w:val="16"/>
                          <w:szCs w:val="16"/>
                          <w:lang w:val="fr-CH"/>
                        </w:rPr>
                        <w:t>Très peu</w:t>
                      </w:r>
                    </w:p>
                  </w:txbxContent>
                </v:textbox>
              </v:shape>
            </w:pict>
          </mc:Fallback>
        </mc:AlternateContent>
      </w:r>
      <w:r w:rsidR="00AF0B22" w:rsidRPr="00794950">
        <w:rPr>
          <w:rFonts w:asciiTheme="minorHAnsi" w:hAnsiTheme="minorHAnsi" w:cstheme="minorHAnsi"/>
          <w:noProof/>
          <w:color w:val="00B050"/>
          <w:szCs w:val="24"/>
        </w:rPr>
        <mc:AlternateContent>
          <mc:Choice Requires="wps">
            <w:drawing>
              <wp:anchor distT="0" distB="0" distL="114300" distR="114300" simplePos="0" relativeHeight="251672576" behindDoc="0" locked="0" layoutInCell="1" allowOverlap="1" wp14:anchorId="3B712965" wp14:editId="47AEDCCC">
                <wp:simplePos x="0" y="0"/>
                <wp:positionH relativeFrom="column">
                  <wp:posOffset>708660</wp:posOffset>
                </wp:positionH>
                <wp:positionV relativeFrom="paragraph">
                  <wp:posOffset>489585</wp:posOffset>
                </wp:positionV>
                <wp:extent cx="5295900" cy="4064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95900" cy="406400"/>
                        </a:xfrm>
                        <a:prstGeom prst="rect">
                          <a:avLst/>
                        </a:prstGeom>
                        <a:solidFill>
                          <a:schemeClr val="lt1"/>
                        </a:solidFill>
                        <a:ln w="6350">
                          <a:noFill/>
                        </a:ln>
                      </wps:spPr>
                      <wps:txbx>
                        <w:txbxContent>
                          <w:p w14:paraId="340B7052" w14:textId="24555AF1" w:rsidR="00AF0B22" w:rsidRPr="004F2870" w:rsidRDefault="00AF0B22" w:rsidP="004F2870">
                            <w:pPr>
                              <w:spacing w:before="0"/>
                              <w:jc w:val="center"/>
                              <w:rPr>
                                <w:sz w:val="20"/>
                                <w:lang w:val="fr-CH"/>
                              </w:rPr>
                            </w:pPr>
                            <w:r w:rsidRPr="004F2870">
                              <w:rPr>
                                <w:sz w:val="22"/>
                                <w:szCs w:val="22"/>
                                <w:lang w:val="fr-CH"/>
                              </w:rPr>
                              <w:t>QUESTION 38:</w:t>
                            </w:r>
                            <w:r>
                              <w:rPr>
                                <w:sz w:val="22"/>
                                <w:szCs w:val="22"/>
                                <w:lang w:val="fr-CH"/>
                              </w:rPr>
                              <w:t xml:space="preserve"> </w:t>
                            </w:r>
                            <w:r w:rsidRPr="004F2870">
                              <w:rPr>
                                <w:sz w:val="22"/>
                                <w:szCs w:val="22"/>
                                <w:lang w:val="fr-CH"/>
                              </w:rPr>
                              <w:t>PENSEZ-VOUS QUE VOTRE TRAVAIL</w:t>
                            </w:r>
                            <w:r w:rsidRPr="004F2870">
                              <w:rPr>
                                <w:sz w:val="22"/>
                                <w:szCs w:val="22"/>
                              </w:rPr>
                              <w:t xml:space="preserve"> VOUS </w:t>
                            </w:r>
                            <w:r w:rsidRPr="004F2870">
                              <w:rPr>
                                <w:sz w:val="22"/>
                                <w:szCs w:val="22"/>
                                <w:lang w:val="fr-CH"/>
                              </w:rPr>
                              <w:t>DEMANDE TELLEMENT D'ÉNERGIE QU'IL A DES EFFETS NÉGATIFS SUR VOTRE VIE PRIVÉE?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712965" id="Text Box 11" o:spid="_x0000_s1037" type="#_x0000_t202" style="position:absolute;left:0;text-align:left;margin-left:55.8pt;margin-top:38.55pt;width:417pt;height:3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ByqOAIAAHMEAAAOAAAAZHJzL2Uyb0RvYy54bWysVFFv2jAQfp+0/2D5fU1gpVoRoWKtmCah&#10;thJMfTaOA5Ecn2cbEvbr99khZev2NO3FXO7On+++747ZXddodlTO12QKPrrKOVNGUlmbXcG/bZYf&#10;PnHmgzCl0GRUwU/K87v5+3ez1k7VmPakS+UYQIyftrbg+xDsNMu83KtG+CuyyiBYkWtEwKfbZaUT&#10;LdAbnY3z/CZryZXWkVTew/vQB/k84VeVkuGpqrwKTBcctYV0unRu45nNZ2K6c8Lua3kuQ/xDFY2o&#10;DR59hXoQQbCDq/+AamrpyFMVriQ1GVVVLVXqAd2M8jfdrPfCqtQLyPH2lSb//2Dl4/HZsbqEdiPO&#10;jGig0UZ1gX2mjsEFflrrp0hbWySGDn7kDn4PZ2y7q1wTf9EQQxxMn17ZjWgSzsn4dnKbIyQRu85v&#10;rmEDPrvcts6HL4oaFo2CO6iXSBXHlQ996pASH/Ok63JZa50+4sSoe+3YUUBrHVKNAP8tSxvWFvzm&#10;4yRPwIbi9R5ZG9QSe+17ilbotl3PTao0urZUnsCDo36SvJXLGsWuhA/PwmF00B/WITzhqDThMTpb&#10;nO3J/fibP+ZDUUQ5azGKBfffD8IpzvRXA63j3A6GG4ztYJhDc0/oGPKhmmTiggt6MCtHzQu2ZBFf&#10;QUgYibcKHgbzPvQLgS2TarFISZhOK8LKrK2M0JHhSP2mexHOnvUJUPaRhiEV0zcy9bnxpqHFIVBV&#10;Jw0vLJ75xmSnKThvYVydX79T1uW/Yv4TAAD//wMAUEsDBBQABgAIAAAAIQCQHirm4AAAAAoBAAAP&#10;AAAAZHJzL2Rvd25yZXYueG1sTI/BTsMwEETvSPyDtUhcEHWMQlJCnAqQOCBRIQrq2Y1NHGqvQ+y2&#10;KV/PcoLj7DzNztSLyTu2N2PsA0oQswyYwTboHjsJ72+Pl3NgMSnUygU0Eo4mwqI5PalVpcMBX81+&#10;lTpGIRgrJcGmNFScx9Yar+IsDAbJ+wijV4nk2HE9qgOFe8evsqzgXvVIH6wazIM17Xa18xLmx3x5&#10;sS7K9ad7ebq3390XPm+VlOdn090tsGSm9AfDb32qDg112oQd6sgcaSEKQiWUpQBGwE1+TYcNObkQ&#10;wJua/5/Q/AAAAP//AwBQSwECLQAUAAYACAAAACEAtoM4kv4AAADhAQAAEwAAAAAAAAAAAAAAAAAA&#10;AAAAW0NvbnRlbnRfVHlwZXNdLnhtbFBLAQItABQABgAIAAAAIQA4/SH/1gAAAJQBAAALAAAAAAAA&#10;AAAAAAAAAC8BAABfcmVscy8ucmVsc1BLAQItABQABgAIAAAAIQBmcByqOAIAAHMEAAAOAAAAAAAA&#10;AAAAAAAAAC4CAABkcnMvZTJvRG9jLnhtbFBLAQItABQABgAIAAAAIQCQHirm4AAAAAoBAAAPAAAA&#10;AAAAAAAAAAAAAJIEAABkcnMvZG93bnJldi54bWxQSwUGAAAAAAQABADzAAAAnwUAAAAA&#10;" fillcolor="white [3201]" stroked="f" strokeweight=".5pt">
                <v:textbox inset="0,0,0,0">
                  <w:txbxContent>
                    <w:p w14:paraId="340B7052" w14:textId="24555AF1" w:rsidR="00AF0B22" w:rsidRPr="004F2870" w:rsidRDefault="00AF0B22" w:rsidP="004F2870">
                      <w:pPr>
                        <w:spacing w:before="0"/>
                        <w:jc w:val="center"/>
                        <w:rPr>
                          <w:sz w:val="20"/>
                          <w:lang w:val="fr-CH"/>
                        </w:rPr>
                      </w:pPr>
                      <w:r w:rsidRPr="004F2870">
                        <w:rPr>
                          <w:sz w:val="22"/>
                          <w:szCs w:val="22"/>
                          <w:lang w:val="fr-CH"/>
                        </w:rPr>
                        <w:t>QUESTION 38:</w:t>
                      </w:r>
                      <w:r>
                        <w:rPr>
                          <w:sz w:val="22"/>
                          <w:szCs w:val="22"/>
                          <w:lang w:val="fr-CH"/>
                        </w:rPr>
                        <w:t xml:space="preserve"> </w:t>
                      </w:r>
                      <w:r w:rsidRPr="004F2870">
                        <w:rPr>
                          <w:sz w:val="22"/>
                          <w:szCs w:val="22"/>
                          <w:lang w:val="fr-CH"/>
                        </w:rPr>
                        <w:t>PENSEZ-VOUS QUE VOTRE TRAVAIL</w:t>
                      </w:r>
                      <w:r w:rsidRPr="004F2870">
                        <w:rPr>
                          <w:sz w:val="22"/>
                          <w:szCs w:val="22"/>
                        </w:rPr>
                        <w:t xml:space="preserve"> VOUS </w:t>
                      </w:r>
                      <w:r w:rsidRPr="004F2870">
                        <w:rPr>
                          <w:sz w:val="22"/>
                          <w:szCs w:val="22"/>
                          <w:lang w:val="fr-CH"/>
                        </w:rPr>
                        <w:t>DEMANDE TELLEMENT D'ÉNERGIE QU'IL A DES EFFETS NÉGATIFS SUR VOTRE VIE PRIVÉE?</w:t>
                      </w:r>
                    </w:p>
                  </w:txbxContent>
                </v:textbox>
              </v:shape>
            </w:pict>
          </mc:Fallback>
        </mc:AlternateContent>
      </w:r>
      <w:r w:rsidR="0031580F" w:rsidRPr="00794950">
        <w:rPr>
          <w:noProof/>
        </w:rPr>
        <w:drawing>
          <wp:inline distT="0" distB="0" distL="0" distR="0" wp14:anchorId="03085CA1" wp14:editId="1A002CE6">
            <wp:extent cx="6120765" cy="309054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0765" cy="3090545"/>
                    </a:xfrm>
                    <a:prstGeom prst="rect">
                      <a:avLst/>
                    </a:prstGeom>
                  </pic:spPr>
                </pic:pic>
              </a:graphicData>
            </a:graphic>
          </wp:inline>
        </w:drawing>
      </w:r>
    </w:p>
    <w:p w14:paraId="519F5FAA" w14:textId="7C3BF7F0" w:rsidR="0031580F" w:rsidRPr="00794950" w:rsidRDefault="0031580F" w:rsidP="00F702FE">
      <w:pPr>
        <w:pStyle w:val="Figuretitle"/>
      </w:pPr>
      <w:r w:rsidRPr="00794950">
        <w:t xml:space="preserve">Figure 1: </w:t>
      </w:r>
      <w:r w:rsidR="00A113DB" w:rsidRPr="00794950">
        <w:t>Données relatives à l</w:t>
      </w:r>
      <w:r w:rsidR="004F2870" w:rsidRPr="00794950">
        <w:t>'</w:t>
      </w:r>
      <w:r w:rsidR="00A113DB" w:rsidRPr="00794950">
        <w:rPr>
          <w:color w:val="000000"/>
        </w:rPr>
        <w:t>équilibre entre vie professionnelle et vie privée</w:t>
      </w:r>
      <w:r w:rsidRPr="00794950">
        <w:t xml:space="preserve"> </w:t>
      </w:r>
      <w:r w:rsidR="00A113DB" w:rsidRPr="00794950">
        <w:t>à l</w:t>
      </w:r>
      <w:r w:rsidR="004F2870" w:rsidRPr="00794950">
        <w:t>'</w:t>
      </w:r>
      <w:r w:rsidR="00A113DB" w:rsidRPr="00794950">
        <w:t>UIT</w:t>
      </w:r>
    </w:p>
    <w:p w14:paraId="3457F081" w14:textId="68620B2B" w:rsidR="00E07909" w:rsidRPr="00794950" w:rsidRDefault="00E07909" w:rsidP="00F702FE">
      <w:pPr>
        <w:pStyle w:val="Heading1"/>
        <w:tabs>
          <w:tab w:val="clear" w:pos="567"/>
          <w:tab w:val="clear" w:pos="1134"/>
          <w:tab w:val="clear" w:pos="1701"/>
          <w:tab w:val="clear" w:pos="2268"/>
          <w:tab w:val="clear" w:pos="2835"/>
        </w:tabs>
        <w:ind w:left="0" w:firstLine="0"/>
      </w:pPr>
      <w:bookmarkStart w:id="23" w:name="_Toc37930305"/>
      <w:bookmarkStart w:id="24" w:name="_Toc54336496"/>
      <w:r w:rsidRPr="00794950">
        <w:t>2</w:t>
      </w:r>
      <w:r w:rsidRPr="00794950">
        <w:tab/>
      </w:r>
      <w:bookmarkStart w:id="25" w:name="_Toc312148142"/>
      <w:bookmarkStart w:id="26" w:name="_Toc462664277"/>
      <w:bookmarkStart w:id="27" w:name="_Toc480527869"/>
      <w:bookmarkStart w:id="28" w:name="_Toc18509779"/>
      <w:bookmarkEnd w:id="23"/>
      <w:r w:rsidR="00B229D3" w:rsidRPr="00794950">
        <w:t>Services et outils de l'UIT</w:t>
      </w:r>
      <w:bookmarkEnd w:id="24"/>
    </w:p>
    <w:p w14:paraId="2CB25556" w14:textId="4284E0C9" w:rsidR="00E07909" w:rsidRPr="00794950" w:rsidRDefault="00E07909" w:rsidP="00F702FE">
      <w:pPr>
        <w:tabs>
          <w:tab w:val="clear" w:pos="567"/>
          <w:tab w:val="clear" w:pos="1134"/>
          <w:tab w:val="clear" w:pos="1701"/>
          <w:tab w:val="clear" w:pos="2268"/>
          <w:tab w:val="clear" w:pos="2835"/>
        </w:tabs>
      </w:pPr>
      <w:r w:rsidRPr="00794950">
        <w:t>2.1</w:t>
      </w:r>
      <w:r w:rsidRPr="00794950">
        <w:tab/>
      </w:r>
      <w:r w:rsidR="00B229D3" w:rsidRPr="00794950">
        <w:t>Ces dernières années</w:t>
      </w:r>
      <w:r w:rsidRPr="00794950">
        <w:t xml:space="preserve">, </w:t>
      </w:r>
      <w:r w:rsidR="00B229D3" w:rsidRPr="00794950">
        <w:t xml:space="preserve">le </w:t>
      </w:r>
      <w:r w:rsidRPr="00794950">
        <w:t xml:space="preserve">TSB </w:t>
      </w:r>
      <w:r w:rsidR="00B229D3" w:rsidRPr="00794950">
        <w:t>a</w:t>
      </w:r>
      <w:r w:rsidR="00E851E4" w:rsidRPr="00794950">
        <w:t xml:space="preserve"> connu </w:t>
      </w:r>
      <w:r w:rsidR="00B229D3" w:rsidRPr="00794950">
        <w:t xml:space="preserve">à une </w:t>
      </w:r>
      <w:r w:rsidR="00E851E4" w:rsidRPr="00794950">
        <w:t xml:space="preserve">nette </w:t>
      </w:r>
      <w:r w:rsidR="00B229D3" w:rsidRPr="00794950">
        <w:t>augmentation</w:t>
      </w:r>
      <w:r w:rsidR="00F00D96" w:rsidRPr="00794950">
        <w:t xml:space="preserve"> </w:t>
      </w:r>
      <w:r w:rsidR="00B229D3" w:rsidRPr="00794950">
        <w:t xml:space="preserve">du nombre de demandes </w:t>
      </w:r>
      <w:r w:rsidR="005B6884" w:rsidRPr="00794950">
        <w:t xml:space="preserve">de services et d'appui </w:t>
      </w:r>
      <w:r w:rsidR="00B229D3" w:rsidRPr="00794950">
        <w:t>concernant les activités du Secteur</w:t>
      </w:r>
      <w:r w:rsidRPr="00794950">
        <w:t xml:space="preserve">. </w:t>
      </w:r>
      <w:r w:rsidR="00B229D3" w:rsidRPr="00794950">
        <w:t xml:space="preserve">Les progrès </w:t>
      </w:r>
      <w:r w:rsidR="00E851E4" w:rsidRPr="00794950">
        <w:t xml:space="preserve">enregistrés dans le domaine </w:t>
      </w:r>
      <w:r w:rsidR="00B229D3" w:rsidRPr="00794950">
        <w:t xml:space="preserve">des TIC ont été </w:t>
      </w:r>
      <w:r w:rsidR="00E851E4" w:rsidRPr="00794950">
        <w:t>si spectaculaires ces dix dernières années que ces technologies</w:t>
      </w:r>
      <w:r w:rsidR="00F00D96" w:rsidRPr="00794950">
        <w:t xml:space="preserve"> </w:t>
      </w:r>
      <w:r w:rsidR="00240618" w:rsidRPr="00794950">
        <w:t>jouent</w:t>
      </w:r>
      <w:r w:rsidR="00E851E4" w:rsidRPr="00794950">
        <w:t xml:space="preserve"> à présent </w:t>
      </w:r>
      <w:r w:rsidR="00240618" w:rsidRPr="00794950">
        <w:t>un rôle crucial</w:t>
      </w:r>
      <w:r w:rsidR="00236198" w:rsidRPr="00794950">
        <w:t xml:space="preserve"> d</w:t>
      </w:r>
      <w:r w:rsidR="0082161C" w:rsidRPr="00794950">
        <w:t xml:space="preserve">ans des </w:t>
      </w:r>
      <w:r w:rsidR="008F5D57" w:rsidRPr="00794950">
        <w:t>domaines</w:t>
      </w:r>
      <w:r w:rsidR="0082161C" w:rsidRPr="00794950">
        <w:t xml:space="preserve"> clés </w:t>
      </w:r>
      <w:r w:rsidR="00240618" w:rsidRPr="00794950">
        <w:t>tels que</w:t>
      </w:r>
      <w:r w:rsidR="00D60DDB" w:rsidRPr="00794950">
        <w:t xml:space="preserve"> l'</w:t>
      </w:r>
      <w:r w:rsidRPr="00794950">
        <w:t>automati</w:t>
      </w:r>
      <w:r w:rsidR="00D152A3" w:rsidRPr="00794950">
        <w:t>sati</w:t>
      </w:r>
      <w:r w:rsidRPr="00794950">
        <w:t xml:space="preserve">on </w:t>
      </w:r>
      <w:r w:rsidR="00D152A3" w:rsidRPr="00794950">
        <w:t>des tâches</w:t>
      </w:r>
      <w:r w:rsidRPr="00794950">
        <w:t>,</w:t>
      </w:r>
      <w:r w:rsidR="00F00D96" w:rsidRPr="00794950">
        <w:t xml:space="preserve"> </w:t>
      </w:r>
      <w:r w:rsidR="00EB15E8" w:rsidRPr="00794950">
        <w:t>l</w:t>
      </w:r>
      <w:r w:rsidR="004F2870" w:rsidRPr="00794950">
        <w:t>'</w:t>
      </w:r>
      <w:r w:rsidR="00EB15E8" w:rsidRPr="00794950">
        <w:t xml:space="preserve">examen </w:t>
      </w:r>
      <w:r w:rsidR="00D152A3" w:rsidRPr="00794950">
        <w:t>approfondi</w:t>
      </w:r>
      <w:r w:rsidR="00EB15E8" w:rsidRPr="00794950">
        <w:t xml:space="preserve"> des problèmes pour faciliter la prise de décisions, </w:t>
      </w:r>
      <w:r w:rsidR="00D60DDB" w:rsidRPr="00794950">
        <w:t>l'</w:t>
      </w:r>
      <w:r w:rsidR="00D152A3" w:rsidRPr="00794950">
        <w:t xml:space="preserve">enregistrement et </w:t>
      </w:r>
      <w:r w:rsidR="00D60DDB" w:rsidRPr="00794950">
        <w:t xml:space="preserve">le </w:t>
      </w:r>
      <w:r w:rsidR="00D152A3" w:rsidRPr="00794950">
        <w:t>suivi des</w:t>
      </w:r>
      <w:r w:rsidR="00EB15E8" w:rsidRPr="00794950">
        <w:rPr>
          <w:color w:val="000000"/>
        </w:rPr>
        <w:t xml:space="preserve"> activités liées aux manifestations </w:t>
      </w:r>
      <w:r w:rsidR="00D152A3" w:rsidRPr="00794950">
        <w:t>de manière sécurisée et fiable</w:t>
      </w:r>
      <w:r w:rsidRPr="00794950">
        <w:t xml:space="preserve">. </w:t>
      </w:r>
      <w:r w:rsidR="00E851E4" w:rsidRPr="00794950">
        <w:t>Grâce à ces techniques modernes,</w:t>
      </w:r>
      <w:r w:rsidR="00D152A3" w:rsidRPr="00794950">
        <w:t xml:space="preserve"> le TSB peut répondre aux demandes</w:t>
      </w:r>
      <w:r w:rsidR="00E851E4" w:rsidRPr="00794950">
        <w:t xml:space="preserve"> toujours plus nombreuses</w:t>
      </w:r>
      <w:r w:rsidR="004176F6" w:rsidRPr="00794950">
        <w:t xml:space="preserve"> des membres </w:t>
      </w:r>
      <w:r w:rsidR="009638E1" w:rsidRPr="00794950">
        <w:t>qui souhaitent</w:t>
      </w:r>
      <w:r w:rsidR="004176F6" w:rsidRPr="00794950">
        <w:t xml:space="preserve"> apporter des améliorations dans le</w:t>
      </w:r>
      <w:r w:rsidR="00D152A3" w:rsidRPr="00794950">
        <w:t xml:space="preserve"> Secteur, maintenir et mettre à jour ses services existants</w:t>
      </w:r>
      <w:r w:rsidR="00E851E4" w:rsidRPr="00794950">
        <w:t xml:space="preserve"> </w:t>
      </w:r>
      <w:r w:rsidR="00D152A3" w:rsidRPr="00794950">
        <w:t xml:space="preserve">et </w:t>
      </w:r>
      <w:r w:rsidR="004176F6" w:rsidRPr="00794950">
        <w:t>alléger</w:t>
      </w:r>
      <w:r w:rsidR="00D152A3" w:rsidRPr="00794950">
        <w:t xml:space="preserve"> une partie </w:t>
      </w:r>
      <w:r w:rsidR="00E851E4" w:rsidRPr="00794950">
        <w:t xml:space="preserve">des tâches manuelles </w:t>
      </w:r>
      <w:r w:rsidR="004176F6" w:rsidRPr="00794950">
        <w:t>que les fonctionnaires sont</w:t>
      </w:r>
      <w:r w:rsidR="00E851E4" w:rsidRPr="00794950">
        <w:t xml:space="preserve"> amenés à traiter</w:t>
      </w:r>
      <w:r w:rsidR="00A54667" w:rsidRPr="00794950">
        <w:t>.</w:t>
      </w:r>
    </w:p>
    <w:p w14:paraId="5080A13A" w14:textId="1D5B6401" w:rsidR="00E07909" w:rsidRPr="00794950" w:rsidRDefault="00E07909" w:rsidP="00F702FE">
      <w:pPr>
        <w:tabs>
          <w:tab w:val="clear" w:pos="567"/>
          <w:tab w:val="clear" w:pos="1134"/>
          <w:tab w:val="clear" w:pos="1701"/>
          <w:tab w:val="clear" w:pos="2268"/>
          <w:tab w:val="clear" w:pos="2835"/>
        </w:tabs>
      </w:pPr>
      <w:r w:rsidRPr="00794950">
        <w:lastRenderedPageBreak/>
        <w:t>2.2</w:t>
      </w:r>
      <w:r w:rsidRPr="00794950">
        <w:tab/>
      </w:r>
      <w:r w:rsidR="007326BC" w:rsidRPr="00794950">
        <w:t>Depuis le début de la période d'études</w:t>
      </w:r>
      <w:r w:rsidRPr="00794950">
        <w:t xml:space="preserve"> 2017-2020, </w:t>
      </w:r>
      <w:r w:rsidR="007326BC" w:rsidRPr="00794950">
        <w:t xml:space="preserve">et parallèlement aux services </w:t>
      </w:r>
      <w:r w:rsidR="004176F6" w:rsidRPr="00794950">
        <w:t xml:space="preserve">existants </w:t>
      </w:r>
      <w:r w:rsidR="0068453C" w:rsidRPr="00794950">
        <w:t xml:space="preserve">qui sous-tendent </w:t>
      </w:r>
      <w:r w:rsidR="001973B6" w:rsidRPr="00794950">
        <w:t>les activités et l</w:t>
      </w:r>
      <w:r w:rsidR="007326BC" w:rsidRPr="00794950">
        <w:t xml:space="preserve">es publications du </w:t>
      </w:r>
      <w:r w:rsidR="0068453C" w:rsidRPr="00794950">
        <w:t>p</w:t>
      </w:r>
      <w:r w:rsidR="007326BC" w:rsidRPr="00794950">
        <w:t>rogramme de travail de l'UIT-T</w:t>
      </w:r>
      <w:r w:rsidRPr="00794950">
        <w:t xml:space="preserve">, </w:t>
      </w:r>
      <w:r w:rsidR="007326BC" w:rsidRPr="00794950">
        <w:t>le</w:t>
      </w:r>
      <w:r w:rsidRPr="00794950">
        <w:t xml:space="preserve"> TSB </w:t>
      </w:r>
      <w:r w:rsidR="007326BC" w:rsidRPr="00794950">
        <w:t xml:space="preserve">a </w:t>
      </w:r>
      <w:r w:rsidR="004176F6" w:rsidRPr="00794950">
        <w:t xml:space="preserve">mis au point </w:t>
      </w:r>
      <w:r w:rsidR="007326BC" w:rsidRPr="00794950">
        <w:t>les s</w:t>
      </w:r>
      <w:r w:rsidR="004176F6" w:rsidRPr="00794950">
        <w:t>olutions</w:t>
      </w:r>
      <w:r w:rsidR="007326BC" w:rsidRPr="00794950">
        <w:t xml:space="preserve"> suivant</w:t>
      </w:r>
      <w:r w:rsidR="004176F6" w:rsidRPr="00794950">
        <w:t>e</w:t>
      </w:r>
      <w:r w:rsidR="007326BC" w:rsidRPr="00794950">
        <w:t xml:space="preserve">s pour s'adapter </w:t>
      </w:r>
      <w:r w:rsidR="0068453C" w:rsidRPr="00794950">
        <w:t>à l</w:t>
      </w:r>
      <w:r w:rsidR="00A54667" w:rsidRPr="00794950">
        <w:t>'</w:t>
      </w:r>
      <w:r w:rsidR="0068453C" w:rsidRPr="00794950">
        <w:t xml:space="preserve">évolution constante </w:t>
      </w:r>
      <w:r w:rsidR="007326BC" w:rsidRPr="00794950">
        <w:t>du Secteur</w:t>
      </w:r>
      <w:r w:rsidRPr="00794950">
        <w:t>:</w:t>
      </w:r>
    </w:p>
    <w:p w14:paraId="71BE8BC4" w14:textId="2F5BCFE5" w:rsidR="00E07909" w:rsidRPr="00794950" w:rsidRDefault="00E07909" w:rsidP="00F702FE">
      <w:pPr>
        <w:pStyle w:val="enumlev1"/>
      </w:pPr>
      <w:r w:rsidRPr="00794950">
        <w:t>•</w:t>
      </w:r>
      <w:r w:rsidRPr="00794950">
        <w:tab/>
      </w:r>
      <w:hyperlink r:id="rId17" w:history="1">
        <w:r w:rsidR="00D60A39" w:rsidRPr="00794950">
          <w:rPr>
            <w:rStyle w:val="Hyperlink"/>
            <w:b/>
            <w:bCs/>
          </w:rPr>
          <w:t xml:space="preserve">Outil de mise en </w:t>
        </w:r>
        <w:r w:rsidR="00A53FF1" w:rsidRPr="00794950">
          <w:rPr>
            <w:rStyle w:val="Hyperlink"/>
            <w:b/>
            <w:bCs/>
          </w:rPr>
          <w:t xml:space="preserve">correspondance </w:t>
        </w:r>
        <w:r w:rsidR="00B476CC" w:rsidRPr="00794950">
          <w:rPr>
            <w:rStyle w:val="Hyperlink"/>
            <w:b/>
            <w:bCs/>
          </w:rPr>
          <w:t>avec les</w:t>
        </w:r>
        <w:r w:rsidR="00D60A39" w:rsidRPr="00794950">
          <w:rPr>
            <w:rStyle w:val="Hyperlink"/>
            <w:b/>
            <w:bCs/>
          </w:rPr>
          <w:t xml:space="preserve"> ODD</w:t>
        </w:r>
        <w:r w:rsidR="0068453C" w:rsidRPr="00794950">
          <w:rPr>
            <w:rStyle w:val="Hyperlink"/>
            <w:b/>
            <w:bCs/>
          </w:rPr>
          <w:t xml:space="preserve"> reposant sur l</w:t>
        </w:r>
        <w:r w:rsidR="00A54667" w:rsidRPr="00794950">
          <w:rPr>
            <w:rStyle w:val="Hyperlink"/>
            <w:b/>
            <w:bCs/>
          </w:rPr>
          <w:t>'</w:t>
        </w:r>
        <w:r w:rsidR="0068453C" w:rsidRPr="00794950">
          <w:rPr>
            <w:rStyle w:val="Hyperlink"/>
            <w:b/>
            <w:bCs/>
          </w:rPr>
          <w:t>intelligence artificielle</w:t>
        </w:r>
      </w:hyperlink>
      <w:r w:rsidR="00EC50C3" w:rsidRPr="00794950">
        <w:t xml:space="preserve"> – </w:t>
      </w:r>
      <w:r w:rsidR="00C432F1" w:rsidRPr="00794950">
        <w:t>Application du TSB</w:t>
      </w:r>
      <w:r w:rsidR="0068453C" w:rsidRPr="00794950">
        <w:t xml:space="preserve"> utilis</w:t>
      </w:r>
      <w:r w:rsidR="004176F6" w:rsidRPr="00794950">
        <w:t>ant</w:t>
      </w:r>
      <w:r w:rsidR="0068453C" w:rsidRPr="00794950">
        <w:t xml:space="preserve"> </w:t>
      </w:r>
      <w:r w:rsidR="00F26D92" w:rsidRPr="00794950">
        <w:t>l'intelligence artificielle (AI</w:t>
      </w:r>
      <w:r w:rsidR="00C432F1" w:rsidRPr="00794950">
        <w:t xml:space="preserve">) </w:t>
      </w:r>
      <w:r w:rsidR="004176F6" w:rsidRPr="00794950">
        <w:t xml:space="preserve">qui a été conçue </w:t>
      </w:r>
      <w:r w:rsidR="00C432F1" w:rsidRPr="00794950">
        <w:t xml:space="preserve">pour fournir </w:t>
      </w:r>
      <w:r w:rsidR="00C2162A" w:rsidRPr="00794950">
        <w:t>des</w:t>
      </w:r>
      <w:r w:rsidR="00C432F1" w:rsidRPr="00794950">
        <w:t xml:space="preserve"> analyse</w:t>
      </w:r>
      <w:r w:rsidR="00C2162A" w:rsidRPr="00794950">
        <w:t>s</w:t>
      </w:r>
      <w:r w:rsidR="00C432F1" w:rsidRPr="00794950">
        <w:t xml:space="preserve"> statistique</w:t>
      </w:r>
      <w:r w:rsidR="00C2162A" w:rsidRPr="00794950">
        <w:t>s</w:t>
      </w:r>
      <w:r w:rsidR="00C432F1" w:rsidRPr="00794950">
        <w:t xml:space="preserve"> sur</w:t>
      </w:r>
      <w:r w:rsidR="0068453C" w:rsidRPr="00794950">
        <w:t xml:space="preserve"> l</w:t>
      </w:r>
      <w:r w:rsidR="00A54667" w:rsidRPr="00794950">
        <w:t>'</w:t>
      </w:r>
      <w:r w:rsidR="0068453C" w:rsidRPr="00794950">
        <w:t xml:space="preserve">adéquation </w:t>
      </w:r>
      <w:r w:rsidR="00C432F1" w:rsidRPr="00794950">
        <w:t>des activités de l'UIT-T (</w:t>
      </w:r>
      <w:r w:rsidR="0068453C" w:rsidRPr="00794950">
        <w:t xml:space="preserve">par exemple </w:t>
      </w:r>
      <w:r w:rsidR="00C432F1" w:rsidRPr="00794950">
        <w:t>les recomma</w:t>
      </w:r>
      <w:r w:rsidRPr="00794950">
        <w:t xml:space="preserve">ndations, </w:t>
      </w:r>
      <w:r w:rsidR="00C432F1" w:rsidRPr="00794950">
        <w:t>les spécifications techniques</w:t>
      </w:r>
      <w:r w:rsidRPr="00794950">
        <w:t>, etc.)</w:t>
      </w:r>
      <w:r w:rsidR="0068453C" w:rsidRPr="00794950">
        <w:t xml:space="preserve"> au regard des </w:t>
      </w:r>
      <w:r w:rsidR="00C432F1" w:rsidRPr="00794950">
        <w:t>ODD</w:t>
      </w:r>
      <w:r w:rsidR="0068453C" w:rsidRPr="00794950">
        <w:t xml:space="preserve"> fixés par les </w:t>
      </w:r>
      <w:r w:rsidR="00C432F1" w:rsidRPr="00794950">
        <w:t>Nations Unies</w:t>
      </w:r>
      <w:r w:rsidR="00F44A52" w:rsidRPr="00794950">
        <w:t>,</w:t>
      </w:r>
      <w:r w:rsidRPr="00794950">
        <w:t xml:space="preserve"> </w:t>
      </w:r>
      <w:r w:rsidR="00C432F1" w:rsidRPr="00794950">
        <w:t>et</w:t>
      </w:r>
      <w:r w:rsidRPr="00794950">
        <w:t xml:space="preserve"> </w:t>
      </w:r>
      <w:r w:rsidR="00C2162A" w:rsidRPr="00794950">
        <w:t xml:space="preserve">pour </w:t>
      </w:r>
      <w:r w:rsidR="00CD13C9" w:rsidRPr="00794950">
        <w:t xml:space="preserve">mettre en </w:t>
      </w:r>
      <w:r w:rsidR="00A53FF1" w:rsidRPr="00794950">
        <w:t>correspondance</w:t>
      </w:r>
      <w:r w:rsidRPr="00794950">
        <w:t xml:space="preserve"> </w:t>
      </w:r>
      <w:r w:rsidR="00CD13C9" w:rsidRPr="00794950">
        <w:t>ces activités</w:t>
      </w:r>
      <w:r w:rsidRPr="00794950">
        <w:t xml:space="preserve"> </w:t>
      </w:r>
      <w:r w:rsidR="00CD13C9" w:rsidRPr="00794950">
        <w:t>à partir</w:t>
      </w:r>
      <w:r w:rsidRPr="00794950">
        <w:t xml:space="preserve"> </w:t>
      </w:r>
      <w:r w:rsidR="00CD13C9" w:rsidRPr="00794950">
        <w:t>d'un</w:t>
      </w:r>
      <w:r w:rsidRPr="00794950">
        <w:t xml:space="preserve"> </w:t>
      </w:r>
      <w:r w:rsidR="00CD13C9" w:rsidRPr="00794950">
        <w:t>large éventail de sources de données</w:t>
      </w:r>
      <w:r w:rsidRPr="00794950">
        <w:t xml:space="preserve"> (</w:t>
      </w:r>
      <w:r w:rsidR="00C432F1" w:rsidRPr="00794950">
        <w:t>sites web</w:t>
      </w:r>
      <w:r w:rsidRPr="00794950">
        <w:t xml:space="preserve">, </w:t>
      </w:r>
      <w:r w:rsidR="00C432F1" w:rsidRPr="00794950">
        <w:t>bases de données</w:t>
      </w:r>
      <w:r w:rsidRPr="00794950">
        <w:t xml:space="preserve">, etc.) </w:t>
      </w:r>
      <w:r w:rsidR="00CD13C9" w:rsidRPr="00794950">
        <w:t>avec</w:t>
      </w:r>
      <w:r w:rsidR="0068453C" w:rsidRPr="00794950">
        <w:t xml:space="preserve"> certains </w:t>
      </w:r>
      <w:r w:rsidR="00C432F1" w:rsidRPr="00794950">
        <w:t xml:space="preserve">ODD des Nations Unies </w:t>
      </w:r>
      <w:r w:rsidR="0068453C" w:rsidRPr="00794950">
        <w:t xml:space="preserve">sur la base de </w:t>
      </w:r>
      <w:r w:rsidR="00CD13C9" w:rsidRPr="00794950">
        <w:t>la pertinence sémantique</w:t>
      </w:r>
      <w:r w:rsidRPr="00794950">
        <w:t>.</w:t>
      </w:r>
    </w:p>
    <w:p w14:paraId="3604E29A" w14:textId="6704BB79" w:rsidR="00E07909" w:rsidRPr="00794950" w:rsidRDefault="00E07909" w:rsidP="00F702FE">
      <w:pPr>
        <w:pStyle w:val="enumlev1"/>
        <w:tabs>
          <w:tab w:val="clear" w:pos="567"/>
          <w:tab w:val="clear" w:pos="1134"/>
          <w:tab w:val="clear" w:pos="1701"/>
          <w:tab w:val="clear" w:pos="2268"/>
          <w:tab w:val="clear" w:pos="2835"/>
        </w:tabs>
        <w:ind w:left="709" w:hanging="709"/>
        <w:rPr>
          <w:b/>
          <w:bCs/>
        </w:rPr>
      </w:pPr>
      <w:r w:rsidRPr="00794950">
        <w:t>•</w:t>
      </w:r>
      <w:r w:rsidRPr="00794950">
        <w:tab/>
      </w:r>
      <w:hyperlink r:id="rId18" w:history="1">
        <w:r w:rsidRPr="00794950">
          <w:rPr>
            <w:rStyle w:val="Hyperlink"/>
            <w:b/>
            <w:bCs/>
          </w:rPr>
          <w:t>MyWorkspace</w:t>
        </w:r>
      </w:hyperlink>
      <w:r w:rsidRPr="00794950">
        <w:t xml:space="preserve"> – </w:t>
      </w:r>
      <w:r w:rsidR="00AF0A47" w:rsidRPr="00794950">
        <w:t>Guichet unique</w:t>
      </w:r>
      <w:r w:rsidR="0068453C" w:rsidRPr="00794950">
        <w:t xml:space="preserve"> qui facilite </w:t>
      </w:r>
      <w:r w:rsidR="00AF0A47" w:rsidRPr="00794950">
        <w:t>l'accès à un large éventail d'applications</w:t>
      </w:r>
      <w:r w:rsidR="004176F6" w:rsidRPr="00794950">
        <w:t xml:space="preserve"> et de services</w:t>
      </w:r>
      <w:r w:rsidR="00C2281D" w:rsidRPr="00794950">
        <w:t>,</w:t>
      </w:r>
      <w:r w:rsidRPr="00794950">
        <w:t xml:space="preserve"> </w:t>
      </w:r>
      <w:r w:rsidR="00C2281D" w:rsidRPr="00794950">
        <w:t>par exemple:</w:t>
      </w:r>
    </w:p>
    <w:p w14:paraId="74760648" w14:textId="089698EA" w:rsidR="00E07909" w:rsidRPr="00794950" w:rsidRDefault="00EC50C3" w:rsidP="00F702FE">
      <w:pPr>
        <w:pStyle w:val="enumlev2"/>
      </w:pPr>
      <w:r w:rsidRPr="00794950">
        <w:t>–</w:t>
      </w:r>
      <w:r w:rsidRPr="00794950">
        <w:tab/>
      </w:r>
      <w:hyperlink r:id="rId19" w:anchor="/my-workspace/remote_participation" w:tgtFrame="_blank" w:history="1">
        <w:r w:rsidRPr="00794950">
          <w:rPr>
            <w:rStyle w:val="Hyperlink"/>
          </w:rPr>
          <w:t>MyMeetings</w:t>
        </w:r>
      </w:hyperlink>
      <w:r w:rsidRPr="00794950">
        <w:t xml:space="preserve">: </w:t>
      </w:r>
      <w:r w:rsidR="00B77B3D" w:rsidRPr="00794950">
        <w:t>S</w:t>
      </w:r>
      <w:r w:rsidRPr="00794950">
        <w:t>ervice</w:t>
      </w:r>
      <w:r w:rsidR="004176F6" w:rsidRPr="00794950">
        <w:t xml:space="preserve"> de participation à distance reposant sur une </w:t>
      </w:r>
      <w:r w:rsidR="004176F6" w:rsidRPr="00794950">
        <w:rPr>
          <w:color w:val="000000"/>
        </w:rPr>
        <w:t>solution à code source ouvert</w:t>
      </w:r>
      <w:r w:rsidR="004176F6" w:rsidRPr="00794950">
        <w:t xml:space="preserve"> </w:t>
      </w:r>
      <w:r w:rsidR="004176F6" w:rsidRPr="00794950">
        <w:rPr>
          <w:color w:val="000000"/>
        </w:rPr>
        <w:t>personnalisée en interne</w:t>
      </w:r>
      <w:r w:rsidR="009638E1" w:rsidRPr="00794950">
        <w:rPr>
          <w:color w:val="000000"/>
        </w:rPr>
        <w:t>,</w:t>
      </w:r>
      <w:r w:rsidR="004176F6" w:rsidRPr="00794950">
        <w:rPr>
          <w:color w:val="000000"/>
        </w:rPr>
        <w:t xml:space="preserve"> pour répondre aux </w:t>
      </w:r>
      <w:r w:rsidR="006A4888" w:rsidRPr="00794950">
        <w:rPr>
          <w:color w:val="000000"/>
        </w:rPr>
        <w:t>besoins</w:t>
      </w:r>
      <w:r w:rsidR="004176F6" w:rsidRPr="00794950">
        <w:rPr>
          <w:color w:val="000000"/>
        </w:rPr>
        <w:t xml:space="preserve"> des réunions statutaires et non statutaires de l'UIT-T.</w:t>
      </w:r>
      <w:r w:rsidR="006B5D19" w:rsidRPr="00794950">
        <w:t xml:space="preserve"> </w:t>
      </w:r>
    </w:p>
    <w:p w14:paraId="6EDBFE46" w14:textId="42B60B19" w:rsidR="00E07909" w:rsidRPr="00794950" w:rsidRDefault="00E07909" w:rsidP="00F702FE">
      <w:pPr>
        <w:pStyle w:val="enumlev2"/>
      </w:pPr>
      <w:r w:rsidRPr="00794950">
        <w:t>–</w:t>
      </w:r>
      <w:r w:rsidRPr="00794950">
        <w:tab/>
      </w:r>
      <w:hyperlink r:id="rId20" w:anchor="/my-workspace/myevents" w:tgtFrame="_blank" w:history="1">
        <w:r w:rsidR="00EC50C3" w:rsidRPr="00794950">
          <w:rPr>
            <w:rStyle w:val="Hyperlink"/>
          </w:rPr>
          <w:t>MyEvents</w:t>
        </w:r>
      </w:hyperlink>
      <w:r w:rsidR="00EC50C3" w:rsidRPr="00794950">
        <w:t xml:space="preserve">: </w:t>
      </w:r>
      <w:r w:rsidR="00B77B3D" w:rsidRPr="00794950">
        <w:t>P</w:t>
      </w:r>
      <w:r w:rsidR="006A4888" w:rsidRPr="00794950">
        <w:t>late-forme de gestion des manifestations fournissant l</w:t>
      </w:r>
      <w:r w:rsidR="004F2870" w:rsidRPr="00794950">
        <w:t>'</w:t>
      </w:r>
      <w:r w:rsidR="006A4888" w:rsidRPr="00794950">
        <w:t>ordre du jour en temps réel des manifestations de l'UIT-T</w:t>
      </w:r>
      <w:r w:rsidR="009638E1" w:rsidRPr="00794950">
        <w:t xml:space="preserve"> et </w:t>
      </w:r>
      <w:r w:rsidR="006A4888" w:rsidRPr="00794950">
        <w:t xml:space="preserve">la liste des participants inscrits, des orateurs et des exposants, </w:t>
      </w:r>
      <w:r w:rsidR="00093A04" w:rsidRPr="00794950">
        <w:t xml:space="preserve">et </w:t>
      </w:r>
      <w:r w:rsidR="009638E1" w:rsidRPr="00794950">
        <w:t xml:space="preserve">qui est </w:t>
      </w:r>
      <w:r w:rsidR="00093A04" w:rsidRPr="00794950">
        <w:t>dotée d</w:t>
      </w:r>
      <w:r w:rsidR="004F2870" w:rsidRPr="00794950">
        <w:t>'</w:t>
      </w:r>
      <w:r w:rsidR="006A4888" w:rsidRPr="00794950">
        <w:t>une fonction de "</w:t>
      </w:r>
      <w:r w:rsidR="006A4888" w:rsidRPr="00794950">
        <w:rPr>
          <w:color w:val="000000"/>
        </w:rPr>
        <w:t>mise en relation</w:t>
      </w:r>
      <w:r w:rsidR="006A4888" w:rsidRPr="00794950">
        <w:t xml:space="preserve">" pour faciliter </w:t>
      </w:r>
      <w:r w:rsidR="006A4888" w:rsidRPr="00794950">
        <w:rPr>
          <w:color w:val="000000"/>
        </w:rPr>
        <w:t xml:space="preserve">l'établissement de contacts professionnels entre les </w:t>
      </w:r>
      <w:r w:rsidR="006A4888" w:rsidRPr="00794950">
        <w:t xml:space="preserve">participants. </w:t>
      </w:r>
    </w:p>
    <w:p w14:paraId="08B6C908" w14:textId="6128F7D5" w:rsidR="00E07909" w:rsidRPr="00794950" w:rsidRDefault="00E07909" w:rsidP="00F702FE">
      <w:pPr>
        <w:pStyle w:val="enumlev2"/>
      </w:pPr>
      <w:r w:rsidRPr="00794950">
        <w:t>–</w:t>
      </w:r>
      <w:r w:rsidRPr="00794950">
        <w:tab/>
      </w:r>
      <w:hyperlink r:id="rId21" w:anchor="/my-workspace/allevent" w:tgtFrame="_blank" w:history="1">
        <w:r w:rsidR="00EC50C3" w:rsidRPr="00794950">
          <w:rPr>
            <w:rStyle w:val="Hyperlink"/>
          </w:rPr>
          <w:t>All/Today</w:t>
        </w:r>
        <w:r w:rsidR="004F2870" w:rsidRPr="00794950">
          <w:rPr>
            <w:rStyle w:val="Hyperlink"/>
          </w:rPr>
          <w:t>'</w:t>
        </w:r>
        <w:r w:rsidR="00EC50C3" w:rsidRPr="00794950">
          <w:rPr>
            <w:rStyle w:val="Hyperlink"/>
          </w:rPr>
          <w:t>s Events</w:t>
        </w:r>
      </w:hyperlink>
      <w:r w:rsidR="00EC50C3" w:rsidRPr="00794950">
        <w:rPr>
          <w:rStyle w:val="normaltextrun"/>
        </w:rPr>
        <w:t xml:space="preserve">: </w:t>
      </w:r>
      <w:r w:rsidR="00B77B3D" w:rsidRPr="00794950">
        <w:rPr>
          <w:color w:val="000000"/>
        </w:rPr>
        <w:t>P</w:t>
      </w:r>
      <w:r w:rsidR="002F5CFB" w:rsidRPr="00794950">
        <w:rPr>
          <w:color w:val="000000"/>
        </w:rPr>
        <w:t>résentation</w:t>
      </w:r>
      <w:r w:rsidR="006A4888" w:rsidRPr="00794950">
        <w:rPr>
          <w:rStyle w:val="normaltextrun"/>
        </w:rPr>
        <w:t xml:space="preserve"> simplifiée du calendrier des </w:t>
      </w:r>
      <w:r w:rsidR="006A4888" w:rsidRPr="00794950">
        <w:t>manifestations</w:t>
      </w:r>
      <w:r w:rsidR="006A4888" w:rsidRPr="00794950">
        <w:rPr>
          <w:rStyle w:val="normaltextrun"/>
        </w:rPr>
        <w:t xml:space="preserve"> à venir, comportant des options de filtrage et offrant un accès à la page </w:t>
      </w:r>
      <w:r w:rsidR="006A4888" w:rsidRPr="00794950">
        <w:rPr>
          <w:color w:val="000000"/>
        </w:rPr>
        <w:t>web consacrée à la</w:t>
      </w:r>
      <w:r w:rsidR="006A4888" w:rsidRPr="00794950">
        <w:t xml:space="preserve"> manifestation et à</w:t>
      </w:r>
      <w:r w:rsidR="006A4888" w:rsidRPr="00794950">
        <w:rPr>
          <w:color w:val="000000"/>
        </w:rPr>
        <w:t xml:space="preserve"> l</w:t>
      </w:r>
      <w:r w:rsidR="004F2870" w:rsidRPr="00794950">
        <w:rPr>
          <w:color w:val="000000"/>
        </w:rPr>
        <w:t>'</w:t>
      </w:r>
      <w:r w:rsidR="006A4888" w:rsidRPr="00794950">
        <w:rPr>
          <w:color w:val="000000"/>
        </w:rPr>
        <w:t>inscription</w:t>
      </w:r>
      <w:r w:rsidR="006A4888" w:rsidRPr="00794950">
        <w:rPr>
          <w:rStyle w:val="normaltextrun"/>
        </w:rPr>
        <w:t xml:space="preserve"> pour participer aux </w:t>
      </w:r>
      <w:r w:rsidR="002F5CFB" w:rsidRPr="00794950">
        <w:t>manifestations</w:t>
      </w:r>
      <w:r w:rsidR="00B77B3D" w:rsidRPr="00794950">
        <w:rPr>
          <w:rStyle w:val="normaltextrun"/>
        </w:rPr>
        <w:t>.</w:t>
      </w:r>
    </w:p>
    <w:p w14:paraId="674AE649" w14:textId="382A8603" w:rsidR="00E07909" w:rsidRPr="00794950" w:rsidRDefault="00E07909" w:rsidP="00F702FE">
      <w:pPr>
        <w:pStyle w:val="enumlev2"/>
      </w:pPr>
      <w:r w:rsidRPr="00794950">
        <w:t>–</w:t>
      </w:r>
      <w:r w:rsidRPr="00794950">
        <w:tab/>
      </w:r>
      <w:hyperlink r:id="rId22" w:anchor="/my-workspace/translate" w:tgtFrame="_blank" w:history="1">
        <w:r w:rsidR="00EC50C3" w:rsidRPr="00794950">
          <w:rPr>
            <w:rStyle w:val="Hyperlink"/>
          </w:rPr>
          <w:t>ITU Translate</w:t>
        </w:r>
      </w:hyperlink>
      <w:r w:rsidR="00EC50C3" w:rsidRPr="00794950">
        <w:rPr>
          <w:rStyle w:val="normaltextrun"/>
        </w:rPr>
        <w:t xml:space="preserve">: </w:t>
      </w:r>
      <w:r w:rsidR="002F5CFB" w:rsidRPr="00794950">
        <w:rPr>
          <w:rStyle w:val="normaltextrun"/>
        </w:rPr>
        <w:t>Outil de traduction automatique par réseau neuronal, entraîné en interne sur les documents de l'UIT, et assurant la traduction dans l'une des six</w:t>
      </w:r>
      <w:r w:rsidR="00B77B3D" w:rsidRPr="00794950">
        <w:rPr>
          <w:rStyle w:val="normaltextrun"/>
        </w:rPr>
        <w:t> </w:t>
      </w:r>
      <w:r w:rsidR="002F5CFB" w:rsidRPr="00794950">
        <w:rPr>
          <w:rStyle w:val="normaltextrun"/>
        </w:rPr>
        <w:t>(6)</w:t>
      </w:r>
      <w:r w:rsidR="00B77B3D" w:rsidRPr="00794950">
        <w:rPr>
          <w:rStyle w:val="normaltextrun"/>
        </w:rPr>
        <w:t> </w:t>
      </w:r>
      <w:r w:rsidR="002F5CFB" w:rsidRPr="00794950">
        <w:rPr>
          <w:rStyle w:val="normaltextrun"/>
        </w:rPr>
        <w:t>langues officielles de l'ONU.</w:t>
      </w:r>
    </w:p>
    <w:p w14:paraId="3F716911" w14:textId="0BF55DF5" w:rsidR="00E07909" w:rsidRPr="00794950" w:rsidRDefault="00E07909" w:rsidP="00F702FE">
      <w:pPr>
        <w:pStyle w:val="enumlev2"/>
      </w:pPr>
      <w:r w:rsidRPr="00794950">
        <w:t>–</w:t>
      </w:r>
      <w:r w:rsidRPr="00794950">
        <w:tab/>
      </w:r>
      <w:hyperlink r:id="rId23" w:history="1">
        <w:r w:rsidR="002F5CFB" w:rsidRPr="001C1192">
          <w:rPr>
            <w:rStyle w:val="Hyperlink"/>
          </w:rPr>
          <w:t>Cloud de l'UIT-T</w:t>
        </w:r>
      </w:hyperlink>
      <w:r w:rsidR="00EC50C3" w:rsidRPr="00794950">
        <w:rPr>
          <w:rStyle w:val="normaltextrun"/>
        </w:rPr>
        <w:t>:</w:t>
      </w:r>
      <w:r w:rsidR="002F5CFB" w:rsidRPr="00794950">
        <w:t xml:space="preserve"> </w:t>
      </w:r>
      <w:r w:rsidR="002F5CFB" w:rsidRPr="00794950">
        <w:rPr>
          <w:rStyle w:val="normaltextrun"/>
        </w:rPr>
        <w:t>Service de stockage dans le nuage dans les locaux de l'UIT</w:t>
      </w:r>
      <w:r w:rsidR="009638E1" w:rsidRPr="00794950">
        <w:rPr>
          <w:rStyle w:val="normaltextrun"/>
        </w:rPr>
        <w:t>, qui</w:t>
      </w:r>
      <w:r w:rsidR="006B5D19" w:rsidRPr="00794950">
        <w:rPr>
          <w:rStyle w:val="normaltextrun"/>
        </w:rPr>
        <w:t xml:space="preserve"> </w:t>
      </w:r>
      <w:r w:rsidR="002F5CFB" w:rsidRPr="00794950">
        <w:rPr>
          <w:rStyle w:val="normaltextrun"/>
        </w:rPr>
        <w:t>permet aux utilisateurs de partager et d'échanger des fichiers jusqu'à 10 Go par utilisateur</w:t>
      </w:r>
      <w:r w:rsidR="0060316E" w:rsidRPr="00794950">
        <w:rPr>
          <w:rStyle w:val="normaltextrun"/>
        </w:rPr>
        <w:t xml:space="preserve">. </w:t>
      </w:r>
    </w:p>
    <w:p w14:paraId="7CD89640" w14:textId="64665CB5" w:rsidR="00E07909" w:rsidRPr="00794950" w:rsidRDefault="00E07909" w:rsidP="00F702FE">
      <w:pPr>
        <w:pStyle w:val="enumlev2"/>
        <w:rPr>
          <w:rStyle w:val="normaltextrun"/>
        </w:rPr>
      </w:pPr>
      <w:r w:rsidRPr="00794950">
        <w:t>–</w:t>
      </w:r>
      <w:r w:rsidRPr="00794950">
        <w:tab/>
      </w:r>
      <w:hyperlink r:id="rId24" w:anchor="/my-workspace/mails" w:tgtFrame="_blank" w:history="1">
        <w:r w:rsidR="00B36E66" w:rsidRPr="00794950">
          <w:rPr>
            <w:rStyle w:val="Hyperlink"/>
          </w:rPr>
          <w:t>Liste de diffusion</w:t>
        </w:r>
        <w:r w:rsidR="006B5D19" w:rsidRPr="00794950">
          <w:t xml:space="preserve">: </w:t>
        </w:r>
      </w:hyperlink>
      <w:r w:rsidR="00B36E66" w:rsidRPr="00794950">
        <w:rPr>
          <w:rStyle w:val="normaltextrun"/>
        </w:rPr>
        <w:t>Service d'abonnement aux listes de diffusion de l'UIT.</w:t>
      </w:r>
    </w:p>
    <w:p w14:paraId="50F1EEC1" w14:textId="314A81F3" w:rsidR="00EC50C3" w:rsidRPr="00794950" w:rsidRDefault="00EC50C3" w:rsidP="00F702FE">
      <w:pPr>
        <w:pStyle w:val="enumlev2"/>
      </w:pPr>
      <w:r w:rsidRPr="00794950">
        <w:rPr>
          <w:rStyle w:val="normaltextrun"/>
        </w:rPr>
        <w:t>–</w:t>
      </w:r>
      <w:r w:rsidRPr="00794950">
        <w:rPr>
          <w:rStyle w:val="normaltextrun"/>
        </w:rPr>
        <w:tab/>
      </w:r>
      <w:hyperlink r:id="rId25" w:anchor="/my-workspace/community" w:tgtFrame="_blank" w:history="1">
        <w:r w:rsidRPr="00794950">
          <w:rPr>
            <w:rStyle w:val="Hyperlink"/>
          </w:rPr>
          <w:t>Community</w:t>
        </w:r>
      </w:hyperlink>
      <w:r w:rsidRPr="00794950">
        <w:t xml:space="preserve">: </w:t>
      </w:r>
      <w:r w:rsidR="00B36E66" w:rsidRPr="00794950">
        <w:t>Répertoire des utilisateurs de MyWorkspace</w:t>
      </w:r>
      <w:r w:rsidRPr="00794950">
        <w:t>.</w:t>
      </w:r>
    </w:p>
    <w:p w14:paraId="193ADF28" w14:textId="3DFEE958" w:rsidR="00EC50C3" w:rsidRPr="00794950" w:rsidRDefault="00EC50C3" w:rsidP="00F702FE">
      <w:pPr>
        <w:pStyle w:val="enumlev2"/>
      </w:pPr>
      <w:r w:rsidRPr="00794950">
        <w:t>–</w:t>
      </w:r>
      <w:r w:rsidRPr="00794950">
        <w:tab/>
      </w:r>
      <w:hyperlink r:id="rId26" w:anchor="/my-workspace/documents" w:history="1">
        <w:r w:rsidR="00B36E66" w:rsidRPr="00794950">
          <w:rPr>
            <w:rStyle w:val="Hyperlink"/>
          </w:rPr>
          <w:t>Documents de réunion suggérés</w:t>
        </w:r>
      </w:hyperlink>
      <w:r w:rsidR="006B5D19" w:rsidRPr="00794950">
        <w:t>:</w:t>
      </w:r>
      <w:r w:rsidR="00B36E66" w:rsidRPr="00794950">
        <w:t xml:space="preserve"> Liste </w:t>
      </w:r>
      <w:r w:rsidR="009638E1" w:rsidRPr="00794950">
        <w:t xml:space="preserve">suggérée </w:t>
      </w:r>
      <w:r w:rsidR="00B36E66" w:rsidRPr="00794950">
        <w:t>de documents en fonction des intérêts des utilisateurs.</w:t>
      </w:r>
    </w:p>
    <w:p w14:paraId="2777D026" w14:textId="398565A3" w:rsidR="00EC50C3" w:rsidRPr="00794950" w:rsidRDefault="00EC50C3" w:rsidP="00F702FE">
      <w:pPr>
        <w:pStyle w:val="enumlev2"/>
        <w:rPr>
          <w:b/>
          <w:bCs/>
        </w:rPr>
      </w:pPr>
      <w:r w:rsidRPr="00794950">
        <w:t>–</w:t>
      </w:r>
      <w:r w:rsidRPr="00794950">
        <w:tab/>
      </w:r>
      <w:hyperlink r:id="rId27" w:anchor="/profile" w:tgtFrame="_blank" w:history="1">
        <w:r w:rsidR="0060316E" w:rsidRPr="00794950">
          <w:rPr>
            <w:rStyle w:val="Hyperlink"/>
          </w:rPr>
          <w:t>P</w:t>
        </w:r>
        <w:r w:rsidR="00B36E66" w:rsidRPr="00794950">
          <w:rPr>
            <w:rStyle w:val="Hyperlink"/>
          </w:rPr>
          <w:t>rofil</w:t>
        </w:r>
      </w:hyperlink>
      <w:r w:rsidRPr="00794950">
        <w:t xml:space="preserve">: </w:t>
      </w:r>
      <w:r w:rsidR="00B36E66" w:rsidRPr="00794950">
        <w:t>Page de profil contenant les informations personnelles et indiquant les intérêts de l'utilisateur.</w:t>
      </w:r>
    </w:p>
    <w:p w14:paraId="1C0916BB" w14:textId="2896C3C3" w:rsidR="00E07909" w:rsidRPr="00794950" w:rsidRDefault="00E07909" w:rsidP="00F702FE">
      <w:pPr>
        <w:pStyle w:val="enumlev1"/>
        <w:tabs>
          <w:tab w:val="clear" w:pos="567"/>
          <w:tab w:val="clear" w:pos="1134"/>
          <w:tab w:val="clear" w:pos="1701"/>
          <w:tab w:val="clear" w:pos="2268"/>
          <w:tab w:val="clear" w:pos="2835"/>
        </w:tabs>
        <w:ind w:left="709" w:hanging="709"/>
      </w:pPr>
      <w:r w:rsidRPr="00794950">
        <w:t>•</w:t>
      </w:r>
      <w:r w:rsidRPr="00794950">
        <w:tab/>
      </w:r>
      <w:hyperlink r:id="rId28" w:tgtFrame="_blank" w:history="1">
        <w:r w:rsidRPr="00794950">
          <w:rPr>
            <w:rStyle w:val="Hyperlink"/>
            <w:b/>
            <w:bCs/>
          </w:rPr>
          <w:t>ITUSearch</w:t>
        </w:r>
      </w:hyperlink>
      <w:r w:rsidRPr="00794950">
        <w:rPr>
          <w:b/>
          <w:bCs/>
        </w:rPr>
        <w:t> </w:t>
      </w:r>
      <w:r w:rsidR="004F49E3" w:rsidRPr="00794950">
        <w:t>–</w:t>
      </w:r>
      <w:r w:rsidRPr="00794950">
        <w:t> </w:t>
      </w:r>
      <w:r w:rsidR="004F49E3" w:rsidRPr="00794950">
        <w:t xml:space="preserve">Moteur de </w:t>
      </w:r>
      <w:r w:rsidR="00B41A80" w:rsidRPr="00794950">
        <w:t>recherche</w:t>
      </w:r>
      <w:r w:rsidR="004F49E3" w:rsidRPr="00794950">
        <w:t xml:space="preserve"> permettant d'accéder à toutes les ressources numériques de l'UIT, y compris les publications, les documents de réunion, les publications sur les réseaux sociaux et les webinaires</w:t>
      </w:r>
      <w:r w:rsidR="00C94D11" w:rsidRPr="00794950">
        <w:t>.</w:t>
      </w:r>
    </w:p>
    <w:p w14:paraId="23B9B29E" w14:textId="1EC8DE86" w:rsidR="00E07909" w:rsidRPr="00794950" w:rsidRDefault="00E07909" w:rsidP="00F702FE">
      <w:pPr>
        <w:pStyle w:val="enumlev1"/>
        <w:tabs>
          <w:tab w:val="clear" w:pos="567"/>
          <w:tab w:val="clear" w:pos="1134"/>
          <w:tab w:val="clear" w:pos="1701"/>
          <w:tab w:val="clear" w:pos="2268"/>
          <w:tab w:val="clear" w:pos="2835"/>
        </w:tabs>
        <w:ind w:left="709" w:hanging="709"/>
      </w:pPr>
      <w:r w:rsidRPr="00794950">
        <w:t>•</w:t>
      </w:r>
      <w:r w:rsidRPr="00794950">
        <w:tab/>
      </w:r>
      <w:hyperlink r:id="rId29" w:anchor="?topic=0&amp;workgroup=1&amp;searchValue=&amp;page=1&amp;sort=Revelance" w:tgtFrame="_blank" w:history="1">
        <w:r w:rsidR="00F72BAB" w:rsidRPr="00794950">
          <w:rPr>
            <w:rStyle w:val="Hyperlink"/>
            <w:b/>
            <w:bCs/>
          </w:rPr>
          <w:t>Panorama des normes TIC</w:t>
        </w:r>
      </w:hyperlink>
      <w:r w:rsidRPr="00794950">
        <w:t> </w:t>
      </w:r>
      <w:r w:rsidR="00F00D96" w:rsidRPr="00794950">
        <w:t>–</w:t>
      </w:r>
      <w:r w:rsidRPr="00794950">
        <w:t> </w:t>
      </w:r>
      <w:r w:rsidR="00A80662" w:rsidRPr="00794950">
        <w:t xml:space="preserve">Outil en ligne utilisé par les experts pour </w:t>
      </w:r>
      <w:r w:rsidR="00170AB0" w:rsidRPr="00794950">
        <w:t xml:space="preserve">classer les normes dans leur domaine </w:t>
      </w:r>
      <w:r w:rsidR="0068453C" w:rsidRPr="00794950">
        <w:t xml:space="preserve">de spécialisation </w:t>
      </w:r>
      <w:r w:rsidR="00170AB0" w:rsidRPr="00794950">
        <w:t>respectif</w:t>
      </w:r>
      <w:r w:rsidRPr="00794950">
        <w:t>.</w:t>
      </w:r>
    </w:p>
    <w:p w14:paraId="562F6773" w14:textId="77777777" w:rsidR="00F665D3" w:rsidRDefault="00E07909" w:rsidP="00F702FE">
      <w:pPr>
        <w:tabs>
          <w:tab w:val="clear" w:pos="567"/>
          <w:tab w:val="clear" w:pos="1134"/>
          <w:tab w:val="clear" w:pos="1701"/>
          <w:tab w:val="clear" w:pos="2268"/>
          <w:tab w:val="clear" w:pos="2835"/>
        </w:tabs>
      </w:pPr>
      <w:r w:rsidRPr="00794950">
        <w:t>2.3</w:t>
      </w:r>
      <w:r w:rsidRPr="00794950">
        <w:tab/>
      </w:r>
      <w:r w:rsidR="005D5AE4" w:rsidRPr="00794950">
        <w:t>Les</w:t>
      </w:r>
      <w:r w:rsidRPr="00794950">
        <w:t xml:space="preserve"> applications </w:t>
      </w:r>
      <w:r w:rsidR="005D5AE4" w:rsidRPr="00794950">
        <w:t>du TSB ont joué un rôle important</w:t>
      </w:r>
      <w:r w:rsidR="0068453C" w:rsidRPr="00794950">
        <w:t xml:space="preserve"> dans l</w:t>
      </w:r>
      <w:r w:rsidR="00A54667" w:rsidRPr="00794950">
        <w:t>'</w:t>
      </w:r>
      <w:r w:rsidR="0068453C" w:rsidRPr="00794950">
        <w:t xml:space="preserve">accès </w:t>
      </w:r>
      <w:r w:rsidR="005D5AE4" w:rsidRPr="00794950">
        <w:t xml:space="preserve">aux </w:t>
      </w:r>
      <w:r w:rsidR="00B36E66" w:rsidRPr="00794950">
        <w:t xml:space="preserve">documents, aux </w:t>
      </w:r>
      <w:r w:rsidR="005D5AE4" w:rsidRPr="00794950">
        <w:t>services et</w:t>
      </w:r>
      <w:r w:rsidR="00B36E66" w:rsidRPr="00794950">
        <w:t xml:space="preserve"> à</w:t>
      </w:r>
      <w:r w:rsidR="005D5AE4" w:rsidRPr="00794950">
        <w:t xml:space="preserve"> </w:t>
      </w:r>
      <w:r w:rsidR="0068453C" w:rsidRPr="00794950">
        <w:t>l</w:t>
      </w:r>
      <w:r w:rsidR="005D5AE4" w:rsidRPr="00794950">
        <w:t>'organisation de</w:t>
      </w:r>
      <w:r w:rsidR="00C2281D" w:rsidRPr="00794950">
        <w:t>s</w:t>
      </w:r>
      <w:r w:rsidR="005D5AE4" w:rsidRPr="00794950">
        <w:t xml:space="preserve"> manifestations</w:t>
      </w:r>
      <w:r w:rsidRPr="00794950">
        <w:t xml:space="preserve">. </w:t>
      </w:r>
      <w:r w:rsidR="00B36E66" w:rsidRPr="00794950">
        <w:t xml:space="preserve">Les </w:t>
      </w:r>
      <w:r w:rsidR="005D5AE4" w:rsidRPr="00794950">
        <w:t>outils de participation à distance</w:t>
      </w:r>
      <w:r w:rsidR="00B36E66" w:rsidRPr="00794950">
        <w:t xml:space="preserve"> offrent la possibilité </w:t>
      </w:r>
      <w:r w:rsidR="00B36E66" w:rsidRPr="00794950">
        <w:rPr>
          <w:color w:val="000000"/>
        </w:rPr>
        <w:t>d'améliorer l</w:t>
      </w:r>
      <w:r w:rsidR="004F2870" w:rsidRPr="00794950">
        <w:rPr>
          <w:color w:val="000000"/>
        </w:rPr>
        <w:t>'</w:t>
      </w:r>
      <w:r w:rsidR="0068453C" w:rsidRPr="00794950">
        <w:t>accès</w:t>
      </w:r>
      <w:r w:rsidR="00F00D96" w:rsidRPr="00794950">
        <w:t xml:space="preserve"> </w:t>
      </w:r>
      <w:r w:rsidR="005D5AE4" w:rsidRPr="00794950">
        <w:t>aux réunions et aux manifestations</w:t>
      </w:r>
      <w:r w:rsidRPr="00794950">
        <w:t>.</w:t>
      </w:r>
      <w:r w:rsidR="0068453C" w:rsidRPr="00794950">
        <w:t xml:space="preserve"> Dans l</w:t>
      </w:r>
      <w:r w:rsidR="00A54667" w:rsidRPr="00794950">
        <w:t>'</w:t>
      </w:r>
      <w:r w:rsidR="0068453C" w:rsidRPr="00794950">
        <w:t xml:space="preserve">ensemble, </w:t>
      </w:r>
      <w:r w:rsidR="005D5AE4" w:rsidRPr="00794950">
        <w:t>le nombre</w:t>
      </w:r>
      <w:r w:rsidR="00B36E66" w:rsidRPr="00794950">
        <w:t xml:space="preserve"> total </w:t>
      </w:r>
      <w:r w:rsidR="005D5AE4" w:rsidRPr="00794950">
        <w:t xml:space="preserve">de réunions </w:t>
      </w:r>
      <w:r w:rsidR="00B36E66" w:rsidRPr="00794950">
        <w:t xml:space="preserve">(statutaires et non statutaires) </w:t>
      </w:r>
      <w:r w:rsidR="005D5AE4" w:rsidRPr="00794950">
        <w:t>organisées</w:t>
      </w:r>
      <w:r w:rsidR="00B36E66" w:rsidRPr="00794950">
        <w:t xml:space="preserve"> au moyen d</w:t>
      </w:r>
      <w:r w:rsidR="004F2870" w:rsidRPr="00794950">
        <w:t>'</w:t>
      </w:r>
      <w:r w:rsidR="00B36E66" w:rsidRPr="00794950">
        <w:t xml:space="preserve">outils de participation à </w:t>
      </w:r>
      <w:r w:rsidR="00F665D3">
        <w:br w:type="page"/>
      </w:r>
    </w:p>
    <w:p w14:paraId="276EA25A" w14:textId="2E498992" w:rsidR="00626593" w:rsidRPr="00794950" w:rsidRDefault="00B36E66" w:rsidP="00F702FE">
      <w:pPr>
        <w:tabs>
          <w:tab w:val="clear" w:pos="567"/>
          <w:tab w:val="clear" w:pos="1134"/>
          <w:tab w:val="clear" w:pos="1701"/>
          <w:tab w:val="clear" w:pos="2268"/>
          <w:tab w:val="clear" w:pos="2835"/>
        </w:tabs>
      </w:pPr>
      <w:r w:rsidRPr="00794950">
        <w:lastRenderedPageBreak/>
        <w:t>distance</w:t>
      </w:r>
      <w:r w:rsidR="005D5AE4" w:rsidRPr="00794950">
        <w:t xml:space="preserve"> </w:t>
      </w:r>
      <w:r w:rsidR="00B37E2E" w:rsidRPr="00794950">
        <w:t xml:space="preserve">et le nombre de participants (personnes ayant participé à des </w:t>
      </w:r>
      <w:r w:rsidR="00B37E2E" w:rsidRPr="00794950">
        <w:rPr>
          <w:color w:val="000000"/>
        </w:rPr>
        <w:t>séances dans le cadre de réunions)</w:t>
      </w:r>
      <w:r w:rsidR="00B37E2E" w:rsidRPr="00794950">
        <w:t xml:space="preserve"> </w:t>
      </w:r>
      <w:r w:rsidR="00F81E5E" w:rsidRPr="00794950">
        <w:t>ont</w:t>
      </w:r>
      <w:r w:rsidR="0068453C" w:rsidRPr="00794950">
        <w:t xml:space="preserve"> </w:t>
      </w:r>
      <w:r w:rsidR="00B37E2E" w:rsidRPr="00794950">
        <w:t>considérablement</w:t>
      </w:r>
      <w:r w:rsidR="005D5AE4" w:rsidRPr="00794950">
        <w:t xml:space="preserve"> augmenté entre</w:t>
      </w:r>
      <w:r w:rsidR="00E07909" w:rsidRPr="00794950">
        <w:t xml:space="preserve"> 2017 </w:t>
      </w:r>
      <w:r w:rsidR="005D5AE4" w:rsidRPr="00794950">
        <w:t>et</w:t>
      </w:r>
      <w:r w:rsidR="00E07909" w:rsidRPr="00794950">
        <w:t xml:space="preserve"> 20</w:t>
      </w:r>
      <w:r w:rsidR="00626593" w:rsidRPr="00794950">
        <w:t>20</w:t>
      </w:r>
      <w:r w:rsidR="00E07909" w:rsidRPr="00794950">
        <w:t xml:space="preserve">. </w:t>
      </w:r>
      <w:r w:rsidR="00B37E2E" w:rsidRPr="00794950">
        <w:t>En 2019, le TSB a organisé 1</w:t>
      </w:r>
      <w:r w:rsidR="008A6E75" w:rsidRPr="00794950">
        <w:t> </w:t>
      </w:r>
      <w:r w:rsidR="00B37E2E" w:rsidRPr="00794950">
        <w:t>878</w:t>
      </w:r>
      <w:r w:rsidR="008A6E75" w:rsidRPr="00794950">
        <w:t> </w:t>
      </w:r>
      <w:r w:rsidR="00B37E2E" w:rsidRPr="00794950">
        <w:t>réunions en présence d</w:t>
      </w:r>
      <w:r w:rsidR="004F2870" w:rsidRPr="00794950">
        <w:t>'</w:t>
      </w:r>
      <w:r w:rsidR="00B37E2E" w:rsidRPr="00794950">
        <w:t>un total de 10</w:t>
      </w:r>
      <w:r w:rsidR="008A6E75" w:rsidRPr="00794950">
        <w:t> </w:t>
      </w:r>
      <w:r w:rsidR="00B37E2E" w:rsidRPr="00794950">
        <w:t>798 participants. De janvier à août 2020, 2</w:t>
      </w:r>
      <w:r w:rsidR="008A6E75" w:rsidRPr="00794950">
        <w:t> </w:t>
      </w:r>
      <w:r w:rsidR="00B37E2E" w:rsidRPr="00794950">
        <w:t>958 réunions ont été organisées en présence de 48</w:t>
      </w:r>
      <w:r w:rsidR="008A6E75" w:rsidRPr="00794950">
        <w:t> </w:t>
      </w:r>
      <w:r w:rsidR="00B37E2E" w:rsidRPr="00794950">
        <w:t>309 participants (voir le Tableau 3).</w:t>
      </w:r>
      <w:r w:rsidR="006B5D19" w:rsidRPr="00794950">
        <w:t xml:space="preserve"> </w:t>
      </w:r>
    </w:p>
    <w:p w14:paraId="51CA9A50" w14:textId="2EA520F7" w:rsidR="00E07909" w:rsidRPr="00794950" w:rsidRDefault="00626593" w:rsidP="00F702FE">
      <w:pPr>
        <w:tabs>
          <w:tab w:val="clear" w:pos="567"/>
          <w:tab w:val="clear" w:pos="1134"/>
          <w:tab w:val="clear" w:pos="1701"/>
          <w:tab w:val="clear" w:pos="2268"/>
          <w:tab w:val="clear" w:pos="2835"/>
        </w:tabs>
      </w:pPr>
      <w:r w:rsidRPr="00794950">
        <w:t>2.4</w:t>
      </w:r>
      <w:r w:rsidRPr="00794950">
        <w:tab/>
      </w:r>
      <w:r w:rsidR="00876BB4" w:rsidRPr="00794950">
        <w:t xml:space="preserve">Le nombre d'utilisateurs de </w:t>
      </w:r>
      <w:r w:rsidR="00E07909" w:rsidRPr="00794950">
        <w:t xml:space="preserve">MyWorkspace </w:t>
      </w:r>
      <w:r w:rsidR="00876BB4" w:rsidRPr="00794950">
        <w:t xml:space="preserve">a </w:t>
      </w:r>
      <w:r w:rsidR="00A96C58" w:rsidRPr="00794950">
        <w:t>également</w:t>
      </w:r>
      <w:r w:rsidR="00876BB4" w:rsidRPr="00794950">
        <w:t xml:space="preserve"> </w:t>
      </w:r>
      <w:r w:rsidR="0068453C" w:rsidRPr="00794950">
        <w:t xml:space="preserve">connu une forte augmentation, </w:t>
      </w:r>
      <w:r w:rsidR="00876BB4" w:rsidRPr="00794950">
        <w:t xml:space="preserve">passant de </w:t>
      </w:r>
      <w:r w:rsidR="00E07909" w:rsidRPr="00794950">
        <w:t xml:space="preserve">100 </w:t>
      </w:r>
      <w:r w:rsidR="00876BB4" w:rsidRPr="00794950">
        <w:t>utilisateurs</w:t>
      </w:r>
      <w:r w:rsidR="00E07909" w:rsidRPr="00794950">
        <w:t xml:space="preserve"> </w:t>
      </w:r>
      <w:r w:rsidR="00876BB4" w:rsidRPr="00794950">
        <w:t>en janvier</w:t>
      </w:r>
      <w:r w:rsidR="0001436B" w:rsidRPr="00794950">
        <w:t> </w:t>
      </w:r>
      <w:r w:rsidR="00E07909" w:rsidRPr="00794950">
        <w:t xml:space="preserve">2018 </w:t>
      </w:r>
      <w:r w:rsidR="00876BB4" w:rsidRPr="00794950">
        <w:t xml:space="preserve">à près de </w:t>
      </w:r>
      <w:r w:rsidRPr="00794950">
        <w:t>4</w:t>
      </w:r>
      <w:r w:rsidR="00876BB4" w:rsidRPr="00794950">
        <w:t> </w:t>
      </w:r>
      <w:r w:rsidRPr="00794950">
        <w:t>0</w:t>
      </w:r>
      <w:r w:rsidR="00876BB4" w:rsidRPr="00794950">
        <w:t xml:space="preserve">00 </w:t>
      </w:r>
      <w:r w:rsidR="00C2281D" w:rsidRPr="00794950">
        <w:t xml:space="preserve">utilisateurs </w:t>
      </w:r>
      <w:r w:rsidR="00876BB4" w:rsidRPr="00794950">
        <w:t xml:space="preserve">en </w:t>
      </w:r>
      <w:r w:rsidRPr="00794950">
        <w:t>septembre</w:t>
      </w:r>
      <w:r w:rsidR="00E07909" w:rsidRPr="00794950">
        <w:t xml:space="preserve"> 2020, </w:t>
      </w:r>
      <w:r w:rsidR="00876BB4" w:rsidRPr="00794950">
        <w:t>et devrait</w:t>
      </w:r>
      <w:r w:rsidR="0068453C" w:rsidRPr="00794950">
        <w:t xml:space="preserve"> s</w:t>
      </w:r>
      <w:r w:rsidR="00A54667" w:rsidRPr="00794950">
        <w:t>'</w:t>
      </w:r>
      <w:r w:rsidR="0068453C" w:rsidRPr="00794950">
        <w:t xml:space="preserve">accroître </w:t>
      </w:r>
      <w:r w:rsidR="00B37E2E" w:rsidRPr="00794950">
        <w:t xml:space="preserve">encore plus </w:t>
      </w:r>
      <w:r w:rsidR="00424380" w:rsidRPr="00794950">
        <w:t xml:space="preserve">d'ici à la fin </w:t>
      </w:r>
      <w:r w:rsidR="00B37E2E" w:rsidRPr="00794950">
        <w:t xml:space="preserve">de </w:t>
      </w:r>
      <w:r w:rsidRPr="00794950">
        <w:t>2020</w:t>
      </w:r>
      <w:r w:rsidR="00E07909" w:rsidRPr="00794950">
        <w:t xml:space="preserve">. </w:t>
      </w:r>
      <w:r w:rsidR="00876BB4" w:rsidRPr="00794950">
        <w:t>D'autres outils</w:t>
      </w:r>
      <w:r w:rsidR="00E07909" w:rsidRPr="00794950">
        <w:t xml:space="preserve"> </w:t>
      </w:r>
      <w:r w:rsidR="00876BB4" w:rsidRPr="00794950">
        <w:t xml:space="preserve">du </w:t>
      </w:r>
      <w:r w:rsidR="00E07909" w:rsidRPr="00794950">
        <w:t>TSB,</w:t>
      </w:r>
      <w:r w:rsidR="0068453C" w:rsidRPr="00794950">
        <w:t xml:space="preserve"> par exemple</w:t>
      </w:r>
      <w:r w:rsidR="00B37E2E" w:rsidRPr="00794950">
        <w:rPr>
          <w:rFonts w:asciiTheme="minorHAnsi" w:hAnsiTheme="minorHAnsi" w:cstheme="minorHAnsi"/>
        </w:rPr>
        <w:t xml:space="preserve"> </w:t>
      </w:r>
      <w:r w:rsidR="00B37E2E" w:rsidRPr="00794950">
        <w:rPr>
          <w:rStyle w:val="eop"/>
          <w:rFonts w:asciiTheme="minorHAnsi" w:hAnsiTheme="minorHAnsi" w:cstheme="minorHAnsi"/>
        </w:rPr>
        <w:t>ITU</w:t>
      </w:r>
      <w:r w:rsidR="008A6E75" w:rsidRPr="00794950">
        <w:rPr>
          <w:rStyle w:val="eop"/>
          <w:rFonts w:asciiTheme="minorHAnsi" w:hAnsiTheme="minorHAnsi" w:cstheme="minorHAnsi"/>
        </w:rPr>
        <w:t> </w:t>
      </w:r>
      <w:r w:rsidR="00B37E2E" w:rsidRPr="00794950">
        <w:rPr>
          <w:rStyle w:val="eop"/>
          <w:rFonts w:asciiTheme="minorHAnsi" w:hAnsiTheme="minorHAnsi" w:cstheme="minorHAnsi"/>
        </w:rPr>
        <w:t>Translate</w:t>
      </w:r>
      <w:r w:rsidR="00E07909" w:rsidRPr="00794950">
        <w:t xml:space="preserve">, </w:t>
      </w:r>
      <w:r w:rsidR="00876BB4" w:rsidRPr="00794950">
        <w:t>sont à l'origine de la hausse du nombre de participants à des manifestations</w:t>
      </w:r>
      <w:r w:rsidR="00E07909" w:rsidRPr="00794950">
        <w:t xml:space="preserve"> </w:t>
      </w:r>
      <w:r w:rsidR="00876BB4" w:rsidRPr="00794950">
        <w:t>telles que</w:t>
      </w:r>
      <w:r w:rsidR="00E07909" w:rsidRPr="00794950">
        <w:t xml:space="preserve"> </w:t>
      </w:r>
      <w:r w:rsidR="00876BB4" w:rsidRPr="00794950">
        <w:t xml:space="preserve">les </w:t>
      </w:r>
      <w:r w:rsidR="00700FDF" w:rsidRPr="00794950">
        <w:rPr>
          <w:i/>
        </w:rPr>
        <w:t>S</w:t>
      </w:r>
      <w:r w:rsidR="00876BB4" w:rsidRPr="00794950">
        <w:rPr>
          <w:i/>
        </w:rPr>
        <w:t>essions de formation sur la réduction de l'écart en matière de normalisation</w:t>
      </w:r>
      <w:r w:rsidR="00E07909" w:rsidRPr="00794950">
        <w:rPr>
          <w:i/>
          <w:iCs/>
        </w:rPr>
        <w:t xml:space="preserve"> </w:t>
      </w:r>
      <w:r w:rsidR="00876BB4" w:rsidRPr="00794950">
        <w:t>(</w:t>
      </w:r>
      <w:r w:rsidR="00E07909" w:rsidRPr="00794950">
        <w:t>348</w:t>
      </w:r>
      <w:r w:rsidR="00F00D96" w:rsidRPr="00794950">
        <w:t> </w:t>
      </w:r>
      <w:r w:rsidR="0068453C" w:rsidRPr="00794950">
        <w:t xml:space="preserve">participants </w:t>
      </w:r>
      <w:r w:rsidR="00876BB4" w:rsidRPr="00794950">
        <w:t>e</w:t>
      </w:r>
      <w:r w:rsidR="00E07909" w:rsidRPr="00794950">
        <w:t>n 2019</w:t>
      </w:r>
      <w:r w:rsidR="0068453C" w:rsidRPr="00794950">
        <w:t xml:space="preserve"> contre 113 en 2017</w:t>
      </w:r>
      <w:r w:rsidR="00E07909" w:rsidRPr="00794950">
        <w:t>)</w:t>
      </w:r>
      <w:r w:rsidR="00E07909" w:rsidRPr="00794950">
        <w:rPr>
          <w:i/>
          <w:iCs/>
        </w:rPr>
        <w:t>.</w:t>
      </w:r>
    </w:p>
    <w:p w14:paraId="648ECBAC" w14:textId="5D0F49FA" w:rsidR="00E07909" w:rsidRPr="00794950" w:rsidRDefault="00626593" w:rsidP="00F702FE">
      <w:pPr>
        <w:tabs>
          <w:tab w:val="clear" w:pos="567"/>
          <w:tab w:val="clear" w:pos="1134"/>
          <w:tab w:val="clear" w:pos="1701"/>
          <w:tab w:val="clear" w:pos="2268"/>
          <w:tab w:val="clear" w:pos="2835"/>
        </w:tabs>
      </w:pPr>
      <w:r w:rsidRPr="00794950">
        <w:t>2.5</w:t>
      </w:r>
      <w:r w:rsidRPr="00794950">
        <w:tab/>
      </w:r>
      <w:r w:rsidR="00203BE2" w:rsidRPr="00794950">
        <w:t xml:space="preserve">L'outil de participation à distance du TSB, </w:t>
      </w:r>
      <w:r w:rsidRPr="00794950">
        <w:t>MyMeetings,</w:t>
      </w:r>
      <w:r w:rsidR="00E07909" w:rsidRPr="00794950">
        <w:t xml:space="preserve"> </w:t>
      </w:r>
      <w:r w:rsidR="00203BE2" w:rsidRPr="00794950">
        <w:t>est conforme</w:t>
      </w:r>
      <w:r w:rsidR="00E07909" w:rsidRPr="00794950">
        <w:t xml:space="preserve"> </w:t>
      </w:r>
      <w:r w:rsidR="00203BE2" w:rsidRPr="00794950">
        <w:t xml:space="preserve">aux </w:t>
      </w:r>
      <w:r w:rsidR="00401920" w:rsidRPr="00794950">
        <w:rPr>
          <w:color w:val="000000"/>
        </w:rPr>
        <w:t>Directives</w:t>
      </w:r>
      <w:r w:rsidR="0001436B" w:rsidRPr="00794950">
        <w:rPr>
          <w:color w:val="000000"/>
        </w:rPr>
        <w:t> </w:t>
      </w:r>
      <w:r w:rsidR="00401920" w:rsidRPr="00794950">
        <w:rPr>
          <w:color w:val="000000"/>
        </w:rPr>
        <w:t>2.0 d</w:t>
      </w:r>
      <w:r w:rsidR="00A54667" w:rsidRPr="00794950">
        <w:rPr>
          <w:color w:val="000000"/>
        </w:rPr>
        <w:t>'</w:t>
      </w:r>
      <w:r w:rsidR="00401920" w:rsidRPr="00794950">
        <w:rPr>
          <w:color w:val="000000"/>
        </w:rPr>
        <w:t>accessibilité du contenu web</w:t>
      </w:r>
      <w:r w:rsidR="00F00D96" w:rsidRPr="00794950">
        <w:rPr>
          <w:color w:val="000000"/>
        </w:rPr>
        <w:t xml:space="preserve"> </w:t>
      </w:r>
      <w:r w:rsidR="00203BE2" w:rsidRPr="00794950">
        <w:t>(WCAG)</w:t>
      </w:r>
      <w:r w:rsidR="00F00D96" w:rsidRPr="00794950">
        <w:t>,</w:t>
      </w:r>
      <w:r w:rsidR="00203BE2" w:rsidRPr="00794950">
        <w:t xml:space="preserve"> niveau AA</w:t>
      </w:r>
      <w:r w:rsidR="0097386B" w:rsidRPr="00794950">
        <w:t xml:space="preserve"> pour répondre aux besoins des</w:t>
      </w:r>
      <w:r w:rsidR="0097386B" w:rsidRPr="00794950">
        <w:rPr>
          <w:color w:val="000000"/>
        </w:rPr>
        <w:t xml:space="preserve"> personnes handicapées</w:t>
      </w:r>
      <w:r w:rsidR="00E07909" w:rsidRPr="00794950">
        <w:t xml:space="preserve">. </w:t>
      </w:r>
      <w:r w:rsidR="00D93E83" w:rsidRPr="00794950">
        <w:t xml:space="preserve">Des </w:t>
      </w:r>
      <w:r w:rsidR="00AD441B" w:rsidRPr="00794950">
        <w:t>améliorations</w:t>
      </w:r>
      <w:r w:rsidR="00D93E83" w:rsidRPr="00794950">
        <w:t xml:space="preserve"> sont</w:t>
      </w:r>
      <w:r w:rsidR="0068453C" w:rsidRPr="00794950">
        <w:t xml:space="preserve"> apportées actuellement, </w:t>
      </w:r>
      <w:r w:rsidR="00D93E83" w:rsidRPr="00794950">
        <w:t>pour que d'autres applications et plate</w:t>
      </w:r>
      <w:r w:rsidR="00DD1814" w:rsidRPr="00794950">
        <w:t>s</w:t>
      </w:r>
      <w:r w:rsidR="0068453C" w:rsidRPr="00794950">
        <w:t>-</w:t>
      </w:r>
      <w:r w:rsidR="00D93E83" w:rsidRPr="00794950">
        <w:t xml:space="preserve">formes </w:t>
      </w:r>
      <w:r w:rsidR="00F00D96" w:rsidRPr="00794950">
        <w:t>–</w:t>
      </w:r>
      <w:r w:rsidR="0068453C" w:rsidRPr="00794950">
        <w:t xml:space="preserve"> </w:t>
      </w:r>
      <w:r w:rsidR="00E07909" w:rsidRPr="00794950">
        <w:t xml:space="preserve">MyWorkSpace, </w:t>
      </w:r>
      <w:r w:rsidR="00F72BAB" w:rsidRPr="00794950">
        <w:t>ITU</w:t>
      </w:r>
      <w:r w:rsidR="0001436B" w:rsidRPr="00794950">
        <w:t> </w:t>
      </w:r>
      <w:r w:rsidR="00BA5562" w:rsidRPr="00794950">
        <w:t>Search, ITU</w:t>
      </w:r>
      <w:r w:rsidR="00F00D96" w:rsidRPr="00794950">
        <w:noBreakHyphen/>
      </w:r>
      <w:r w:rsidR="00E07909" w:rsidRPr="00794950">
        <w:t xml:space="preserve">Translate, </w:t>
      </w:r>
      <w:r w:rsidR="00BA5562" w:rsidRPr="00794950">
        <w:t>le Panorama des normes TIC</w:t>
      </w:r>
      <w:r w:rsidR="00E07909" w:rsidRPr="00794950">
        <w:t xml:space="preserve"> </w:t>
      </w:r>
      <w:r w:rsidR="00D93E83" w:rsidRPr="00794950">
        <w:t>et les sites web de l'UIT-T</w:t>
      </w:r>
      <w:r w:rsidR="00794950">
        <w:t xml:space="preserve"> </w:t>
      </w:r>
      <w:r w:rsidR="0068453C" w:rsidRPr="00794950">
        <w:t>par exemple</w:t>
      </w:r>
      <w:r w:rsidR="0097386B" w:rsidRPr="00794950">
        <w:t xml:space="preserve"> </w:t>
      </w:r>
      <w:r w:rsidR="008A6E75" w:rsidRPr="00794950">
        <w:t>–</w:t>
      </w:r>
      <w:r w:rsidR="00E07909" w:rsidRPr="00794950">
        <w:t xml:space="preserve"> </w:t>
      </w:r>
      <w:r w:rsidR="00D93E83" w:rsidRPr="00794950">
        <w:t>soient conformes aux</w:t>
      </w:r>
      <w:r w:rsidR="0068453C" w:rsidRPr="00794950">
        <w:t xml:space="preserve"> Directives </w:t>
      </w:r>
      <w:r w:rsidR="00D93E83" w:rsidRPr="00794950">
        <w:t>WCAG</w:t>
      </w:r>
      <w:r w:rsidR="00E07909" w:rsidRPr="00794950">
        <w:t xml:space="preserve"> 2.0</w:t>
      </w:r>
      <w:r w:rsidR="0068453C" w:rsidRPr="00794950">
        <w:t>, niveau</w:t>
      </w:r>
      <w:r w:rsidR="00E07909" w:rsidRPr="00794950">
        <w:t xml:space="preserve"> AA.</w:t>
      </w:r>
    </w:p>
    <w:p w14:paraId="5862B8DE" w14:textId="3C17A004" w:rsidR="00626593" w:rsidRPr="00794950" w:rsidRDefault="00F665D3" w:rsidP="00F702FE">
      <w:pPr>
        <w:pStyle w:val="Figure"/>
      </w:pPr>
      <w:r w:rsidRPr="00794950">
        <w:rPr>
          <w:rFonts w:asciiTheme="minorHAnsi" w:hAnsiTheme="minorHAnsi" w:cstheme="minorHAnsi"/>
          <w:noProof/>
          <w:color w:val="00B050"/>
          <w:szCs w:val="24"/>
        </w:rPr>
        <mc:AlternateContent>
          <mc:Choice Requires="wps">
            <w:drawing>
              <wp:anchor distT="0" distB="0" distL="114300" distR="114300" simplePos="0" relativeHeight="251691008" behindDoc="0" locked="0" layoutInCell="1" allowOverlap="1" wp14:anchorId="353C171C" wp14:editId="7D33437A">
                <wp:simplePos x="0" y="0"/>
                <wp:positionH relativeFrom="column">
                  <wp:posOffset>104775</wp:posOffset>
                </wp:positionH>
                <wp:positionV relativeFrom="paragraph">
                  <wp:posOffset>1231900</wp:posOffset>
                </wp:positionV>
                <wp:extent cx="825500" cy="4191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825500" cy="419100"/>
                        </a:xfrm>
                        <a:prstGeom prst="rect">
                          <a:avLst/>
                        </a:prstGeom>
                        <a:solidFill>
                          <a:schemeClr val="lt1"/>
                        </a:solidFill>
                        <a:ln w="6350">
                          <a:noFill/>
                        </a:ln>
                      </wps:spPr>
                      <wps:txbx>
                        <w:txbxContent>
                          <w:p w14:paraId="3EE47C0B" w14:textId="0C3CF6A1" w:rsidR="00AF0B22" w:rsidRPr="008A6E75" w:rsidRDefault="00AF0B22" w:rsidP="008A6E75">
                            <w:pPr>
                              <w:spacing w:before="0"/>
                              <w:rPr>
                                <w:b/>
                                <w:bCs/>
                                <w:szCs w:val="24"/>
                                <w:lang w:val="fr-CH"/>
                              </w:rPr>
                            </w:pPr>
                            <w:r w:rsidRPr="008A6E75">
                              <w:rPr>
                                <w:b/>
                                <w:bCs/>
                                <w:color w:val="FF0000"/>
                                <w:szCs w:val="24"/>
                                <w:lang w:val="fr-CH"/>
                              </w:rPr>
                              <w:t>Nombre de participants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3C171C" id="Text Box 20" o:spid="_x0000_s1038" type="#_x0000_t202" style="position:absolute;left:0;text-align:left;margin-left:8.25pt;margin-top:97pt;width:65pt;height:3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DUdOgIAAHIEAAAOAAAAZHJzL2Uyb0RvYy54bWysVMGO2jAQvVfqP1i+lwAtq11EWFFWVJXQ&#10;7kpQ7dk4DkRyPK5tSOjX99khbLvtqerFTGbGz/PezDC7b2vNTsr5ikzOR4MhZ8pIKiqzz/m37erD&#10;LWc+CFMITUbl/Kw8v5+/fzdr7FSN6UC6UI4BxPhpY3N+CMFOs8zLg6qFH5BVBsGSXC0CPt0+K5xo&#10;gF7rbDwc3mQNucI6ksp7eB+6IJ8n/LJUMjyVpVeB6ZyjtpBOl85dPLP5TEz3TthDJS9liH+oohaV&#10;waNXqAcRBDu66g+oupKOPJVhIKnOqCwrqRIHsBkN37DZHIRViQvE8fYqk/9/sPLx9OxYVeR8DHmM&#10;qNGjrWoD+0wtgwv6NNZPkbaxSAwt/Ohz7/dwRtpt6er4C0IMcUCdr+pGNAnn7XgyGSIiEfo0uhvB&#10;Bnr2etk6H74oqlk0cu7QvKSpOK196FL7lPiWJ10Vq0rr9BEHRi21YyeBVuuQSgT4b1nasCbnNx8n&#10;wwRsKF7vkLVBLZFqRylaod21SZrRuOe7o+IMGRx1g+StXFUodi18eBYOkwN+2IbwhKPUhMfoYnF2&#10;IPfjb/6Yj4YiylmDScy5/34UTnGmvxq0GpChN1xv7HrDHOslgfEIe2ZlMnHBBd2bpaP6BUuyiK8g&#10;JIzEWzkPvbkM3T5gyaRaLFIShtOKsDYbKyN0VDhKv21fhLOX/gQ09pH6GRXTN23qcuNNQ4tjoLJK&#10;PYzCdipe9MZgpym4LGHcnF+/U9brX8X8JwAAAP//AwBQSwMEFAAGAAgAAAAhAJ3E7Y7gAAAACgEA&#10;AA8AAABkcnMvZG93bnJldi54bWxMj8FOwzAQRO9I/IO1SFwQtalCKCFOBUgckKgQbdWzG5s41F6H&#10;2G1Tvp7NCU6r2R3Nvinng3fsYPrYBpRwMxHADNZBt9hIWK9ermfAYlKolQtoJJxMhHl1flaqQocj&#10;fpjDMjWMQjAWSoJNqSs4j7U1XsVJ6AzS7TP0XiWSfcN1r44U7h2fCpFzr1qkD1Z15tmaerfcewmz&#10;U7a42uR3my/3/vpkf5pvfNspKS8vhscHYMkM6c8MIz6hQ0VM27BHHZkjnd+Sk+Z9Rp1GQzZuthKm&#10;uRDAq5L/r1D9AgAA//8DAFBLAQItABQABgAIAAAAIQC2gziS/gAAAOEBAAATAAAAAAAAAAAAAAAA&#10;AAAAAABbQ29udGVudF9UeXBlc10ueG1sUEsBAi0AFAAGAAgAAAAhADj9If/WAAAAlAEAAAsAAAAA&#10;AAAAAAAAAAAALwEAAF9yZWxzLy5yZWxzUEsBAi0AFAAGAAgAAAAhAHa8NR06AgAAcgQAAA4AAAAA&#10;AAAAAAAAAAAALgIAAGRycy9lMm9Eb2MueG1sUEsBAi0AFAAGAAgAAAAhAJ3E7Y7gAAAACgEAAA8A&#10;AAAAAAAAAAAAAAAAlAQAAGRycy9kb3ducmV2LnhtbFBLBQYAAAAABAAEAPMAAAChBQAAAAA=&#10;" fillcolor="white [3201]" stroked="f" strokeweight=".5pt">
                <v:textbox inset="0,0,0,0">
                  <w:txbxContent>
                    <w:p w14:paraId="3EE47C0B" w14:textId="0C3CF6A1" w:rsidR="00AF0B22" w:rsidRPr="008A6E75" w:rsidRDefault="00AF0B22" w:rsidP="008A6E75">
                      <w:pPr>
                        <w:spacing w:before="0"/>
                        <w:rPr>
                          <w:b/>
                          <w:bCs/>
                          <w:szCs w:val="24"/>
                          <w:lang w:val="fr-CH"/>
                        </w:rPr>
                      </w:pPr>
                      <w:r w:rsidRPr="008A6E75">
                        <w:rPr>
                          <w:b/>
                          <w:bCs/>
                          <w:color w:val="FF0000"/>
                          <w:szCs w:val="24"/>
                          <w:lang w:val="fr-CH"/>
                        </w:rPr>
                        <w:t>Nombre de participants</w:t>
                      </w:r>
                    </w:p>
                  </w:txbxContent>
                </v:textbox>
              </v:shape>
            </w:pict>
          </mc:Fallback>
        </mc:AlternateContent>
      </w:r>
      <w:r w:rsidRPr="00794950">
        <w:rPr>
          <w:rFonts w:asciiTheme="minorHAnsi" w:hAnsiTheme="minorHAnsi" w:cstheme="minorHAnsi"/>
          <w:noProof/>
          <w:color w:val="00B050"/>
          <w:szCs w:val="24"/>
        </w:rPr>
        <mc:AlternateContent>
          <mc:Choice Requires="wps">
            <w:drawing>
              <wp:anchor distT="0" distB="0" distL="114300" distR="114300" simplePos="0" relativeHeight="251688960" behindDoc="0" locked="0" layoutInCell="1" allowOverlap="1" wp14:anchorId="62D87B39" wp14:editId="370D456A">
                <wp:simplePos x="0" y="0"/>
                <wp:positionH relativeFrom="column">
                  <wp:posOffset>121285</wp:posOffset>
                </wp:positionH>
                <wp:positionV relativeFrom="paragraph">
                  <wp:posOffset>671830</wp:posOffset>
                </wp:positionV>
                <wp:extent cx="825500" cy="419100"/>
                <wp:effectExtent l="0" t="0" r="12700" b="0"/>
                <wp:wrapNone/>
                <wp:docPr id="19" name="Text Box 19"/>
                <wp:cNvGraphicFramePr/>
                <a:graphic xmlns:a="http://schemas.openxmlformats.org/drawingml/2006/main">
                  <a:graphicData uri="http://schemas.microsoft.com/office/word/2010/wordprocessingShape">
                    <wps:wsp>
                      <wps:cNvSpPr txBox="1"/>
                      <wps:spPr>
                        <a:xfrm>
                          <a:off x="0" y="0"/>
                          <a:ext cx="825500" cy="419100"/>
                        </a:xfrm>
                        <a:prstGeom prst="rect">
                          <a:avLst/>
                        </a:prstGeom>
                        <a:noFill/>
                        <a:ln w="6350">
                          <a:noFill/>
                        </a:ln>
                      </wps:spPr>
                      <wps:txbx>
                        <w:txbxContent>
                          <w:p w14:paraId="3709CDE9" w14:textId="6788B1A1" w:rsidR="00AF0B22" w:rsidRPr="008A6E75" w:rsidRDefault="00AF0B22" w:rsidP="008A6E75">
                            <w:pPr>
                              <w:shd w:val="clear" w:color="auto" w:fill="DBE5F1" w:themeFill="accent1" w:themeFillTint="33"/>
                              <w:spacing w:before="0"/>
                              <w:rPr>
                                <w:b/>
                                <w:bCs/>
                                <w:szCs w:val="24"/>
                                <w:lang w:val="fr-CH"/>
                              </w:rPr>
                            </w:pPr>
                            <w:r w:rsidRPr="008A6E75">
                              <w:rPr>
                                <w:b/>
                                <w:bCs/>
                                <w:szCs w:val="24"/>
                                <w:lang w:val="fr-CH"/>
                              </w:rPr>
                              <w:t>Nombre de réunions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D87B39" id="Text Box 19" o:spid="_x0000_s1039" type="#_x0000_t202" style="position:absolute;left:0;text-align:left;margin-left:9.55pt;margin-top:52.9pt;width:65pt;height:3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aO4JgIAAEoEAAAOAAAAZHJzL2Uyb0RvYy54bWysVMFu2zAMvQ/YPwi6L3bSpWiNOEXWIsOA&#10;oi2QDD0rshwbsEVNUmJnX78nOU6HbqdhF4UmqUfy8SmLu75t2FFZV5PO+XSScqa0pKLW+5x/364/&#10;3XDmvNCFaEirnJ+U43fLjx8WncnUjCpqCmUZQLTLOpPzynuTJYmTlWqFm5BRGsGSbCs8Pu0+Kazo&#10;gN42ySxNr5OObGEsSeUcvA9DkC8jflkq6Z/L0inPmpyjNx9PG89dOJPlQmR7K0xVy3Mb4h+6aEWt&#10;UfQC9SC8YAdb/wHV1tKSo9JPJLUJlWUtVZwB00zTd9NsKmFUnAXkOHOhyf0/WPl0fLGsLrC7W860&#10;aLGjreo9+0I9gwv8dMZlSNsYJPoefuSOfgdnGLsvbRt+MRBDHEyfLuwGNAnnzWw+TxGRCH2e3k5h&#10;Az15u2ys818VtSwYObdYXuRUHB+dH1LHlFBL07pumrjARrMu59dX8zReuEQA3mjUCCMMrQbL97t+&#10;GPlqnGNHxQnjWRoE4oxc12jiUTj/IiwUgb6hcv+Mo2wIxehscVaR/fk3f8jHohDlrIPCcu5+HIRV&#10;nDXfNFYY5DgadjR2o6EP7T1BtFO8HyOjiQvWN6NZWmpfIf5VqIKQ0BK1cu5H894POsfjkWq1ikkQ&#10;nRH+UW+MDNCBxkDptn8V1px591jYE43aE9k7+ofcYQGrg6eyjrsJxA4snvmGYON2z48rvIjfv2PW&#10;21/A8hcAAAD//wMAUEsDBBQABgAIAAAAIQDnqvWF2wAAAAoBAAAPAAAAZHJzL2Rvd25yZXYueG1s&#10;TE/JTsQwDL0j8Q+RkbgxaRHLUJqOEMuNdQAJbmlj2orEqZK0U/4e9wQn+9lPbyk3s7NiwhB7Twry&#10;VQYCqfGmp1bB2+vd0RpETJqMtp5QwQ9G2FT7e6UujN/RC07b1AoWoVhoBV1KQyFlbDp0Oq78gMS/&#10;Lx+cTgxDK03QOxZ3Vh5n2Zl0uid26PSA1x0239vRKbAfMdzXWfqcbtqH9Pwkx/fb/FGpw4P56hJE&#10;wjn9kWGJz9Gh4ky1H8lEYRlf5MzkmZ1yhYVwslxqXs7zNciqlP8rVL8AAAD//wMAUEsBAi0AFAAG&#10;AAgAAAAhALaDOJL+AAAA4QEAABMAAAAAAAAAAAAAAAAAAAAAAFtDb250ZW50X1R5cGVzXS54bWxQ&#10;SwECLQAUAAYACAAAACEAOP0h/9YAAACUAQAACwAAAAAAAAAAAAAAAAAvAQAAX3JlbHMvLnJlbHNQ&#10;SwECLQAUAAYACAAAACEATpWjuCYCAABKBAAADgAAAAAAAAAAAAAAAAAuAgAAZHJzL2Uyb0RvYy54&#10;bWxQSwECLQAUAAYACAAAACEA56r1hdsAAAAKAQAADwAAAAAAAAAAAAAAAACABAAAZHJzL2Rvd25y&#10;ZXYueG1sUEsFBgAAAAAEAAQA8wAAAIgFAAAAAA==&#10;" filled="f" stroked="f" strokeweight=".5pt">
                <v:textbox inset="0,0,0,0">
                  <w:txbxContent>
                    <w:p w14:paraId="3709CDE9" w14:textId="6788B1A1" w:rsidR="00AF0B22" w:rsidRPr="008A6E75" w:rsidRDefault="00AF0B22" w:rsidP="008A6E75">
                      <w:pPr>
                        <w:shd w:val="clear" w:color="auto" w:fill="DBE5F1" w:themeFill="accent1" w:themeFillTint="33"/>
                        <w:spacing w:before="0"/>
                        <w:rPr>
                          <w:b/>
                          <w:bCs/>
                          <w:szCs w:val="24"/>
                          <w:lang w:val="fr-CH"/>
                        </w:rPr>
                      </w:pPr>
                      <w:r w:rsidRPr="008A6E75">
                        <w:rPr>
                          <w:b/>
                          <w:bCs/>
                          <w:szCs w:val="24"/>
                          <w:lang w:val="fr-CH"/>
                        </w:rPr>
                        <w:t>Nombre de réunions</w:t>
                      </w:r>
                    </w:p>
                  </w:txbxContent>
                </v:textbox>
              </v:shape>
            </w:pict>
          </mc:Fallback>
        </mc:AlternateContent>
      </w:r>
      <w:r w:rsidR="008A6E75" w:rsidRPr="00794950">
        <w:rPr>
          <w:rFonts w:asciiTheme="minorHAnsi" w:hAnsiTheme="minorHAnsi" w:cstheme="minorHAnsi"/>
          <w:noProof/>
          <w:color w:val="00B050"/>
          <w:szCs w:val="24"/>
        </w:rPr>
        <mc:AlternateContent>
          <mc:Choice Requires="wps">
            <w:drawing>
              <wp:anchor distT="0" distB="0" distL="114300" distR="114300" simplePos="0" relativeHeight="251686912" behindDoc="0" locked="0" layoutInCell="1" allowOverlap="1" wp14:anchorId="27CC6036" wp14:editId="7D7E484E">
                <wp:simplePos x="0" y="0"/>
                <wp:positionH relativeFrom="column">
                  <wp:posOffset>4556760</wp:posOffset>
                </wp:positionH>
                <wp:positionV relativeFrom="paragraph">
                  <wp:posOffset>249555</wp:posOffset>
                </wp:positionV>
                <wp:extent cx="825500" cy="2286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825500" cy="228600"/>
                        </a:xfrm>
                        <a:prstGeom prst="rect">
                          <a:avLst/>
                        </a:prstGeom>
                        <a:solidFill>
                          <a:schemeClr val="lt1"/>
                        </a:solidFill>
                        <a:ln w="6350">
                          <a:noFill/>
                        </a:ln>
                      </wps:spPr>
                      <wps:txbx>
                        <w:txbxContent>
                          <w:p w14:paraId="1EE4E3E7" w14:textId="60A6F54C" w:rsidR="00AF0B22" w:rsidRPr="008A6E75" w:rsidRDefault="00AF0B22" w:rsidP="008A6E75">
                            <w:pPr>
                              <w:spacing w:before="0"/>
                              <w:rPr>
                                <w:b/>
                                <w:bCs/>
                                <w:szCs w:val="24"/>
                                <w:lang w:val="fr-CH"/>
                              </w:rPr>
                            </w:pPr>
                            <w:r w:rsidRPr="008A6E75">
                              <w:rPr>
                                <w:b/>
                                <w:bCs/>
                                <w:szCs w:val="24"/>
                                <w:lang w:val="fr-CH"/>
                              </w:rPr>
                              <w:t>2020 (août)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CC6036" id="Text Box 18" o:spid="_x0000_s1040" type="#_x0000_t202" style="position:absolute;left:0;text-align:left;margin-left:358.8pt;margin-top:19.65pt;width:65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Ga8OAIAAHIEAAAOAAAAZHJzL2Uyb0RvYy54bWysVMGO2jAQvVfqP1i+lwAVCCHCirKiqoR2&#10;V1pWezaOA5Ecj2sbEvr1fXYI2257qnoxk5nx87w3Myzu2lqzs3K+IpPz0WDImTKSisoccv6y23ya&#10;ceaDMIXQZFTOL8rzu+XHD4vGztWYjqQL5RhAjJ83NufHEOw8y7w8qlr4AVllECzJ1SLg0x2ywokG&#10;6LXOxsPhNGvIFdaRVN7De98F+TLhl6WS4bEsvQpM5xy1hXS6dO7jmS0XYn5wwh4reS1D/EMVtagM&#10;Hr1B3Ysg2MlVf0DVlXTkqQwDSXVGZVlJlTiAzWj4js3zUViVuEAcb28y+f8HKx/OT45VBXqHThlR&#10;o0c71Qb2hVoGF/RprJ8j7dkiMbTwI7f3ezgj7bZ0dfwFIYY4lL7c1I1oEs7ZeDIZIiIRGo9nU9hA&#10;z94uW+fDV0U1i0bOHZqXNBXnrQ9dap8S3/Kkq2JTaZ0+4sCotXbsLNBqHVKJAP8tSxvW5Hz6eTJM&#10;wIbi9Q5ZG9QSqXaUohXafdtJM+757qm4QAZH3SB5KzcVit0KH56Ew+SAH7YhPOIoNeExulqcHcn9&#10;+Js/5qOhiHLWYBJz7r+fhFOc6W8GrY5j2xuuN/a9YU71msB4hD2zMpm44ILuzdJR/YolWcVXEBJG&#10;4q2ch95ch24fsGRSrVYpCcNpRdiaZysjdFQ4Sr9rX4Wz1/4ENPaB+hkV83dt6nLjTUOrU6CySj2M&#10;wnYqXvXGYKcpuC5h3Jxfv1PW21/F8icAAAD//wMAUEsDBBQABgAIAAAAIQCRsvWH4QAAAAkBAAAP&#10;AAAAZHJzL2Rvd25yZXYueG1sTI/BTsMwDIbvSLxDZCQuaEtHR1tK0wmQOCCBEBvaOWtCU5Y4pcm2&#10;jqfHO8HR/j/9/lwtRmfZXg+h8yhgNk2AaWy86rAV8LF6mhTAQpSopPWoBRx1gEV9flbJUvkDvuv9&#10;MraMSjCUUoCJsS85D43RToap7zVS9ukHJyONQ8vVIA9U7iy/TpKMO9khXTCy149GN9vlzgkojvPX&#10;q3WWr7/s2/OD+Wm/8WUrhbi8GO/vgEU9xj8YTvqkDjU5bfwOVWBWQD7LM0IFpLcpMAKK+WmxoeQm&#10;BV5X/P8H9S8AAAD//wMAUEsBAi0AFAAGAAgAAAAhALaDOJL+AAAA4QEAABMAAAAAAAAAAAAAAAAA&#10;AAAAAFtDb250ZW50X1R5cGVzXS54bWxQSwECLQAUAAYACAAAACEAOP0h/9YAAACUAQAACwAAAAAA&#10;AAAAAAAAAAAvAQAAX3JlbHMvLnJlbHNQSwECLQAUAAYACAAAACEAmOxmvDgCAAByBAAADgAAAAAA&#10;AAAAAAAAAAAuAgAAZHJzL2Uyb0RvYy54bWxQSwECLQAUAAYACAAAACEAkbL1h+EAAAAJAQAADwAA&#10;AAAAAAAAAAAAAACSBAAAZHJzL2Rvd25yZXYueG1sUEsFBgAAAAAEAAQA8wAAAKAFAAAAAA==&#10;" fillcolor="white [3201]" stroked="f" strokeweight=".5pt">
                <v:textbox inset="0,0,0,0">
                  <w:txbxContent>
                    <w:p w14:paraId="1EE4E3E7" w14:textId="60A6F54C" w:rsidR="00AF0B22" w:rsidRPr="008A6E75" w:rsidRDefault="00AF0B22" w:rsidP="008A6E75">
                      <w:pPr>
                        <w:spacing w:before="0"/>
                        <w:rPr>
                          <w:b/>
                          <w:bCs/>
                          <w:szCs w:val="24"/>
                          <w:lang w:val="fr-CH"/>
                        </w:rPr>
                      </w:pPr>
                      <w:r w:rsidRPr="008A6E75">
                        <w:rPr>
                          <w:b/>
                          <w:bCs/>
                          <w:szCs w:val="24"/>
                          <w:lang w:val="fr-CH"/>
                        </w:rPr>
                        <w:t>2020 (août)</w:t>
                      </w:r>
                    </w:p>
                  </w:txbxContent>
                </v:textbox>
              </v:shape>
            </w:pict>
          </mc:Fallback>
        </mc:AlternateContent>
      </w:r>
      <w:r w:rsidR="00626593" w:rsidRPr="00794950">
        <w:rPr>
          <w:noProof/>
        </w:rPr>
        <w:drawing>
          <wp:inline distT="0" distB="0" distL="0" distR="0" wp14:anchorId="783178C5" wp14:editId="389FF080">
            <wp:extent cx="6120765" cy="177038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120765" cy="1770380"/>
                    </a:xfrm>
                    <a:prstGeom prst="rect">
                      <a:avLst/>
                    </a:prstGeom>
                  </pic:spPr>
                </pic:pic>
              </a:graphicData>
            </a:graphic>
          </wp:inline>
        </w:drawing>
      </w:r>
    </w:p>
    <w:p w14:paraId="483CE158" w14:textId="24A59888" w:rsidR="00626593" w:rsidRPr="00794950" w:rsidRDefault="00626593" w:rsidP="00F665D3">
      <w:pPr>
        <w:pStyle w:val="Tabletitle"/>
        <w:spacing w:before="120" w:after="240"/>
        <w:rPr>
          <w:rStyle w:val="eop"/>
          <w:rFonts w:asciiTheme="minorHAnsi" w:hAnsiTheme="minorHAnsi" w:cstheme="minorHAnsi"/>
        </w:rPr>
      </w:pPr>
      <w:r w:rsidRPr="00794950">
        <w:t xml:space="preserve">Tableau 3: </w:t>
      </w:r>
      <w:r w:rsidR="0097386B" w:rsidRPr="00794950">
        <w:t xml:space="preserve">Nombre de </w:t>
      </w:r>
      <w:r w:rsidR="008A6E75" w:rsidRPr="00794950">
        <w:t>réunions</w:t>
      </w:r>
      <w:r w:rsidR="0097386B" w:rsidRPr="00794950">
        <w:t xml:space="preserve"> et de participants en </w:t>
      </w:r>
      <w:r w:rsidRPr="00794950">
        <w:t xml:space="preserve">2017, 2018, 2019 </w:t>
      </w:r>
      <w:r w:rsidR="0097386B" w:rsidRPr="00794950">
        <w:t>et</w:t>
      </w:r>
      <w:r w:rsidR="006B5D19" w:rsidRPr="00794950">
        <w:t xml:space="preserve"> </w:t>
      </w:r>
      <w:r w:rsidRPr="00794950">
        <w:t>2020</w:t>
      </w:r>
    </w:p>
    <w:p w14:paraId="3749436F" w14:textId="1573F500" w:rsidR="0097386B" w:rsidRPr="00794950" w:rsidRDefault="00626593" w:rsidP="00F702FE">
      <w:bookmarkStart w:id="29" w:name="_Hlk51778756"/>
      <w:r w:rsidRPr="00794950">
        <w:t>2.6</w:t>
      </w:r>
      <w:r w:rsidRPr="00794950">
        <w:tab/>
      </w:r>
      <w:r w:rsidR="0097386B" w:rsidRPr="00794950">
        <w:rPr>
          <w:spacing w:val="-2"/>
        </w:rPr>
        <w:t>En cette période marquée par le</w:t>
      </w:r>
      <w:r w:rsidR="0097386B" w:rsidRPr="00794950">
        <w:t xml:space="preserve"> C</w:t>
      </w:r>
      <w:r w:rsidR="00FF1BC1" w:rsidRPr="00794950">
        <w:t>OVID</w:t>
      </w:r>
      <w:r w:rsidR="0097386B" w:rsidRPr="00794950">
        <w:t>-19, les TIC offrent la seule possibilité de respecter la distanciation sociale tout en assurant la continuité des activités. Plusieurs secteurs, tels que les systèmes de soins de santé, l'éducation, le commerce, la restauration et les loisirs, ont eu recours à un ou plusieurs services informatiques pour se connecter et communiquer et pour avoir accès à</w:t>
      </w:r>
      <w:r w:rsidR="006B5D19" w:rsidRPr="00794950">
        <w:t xml:space="preserve"> </w:t>
      </w:r>
      <w:r w:rsidR="0097386B" w:rsidRPr="00794950">
        <w:t>l</w:t>
      </w:r>
      <w:r w:rsidR="004F2870" w:rsidRPr="00794950">
        <w:t>'</w:t>
      </w:r>
      <w:r w:rsidR="0097386B" w:rsidRPr="00794950">
        <w:t>information. Depuis mars 2020, le TSB a été en mesure d</w:t>
      </w:r>
      <w:r w:rsidR="004F2870" w:rsidRPr="00794950">
        <w:t>'</w:t>
      </w:r>
      <w:r w:rsidR="0097386B" w:rsidRPr="00794950">
        <w:t xml:space="preserve">utiliser divers outils informatiques, dont beaucoup sont mis au point en interne, </w:t>
      </w:r>
      <w:r w:rsidR="00EF5039" w:rsidRPr="00794950">
        <w:t>afin de</w:t>
      </w:r>
      <w:r w:rsidR="0097386B" w:rsidRPr="00794950">
        <w:t xml:space="preserve"> permettre une transition rapide</w:t>
      </w:r>
      <w:r w:rsidR="006B5D19" w:rsidRPr="00794950">
        <w:t xml:space="preserve"> </w:t>
      </w:r>
      <w:r w:rsidR="00EF5039" w:rsidRPr="00794950">
        <w:t xml:space="preserve">entre les activités </w:t>
      </w:r>
      <w:r w:rsidR="0097386B" w:rsidRPr="00794950">
        <w:t xml:space="preserve">hors ligne </w:t>
      </w:r>
      <w:r w:rsidR="00EF5039" w:rsidRPr="00794950">
        <w:t>et les</w:t>
      </w:r>
      <w:r w:rsidR="0097386B" w:rsidRPr="00794950">
        <w:t xml:space="preserve"> activités en ligne. </w:t>
      </w:r>
      <w:r w:rsidR="002F5EFF" w:rsidRPr="00794950">
        <w:t>Nous n</w:t>
      </w:r>
      <w:r w:rsidR="004F2870" w:rsidRPr="00794950">
        <w:t>'</w:t>
      </w:r>
      <w:r w:rsidR="002F5EFF" w:rsidRPr="00794950">
        <w:t>avons jamais été aussi dépendants de</w:t>
      </w:r>
      <w:r w:rsidR="0097386B" w:rsidRPr="00794950">
        <w:t xml:space="preserve"> ces solutions informatiques dans le cadre de la </w:t>
      </w:r>
      <w:r w:rsidR="00EF5039" w:rsidRPr="00794950">
        <w:t>R</w:t>
      </w:r>
      <w:r w:rsidR="0097386B" w:rsidRPr="00794950">
        <w:t xml:space="preserve">ésolution 32 de l'AMNT et </w:t>
      </w:r>
      <w:r w:rsidR="002F5EFF" w:rsidRPr="00794950">
        <w:t>il n</w:t>
      </w:r>
      <w:r w:rsidR="004F2870" w:rsidRPr="00794950">
        <w:t>'</w:t>
      </w:r>
      <w:r w:rsidR="002F5EFF" w:rsidRPr="00794950">
        <w:t>a jamais été aussi nécessaire</w:t>
      </w:r>
      <w:r w:rsidR="0097386B" w:rsidRPr="00794950">
        <w:t xml:space="preserve"> de fournir des services conformes à la </w:t>
      </w:r>
      <w:r w:rsidR="00EF5039" w:rsidRPr="00794950">
        <w:t>R</w:t>
      </w:r>
      <w:r w:rsidR="0097386B" w:rsidRPr="00794950">
        <w:t xml:space="preserve">ésolution 69 de l'AMNT qu'aujourd'hui. </w:t>
      </w:r>
      <w:r w:rsidR="002F5EFF" w:rsidRPr="00794950">
        <w:t>Il faut redoubler d</w:t>
      </w:r>
      <w:r w:rsidR="004F2870" w:rsidRPr="00794950">
        <w:t>'</w:t>
      </w:r>
      <w:r w:rsidR="0097386B" w:rsidRPr="00794950">
        <w:t>efforts pour améliorer et tenir</w:t>
      </w:r>
      <w:r w:rsidR="002F5EFF" w:rsidRPr="00794950">
        <w:t xml:space="preserve"> à jour</w:t>
      </w:r>
      <w:r w:rsidR="0097386B" w:rsidRPr="00794950">
        <w:t xml:space="preserve"> les solutions informatiques de l'UIT</w:t>
      </w:r>
      <w:r w:rsidR="002F5EFF" w:rsidRPr="00794950">
        <w:t>,</w:t>
      </w:r>
      <w:r w:rsidR="0097386B" w:rsidRPr="00794950">
        <w:t xml:space="preserve"> afin de répondre</w:t>
      </w:r>
      <w:r w:rsidR="002F5EFF" w:rsidRPr="00794950">
        <w:t xml:space="preserve"> à la </w:t>
      </w:r>
      <w:r w:rsidR="0097386B" w:rsidRPr="00794950">
        <w:t xml:space="preserve">demande croissante engendrée par la pandémie </w:t>
      </w:r>
      <w:r w:rsidR="002F5EFF" w:rsidRPr="00794950">
        <w:t xml:space="preserve">de </w:t>
      </w:r>
      <w:r w:rsidR="0097386B" w:rsidRPr="00794950">
        <w:t xml:space="preserve">COVID-19. Par conséquent, la nécessité </w:t>
      </w:r>
      <w:r w:rsidR="002F5EFF" w:rsidRPr="00794950">
        <w:t>d</w:t>
      </w:r>
      <w:r w:rsidR="004F2870" w:rsidRPr="00794950">
        <w:t>'</w:t>
      </w:r>
      <w:r w:rsidR="002F5EFF" w:rsidRPr="00794950">
        <w:t>ac</w:t>
      </w:r>
      <w:r w:rsidR="002F5EFF" w:rsidRPr="00794950">
        <w:rPr>
          <w:color w:val="000000"/>
        </w:rPr>
        <w:t>croître les effectifs de personnel</w:t>
      </w:r>
      <w:r w:rsidR="002F5EFF" w:rsidRPr="00794950">
        <w:t xml:space="preserve"> </w:t>
      </w:r>
      <w:r w:rsidR="0097386B" w:rsidRPr="00794950">
        <w:t>dans le domaine</w:t>
      </w:r>
      <w:r w:rsidR="002F5EFF" w:rsidRPr="00794950">
        <w:t xml:space="preserve"> de l</w:t>
      </w:r>
      <w:r w:rsidR="004F2870" w:rsidRPr="00794950">
        <w:t>'</w:t>
      </w:r>
      <w:r w:rsidR="002F5EFF" w:rsidRPr="00794950">
        <w:t>informatique revêt</w:t>
      </w:r>
      <w:r w:rsidR="00F81E5E" w:rsidRPr="00794950">
        <w:t xml:space="preserve"> </w:t>
      </w:r>
      <w:r w:rsidR="0097386B" w:rsidRPr="00794950">
        <w:t>une importance capitale et constitue une priorité pour le TSB.</w:t>
      </w:r>
    </w:p>
    <w:bookmarkEnd w:id="29"/>
    <w:p w14:paraId="552872CE" w14:textId="1C8AB886" w:rsidR="00E07909" w:rsidRPr="00794950" w:rsidRDefault="00F72BAB" w:rsidP="00F702FE">
      <w:r w:rsidRPr="00794950">
        <w:t>2.</w:t>
      </w:r>
      <w:r w:rsidR="00626593" w:rsidRPr="00794950">
        <w:t>7</w:t>
      </w:r>
      <w:r w:rsidRPr="00794950">
        <w:tab/>
        <w:t xml:space="preserve">Il est important </w:t>
      </w:r>
      <w:r w:rsidR="0068453C" w:rsidRPr="00794950">
        <w:t xml:space="preserve">que </w:t>
      </w:r>
      <w:r w:rsidRPr="00794950">
        <w:t>le TSB</w:t>
      </w:r>
      <w:r w:rsidR="00F00D96" w:rsidRPr="00794950">
        <w:t xml:space="preserve"> </w:t>
      </w:r>
      <w:r w:rsidR="00AD441B" w:rsidRPr="00794950">
        <w:t>assure</w:t>
      </w:r>
      <w:r w:rsidR="00F00D96" w:rsidRPr="00794950">
        <w:t xml:space="preserve"> </w:t>
      </w:r>
      <w:r w:rsidR="00AD441B" w:rsidRPr="00794950">
        <w:t>le fonctionnement</w:t>
      </w:r>
      <w:r w:rsidRPr="00794950">
        <w:t xml:space="preserve"> </w:t>
      </w:r>
      <w:r w:rsidR="00AD441B" w:rsidRPr="00794950">
        <w:t>de</w:t>
      </w:r>
      <w:r w:rsidRPr="00794950">
        <w:t xml:space="preserve"> ses outils et services</w:t>
      </w:r>
      <w:r w:rsidR="00E07909" w:rsidRPr="00794950">
        <w:t xml:space="preserve"> </w:t>
      </w:r>
      <w:r w:rsidR="00AD441B" w:rsidRPr="00794950">
        <w:t>et</w:t>
      </w:r>
      <w:r w:rsidR="00F00D96" w:rsidRPr="00794950">
        <w:t xml:space="preserve"> </w:t>
      </w:r>
      <w:r w:rsidR="00AD441B" w:rsidRPr="00794950">
        <w:t>les améliore</w:t>
      </w:r>
      <w:r w:rsidR="00F00D96" w:rsidRPr="00794950">
        <w:t xml:space="preserve"> </w:t>
      </w:r>
      <w:r w:rsidRPr="00794950">
        <w:t xml:space="preserve">pour répondre aux </w:t>
      </w:r>
      <w:r w:rsidR="00F91329" w:rsidRPr="00794950">
        <w:t>besoins</w:t>
      </w:r>
      <w:r w:rsidRPr="00794950">
        <w:t xml:space="preserve"> du Secteur</w:t>
      </w:r>
      <w:r w:rsidR="006767D9" w:rsidRPr="00794950">
        <w:t xml:space="preserve"> et</w:t>
      </w:r>
      <w:r w:rsidR="006767D9" w:rsidRPr="00794950">
        <w:rPr>
          <w:color w:val="000000"/>
        </w:rPr>
        <w:t xml:space="preserve"> garanti</w:t>
      </w:r>
      <w:r w:rsidR="00F81E5E" w:rsidRPr="00794950">
        <w:rPr>
          <w:color w:val="000000"/>
        </w:rPr>
        <w:t>r</w:t>
      </w:r>
      <w:r w:rsidR="006767D9" w:rsidRPr="00794950">
        <w:rPr>
          <w:color w:val="000000"/>
        </w:rPr>
        <w:t xml:space="preserve"> la continuité des activités</w:t>
      </w:r>
      <w:r w:rsidR="00E07909" w:rsidRPr="00794950">
        <w:t xml:space="preserve">. </w:t>
      </w:r>
      <w:r w:rsidRPr="00794950">
        <w:t>Par conséquent</w:t>
      </w:r>
      <w:r w:rsidR="00E07909" w:rsidRPr="00794950">
        <w:t xml:space="preserve">, </w:t>
      </w:r>
      <w:r w:rsidRPr="00794950">
        <w:t>le</w:t>
      </w:r>
      <w:r w:rsidR="00E07909" w:rsidRPr="00794950">
        <w:t xml:space="preserve"> Bureau </w:t>
      </w:r>
      <w:r w:rsidR="00737A85" w:rsidRPr="00794950">
        <w:t>demande</w:t>
      </w:r>
      <w:r w:rsidR="0068453C" w:rsidRPr="00794950">
        <w:t xml:space="preserve"> qu</w:t>
      </w:r>
      <w:r w:rsidR="00A54667" w:rsidRPr="00794950">
        <w:t>'</w:t>
      </w:r>
      <w:r w:rsidR="0068453C" w:rsidRPr="00794950">
        <w:t xml:space="preserve">il soit fait appel à </w:t>
      </w:r>
      <w:r w:rsidR="001D7D65" w:rsidRPr="00794950">
        <w:t xml:space="preserve">un </w:t>
      </w:r>
      <w:r w:rsidR="00B13E8D" w:rsidRPr="00794950">
        <w:rPr>
          <w:b/>
        </w:rPr>
        <w:t xml:space="preserve">fonctionnaire </w:t>
      </w:r>
      <w:r w:rsidR="00CE325A" w:rsidRPr="00794950">
        <w:rPr>
          <w:b/>
        </w:rPr>
        <w:t xml:space="preserve">de grade </w:t>
      </w:r>
      <w:r w:rsidR="00E07909" w:rsidRPr="00794950">
        <w:rPr>
          <w:b/>
          <w:bCs/>
        </w:rPr>
        <w:t>P</w:t>
      </w:r>
      <w:r w:rsidR="000F7279" w:rsidRPr="00794950">
        <w:rPr>
          <w:b/>
          <w:bCs/>
        </w:rPr>
        <w:t>1</w:t>
      </w:r>
      <w:r w:rsidR="000F7279" w:rsidRPr="00794950">
        <w:t> et</w:t>
      </w:r>
      <w:r w:rsidR="0068453C" w:rsidRPr="00794950">
        <w:t xml:space="preserve"> à un </w:t>
      </w:r>
      <w:r w:rsidR="0068453C" w:rsidRPr="00794950">
        <w:rPr>
          <w:b/>
          <w:bCs/>
        </w:rPr>
        <w:t xml:space="preserve">fonctionnaire </w:t>
      </w:r>
      <w:r w:rsidR="00CE325A" w:rsidRPr="00794950">
        <w:rPr>
          <w:b/>
        </w:rPr>
        <w:t xml:space="preserve">de grade </w:t>
      </w:r>
      <w:r w:rsidR="00E07909" w:rsidRPr="00794950">
        <w:rPr>
          <w:b/>
          <w:bCs/>
        </w:rPr>
        <w:t>P</w:t>
      </w:r>
      <w:r w:rsidR="000F7279" w:rsidRPr="00794950">
        <w:rPr>
          <w:b/>
          <w:bCs/>
        </w:rPr>
        <w:t>2</w:t>
      </w:r>
      <w:r w:rsidR="000F7279" w:rsidRPr="00794950">
        <w:t> pour</w:t>
      </w:r>
      <w:r w:rsidR="006767D9" w:rsidRPr="00794950">
        <w:t xml:space="preserve"> prendre en charge</w:t>
      </w:r>
      <w:r w:rsidR="0068453C" w:rsidRPr="00794950">
        <w:t xml:space="preserve"> </w:t>
      </w:r>
      <w:r w:rsidRPr="00794950">
        <w:t>les outils et services</w:t>
      </w:r>
      <w:r w:rsidR="006767D9" w:rsidRPr="00794950">
        <w:t xml:space="preserve"> existants</w:t>
      </w:r>
      <w:r w:rsidR="00E07909" w:rsidRPr="00794950">
        <w:t xml:space="preserve"> </w:t>
      </w:r>
      <w:r w:rsidRPr="00794950">
        <w:t>et les innover, les mettre à jour et les améliorer</w:t>
      </w:r>
      <w:r w:rsidR="0068453C" w:rsidRPr="00794950">
        <w:t xml:space="preserve"> en permanence, en vue d</w:t>
      </w:r>
      <w:r w:rsidR="00A54667" w:rsidRPr="00794950">
        <w:t>'</w:t>
      </w:r>
      <w:r w:rsidR="0068453C" w:rsidRPr="00794950">
        <w:t>optimiser l</w:t>
      </w:r>
      <w:r w:rsidR="00A54667" w:rsidRPr="00794950">
        <w:t>'</w:t>
      </w:r>
      <w:r w:rsidR="0068453C" w:rsidRPr="00794950">
        <w:t>appui apporté</w:t>
      </w:r>
      <w:r w:rsidR="00F00D96" w:rsidRPr="00794950">
        <w:t xml:space="preserve"> </w:t>
      </w:r>
      <w:r w:rsidR="00737A85" w:rsidRPr="00794950">
        <w:t xml:space="preserve">aux </w:t>
      </w:r>
      <w:r w:rsidR="0068453C" w:rsidRPr="00794950">
        <w:t>M</w:t>
      </w:r>
      <w:r w:rsidR="00737A85" w:rsidRPr="00794950">
        <w:t>embres et aux activités de l'UIT</w:t>
      </w:r>
      <w:r w:rsidR="00E07909" w:rsidRPr="00794950">
        <w:t>-T.</w:t>
      </w:r>
    </w:p>
    <w:p w14:paraId="5346F499" w14:textId="39C21C7C" w:rsidR="00E07909" w:rsidRPr="00794950" w:rsidRDefault="00E07909" w:rsidP="00F702FE">
      <w:pPr>
        <w:pStyle w:val="Heading1"/>
        <w:tabs>
          <w:tab w:val="clear" w:pos="567"/>
          <w:tab w:val="clear" w:pos="1134"/>
          <w:tab w:val="clear" w:pos="1701"/>
          <w:tab w:val="clear" w:pos="2268"/>
          <w:tab w:val="clear" w:pos="2835"/>
        </w:tabs>
        <w:ind w:left="709" w:hanging="709"/>
      </w:pPr>
      <w:bookmarkStart w:id="30" w:name="_Toc54336497"/>
      <w:bookmarkEnd w:id="25"/>
      <w:bookmarkEnd w:id="26"/>
      <w:bookmarkEnd w:id="27"/>
      <w:bookmarkEnd w:id="28"/>
      <w:r w:rsidRPr="00794950">
        <w:lastRenderedPageBreak/>
        <w:t>3</w:t>
      </w:r>
      <w:r w:rsidRPr="00794950">
        <w:tab/>
      </w:r>
      <w:r w:rsidR="000F7279" w:rsidRPr="00794950">
        <w:t>Demande de ressources supplémentaires pour les activités des commissions d'études</w:t>
      </w:r>
      <w:bookmarkEnd w:id="30"/>
    </w:p>
    <w:p w14:paraId="5AD3DDB6" w14:textId="72BB5412" w:rsidR="00E07909" w:rsidRPr="00794950" w:rsidRDefault="00E07909" w:rsidP="00F702FE">
      <w:pPr>
        <w:pStyle w:val="Heading2"/>
        <w:tabs>
          <w:tab w:val="clear" w:pos="567"/>
          <w:tab w:val="clear" w:pos="1134"/>
          <w:tab w:val="clear" w:pos="1701"/>
          <w:tab w:val="clear" w:pos="2268"/>
          <w:tab w:val="clear" w:pos="2835"/>
        </w:tabs>
        <w:spacing w:before="240"/>
        <w:ind w:left="709" w:hanging="709"/>
      </w:pPr>
      <w:bookmarkStart w:id="31" w:name="_Toc54336498"/>
      <w:r w:rsidRPr="00794950">
        <w:t>3.1</w:t>
      </w:r>
      <w:r w:rsidRPr="00794950">
        <w:tab/>
      </w:r>
      <w:r w:rsidR="00462B60" w:rsidRPr="00794950">
        <w:t>Des villes du monde entier utilisent les</w:t>
      </w:r>
      <w:r w:rsidRPr="00794950">
        <w:t xml:space="preserve"> </w:t>
      </w:r>
      <w:r w:rsidR="00462B60" w:rsidRPr="00794950">
        <w:t xml:space="preserve">indicateurs fondamentaux de performance </w:t>
      </w:r>
      <w:r w:rsidR="0068453C" w:rsidRPr="00794950">
        <w:t>(IFP)</w:t>
      </w:r>
      <w:r w:rsidR="0001436B" w:rsidRPr="00794950">
        <w:t xml:space="preserve"> </w:t>
      </w:r>
      <w:r w:rsidR="00462B60" w:rsidRPr="00794950">
        <w:t xml:space="preserve">de l'UIT </w:t>
      </w:r>
      <w:r w:rsidR="00957863" w:rsidRPr="00794950">
        <w:t>relatifs aux</w:t>
      </w:r>
      <w:r w:rsidR="00462B60" w:rsidRPr="00794950">
        <w:t xml:space="preserve"> villes intelligentes et durables</w:t>
      </w:r>
      <w:bookmarkEnd w:id="31"/>
    </w:p>
    <w:p w14:paraId="65F4B957" w14:textId="50765ECF" w:rsidR="00E07909" w:rsidRPr="00794950" w:rsidRDefault="00E07909" w:rsidP="00F702FE">
      <w:pPr>
        <w:tabs>
          <w:tab w:val="clear" w:pos="567"/>
          <w:tab w:val="clear" w:pos="1134"/>
          <w:tab w:val="clear" w:pos="1701"/>
          <w:tab w:val="clear" w:pos="2268"/>
          <w:tab w:val="clear" w:pos="2835"/>
        </w:tabs>
      </w:pPr>
      <w:r w:rsidRPr="00794950">
        <w:t>3.1.1</w:t>
      </w:r>
      <w:r w:rsidRPr="00794950">
        <w:tab/>
      </w:r>
      <w:r w:rsidR="00355923" w:rsidRPr="00794950">
        <w:t>Plus</w:t>
      </w:r>
      <w:r w:rsidRPr="00794950">
        <w:t xml:space="preserve"> de 100 villes du monde entier mesurent les progrès qu'elles ont accomplis </w:t>
      </w:r>
      <w:r w:rsidR="008D7794" w:rsidRPr="00794950">
        <w:t>dans la réalisation de leur objectif</w:t>
      </w:r>
      <w:r w:rsidR="00F00D96" w:rsidRPr="00794950">
        <w:t>,</w:t>
      </w:r>
      <w:r w:rsidR="00C2281D" w:rsidRPr="00794950">
        <w:t xml:space="preserve"> qui est </w:t>
      </w:r>
      <w:r w:rsidR="008D7794" w:rsidRPr="00794950">
        <w:t>de devenir des villes et des communautés intelligentes et durables</w:t>
      </w:r>
      <w:r w:rsidR="00C2281D" w:rsidRPr="00794950">
        <w:t>,</w:t>
      </w:r>
      <w:r w:rsidR="00F00D96" w:rsidRPr="00794950">
        <w:t xml:space="preserve"> </w:t>
      </w:r>
      <w:r w:rsidRPr="00794950">
        <w:t xml:space="preserve">au moyen des "indicateurs fondamentaux de performance </w:t>
      </w:r>
      <w:r w:rsidR="00957863" w:rsidRPr="00794950">
        <w:t>relatifs aux</w:t>
      </w:r>
      <w:r w:rsidRPr="00794950">
        <w:t xml:space="preserve"> vil</w:t>
      </w:r>
      <w:r w:rsidR="00A51233" w:rsidRPr="00794950">
        <w:t>les intelligentes et durables"</w:t>
      </w:r>
      <w:r w:rsidR="00C2281D" w:rsidRPr="00794950">
        <w:t xml:space="preserve"> </w:t>
      </w:r>
      <w:r w:rsidRPr="00794950">
        <w:t>repos</w:t>
      </w:r>
      <w:r w:rsidR="00C2281D" w:rsidRPr="00794950">
        <w:t>a</w:t>
      </w:r>
      <w:r w:rsidRPr="00794950">
        <w:t>nt sur les normes de l'UIT. Les études de cas de l'UIT ont permis d'évaluer les progrès réalisés dans le cadre des projets de ville intelligente mis en œuvre à Dubaï</w:t>
      </w:r>
      <w:r w:rsidR="0067554A" w:rsidRPr="00794950">
        <w:t xml:space="preserve"> (É</w:t>
      </w:r>
      <w:r w:rsidR="00A51233" w:rsidRPr="00794950">
        <w:t>mirats</w:t>
      </w:r>
      <w:r w:rsidR="00F00D96" w:rsidRPr="00794950">
        <w:t> </w:t>
      </w:r>
      <w:r w:rsidR="00A51233" w:rsidRPr="00794950">
        <w:t xml:space="preserve">arabes unis), Singapour, </w:t>
      </w:r>
      <w:r w:rsidRPr="00794950">
        <w:t xml:space="preserve">Moscou </w:t>
      </w:r>
      <w:r w:rsidR="00A51233" w:rsidRPr="00794950">
        <w:t>(Fédération de Russie), Ålesund (Norvège), Bizerte</w:t>
      </w:r>
      <w:r w:rsidR="0001436B" w:rsidRPr="00794950">
        <w:t> </w:t>
      </w:r>
      <w:r w:rsidR="00A51233" w:rsidRPr="00794950">
        <w:t xml:space="preserve">(Tunisie), Riyad (Arabie saoudite) et Pully (Suisse) </w:t>
      </w:r>
      <w:r w:rsidRPr="00794950">
        <w:t>à l'aide des indicateurs fondamentaux de performance.</w:t>
      </w:r>
    </w:p>
    <w:p w14:paraId="2D290E3E" w14:textId="799E7EC2" w:rsidR="00E07909" w:rsidRPr="00794950" w:rsidRDefault="00E07909" w:rsidP="00F702FE">
      <w:pPr>
        <w:tabs>
          <w:tab w:val="clear" w:pos="567"/>
          <w:tab w:val="clear" w:pos="1134"/>
          <w:tab w:val="clear" w:pos="1701"/>
          <w:tab w:val="clear" w:pos="2268"/>
          <w:tab w:val="clear" w:pos="2835"/>
        </w:tabs>
      </w:pPr>
      <w:r w:rsidRPr="00794950">
        <w:t>3.1.2</w:t>
      </w:r>
      <w:r w:rsidRPr="00794950">
        <w:tab/>
      </w:r>
      <w:r w:rsidR="00563066" w:rsidRPr="00794950">
        <w:t>Les indicateurs fondamentaux de performance de l'UIT</w:t>
      </w:r>
      <w:r w:rsidRPr="00794950">
        <w:t xml:space="preserve"> </w:t>
      </w:r>
      <w:r w:rsidR="00563066" w:rsidRPr="00794950">
        <w:t>sont</w:t>
      </w:r>
      <w:r w:rsidR="0068453C" w:rsidRPr="00794950">
        <w:t xml:space="preserve"> également mis en avant </w:t>
      </w:r>
      <w:r w:rsidR="00563066" w:rsidRPr="00794950">
        <w:t>dans le cadre de l'initiative "</w:t>
      </w:r>
      <w:hyperlink r:id="rId31" w:history="1">
        <w:r w:rsidR="00563066" w:rsidRPr="00794950">
          <w:rPr>
            <w:rStyle w:val="Hyperlink"/>
          </w:rPr>
          <w:t>Tous unis pour des villes intelligentes et durables (U4SSC)</w:t>
        </w:r>
      </w:hyperlink>
      <w:r w:rsidR="00563066" w:rsidRPr="00794950">
        <w:t>"</w:t>
      </w:r>
      <w:r w:rsidRPr="00794950">
        <w:t xml:space="preserve">. </w:t>
      </w:r>
      <w:r w:rsidR="00563066" w:rsidRPr="00794950">
        <w:t xml:space="preserve">Cette initiative, soutenue par 16 organismes des Nations Unies, </w:t>
      </w:r>
      <w:r w:rsidR="00563066" w:rsidRPr="00794950">
        <w:rPr>
          <w:bCs/>
        </w:rPr>
        <w:t>préconise l'adoption de politiques publiques garantissant le rôle essentiel des TIC, et plus particulièrement des normes relatives à ces technologies, dans la transition vers des villes intelligentes</w:t>
      </w:r>
      <w:r w:rsidRPr="00794950">
        <w:rPr>
          <w:bCs/>
        </w:rPr>
        <w:t>.</w:t>
      </w:r>
      <w:r w:rsidR="0068453C" w:rsidRPr="00794950">
        <w:rPr>
          <w:bCs/>
        </w:rPr>
        <w:t xml:space="preserve"> Une série </w:t>
      </w:r>
      <w:r w:rsidR="000325FC" w:rsidRPr="00794950">
        <w:rPr>
          <w:bCs/>
        </w:rPr>
        <w:t>de "fiches d'infor</w:t>
      </w:r>
      <w:r w:rsidR="00F33C23" w:rsidRPr="00794950">
        <w:rPr>
          <w:bCs/>
        </w:rPr>
        <w:t>mation" sur les villes</w:t>
      </w:r>
      <w:r w:rsidR="0022043B" w:rsidRPr="00794950">
        <w:rPr>
          <w:bCs/>
        </w:rPr>
        <w:t>,</w:t>
      </w:r>
      <w:r w:rsidR="00F33C23" w:rsidRPr="00794950">
        <w:rPr>
          <w:bCs/>
        </w:rPr>
        <w:t xml:space="preserve"> élaboré</w:t>
      </w:r>
      <w:r w:rsidR="006E6BD2" w:rsidRPr="00794950">
        <w:rPr>
          <w:bCs/>
        </w:rPr>
        <w:t>es</w:t>
      </w:r>
      <w:r w:rsidR="0022043B" w:rsidRPr="00794950">
        <w:rPr>
          <w:bCs/>
        </w:rPr>
        <w:t xml:space="preserve"> au titre </w:t>
      </w:r>
      <w:r w:rsidR="000325FC" w:rsidRPr="00794950">
        <w:rPr>
          <w:bCs/>
        </w:rPr>
        <w:t xml:space="preserve">de l'initiative </w:t>
      </w:r>
      <w:r w:rsidRPr="00794950">
        <w:t>U4SSC</w:t>
      </w:r>
      <w:r w:rsidR="0022043B" w:rsidRPr="00794950">
        <w:t>,</w:t>
      </w:r>
      <w:r w:rsidRPr="00794950">
        <w:t xml:space="preserve"> </w:t>
      </w:r>
      <w:r w:rsidR="006E6BD2" w:rsidRPr="00794950">
        <w:t>ont</w:t>
      </w:r>
      <w:r w:rsidR="00F33C23" w:rsidRPr="00794950">
        <w:t xml:space="preserve"> été présenté</w:t>
      </w:r>
      <w:r w:rsidR="006E6BD2" w:rsidRPr="00794950">
        <w:t>es</w:t>
      </w:r>
      <w:r w:rsidRPr="00794950">
        <w:t xml:space="preserve"> </w:t>
      </w:r>
      <w:r w:rsidR="000325FC" w:rsidRPr="00794950">
        <w:t xml:space="preserve">lors de la </w:t>
      </w:r>
      <w:r w:rsidR="001564EC" w:rsidRPr="00794950">
        <w:t>9ème S</w:t>
      </w:r>
      <w:r w:rsidR="000325FC" w:rsidRPr="00794950">
        <w:t>emaine "Normes vertes" de l'UIT</w:t>
      </w:r>
      <w:r w:rsidRPr="00794950">
        <w:t xml:space="preserve">. </w:t>
      </w:r>
      <w:r w:rsidR="0022043B" w:rsidRPr="00794950">
        <w:t xml:space="preserve">Ces </w:t>
      </w:r>
      <w:r w:rsidR="000325FC" w:rsidRPr="00794950">
        <w:t xml:space="preserve">fiches d'information portent sur la relation entre les initiatives </w:t>
      </w:r>
      <w:r w:rsidR="00F76686" w:rsidRPr="00794950">
        <w:t>relatives aux</w:t>
      </w:r>
      <w:r w:rsidR="000325FC" w:rsidRPr="00794950">
        <w:t xml:space="preserve"> villes intelligentes et les Objectifs de développement durable</w:t>
      </w:r>
      <w:r w:rsidR="0022043B" w:rsidRPr="00794950">
        <w:t xml:space="preserve"> et</w:t>
      </w:r>
      <w:r w:rsidR="00F00D96" w:rsidRPr="00794950">
        <w:t xml:space="preserve"> </w:t>
      </w:r>
      <w:r w:rsidR="00886D3C" w:rsidRPr="00794950">
        <w:t>donn</w:t>
      </w:r>
      <w:r w:rsidR="0022043B" w:rsidRPr="00794950">
        <w:t>e</w:t>
      </w:r>
      <w:r w:rsidR="00886D3C" w:rsidRPr="00794950">
        <w:t>nt</w:t>
      </w:r>
      <w:r w:rsidR="000325FC" w:rsidRPr="00794950">
        <w:t xml:space="preserve"> un aperçu</w:t>
      </w:r>
      <w:r w:rsidR="0022043B" w:rsidRPr="00794950">
        <w:t xml:space="preserve"> de l</w:t>
      </w:r>
      <w:r w:rsidR="00A54667" w:rsidRPr="00794950">
        <w:t>'</w:t>
      </w:r>
      <w:r w:rsidR="0022043B" w:rsidRPr="00794950">
        <w:t xml:space="preserve">expérience acquise par les </w:t>
      </w:r>
      <w:r w:rsidR="000325FC" w:rsidRPr="00794950">
        <w:t>villes à cet égard</w:t>
      </w:r>
      <w:r w:rsidRPr="00794950">
        <w:t>.</w:t>
      </w:r>
    </w:p>
    <w:p w14:paraId="372BE2F9" w14:textId="37D21CB8" w:rsidR="00E07909" w:rsidRPr="00794950" w:rsidRDefault="00E75F0E" w:rsidP="00F702FE">
      <w:pPr>
        <w:tabs>
          <w:tab w:val="clear" w:pos="567"/>
          <w:tab w:val="clear" w:pos="1134"/>
          <w:tab w:val="clear" w:pos="1701"/>
          <w:tab w:val="clear" w:pos="2268"/>
          <w:tab w:val="clear" w:pos="2835"/>
        </w:tabs>
      </w:pPr>
      <w:r w:rsidRPr="00794950">
        <w:t>3.1.3</w:t>
      </w:r>
      <w:r w:rsidRPr="00794950">
        <w:tab/>
      </w:r>
      <w:r w:rsidR="00402AF2" w:rsidRPr="00794950">
        <w:t>Aux termes de l</w:t>
      </w:r>
      <w:r w:rsidR="003F45BE" w:rsidRPr="00794950">
        <w:t>a</w:t>
      </w:r>
      <w:r w:rsidRPr="00794950">
        <w:t xml:space="preserve"> Résolution 98 de l'AMNT "Renforcer la normalisation de l'Internet des objets ainsi que des villes et communautés intelligentes pour le développement à l'échelle mondiale</w:t>
      </w:r>
      <w:r w:rsidR="00402AF2" w:rsidRPr="00794950">
        <w:t xml:space="preserve">", </w:t>
      </w:r>
      <w:r w:rsidRPr="00794950">
        <w:t xml:space="preserve">le Directeur du TSB </w:t>
      </w:r>
      <w:r w:rsidR="00402AF2" w:rsidRPr="00794950">
        <w:t xml:space="preserve">est chargé </w:t>
      </w:r>
      <w:r w:rsidRPr="00794950">
        <w:t>"de continuer d'appuyer l'initiative</w:t>
      </w:r>
      <w:r w:rsidR="00F00D96" w:rsidRPr="00794950">
        <w:t xml:space="preserve"> </w:t>
      </w:r>
      <w:r w:rsidRPr="00794950">
        <w:t>"Tous unis pour des villes intelligentes et durables" (U4SSC) lancée en mai 2016 par l'UIT, en collaboration avec la Commission économique des Nations Unies pour l'Europe</w:t>
      </w:r>
      <w:r w:rsidR="00834B48" w:rsidRPr="00794950">
        <w:t xml:space="preserve"> </w:t>
      </w:r>
      <w:r w:rsidR="004E5ADF" w:rsidRPr="00794950">
        <w:t>[…]</w:t>
      </w:r>
      <w:r w:rsidR="00834B48" w:rsidRPr="00794950">
        <w:t>"</w:t>
      </w:r>
      <w:r w:rsidRPr="00794950">
        <w:t>.</w:t>
      </w:r>
    </w:p>
    <w:p w14:paraId="21800E0A" w14:textId="317C2AA4" w:rsidR="00E75F0E" w:rsidRPr="00794950" w:rsidRDefault="00E75F0E" w:rsidP="00F702FE">
      <w:pPr>
        <w:tabs>
          <w:tab w:val="clear" w:pos="567"/>
          <w:tab w:val="clear" w:pos="1134"/>
          <w:tab w:val="clear" w:pos="1701"/>
          <w:tab w:val="clear" w:pos="2268"/>
          <w:tab w:val="clear" w:pos="2835"/>
        </w:tabs>
      </w:pPr>
      <w:r w:rsidRPr="00794950">
        <w:t>3.1.4</w:t>
      </w:r>
      <w:r w:rsidRPr="00794950">
        <w:tab/>
      </w:r>
      <w:r w:rsidR="00831706" w:rsidRPr="00794950">
        <w:t>Des</w:t>
      </w:r>
      <w:r w:rsidRPr="00794950">
        <w:t xml:space="preserve"> res</w:t>
      </w:r>
      <w:r w:rsidR="00831706" w:rsidRPr="00794950">
        <w:t>s</w:t>
      </w:r>
      <w:r w:rsidRPr="00794950">
        <w:t xml:space="preserve">ources </w:t>
      </w:r>
      <w:r w:rsidR="00831706" w:rsidRPr="00794950">
        <w:t xml:space="preserve">supplémentaires sont nécessaires pour </w:t>
      </w:r>
      <w:r w:rsidR="00656DA8" w:rsidRPr="00794950">
        <w:t>gérer le</w:t>
      </w:r>
      <w:r w:rsidR="002C044B" w:rsidRPr="00794950">
        <w:t xml:space="preserve"> nombre croissant de</w:t>
      </w:r>
      <w:r w:rsidR="00831706" w:rsidRPr="00794950">
        <w:t xml:space="preserve"> demandes </w:t>
      </w:r>
      <w:r w:rsidR="0076767F" w:rsidRPr="00794950">
        <w:t>de</w:t>
      </w:r>
      <w:r w:rsidR="00F54A90" w:rsidRPr="00794950">
        <w:t xml:space="preserve"> mise en œuvre des </w:t>
      </w:r>
      <w:r w:rsidR="00656DA8" w:rsidRPr="00794950">
        <w:t xml:space="preserve">normes </w:t>
      </w:r>
      <w:r w:rsidR="002C044B" w:rsidRPr="00794950">
        <w:t xml:space="preserve">UIT-T </w:t>
      </w:r>
      <w:r w:rsidR="00CB4209" w:rsidRPr="00794950">
        <w:t>relatives aux</w:t>
      </w:r>
      <w:r w:rsidR="002C044B" w:rsidRPr="00794950">
        <w:t xml:space="preserve"> </w:t>
      </w:r>
      <w:r w:rsidR="00F54A90" w:rsidRPr="00794950">
        <w:t xml:space="preserve">indicateurs fondamentaux de performance </w:t>
      </w:r>
      <w:r w:rsidR="004A0C10" w:rsidRPr="00794950">
        <w:t>à l'appui</w:t>
      </w:r>
      <w:r w:rsidR="00F54A90" w:rsidRPr="00794950">
        <w:t xml:space="preserve"> de</w:t>
      </w:r>
      <w:r w:rsidRPr="00794950">
        <w:t xml:space="preserve"> </w:t>
      </w:r>
      <w:r w:rsidR="00F54A90" w:rsidRPr="00794950">
        <w:t xml:space="preserve">l'initiative </w:t>
      </w:r>
      <w:r w:rsidRPr="00794950">
        <w:t>U4SSC</w:t>
      </w:r>
      <w:r w:rsidR="00CB4209" w:rsidRPr="00794950">
        <w:t xml:space="preserve"> dans d'autres villes</w:t>
      </w:r>
      <w:r w:rsidRPr="00794950">
        <w:t>,</w:t>
      </w:r>
      <w:r w:rsidR="00F00D96" w:rsidRPr="00794950">
        <w:t xml:space="preserve"> </w:t>
      </w:r>
      <w:r w:rsidR="00831706" w:rsidRPr="00794950">
        <w:t>fournir un appui administratif</w:t>
      </w:r>
      <w:r w:rsidR="0022043B" w:rsidRPr="00794950">
        <w:t xml:space="preserve"> approprié </w:t>
      </w:r>
      <w:r w:rsidR="00831706" w:rsidRPr="00794950">
        <w:t xml:space="preserve">à l'initiative </w:t>
      </w:r>
      <w:r w:rsidRPr="00794950">
        <w:t>U4SSC</w:t>
      </w:r>
      <w:r w:rsidR="0022043B" w:rsidRPr="00794950">
        <w:t xml:space="preserve"> </w:t>
      </w:r>
      <w:r w:rsidR="00831706" w:rsidRPr="00794950">
        <w:t>et</w:t>
      </w:r>
      <w:r w:rsidR="00F00D96" w:rsidRPr="00794950">
        <w:t xml:space="preserve"> </w:t>
      </w:r>
      <w:r w:rsidR="00831706" w:rsidRPr="00794950">
        <w:t xml:space="preserve">communiquer </w:t>
      </w:r>
      <w:r w:rsidR="00A33551" w:rsidRPr="00794950">
        <w:t xml:space="preserve">les enseignements tirés et les nouvelles exigences </w:t>
      </w:r>
      <w:r w:rsidR="0022043B" w:rsidRPr="00794950">
        <w:t xml:space="preserve">définies </w:t>
      </w:r>
      <w:r w:rsidR="00831706" w:rsidRPr="00794950">
        <w:t xml:space="preserve">aux commissions d'études </w:t>
      </w:r>
      <w:r w:rsidR="0022043B" w:rsidRPr="00794950">
        <w:t xml:space="preserve">concernées </w:t>
      </w:r>
      <w:r w:rsidR="00831706" w:rsidRPr="00794950">
        <w:t>de l'UIT-T</w:t>
      </w:r>
      <w:r w:rsidR="00F00D96" w:rsidRPr="00794950">
        <w:t>.</w:t>
      </w:r>
    </w:p>
    <w:p w14:paraId="08107835" w14:textId="75A6704C" w:rsidR="00E75F0E" w:rsidRPr="00794950" w:rsidRDefault="00E75F0E" w:rsidP="00F702FE">
      <w:pPr>
        <w:tabs>
          <w:tab w:val="clear" w:pos="567"/>
          <w:tab w:val="clear" w:pos="1134"/>
          <w:tab w:val="clear" w:pos="1701"/>
          <w:tab w:val="clear" w:pos="2268"/>
          <w:tab w:val="clear" w:pos="2835"/>
        </w:tabs>
      </w:pPr>
      <w:r w:rsidRPr="00794950">
        <w:t>3.1.5</w:t>
      </w:r>
      <w:r w:rsidRPr="00794950">
        <w:tab/>
      </w:r>
      <w:r w:rsidR="00626593" w:rsidRPr="00794950">
        <w:t>Le TSB demande</w:t>
      </w:r>
      <w:r w:rsidR="0022043B" w:rsidRPr="00794950">
        <w:t xml:space="preserve"> qu</w:t>
      </w:r>
      <w:r w:rsidR="00A54667" w:rsidRPr="00794950">
        <w:t>'</w:t>
      </w:r>
      <w:r w:rsidR="0022043B" w:rsidRPr="00794950">
        <w:t>il soit fait appel à</w:t>
      </w:r>
      <w:r w:rsidR="00CB4209" w:rsidRPr="00794950">
        <w:t xml:space="preserve"> un</w:t>
      </w:r>
      <w:r w:rsidR="002C345A" w:rsidRPr="00794950">
        <w:t xml:space="preserve"> </w:t>
      </w:r>
      <w:r w:rsidR="002C345A" w:rsidRPr="00794950">
        <w:rPr>
          <w:b/>
        </w:rPr>
        <w:t xml:space="preserve">fonctionnaire </w:t>
      </w:r>
      <w:r w:rsidR="0022043B" w:rsidRPr="00794950">
        <w:t>supplémentaire</w:t>
      </w:r>
      <w:r w:rsidR="0022043B" w:rsidRPr="00794950">
        <w:rPr>
          <w:b/>
        </w:rPr>
        <w:t xml:space="preserve"> </w:t>
      </w:r>
      <w:r w:rsidR="00CE325A" w:rsidRPr="00794950">
        <w:rPr>
          <w:b/>
        </w:rPr>
        <w:t xml:space="preserve">de grade </w:t>
      </w:r>
      <w:r w:rsidR="002C345A" w:rsidRPr="00794950">
        <w:rPr>
          <w:b/>
        </w:rPr>
        <w:t>P2</w:t>
      </w:r>
      <w:r w:rsidR="002C345A" w:rsidRPr="00794950">
        <w:t xml:space="preserve"> pour appuyer les activités liées aux indicateurs fondamentaux de performance de l'UIT </w:t>
      </w:r>
      <w:r w:rsidR="00957863" w:rsidRPr="00794950">
        <w:t>relatifs aux</w:t>
      </w:r>
      <w:r w:rsidR="002C345A" w:rsidRPr="00794950">
        <w:t xml:space="preserve"> villes intelligentes et durable</w:t>
      </w:r>
      <w:r w:rsidR="009F1891" w:rsidRPr="00794950">
        <w:t>s</w:t>
      </w:r>
      <w:r w:rsidR="0022043B" w:rsidRPr="00794950">
        <w:t xml:space="preserve"> et à</w:t>
      </w:r>
      <w:r w:rsidR="002C345A" w:rsidRPr="00794950">
        <w:t xml:space="preserve"> l'initiative </w:t>
      </w:r>
      <w:r w:rsidRPr="00794950">
        <w:t>U4SSC.</w:t>
      </w:r>
    </w:p>
    <w:p w14:paraId="42607A5A" w14:textId="05E6D5B1" w:rsidR="00E07909" w:rsidRPr="00794950" w:rsidRDefault="00E75F0E" w:rsidP="00F702FE">
      <w:pPr>
        <w:pStyle w:val="Heading2"/>
        <w:tabs>
          <w:tab w:val="clear" w:pos="567"/>
          <w:tab w:val="clear" w:pos="1134"/>
          <w:tab w:val="clear" w:pos="1701"/>
          <w:tab w:val="clear" w:pos="2268"/>
          <w:tab w:val="clear" w:pos="2835"/>
        </w:tabs>
        <w:ind w:left="709" w:hanging="709"/>
      </w:pPr>
      <w:bookmarkStart w:id="32" w:name="_Toc54336499"/>
      <w:r w:rsidRPr="00794950">
        <w:t>3.2</w:t>
      </w:r>
      <w:r w:rsidRPr="00794950">
        <w:tab/>
      </w:r>
      <w:r w:rsidR="0022043B" w:rsidRPr="00794950">
        <w:t>R</w:t>
      </w:r>
      <w:r w:rsidR="009D7400" w:rsidRPr="00794950">
        <w:t>essources internationales de numérotage (INR</w:t>
      </w:r>
      <w:r w:rsidRPr="00794950">
        <w:t>)</w:t>
      </w:r>
      <w:r w:rsidR="00F00D96" w:rsidRPr="00794950">
        <w:t>:</w:t>
      </w:r>
      <w:r w:rsidR="0022043B" w:rsidRPr="00794950">
        <w:t xml:space="preserve"> la cheville ouvrière</w:t>
      </w:r>
      <w:r w:rsidR="00F00D96" w:rsidRPr="00794950">
        <w:t xml:space="preserve"> </w:t>
      </w:r>
      <w:r w:rsidR="009D7400" w:rsidRPr="00794950">
        <w:t>des réseaux de communication</w:t>
      </w:r>
      <w:bookmarkEnd w:id="32"/>
    </w:p>
    <w:p w14:paraId="0DB37FB8" w14:textId="49C34C1B" w:rsidR="00E07909" w:rsidRPr="00794950" w:rsidRDefault="00E75F0E" w:rsidP="00F702FE">
      <w:pPr>
        <w:tabs>
          <w:tab w:val="clear" w:pos="567"/>
          <w:tab w:val="clear" w:pos="1134"/>
          <w:tab w:val="clear" w:pos="1701"/>
          <w:tab w:val="clear" w:pos="2268"/>
          <w:tab w:val="clear" w:pos="2835"/>
        </w:tabs>
      </w:pPr>
      <w:r w:rsidRPr="00794950">
        <w:t>3.2.1</w:t>
      </w:r>
      <w:r w:rsidRPr="00794950">
        <w:tab/>
        <w:t xml:space="preserve">L'UIT attribue, directement ou indirectement, environ </w:t>
      </w:r>
      <w:r w:rsidR="009D7400" w:rsidRPr="00794950">
        <w:t>vingt</w:t>
      </w:r>
      <w:r w:rsidRPr="00794950">
        <w:t xml:space="preserve"> types de ressources internationales de numérotage (INR). La Recommandation UIT-T E.195 propose la constitution et décrit les fonctions et les responsabilités</w:t>
      </w:r>
      <w:r w:rsidR="0022043B" w:rsidRPr="00794950">
        <w:t>, au sein</w:t>
      </w:r>
      <w:r w:rsidR="00F00D96" w:rsidRPr="00794950">
        <w:t xml:space="preserve"> </w:t>
      </w:r>
      <w:r w:rsidR="0022043B" w:rsidRPr="00794950">
        <w:t>du TSB,</w:t>
      </w:r>
      <w:r w:rsidR="00F00D96" w:rsidRPr="00794950">
        <w:t xml:space="preserve"> </w:t>
      </w:r>
      <w:r w:rsidRPr="00794950">
        <w:t xml:space="preserve">d'un groupe centralisé d'administration du numérotage </w:t>
      </w:r>
      <w:r w:rsidR="0022043B" w:rsidRPr="00794950">
        <w:t>(</w:t>
      </w:r>
      <w:r w:rsidRPr="00794950">
        <w:t>groupe NAG de l'UIT-T</w:t>
      </w:r>
      <w:r w:rsidR="0022043B" w:rsidRPr="00794950">
        <w:t>)</w:t>
      </w:r>
      <w:r w:rsidR="001D7D65" w:rsidRPr="00794950">
        <w:t>.</w:t>
      </w:r>
      <w:r w:rsidR="00F00D96" w:rsidRPr="00794950">
        <w:t xml:space="preserve"> </w:t>
      </w:r>
      <w:r w:rsidRPr="00794950">
        <w:t>Elle fournit des procédures recommandées qui ont pour objet d'assurer que toutes les demandes de ressources sont traitées de manière impartiale, homogène, cohérente et efficace.</w:t>
      </w:r>
    </w:p>
    <w:p w14:paraId="2C40D446" w14:textId="2DACB176" w:rsidR="00E75F0E" w:rsidRPr="00794950" w:rsidRDefault="00E75F0E" w:rsidP="00F702FE">
      <w:pPr>
        <w:tabs>
          <w:tab w:val="clear" w:pos="567"/>
          <w:tab w:val="clear" w:pos="1134"/>
          <w:tab w:val="clear" w:pos="1701"/>
          <w:tab w:val="clear" w:pos="2268"/>
          <w:tab w:val="clear" w:pos="2835"/>
        </w:tabs>
      </w:pPr>
      <w:r w:rsidRPr="00794950">
        <w:lastRenderedPageBreak/>
        <w:t>3.2.2</w:t>
      </w:r>
      <w:r w:rsidRPr="00794950">
        <w:tab/>
      </w:r>
      <w:r w:rsidR="0022043B" w:rsidRPr="00794950">
        <w:t>L</w:t>
      </w:r>
      <w:r w:rsidR="00370DD5" w:rsidRPr="00794950">
        <w:t xml:space="preserve">es notifications concernant les mises à jour des plans </w:t>
      </w:r>
      <w:r w:rsidR="0022043B" w:rsidRPr="00794950">
        <w:t xml:space="preserve">nationaux </w:t>
      </w:r>
      <w:r w:rsidR="00370DD5" w:rsidRPr="00794950">
        <w:t>de numérotage/d'identification</w:t>
      </w:r>
      <w:r w:rsidR="00F00D96" w:rsidRPr="00794950">
        <w:t xml:space="preserve"> </w:t>
      </w:r>
      <w:r w:rsidR="00C2281D" w:rsidRPr="00794950">
        <w:t xml:space="preserve">et </w:t>
      </w:r>
      <w:r w:rsidR="00830C57" w:rsidRPr="00794950">
        <w:t xml:space="preserve">les </w:t>
      </w:r>
      <w:r w:rsidR="00370DD5" w:rsidRPr="00794950">
        <w:t>attribution</w:t>
      </w:r>
      <w:r w:rsidR="00830C57" w:rsidRPr="00794950">
        <w:t>s</w:t>
      </w:r>
      <w:r w:rsidR="00370DD5" w:rsidRPr="00794950">
        <w:t xml:space="preserve"> ou le</w:t>
      </w:r>
      <w:r w:rsidR="00830C57" w:rsidRPr="00794950">
        <w:t>s</w:t>
      </w:r>
      <w:r w:rsidR="00370DD5" w:rsidRPr="00794950">
        <w:t xml:space="preserve"> retrait</w:t>
      </w:r>
      <w:r w:rsidR="00830C57" w:rsidRPr="00794950">
        <w:t>s</w:t>
      </w:r>
      <w:r w:rsidR="00370DD5" w:rsidRPr="00794950">
        <w:t xml:space="preserve"> de ressources nationales de numérotage/d'identification sont </w:t>
      </w:r>
      <w:r w:rsidR="00830C57" w:rsidRPr="00794950">
        <w:t xml:space="preserve">reçus et </w:t>
      </w:r>
      <w:r w:rsidR="00370DD5" w:rsidRPr="00794950">
        <w:t xml:space="preserve">publiés dans le </w:t>
      </w:r>
      <w:hyperlink r:id="rId32" w:history="1">
        <w:r w:rsidR="00830C57" w:rsidRPr="00794950">
          <w:rPr>
            <w:rStyle w:val="Hyperlink"/>
          </w:rPr>
          <w:t>Bulletin d'exploitation de l'UIT</w:t>
        </w:r>
      </w:hyperlink>
      <w:r w:rsidR="00370DD5" w:rsidRPr="00794950">
        <w:t>, lequel paraît deux fois par mois dans les six langues officielles de l'Union</w:t>
      </w:r>
      <w:r w:rsidR="003A300A" w:rsidRPr="00794950">
        <w:t>. Une vingtaine d'annexes sur les numéros et</w:t>
      </w:r>
      <w:r w:rsidR="00F00D96" w:rsidRPr="00794950">
        <w:t xml:space="preserve"> </w:t>
      </w:r>
      <w:r w:rsidR="00DC0CD3" w:rsidRPr="00794950">
        <w:t>indicatifs</w:t>
      </w:r>
      <w:r w:rsidR="003A300A" w:rsidRPr="00794950">
        <w:t xml:space="preserve"> attribués sont </w:t>
      </w:r>
      <w:r w:rsidR="00780BF0" w:rsidRPr="00794950">
        <w:t>tenues à jour conformément aux r</w:t>
      </w:r>
      <w:r w:rsidR="003A300A" w:rsidRPr="00794950">
        <w:t>ecommandations suivantes:</w:t>
      </w:r>
    </w:p>
    <w:p w14:paraId="4E1C538D" w14:textId="0FEE7987" w:rsidR="00E75F0E" w:rsidRPr="00794950" w:rsidRDefault="00E75F0E" w:rsidP="00F702FE">
      <w:pPr>
        <w:pStyle w:val="enumlev1"/>
        <w:tabs>
          <w:tab w:val="clear" w:pos="567"/>
          <w:tab w:val="clear" w:pos="1134"/>
          <w:tab w:val="clear" w:pos="1701"/>
          <w:tab w:val="clear" w:pos="2268"/>
          <w:tab w:val="clear" w:pos="2835"/>
        </w:tabs>
        <w:ind w:left="709" w:hanging="709"/>
      </w:pPr>
      <w:r w:rsidRPr="00794950">
        <w:t>–</w:t>
      </w:r>
      <w:r w:rsidRPr="00794950">
        <w:tab/>
      </w:r>
      <w:r w:rsidR="00780BF0" w:rsidRPr="00794950">
        <w:t xml:space="preserve">Recommandation </w:t>
      </w:r>
      <w:r w:rsidRPr="00794950">
        <w:t>UIT-T E.164 "</w:t>
      </w:r>
      <w:r w:rsidR="00432CC2" w:rsidRPr="00794950">
        <w:t>Plan de numérotage des télécommunications publiques internationales</w:t>
      </w:r>
      <w:r w:rsidRPr="00794950">
        <w:t>"</w:t>
      </w:r>
      <w:r w:rsidR="00700FDF">
        <w:t>.</w:t>
      </w:r>
    </w:p>
    <w:p w14:paraId="2FBE250F" w14:textId="4AB8E2B2" w:rsidR="00E75F0E" w:rsidRPr="00794950" w:rsidRDefault="00E75F0E" w:rsidP="00F702FE">
      <w:pPr>
        <w:pStyle w:val="enumlev1"/>
        <w:tabs>
          <w:tab w:val="clear" w:pos="567"/>
          <w:tab w:val="clear" w:pos="1134"/>
          <w:tab w:val="clear" w:pos="1701"/>
          <w:tab w:val="clear" w:pos="2268"/>
          <w:tab w:val="clear" w:pos="2835"/>
        </w:tabs>
        <w:ind w:left="709" w:hanging="709"/>
      </w:pPr>
      <w:r w:rsidRPr="00794950">
        <w:t>–</w:t>
      </w:r>
      <w:r w:rsidRPr="00794950">
        <w:tab/>
      </w:r>
      <w:r w:rsidR="00780BF0" w:rsidRPr="00794950">
        <w:t xml:space="preserve">Recommandation </w:t>
      </w:r>
      <w:r w:rsidRPr="00794950">
        <w:t>UIT-T E.118 "</w:t>
      </w:r>
      <w:r w:rsidR="00432CC2" w:rsidRPr="00794950">
        <w:t>Carte internationale de facturation des télécommunications</w:t>
      </w:r>
      <w:r w:rsidRPr="00794950">
        <w:t>"</w:t>
      </w:r>
      <w:r w:rsidR="00700FDF">
        <w:t>.</w:t>
      </w:r>
    </w:p>
    <w:p w14:paraId="2CA08C50" w14:textId="31DD9869" w:rsidR="00E75F0E" w:rsidRPr="00794950" w:rsidRDefault="00E75F0E" w:rsidP="00F702FE">
      <w:pPr>
        <w:pStyle w:val="enumlev1"/>
        <w:tabs>
          <w:tab w:val="clear" w:pos="567"/>
          <w:tab w:val="clear" w:pos="1134"/>
          <w:tab w:val="clear" w:pos="1701"/>
          <w:tab w:val="clear" w:pos="2268"/>
          <w:tab w:val="clear" w:pos="2835"/>
        </w:tabs>
        <w:ind w:left="709" w:hanging="709"/>
      </w:pPr>
      <w:r w:rsidRPr="00794950">
        <w:t>–</w:t>
      </w:r>
      <w:r w:rsidRPr="00794950">
        <w:tab/>
      </w:r>
      <w:r w:rsidR="00780BF0" w:rsidRPr="00794950">
        <w:t xml:space="preserve">Recommandation </w:t>
      </w:r>
      <w:r w:rsidRPr="00794950">
        <w:t>UIT-T E.212 "</w:t>
      </w:r>
      <w:r w:rsidR="00432CC2" w:rsidRPr="00794950">
        <w:t>Plan d'identification international pour les réseaux publics et les abonnements</w:t>
      </w:r>
      <w:r w:rsidRPr="00794950">
        <w:t>"</w:t>
      </w:r>
      <w:r w:rsidR="00700FDF">
        <w:t>.</w:t>
      </w:r>
    </w:p>
    <w:p w14:paraId="2633A711" w14:textId="1D2CD481" w:rsidR="00E75F0E" w:rsidRPr="00794950" w:rsidRDefault="00E75F0E" w:rsidP="00F702FE">
      <w:pPr>
        <w:pStyle w:val="enumlev1"/>
        <w:tabs>
          <w:tab w:val="clear" w:pos="567"/>
          <w:tab w:val="clear" w:pos="1134"/>
          <w:tab w:val="clear" w:pos="1701"/>
          <w:tab w:val="clear" w:pos="2268"/>
          <w:tab w:val="clear" w:pos="2835"/>
        </w:tabs>
        <w:ind w:left="709" w:hanging="709"/>
      </w:pPr>
      <w:r w:rsidRPr="00794950">
        <w:t>–</w:t>
      </w:r>
      <w:r w:rsidRPr="00794950">
        <w:tab/>
      </w:r>
      <w:r w:rsidR="00780BF0" w:rsidRPr="00794950">
        <w:t xml:space="preserve">Recommandation </w:t>
      </w:r>
      <w:r w:rsidRPr="00794950">
        <w:t>UIT-T E.218 "</w:t>
      </w:r>
      <w:r w:rsidR="00432CC2" w:rsidRPr="00794950">
        <w:rPr>
          <w:rFonts w:ascii="Times New Roman" w:eastAsia="SimSun" w:hAnsi="Times New Roman"/>
        </w:rPr>
        <w:t xml:space="preserve"> </w:t>
      </w:r>
      <w:r w:rsidR="00432CC2" w:rsidRPr="00794950">
        <w:t>Gestion de l'attribution des indicatifs de pays pour le service mobile de radiocommunication de Terre à ressource</w:t>
      </w:r>
      <w:r w:rsidR="001843FA" w:rsidRPr="00794950">
        <w:t>s</w:t>
      </w:r>
      <w:r w:rsidR="00432CC2" w:rsidRPr="00794950">
        <w:t xml:space="preserve"> partagée</w:t>
      </w:r>
      <w:r w:rsidR="001843FA" w:rsidRPr="00794950">
        <w:t>s</w:t>
      </w:r>
      <w:r w:rsidRPr="00794950">
        <w:t>"</w:t>
      </w:r>
      <w:r w:rsidR="00700FDF">
        <w:t>.</w:t>
      </w:r>
    </w:p>
    <w:p w14:paraId="269CEE06" w14:textId="28FE6C7E" w:rsidR="00E75F0E" w:rsidRPr="00794950" w:rsidRDefault="00E75F0E" w:rsidP="00F702FE">
      <w:pPr>
        <w:pStyle w:val="enumlev1"/>
        <w:tabs>
          <w:tab w:val="clear" w:pos="567"/>
          <w:tab w:val="clear" w:pos="1134"/>
          <w:tab w:val="clear" w:pos="1701"/>
          <w:tab w:val="clear" w:pos="2268"/>
          <w:tab w:val="clear" w:pos="2835"/>
        </w:tabs>
        <w:ind w:left="709" w:hanging="709"/>
      </w:pPr>
      <w:r w:rsidRPr="00794950">
        <w:t>–</w:t>
      </w:r>
      <w:r w:rsidRPr="00794950">
        <w:tab/>
      </w:r>
      <w:r w:rsidR="00780BF0" w:rsidRPr="00794950">
        <w:t xml:space="preserve">Recommandation </w:t>
      </w:r>
      <w:r w:rsidRPr="00794950">
        <w:t>UIT-T Q.708 "</w:t>
      </w:r>
      <w:r w:rsidR="00432CC2" w:rsidRPr="00794950">
        <w:t>Procédures d'attribution de codes de points sémaphores internationaux</w:t>
      </w:r>
      <w:r w:rsidRPr="00794950">
        <w:t>".</w:t>
      </w:r>
    </w:p>
    <w:p w14:paraId="6DC29840" w14:textId="6307F284" w:rsidR="000C0FBB" w:rsidRPr="00794950" w:rsidRDefault="00E75F0E" w:rsidP="00F702FE">
      <w:pPr>
        <w:tabs>
          <w:tab w:val="clear" w:pos="567"/>
          <w:tab w:val="clear" w:pos="1134"/>
          <w:tab w:val="clear" w:pos="1701"/>
          <w:tab w:val="clear" w:pos="2268"/>
          <w:tab w:val="clear" w:pos="2835"/>
        </w:tabs>
      </w:pPr>
      <w:r w:rsidRPr="00794950">
        <w:t>3.2.3</w:t>
      </w:r>
      <w:r w:rsidRPr="00794950">
        <w:tab/>
      </w:r>
      <w:r w:rsidR="000C0FBB" w:rsidRPr="00794950">
        <w:t>La Recommandation UIT-T E.156 "Lignes directrices sur la suite à donner par l'UIT-T lorsqu'une utilisation abusive des ressources de numérotage E.164 lui est signalée" est en cours de révision</w:t>
      </w:r>
      <w:r w:rsidR="0025502C" w:rsidRPr="00794950">
        <w:t>,</w:t>
      </w:r>
      <w:r w:rsidR="000C0FBB" w:rsidRPr="00794950">
        <w:t xml:space="preserve"> afin d'y faire figurer de nouveaux cas d'utilisation abusive et d'envisager des moyens plus efficaces pour lutter contre ces utilisations.</w:t>
      </w:r>
    </w:p>
    <w:p w14:paraId="3FFDBAE1" w14:textId="4EB554E1" w:rsidR="000C0FBB" w:rsidRPr="00794950" w:rsidRDefault="000C0FBB" w:rsidP="00F702FE">
      <w:pPr>
        <w:tabs>
          <w:tab w:val="clear" w:pos="567"/>
          <w:tab w:val="clear" w:pos="1134"/>
          <w:tab w:val="clear" w:pos="1701"/>
          <w:tab w:val="clear" w:pos="2268"/>
          <w:tab w:val="clear" w:pos="2835"/>
        </w:tabs>
      </w:pPr>
      <w:r w:rsidRPr="00794950">
        <w:t>3.2.4</w:t>
      </w:r>
      <w:r w:rsidRPr="00794950">
        <w:tab/>
      </w:r>
      <w:r w:rsidR="00585FD1" w:rsidRPr="00794950">
        <w:t>Un</w:t>
      </w:r>
      <w:r w:rsidRPr="00794950">
        <w:t xml:space="preserve"> prototype </w:t>
      </w:r>
      <w:r w:rsidR="00585FD1" w:rsidRPr="00794950">
        <w:t>de nouveau répertoire sur les plans de numérotage nationaux a été élaboré et est disponible à l'adresse suivante</w:t>
      </w:r>
      <w:r w:rsidRPr="00794950">
        <w:t xml:space="preserve">: </w:t>
      </w:r>
      <w:hyperlink r:id="rId33" w:history="1">
        <w:r w:rsidRPr="00794950">
          <w:rPr>
            <w:rStyle w:val="Hyperlink"/>
          </w:rPr>
          <w:t>https://www.itu.int/net4/itu-t/nnp</w:t>
        </w:r>
      </w:hyperlink>
      <w:r w:rsidRPr="00794950">
        <w:t>.</w:t>
      </w:r>
      <w:r w:rsidR="0022043B" w:rsidRPr="00794950">
        <w:t xml:space="preserve"> Sa création fait </w:t>
      </w:r>
      <w:r w:rsidR="00585FD1" w:rsidRPr="00794950">
        <w:t>suite</w:t>
      </w:r>
      <w:r w:rsidRPr="00794950">
        <w:t xml:space="preserve"> </w:t>
      </w:r>
      <w:r w:rsidR="00585FD1" w:rsidRPr="00794950">
        <w:t>à la Résolution</w:t>
      </w:r>
      <w:r w:rsidRPr="00794950">
        <w:t xml:space="preserve"> 91 (Hammamet, 2016) </w:t>
      </w:r>
      <w:r w:rsidR="00585FD1" w:rsidRPr="00794950">
        <w:t>de l'AMNT</w:t>
      </w:r>
      <w:r w:rsidRPr="00794950">
        <w:t xml:space="preserve"> </w:t>
      </w:r>
      <w:r w:rsidR="00585FD1" w:rsidRPr="00794950">
        <w:t>intitulée "</w:t>
      </w:r>
      <w:r w:rsidRPr="00794950">
        <w:t>Améliorer l'accès à un répertoire électronique d'informations sur les plans de numérotage publiés par le Secteur de la normalisation des télécommunications de l'UIT</w:t>
      </w:r>
      <w:r w:rsidR="00585FD1" w:rsidRPr="00794950">
        <w:t>"</w:t>
      </w:r>
      <w:r w:rsidRPr="00794950">
        <w:t>.</w:t>
      </w:r>
    </w:p>
    <w:p w14:paraId="7DD511EE" w14:textId="30790F9C" w:rsidR="009762E9" w:rsidRPr="00794950" w:rsidRDefault="009762E9" w:rsidP="00F702FE">
      <w:pPr>
        <w:tabs>
          <w:tab w:val="clear" w:pos="567"/>
          <w:tab w:val="clear" w:pos="1134"/>
          <w:tab w:val="clear" w:pos="1701"/>
          <w:tab w:val="clear" w:pos="2268"/>
          <w:tab w:val="clear" w:pos="2835"/>
        </w:tabs>
      </w:pPr>
      <w:r w:rsidRPr="00794950">
        <w:t>3.2.5</w:t>
      </w:r>
      <w:r w:rsidRPr="00794950">
        <w:tab/>
      </w:r>
      <w:r w:rsidR="0022043B" w:rsidRPr="00794950">
        <w:t xml:space="preserve">Étant donné que de plus en plus </w:t>
      </w:r>
      <w:r w:rsidR="006427CF" w:rsidRPr="00794950">
        <w:t>d'entreprises demand</w:t>
      </w:r>
      <w:r w:rsidR="0022043B" w:rsidRPr="00794950">
        <w:t>e</w:t>
      </w:r>
      <w:r w:rsidR="006427CF" w:rsidRPr="00794950">
        <w:t xml:space="preserve">nt des indicatifs partagés </w:t>
      </w:r>
      <w:r w:rsidRPr="00794950">
        <w:t xml:space="preserve">(E.212 </w:t>
      </w:r>
      <w:r w:rsidR="006427CF" w:rsidRPr="00794950">
        <w:t>et</w:t>
      </w:r>
      <w:r w:rsidR="001D7D65" w:rsidRPr="00794950">
        <w:t> </w:t>
      </w:r>
      <w:r w:rsidRPr="00794950">
        <w:t xml:space="preserve">E.164), </w:t>
      </w:r>
      <w:r w:rsidR="006427CF" w:rsidRPr="00794950">
        <w:t>la charge de travail de l'</w:t>
      </w:r>
      <w:r w:rsidR="00DD1814" w:rsidRPr="00794950">
        <w:t>Équipe</w:t>
      </w:r>
      <w:r w:rsidR="006427CF" w:rsidRPr="00794950">
        <w:t xml:space="preserve"> de coordination du numérotage</w:t>
      </w:r>
      <w:r w:rsidRPr="00794950">
        <w:t xml:space="preserve"> (NCT) </w:t>
      </w:r>
      <w:r w:rsidR="006427CF" w:rsidRPr="00794950">
        <w:t xml:space="preserve">a </w:t>
      </w:r>
      <w:r w:rsidR="0022043B" w:rsidRPr="00794950">
        <w:t xml:space="preserve">sensiblement </w:t>
      </w:r>
      <w:r w:rsidR="006427CF" w:rsidRPr="00794950">
        <w:t>augmenté</w:t>
      </w:r>
      <w:r w:rsidR="00F00D96" w:rsidRPr="00794950">
        <w:t>.</w:t>
      </w:r>
      <w:r w:rsidRPr="00794950">
        <w:t xml:space="preserve"> </w:t>
      </w:r>
      <w:r w:rsidR="001B3F57" w:rsidRPr="00794950">
        <w:t>L'</w:t>
      </w:r>
      <w:r w:rsidR="00DD1814" w:rsidRPr="00794950">
        <w:t>Équipe</w:t>
      </w:r>
      <w:r w:rsidRPr="00794950">
        <w:t xml:space="preserve"> NCT</w:t>
      </w:r>
      <w:r w:rsidR="0022043B" w:rsidRPr="00794950">
        <w:t xml:space="preserve"> bénéficie de l</w:t>
      </w:r>
      <w:r w:rsidR="00A54667" w:rsidRPr="00794950">
        <w:t>'</w:t>
      </w:r>
      <w:r w:rsidR="0022043B" w:rsidRPr="00794950">
        <w:t xml:space="preserve">appui du </w:t>
      </w:r>
      <w:r w:rsidR="001B3F57" w:rsidRPr="00794950">
        <w:t>TSB</w:t>
      </w:r>
      <w:r w:rsidR="0022043B" w:rsidRPr="00794950">
        <w:t xml:space="preserve">. Ainsi, </w:t>
      </w:r>
      <w:r w:rsidR="001B3F57" w:rsidRPr="00794950">
        <w:t>le Conseiller de la CE</w:t>
      </w:r>
      <w:r w:rsidR="005F3635" w:rsidRPr="00794950">
        <w:t xml:space="preserve"> </w:t>
      </w:r>
      <w:r w:rsidR="001B3F57" w:rsidRPr="00794950">
        <w:t>2 dispense des conseils techniques et le</w:t>
      </w:r>
      <w:r w:rsidRPr="00794950">
        <w:t xml:space="preserve"> TSB </w:t>
      </w:r>
      <w:r w:rsidR="001B3F57" w:rsidRPr="00794950">
        <w:t>gère</w:t>
      </w:r>
      <w:r w:rsidRPr="00794950">
        <w:t xml:space="preserve"> </w:t>
      </w:r>
      <w:r w:rsidR="004546A6" w:rsidRPr="00794950">
        <w:t xml:space="preserve">le déroulement des opérations, </w:t>
      </w:r>
      <w:r w:rsidR="001B3F57" w:rsidRPr="00794950">
        <w:t>de la demande à l'attribution</w:t>
      </w:r>
      <w:r w:rsidR="004546A6" w:rsidRPr="00794950">
        <w:t>,</w:t>
      </w:r>
      <w:r w:rsidR="001B3F57" w:rsidRPr="00794950">
        <w:t xml:space="preserve"> </w:t>
      </w:r>
      <w:r w:rsidR="004546A6" w:rsidRPr="00794950">
        <w:t>en respectant</w:t>
      </w:r>
      <w:r w:rsidR="001B3F57" w:rsidRPr="00794950">
        <w:t xml:space="preserve"> les délais fixés par les </w:t>
      </w:r>
      <w:r w:rsidR="00C2281D" w:rsidRPr="00794950">
        <w:t>R</w:t>
      </w:r>
      <w:r w:rsidR="001B3F57" w:rsidRPr="00794950">
        <w:t xml:space="preserve">ecommandations UIT-T </w:t>
      </w:r>
      <w:r w:rsidR="004546A6" w:rsidRPr="00794950">
        <w:t xml:space="preserve">pertinentes </w:t>
      </w:r>
      <w:r w:rsidR="001B3F57" w:rsidRPr="00794950">
        <w:t>en vigueur</w:t>
      </w:r>
      <w:r w:rsidRPr="00794950">
        <w:t xml:space="preserve">. </w:t>
      </w:r>
      <w:r w:rsidR="004546A6" w:rsidRPr="00794950">
        <w:t>L'</w:t>
      </w:r>
      <w:r w:rsidRPr="00794950">
        <w:t>Annex</w:t>
      </w:r>
      <w:r w:rsidR="004546A6" w:rsidRPr="00794950">
        <w:t>e</w:t>
      </w:r>
      <w:r w:rsidRPr="00794950">
        <w:t xml:space="preserve"> 5 </w:t>
      </w:r>
      <w:r w:rsidR="004546A6" w:rsidRPr="00794950">
        <w:t>montre</w:t>
      </w:r>
      <w:r w:rsidR="0022043B" w:rsidRPr="00794950">
        <w:t xml:space="preserve"> que de plus en plus </w:t>
      </w:r>
      <w:r w:rsidR="004546A6" w:rsidRPr="00794950">
        <w:t>d'entreprises demand</w:t>
      </w:r>
      <w:r w:rsidR="0022043B" w:rsidRPr="00794950">
        <w:t>e</w:t>
      </w:r>
      <w:r w:rsidR="004546A6" w:rsidRPr="00794950">
        <w:t xml:space="preserve">nt des </w:t>
      </w:r>
      <w:r w:rsidR="0022043B" w:rsidRPr="00794950">
        <w:t xml:space="preserve">ressources </w:t>
      </w:r>
      <w:r w:rsidR="004546A6" w:rsidRPr="00794950">
        <w:t>INR</w:t>
      </w:r>
      <w:r w:rsidRPr="00794950">
        <w:t>.</w:t>
      </w:r>
    </w:p>
    <w:p w14:paraId="721DCE85" w14:textId="5D4D511F" w:rsidR="009762E9" w:rsidRPr="00794950" w:rsidRDefault="009762E9" w:rsidP="00F702FE">
      <w:pPr>
        <w:tabs>
          <w:tab w:val="clear" w:pos="567"/>
          <w:tab w:val="clear" w:pos="1134"/>
          <w:tab w:val="clear" w:pos="1701"/>
          <w:tab w:val="clear" w:pos="2268"/>
          <w:tab w:val="clear" w:pos="2835"/>
        </w:tabs>
      </w:pPr>
      <w:r w:rsidRPr="00794950">
        <w:t>3.2.6</w:t>
      </w:r>
      <w:r w:rsidRPr="00794950">
        <w:tab/>
      </w:r>
      <w:r w:rsidR="00AF1D1C" w:rsidRPr="00794950">
        <w:t xml:space="preserve">Le </w:t>
      </w:r>
      <w:r w:rsidR="00B452D6" w:rsidRPr="00794950">
        <w:t>TSB</w:t>
      </w:r>
      <w:r w:rsidR="0022043B" w:rsidRPr="00794950">
        <w:t xml:space="preserve"> a été confronté</w:t>
      </w:r>
      <w:r w:rsidR="00F00D96" w:rsidRPr="00794950">
        <w:t xml:space="preserve"> </w:t>
      </w:r>
      <w:r w:rsidR="0022043B" w:rsidRPr="00794950">
        <w:t>à une forte augmentation des</w:t>
      </w:r>
      <w:r w:rsidR="00F00D96" w:rsidRPr="00794950">
        <w:t xml:space="preserve"> </w:t>
      </w:r>
      <w:r w:rsidR="00B452D6" w:rsidRPr="00794950">
        <w:t>ressources</w:t>
      </w:r>
      <w:r w:rsidR="00AF1D1C" w:rsidRPr="00794950">
        <w:t xml:space="preserve"> </w:t>
      </w:r>
      <w:r w:rsidR="0022043B" w:rsidRPr="00794950">
        <w:t xml:space="preserve">nécessaires </w:t>
      </w:r>
      <w:r w:rsidR="00760ED7" w:rsidRPr="00794950">
        <w:t>pour répondre</w:t>
      </w:r>
      <w:r w:rsidR="0022043B" w:rsidRPr="00794950">
        <w:t xml:space="preserve"> rapidement </w:t>
      </w:r>
      <w:r w:rsidR="00760ED7" w:rsidRPr="00794950">
        <w:t xml:space="preserve">aux demandes de </w:t>
      </w:r>
      <w:r w:rsidRPr="00794950">
        <w:t xml:space="preserve">notification </w:t>
      </w:r>
      <w:r w:rsidR="00760ED7" w:rsidRPr="00794950">
        <w:t xml:space="preserve">présentées par les États </w:t>
      </w:r>
      <w:r w:rsidR="0022043B" w:rsidRPr="00794950">
        <w:t>M</w:t>
      </w:r>
      <w:r w:rsidR="00760ED7" w:rsidRPr="00794950">
        <w:t>embres</w:t>
      </w:r>
      <w:r w:rsidRPr="00794950">
        <w:t xml:space="preserve">, </w:t>
      </w:r>
      <w:r w:rsidR="00A43EE2" w:rsidRPr="00794950">
        <w:t>publier le Bulletin</w:t>
      </w:r>
      <w:r w:rsidR="005F3635" w:rsidRPr="00794950">
        <w:t> </w:t>
      </w:r>
      <w:r w:rsidR="00A43EE2" w:rsidRPr="00794950">
        <w:t xml:space="preserve">d'exploitation </w:t>
      </w:r>
      <w:r w:rsidR="00B452D6" w:rsidRPr="00794950">
        <w:t>dans six langues toutes les deux semaines</w:t>
      </w:r>
      <w:r w:rsidRPr="00794950">
        <w:t xml:space="preserve">, </w:t>
      </w:r>
      <w:r w:rsidR="00B452D6" w:rsidRPr="00794950">
        <w:t xml:space="preserve">mettre en œuvre la Résolution 91 de l'AMNT sur </w:t>
      </w:r>
      <w:r w:rsidR="00A43EE2" w:rsidRPr="00794950">
        <w:t>les plans de numérotage nationaux</w:t>
      </w:r>
      <w:r w:rsidR="0022043B" w:rsidRPr="00794950">
        <w:t>(NNP)</w:t>
      </w:r>
      <w:r w:rsidR="00A43EE2" w:rsidRPr="00794950">
        <w:t xml:space="preserve"> et </w:t>
      </w:r>
      <w:r w:rsidR="000D4A86" w:rsidRPr="00794950">
        <w:t xml:space="preserve">gérer les nouvelles demandes des entreprises </w:t>
      </w:r>
      <w:r w:rsidR="00CC796F" w:rsidRPr="00794950">
        <w:t>par l'intermédiaire de</w:t>
      </w:r>
      <w:r w:rsidR="000D4A86" w:rsidRPr="00794950">
        <w:t xml:space="preserve"> l'</w:t>
      </w:r>
      <w:r w:rsidR="00DD1814" w:rsidRPr="00794950">
        <w:t>Équipe</w:t>
      </w:r>
      <w:r w:rsidR="000D4A86" w:rsidRPr="00794950">
        <w:t xml:space="preserve"> </w:t>
      </w:r>
      <w:r w:rsidRPr="00794950">
        <w:t>NCT.</w:t>
      </w:r>
    </w:p>
    <w:p w14:paraId="7C88B647" w14:textId="35E2A2FB" w:rsidR="009762E9" w:rsidRPr="00794950" w:rsidRDefault="009762E9" w:rsidP="00F702FE">
      <w:pPr>
        <w:tabs>
          <w:tab w:val="clear" w:pos="567"/>
          <w:tab w:val="clear" w:pos="1134"/>
          <w:tab w:val="clear" w:pos="1701"/>
          <w:tab w:val="clear" w:pos="2268"/>
          <w:tab w:val="clear" w:pos="2835"/>
        </w:tabs>
      </w:pPr>
      <w:r w:rsidRPr="00794950">
        <w:t>3.2.7</w:t>
      </w:r>
      <w:r w:rsidRPr="00794950">
        <w:tab/>
      </w:r>
      <w:r w:rsidR="00626593" w:rsidRPr="00794950">
        <w:t xml:space="preserve">Le TSB demande </w:t>
      </w:r>
      <w:r w:rsidR="0022043B" w:rsidRPr="00794950">
        <w:t>qu</w:t>
      </w:r>
      <w:r w:rsidR="00A54667" w:rsidRPr="00794950">
        <w:t>'</w:t>
      </w:r>
      <w:r w:rsidR="0022043B" w:rsidRPr="00794950">
        <w:t xml:space="preserve">il soit fait appel à </w:t>
      </w:r>
      <w:r w:rsidR="000D4A86" w:rsidRPr="00794950">
        <w:t xml:space="preserve">un fonctionnaire </w:t>
      </w:r>
      <w:r w:rsidR="0022043B" w:rsidRPr="00794950">
        <w:t xml:space="preserve">supplémentaire </w:t>
      </w:r>
      <w:r w:rsidR="00CE325A" w:rsidRPr="00794950">
        <w:t xml:space="preserve">de grade </w:t>
      </w:r>
      <w:r w:rsidRPr="00794950">
        <w:rPr>
          <w:b/>
          <w:bCs/>
        </w:rPr>
        <w:t>P2</w:t>
      </w:r>
      <w:r w:rsidRPr="00794950">
        <w:t xml:space="preserve"> </w:t>
      </w:r>
      <w:r w:rsidR="000D4A86" w:rsidRPr="00794950">
        <w:t>pour</w:t>
      </w:r>
      <w:r w:rsidR="0022043B" w:rsidRPr="00794950">
        <w:t xml:space="preserve"> répondre à l</w:t>
      </w:r>
      <w:r w:rsidR="00A54667" w:rsidRPr="00794950">
        <w:t>'</w:t>
      </w:r>
      <w:r w:rsidR="0022043B" w:rsidRPr="00794950">
        <w:t xml:space="preserve">augmentation du nombre </w:t>
      </w:r>
      <w:r w:rsidR="000D4A86" w:rsidRPr="00794950">
        <w:t>d'activités liées au numérotage</w:t>
      </w:r>
      <w:r w:rsidRPr="00794950">
        <w:t>.</w:t>
      </w:r>
    </w:p>
    <w:p w14:paraId="749993BF" w14:textId="4E631236" w:rsidR="00E75F0E" w:rsidRPr="00794950" w:rsidRDefault="009762E9" w:rsidP="00F702FE">
      <w:pPr>
        <w:pStyle w:val="Heading2"/>
        <w:tabs>
          <w:tab w:val="clear" w:pos="567"/>
          <w:tab w:val="clear" w:pos="1134"/>
          <w:tab w:val="clear" w:pos="1701"/>
          <w:tab w:val="clear" w:pos="2268"/>
          <w:tab w:val="clear" w:pos="2835"/>
        </w:tabs>
        <w:ind w:left="709" w:hanging="709"/>
      </w:pPr>
      <w:bookmarkStart w:id="33" w:name="_Toc54336500"/>
      <w:r w:rsidRPr="00794950">
        <w:lastRenderedPageBreak/>
        <w:t>3.3</w:t>
      </w:r>
      <w:r w:rsidRPr="00794950">
        <w:tab/>
      </w:r>
      <w:r w:rsidR="005F0A28" w:rsidRPr="00794950">
        <w:t>Les services financiers numériqu</w:t>
      </w:r>
      <w:r w:rsidR="005407AA" w:rsidRPr="00794950">
        <w:t>es peuvent</w:t>
      </w:r>
      <w:r w:rsidR="0022043B" w:rsidRPr="00794950">
        <w:t xml:space="preserve"> permettre à </w:t>
      </w:r>
      <w:r w:rsidR="005407AA" w:rsidRPr="00794950">
        <w:t>deux</w:t>
      </w:r>
      <w:r w:rsidR="005F0A28" w:rsidRPr="00794950">
        <w:t> milliards de personnes</w:t>
      </w:r>
      <w:r w:rsidR="0022043B" w:rsidRPr="00794950">
        <w:t xml:space="preserve"> ne possédant pas de compte bancaire d</w:t>
      </w:r>
      <w:r w:rsidR="00A54667" w:rsidRPr="00794950">
        <w:t>'</w:t>
      </w:r>
      <w:r w:rsidR="0022043B" w:rsidRPr="00794950">
        <w:t>accéder à la vie économique</w:t>
      </w:r>
      <w:bookmarkEnd w:id="33"/>
    </w:p>
    <w:p w14:paraId="2A12949F" w14:textId="122DCEEA" w:rsidR="009762E9" w:rsidRPr="00794950" w:rsidRDefault="009762E9" w:rsidP="00F665D3">
      <w:pPr>
        <w:keepLines/>
        <w:tabs>
          <w:tab w:val="clear" w:pos="567"/>
          <w:tab w:val="clear" w:pos="1134"/>
          <w:tab w:val="clear" w:pos="1701"/>
          <w:tab w:val="clear" w:pos="2268"/>
          <w:tab w:val="clear" w:pos="2835"/>
        </w:tabs>
      </w:pPr>
      <w:r w:rsidRPr="00794950">
        <w:t>3.3.1</w:t>
      </w:r>
      <w:r w:rsidRPr="00794950">
        <w:tab/>
      </w:r>
      <w:r w:rsidR="0022043B" w:rsidRPr="00794950">
        <w:t xml:space="preserve">Actuellement, près de </w:t>
      </w:r>
      <w:r w:rsidR="00E2490D" w:rsidRPr="00794950">
        <w:t>deux milliards de personnes dans le monde ne disposent pas d'un compte bancaire</w:t>
      </w:r>
      <w:r w:rsidR="00FF2E87" w:rsidRPr="00794950">
        <w:t>, mais l</w:t>
      </w:r>
      <w:r w:rsidR="00E2490D" w:rsidRPr="00794950">
        <w:t>es trois quarts d'entre elles possèdent un téléphone mobile</w:t>
      </w:r>
      <w:r w:rsidRPr="00794950">
        <w:t>.</w:t>
      </w:r>
      <w:r w:rsidR="0022043B" w:rsidRPr="00794950">
        <w:t xml:space="preserve"> Il s</w:t>
      </w:r>
      <w:r w:rsidR="00A54667" w:rsidRPr="00794950">
        <w:t>'</w:t>
      </w:r>
      <w:r w:rsidR="0022043B" w:rsidRPr="00794950">
        <w:t>agit là d</w:t>
      </w:r>
      <w:r w:rsidR="00A54667" w:rsidRPr="00794950">
        <w:t>'</w:t>
      </w:r>
      <w:r w:rsidR="0022043B" w:rsidRPr="00794950">
        <w:t>une occasion exceptionnelle de leur permettre d</w:t>
      </w:r>
      <w:r w:rsidR="00A54667" w:rsidRPr="00794950">
        <w:t>'</w:t>
      </w:r>
      <w:r w:rsidR="0022043B" w:rsidRPr="00794950">
        <w:t>accéder à la vie économique</w:t>
      </w:r>
      <w:r w:rsidR="00F00D96" w:rsidRPr="00794950">
        <w:t xml:space="preserve"> </w:t>
      </w:r>
      <w:r w:rsidR="0022043B" w:rsidRPr="00794950">
        <w:t>et d</w:t>
      </w:r>
      <w:r w:rsidR="00A54667" w:rsidRPr="00794950">
        <w:t>'</w:t>
      </w:r>
      <w:r w:rsidR="0022043B" w:rsidRPr="00794950">
        <w:t>améliorer leur quotidien,</w:t>
      </w:r>
      <w:r w:rsidR="00E2490D" w:rsidRPr="00794950">
        <w:t xml:space="preserve"> en utilisant le téléphone mobile comme compte bancaire</w:t>
      </w:r>
      <w:r w:rsidRPr="00794950">
        <w:t>.</w:t>
      </w:r>
    </w:p>
    <w:p w14:paraId="25DC6E88" w14:textId="57B96663" w:rsidR="009762E9" w:rsidRPr="00794950" w:rsidRDefault="009762E9" w:rsidP="00F702FE">
      <w:pPr>
        <w:tabs>
          <w:tab w:val="clear" w:pos="567"/>
          <w:tab w:val="clear" w:pos="1134"/>
          <w:tab w:val="clear" w:pos="1701"/>
          <w:tab w:val="clear" w:pos="2268"/>
          <w:tab w:val="clear" w:pos="2835"/>
        </w:tabs>
      </w:pPr>
      <w:r w:rsidRPr="00794950">
        <w:t>3.3.2</w:t>
      </w:r>
      <w:r w:rsidRPr="00794950">
        <w:tab/>
      </w:r>
      <w:r w:rsidR="0022043B" w:rsidRPr="00794950">
        <w:t>L</w:t>
      </w:r>
      <w:r w:rsidR="0032239D" w:rsidRPr="00794950">
        <w:t>es services financiers numériques</w:t>
      </w:r>
      <w:r w:rsidR="0022043B" w:rsidRPr="00794950">
        <w:t xml:space="preserve"> ont été </w:t>
      </w:r>
      <w:r w:rsidR="009E0099" w:rsidRPr="00794950">
        <w:t>utilisés pour la première fois</w:t>
      </w:r>
      <w:r w:rsidRPr="00794950">
        <w:t xml:space="preserve"> </w:t>
      </w:r>
      <w:r w:rsidR="0022043B" w:rsidRPr="00794950">
        <w:t>il y a environ quinze</w:t>
      </w:r>
      <w:r w:rsidR="0001436B" w:rsidRPr="00794950">
        <w:t> </w:t>
      </w:r>
      <w:r w:rsidR="0022043B" w:rsidRPr="00794950">
        <w:t xml:space="preserve">ans </w:t>
      </w:r>
      <w:r w:rsidR="009E0099" w:rsidRPr="00794950">
        <w:t>dans les</w:t>
      </w:r>
      <w:r w:rsidRPr="00794950">
        <w:t xml:space="preserve"> </w:t>
      </w:r>
      <w:r w:rsidR="009E0099" w:rsidRPr="00794950">
        <w:t>pays en développement</w:t>
      </w:r>
      <w:r w:rsidRPr="00794950">
        <w:t>,</w:t>
      </w:r>
      <w:r w:rsidR="0022043B" w:rsidRPr="00794950">
        <w:t xml:space="preserve"> dans un premier temps </w:t>
      </w:r>
      <w:r w:rsidR="009E0099" w:rsidRPr="00794950">
        <w:t>aux Philippines</w:t>
      </w:r>
      <w:r w:rsidR="0022043B" w:rsidRPr="00794950">
        <w:t>, puis</w:t>
      </w:r>
      <w:r w:rsidRPr="00794950">
        <w:t xml:space="preserve"> </w:t>
      </w:r>
      <w:r w:rsidR="005F3635" w:rsidRPr="00794950">
        <w:t>–</w:t>
      </w:r>
      <w:r w:rsidR="0022043B" w:rsidRPr="00794950">
        <w:t xml:space="preserve"> et c</w:t>
      </w:r>
      <w:r w:rsidR="00A54667" w:rsidRPr="00794950">
        <w:t>'</w:t>
      </w:r>
      <w:r w:rsidR="0022043B" w:rsidRPr="00794950">
        <w:t>est là l</w:t>
      </w:r>
      <w:r w:rsidR="00A54667" w:rsidRPr="00794950">
        <w:t>'</w:t>
      </w:r>
      <w:r w:rsidR="0022043B" w:rsidRPr="00794950">
        <w:t>exemple</w:t>
      </w:r>
      <w:r w:rsidR="00F00D96" w:rsidRPr="00794950">
        <w:t xml:space="preserve"> </w:t>
      </w:r>
      <w:r w:rsidR="009E0099" w:rsidRPr="00794950">
        <w:t>le plus connu</w:t>
      </w:r>
      <w:r w:rsidR="005F3635" w:rsidRPr="00794950">
        <w:t xml:space="preserve"> –</w:t>
      </w:r>
      <w:r w:rsidR="00F00D96" w:rsidRPr="00794950">
        <w:t xml:space="preserve"> </w:t>
      </w:r>
      <w:r w:rsidR="009E0099" w:rsidRPr="00794950">
        <w:t>au</w:t>
      </w:r>
      <w:r w:rsidRPr="00794950">
        <w:t xml:space="preserve"> Kenya</w:t>
      </w:r>
      <w:r w:rsidR="0022043B" w:rsidRPr="00794950">
        <w:t>,</w:t>
      </w:r>
      <w:r w:rsidRPr="00794950">
        <w:t xml:space="preserve"> </w:t>
      </w:r>
      <w:r w:rsidR="009E0099" w:rsidRPr="00794950">
        <w:t>avec</w:t>
      </w:r>
      <w:r w:rsidRPr="00794950">
        <w:t xml:space="preserve"> </w:t>
      </w:r>
      <w:r w:rsidR="0022043B" w:rsidRPr="00794950">
        <w:t xml:space="preserve">le service </w:t>
      </w:r>
      <w:r w:rsidRPr="00794950">
        <w:t xml:space="preserve">M-PESA. </w:t>
      </w:r>
      <w:r w:rsidR="000B168C" w:rsidRPr="00794950">
        <w:t>Cependant</w:t>
      </w:r>
      <w:r w:rsidRPr="00794950">
        <w:t xml:space="preserve">, </w:t>
      </w:r>
      <w:r w:rsidR="009535CF" w:rsidRPr="00794950">
        <w:t>l'utilisation des services financiers numériques dans les pays en développement du monde entier</w:t>
      </w:r>
      <w:r w:rsidR="0022043B" w:rsidRPr="00794950">
        <w:t xml:space="preserve"> ces douze dernières années</w:t>
      </w:r>
      <w:r w:rsidR="00F00D96" w:rsidRPr="00794950">
        <w:t xml:space="preserve"> </w:t>
      </w:r>
      <w:r w:rsidR="009535CF" w:rsidRPr="00794950">
        <w:t xml:space="preserve">n'a pas (encore) </w:t>
      </w:r>
      <w:r w:rsidR="0022043B" w:rsidRPr="00794950">
        <w:t>rencontré</w:t>
      </w:r>
      <w:r w:rsidR="00F00D96" w:rsidRPr="00794950">
        <w:t xml:space="preserve"> </w:t>
      </w:r>
      <w:r w:rsidR="0022043B" w:rsidRPr="00794950">
        <w:t>le succès</w:t>
      </w:r>
      <w:r w:rsidR="00F00D96" w:rsidRPr="00794950">
        <w:t xml:space="preserve"> </w:t>
      </w:r>
      <w:r w:rsidR="00A63875" w:rsidRPr="00794950">
        <w:t>escompté</w:t>
      </w:r>
      <w:r w:rsidR="00F00D96" w:rsidRPr="00794950">
        <w:t>.</w:t>
      </w:r>
      <w:r w:rsidRPr="00794950">
        <w:t xml:space="preserve"> </w:t>
      </w:r>
      <w:r w:rsidR="00A63875" w:rsidRPr="00794950">
        <w:t>Certains pays en développement</w:t>
      </w:r>
      <w:r w:rsidR="0022043B" w:rsidRPr="00794950">
        <w:t xml:space="preserve"> réussissent</w:t>
      </w:r>
      <w:r w:rsidR="00F00D96" w:rsidRPr="00794950">
        <w:t xml:space="preserve"> </w:t>
      </w:r>
      <w:r w:rsidR="00A63875" w:rsidRPr="00794950">
        <w:t>mieux que d'autres à</w:t>
      </w:r>
      <w:r w:rsidR="0022043B" w:rsidRPr="00794950">
        <w:t xml:space="preserve"> mettre en place </w:t>
      </w:r>
      <w:r w:rsidR="00A63875" w:rsidRPr="00794950">
        <w:t>des infrastructures et une</w:t>
      </w:r>
      <w:r w:rsidRPr="00794950">
        <w:t xml:space="preserve"> culture</w:t>
      </w:r>
      <w:r w:rsidR="00A63875" w:rsidRPr="00794950">
        <w:t xml:space="preserve"> des services </w:t>
      </w:r>
      <w:r w:rsidR="00D26A9A" w:rsidRPr="00794950">
        <w:t>financiers numériques</w:t>
      </w:r>
      <w:r w:rsidRPr="00794950">
        <w:t>.</w:t>
      </w:r>
      <w:r w:rsidR="0022043B" w:rsidRPr="00794950">
        <w:t xml:space="preserve"> Comment l</w:t>
      </w:r>
      <w:r w:rsidR="00A54667" w:rsidRPr="00794950">
        <w:t>'</w:t>
      </w:r>
      <w:r w:rsidR="0022043B" w:rsidRPr="00794950">
        <w:t>expliquer</w:t>
      </w:r>
      <w:r w:rsidRPr="00794950">
        <w:t>?</w:t>
      </w:r>
      <w:r w:rsidR="0022043B" w:rsidRPr="00794950">
        <w:t xml:space="preserve"> Quelle est la solution</w:t>
      </w:r>
      <w:r w:rsidR="00ED39A6" w:rsidRPr="00794950">
        <w:t xml:space="preserve"> pour que les </w:t>
      </w:r>
      <w:r w:rsidR="002061BE" w:rsidRPr="00794950">
        <w:t xml:space="preserve">services </w:t>
      </w:r>
      <w:r w:rsidR="00B44E5C" w:rsidRPr="00794950">
        <w:t>financiers numériques</w:t>
      </w:r>
      <w:r w:rsidR="002061BE" w:rsidRPr="00794950">
        <w:t xml:space="preserve"> </w:t>
      </w:r>
      <w:r w:rsidR="00ED39A6" w:rsidRPr="00794950">
        <w:t xml:space="preserve">fonctionnent </w:t>
      </w:r>
      <w:r w:rsidR="002061BE" w:rsidRPr="00794950">
        <w:t>dans les pays en développement</w:t>
      </w:r>
      <w:r w:rsidRPr="00794950">
        <w:t>?</w:t>
      </w:r>
    </w:p>
    <w:p w14:paraId="3F797D50" w14:textId="2806394C" w:rsidR="00E75F0E" w:rsidRPr="00794950" w:rsidRDefault="009762E9" w:rsidP="00F702FE">
      <w:pPr>
        <w:tabs>
          <w:tab w:val="clear" w:pos="567"/>
          <w:tab w:val="clear" w:pos="1134"/>
          <w:tab w:val="clear" w:pos="1701"/>
          <w:tab w:val="clear" w:pos="2268"/>
          <w:tab w:val="clear" w:pos="2835"/>
        </w:tabs>
      </w:pPr>
      <w:r w:rsidRPr="00794950">
        <w:t>3.3.3</w:t>
      </w:r>
      <w:r w:rsidRPr="00794950">
        <w:tab/>
      </w:r>
      <w:r w:rsidR="00101AFF" w:rsidRPr="00794950">
        <w:t>L'UIT</w:t>
      </w:r>
      <w:r w:rsidRPr="00794950">
        <w:t xml:space="preserve">, </w:t>
      </w:r>
      <w:r w:rsidR="00101AFF" w:rsidRPr="00794950">
        <w:t>avec le soutien de la Fondation</w:t>
      </w:r>
      <w:r w:rsidRPr="00794950">
        <w:t xml:space="preserve"> Bill </w:t>
      </w:r>
      <w:r w:rsidR="00101AFF" w:rsidRPr="00794950">
        <w:t>&amp;</w:t>
      </w:r>
      <w:r w:rsidRPr="00794950">
        <w:t xml:space="preserve"> Melinda Gates,</w:t>
      </w:r>
      <w:r w:rsidR="00ED39A6" w:rsidRPr="00794950">
        <w:t xml:space="preserve"> s</w:t>
      </w:r>
      <w:r w:rsidR="00A54667" w:rsidRPr="00794950">
        <w:t>'</w:t>
      </w:r>
      <w:r w:rsidR="00ED39A6" w:rsidRPr="00794950">
        <w:t xml:space="preserve">efforce </w:t>
      </w:r>
      <w:r w:rsidR="00101AFF" w:rsidRPr="00794950">
        <w:t xml:space="preserve">de répondre à </w:t>
      </w:r>
      <w:r w:rsidR="00ED39A6" w:rsidRPr="00794950">
        <w:t>cette question</w:t>
      </w:r>
      <w:r w:rsidR="00F00D96" w:rsidRPr="00794950">
        <w:t xml:space="preserve">. </w:t>
      </w:r>
      <w:r w:rsidR="00F311F3" w:rsidRPr="00794950">
        <w:t>Aux termes de la</w:t>
      </w:r>
      <w:r w:rsidRPr="00794950">
        <w:t xml:space="preserve"> Résolution 89 </w:t>
      </w:r>
      <w:r w:rsidR="00F311F3" w:rsidRPr="00794950">
        <w:t>(Hammamet, 2016) de l'AMNT,</w:t>
      </w:r>
      <w:r w:rsidRPr="00794950">
        <w:t xml:space="preserve"> le Directeur du Bureau de la normalisation des télécommunications, en collaboration avec les Directeurs des autres Bureaux</w:t>
      </w:r>
      <w:r w:rsidR="00F311F3" w:rsidRPr="00794950">
        <w:t>, est chargé</w:t>
      </w:r>
      <w:r w:rsidRPr="00794950">
        <w:t>:</w:t>
      </w:r>
    </w:p>
    <w:p w14:paraId="71AFD603" w14:textId="15BDC2CC" w:rsidR="009762E9" w:rsidRPr="00794950" w:rsidRDefault="00B401B9" w:rsidP="00F702FE">
      <w:pPr>
        <w:tabs>
          <w:tab w:val="clear" w:pos="567"/>
          <w:tab w:val="clear" w:pos="1134"/>
          <w:tab w:val="clear" w:pos="1701"/>
          <w:tab w:val="clear" w:pos="2268"/>
          <w:tab w:val="clear" w:pos="2835"/>
        </w:tabs>
        <w:ind w:left="709"/>
        <w:rPr>
          <w:iCs/>
        </w:rPr>
      </w:pPr>
      <w:r w:rsidRPr="00794950">
        <w:rPr>
          <w:iCs/>
        </w:rPr>
        <w:t>"</w:t>
      </w:r>
      <w:r w:rsidR="00EF5096" w:rsidRPr="00794950">
        <w:t>2</w:t>
      </w:r>
      <w:r w:rsidR="008311B3" w:rsidRPr="00794950">
        <w:t>)</w:t>
      </w:r>
      <w:r w:rsidR="008311B3" w:rsidRPr="00794950">
        <w:tab/>
      </w:r>
      <w:r w:rsidR="009762E9" w:rsidRPr="00794950">
        <w:t>d'appuyer l'élaboration de rapports et de bonnes pratiques sur l'inclusion financière numérique</w:t>
      </w:r>
      <w:r w:rsidR="00292D1C" w:rsidRPr="00794950">
        <w:t xml:space="preserve"> […]</w:t>
      </w:r>
      <w:r w:rsidR="009762E9" w:rsidRPr="00794950">
        <w:t>;</w:t>
      </w:r>
    </w:p>
    <w:p w14:paraId="01B22994" w14:textId="2BE6D0E5" w:rsidR="009762E9" w:rsidRPr="00794950" w:rsidRDefault="00EF5096" w:rsidP="00F702FE">
      <w:pPr>
        <w:tabs>
          <w:tab w:val="clear" w:pos="567"/>
          <w:tab w:val="clear" w:pos="1134"/>
          <w:tab w:val="clear" w:pos="1701"/>
          <w:tab w:val="clear" w:pos="2268"/>
          <w:tab w:val="clear" w:pos="2835"/>
        </w:tabs>
        <w:ind w:left="709"/>
      </w:pPr>
      <w:r w:rsidRPr="00794950">
        <w:t>3</w:t>
      </w:r>
      <w:r w:rsidR="008311B3" w:rsidRPr="00794950">
        <w:t>)</w:t>
      </w:r>
      <w:r w:rsidR="008311B3" w:rsidRPr="00794950">
        <w:tab/>
      </w:r>
      <w:r w:rsidR="009762E9" w:rsidRPr="00794950">
        <w:t>de mettre en place une plate-forme ou, lorsque cela est possible, d'accéder à celles qui existent déjà, pour l'apprentissage par les pairs, le dialogue et l'échange de données d'expérience dans le domaine des services financiers numériques entre les pays et les régions, les régulateurs des secteurs des télécommunications et des services financiers, les experts du secteur privé et les organisations internationales ou régionales;</w:t>
      </w:r>
    </w:p>
    <w:p w14:paraId="70CAE6B8" w14:textId="50E8B14A" w:rsidR="009762E9" w:rsidRPr="00794950" w:rsidRDefault="00EF5096" w:rsidP="00F702FE">
      <w:pPr>
        <w:tabs>
          <w:tab w:val="clear" w:pos="567"/>
          <w:tab w:val="clear" w:pos="1134"/>
          <w:tab w:val="clear" w:pos="1701"/>
          <w:tab w:val="clear" w:pos="2268"/>
          <w:tab w:val="clear" w:pos="2835"/>
        </w:tabs>
        <w:ind w:left="709"/>
        <w:rPr>
          <w:iCs/>
        </w:rPr>
      </w:pPr>
      <w:r w:rsidRPr="00794950">
        <w:t>4</w:t>
      </w:r>
      <w:r w:rsidR="008311B3" w:rsidRPr="00794950">
        <w:t>)</w:t>
      </w:r>
      <w:r w:rsidR="008311B3" w:rsidRPr="00794950">
        <w:tab/>
      </w:r>
      <w:r w:rsidR="009762E9" w:rsidRPr="00794950">
        <w:t xml:space="preserve">d'organiser des ateliers et des séminaires à l'intention des membres de l'UIT, en collaboration avec d'autres organismes de normalisation et institutions responsables au premier chef de l'élaboration et de la mise en </w:t>
      </w:r>
      <w:r w:rsidR="00154B4D" w:rsidRPr="00794950">
        <w:t>œuvre</w:t>
      </w:r>
      <w:r w:rsidR="009762E9" w:rsidRPr="00794950">
        <w:t xml:space="preserve"> de normes sur les services financiers et du renforcement des capacités en la matière, afin de les sensibiliser à cette question et d'identifier les besoins particuliers des régulateurs ainsi que les problèmes particuliers auxquels ceux-ci sont confrontés pour promouvoir </w:t>
      </w:r>
      <w:r w:rsidR="00B401B9" w:rsidRPr="00794950">
        <w:t>l'inclusion financière."</w:t>
      </w:r>
    </w:p>
    <w:p w14:paraId="6F98CAB2" w14:textId="6172361F" w:rsidR="009762E9" w:rsidRPr="00794950" w:rsidRDefault="00E2363A" w:rsidP="00F702FE">
      <w:pPr>
        <w:keepNext/>
        <w:keepLines/>
        <w:tabs>
          <w:tab w:val="clear" w:pos="567"/>
          <w:tab w:val="clear" w:pos="1134"/>
          <w:tab w:val="clear" w:pos="1701"/>
          <w:tab w:val="clear" w:pos="2268"/>
          <w:tab w:val="clear" w:pos="2835"/>
        </w:tabs>
      </w:pPr>
      <w:r w:rsidRPr="00794950">
        <w:t>3.3.4</w:t>
      </w:r>
      <w:r w:rsidRPr="00794950">
        <w:tab/>
      </w:r>
      <w:r w:rsidR="00ED39A6" w:rsidRPr="00794950">
        <w:t xml:space="preserve">Conformément à </w:t>
      </w:r>
      <w:r w:rsidRPr="00794950">
        <w:t>l</w:t>
      </w:r>
      <w:r w:rsidR="009762E9" w:rsidRPr="00794950">
        <w:t xml:space="preserve">a Résolution 204 de la </w:t>
      </w:r>
      <w:r w:rsidRPr="00794950">
        <w:t xml:space="preserve">Conférence de plénipotentiaires, </w:t>
      </w:r>
      <w:r w:rsidR="009762E9" w:rsidRPr="00794950">
        <w:t>le</w:t>
      </w:r>
      <w:r w:rsidR="00ED39A6" w:rsidRPr="00794950">
        <w:t>s</w:t>
      </w:r>
      <w:r w:rsidR="009762E9" w:rsidRPr="00794950">
        <w:t xml:space="preserve"> Directeur</w:t>
      </w:r>
      <w:r w:rsidR="00ED39A6" w:rsidRPr="00794950">
        <w:t>s</w:t>
      </w:r>
      <w:r w:rsidR="001D7D65" w:rsidRPr="00794950">
        <w:t xml:space="preserve"> du </w:t>
      </w:r>
      <w:r w:rsidR="00154B4D" w:rsidRPr="00794950">
        <w:t>TSB et</w:t>
      </w:r>
      <w:r w:rsidR="00F00D96" w:rsidRPr="00794950">
        <w:t xml:space="preserve"> </w:t>
      </w:r>
      <w:r w:rsidR="009762E9" w:rsidRPr="00794950">
        <w:t xml:space="preserve">du </w:t>
      </w:r>
      <w:r w:rsidR="00154B4D" w:rsidRPr="00794950">
        <w:t>BDT</w:t>
      </w:r>
      <w:r w:rsidRPr="00794950">
        <w:t xml:space="preserve"> sont chargés</w:t>
      </w:r>
      <w:r w:rsidR="009762E9" w:rsidRPr="00794950">
        <w:t>:</w:t>
      </w:r>
    </w:p>
    <w:p w14:paraId="7F6B423C" w14:textId="09E64465" w:rsidR="009762E9" w:rsidRPr="00794950" w:rsidRDefault="00B401B9" w:rsidP="00F702FE">
      <w:pPr>
        <w:keepNext/>
        <w:keepLines/>
        <w:tabs>
          <w:tab w:val="clear" w:pos="567"/>
          <w:tab w:val="clear" w:pos="1134"/>
          <w:tab w:val="clear" w:pos="1701"/>
          <w:tab w:val="clear" w:pos="2268"/>
          <w:tab w:val="clear" w:pos="2835"/>
        </w:tabs>
        <w:ind w:left="709"/>
      </w:pPr>
      <w:r w:rsidRPr="00794950">
        <w:rPr>
          <w:iCs/>
        </w:rPr>
        <w:t>"</w:t>
      </w:r>
      <w:r w:rsidR="00EF5096" w:rsidRPr="00794950">
        <w:t>2</w:t>
      </w:r>
      <w:r w:rsidR="008311B3" w:rsidRPr="00794950">
        <w:t>)</w:t>
      </w:r>
      <w:r w:rsidR="00626593" w:rsidRPr="00794950">
        <w:tab/>
      </w:r>
      <w:r w:rsidR="009762E9" w:rsidRPr="00794950">
        <w:t>d'appuyer l'élaboration de rapports, d'études et de bonnes pratiques sur l'inclusion financière numérique</w:t>
      </w:r>
      <w:r w:rsidR="00F12191" w:rsidRPr="00794950">
        <w:t xml:space="preserve"> […]</w:t>
      </w:r>
      <w:r w:rsidR="009762E9" w:rsidRPr="00794950">
        <w:t>;</w:t>
      </w:r>
    </w:p>
    <w:p w14:paraId="03CF61B8" w14:textId="61DA885E" w:rsidR="009762E9" w:rsidRPr="00794950" w:rsidRDefault="00EF5096" w:rsidP="00F702FE">
      <w:pPr>
        <w:tabs>
          <w:tab w:val="clear" w:pos="567"/>
          <w:tab w:val="clear" w:pos="1134"/>
          <w:tab w:val="clear" w:pos="1701"/>
          <w:tab w:val="clear" w:pos="2268"/>
          <w:tab w:val="clear" w:pos="2835"/>
        </w:tabs>
        <w:ind w:left="709"/>
      </w:pPr>
      <w:r w:rsidRPr="00794950">
        <w:t>3</w:t>
      </w:r>
      <w:r w:rsidR="008311B3" w:rsidRPr="00794950">
        <w:t>)</w:t>
      </w:r>
      <w:r w:rsidR="009762E9" w:rsidRPr="00794950">
        <w:tab/>
        <w:t>d'appuyer la mise en place de structures pertinentes ou, lorsque cela est possible, d'accéder à celles qui existent déjà, pour l'apprentissage par les pairs, le dialogue et l'échange de données d'expérience dans le domaine des services financiers numériques entre les pays et les régions, les régulateurs des secteurs des télécommunications et des services financiers, les experts du secteur privé et les organisations internationales ou régionales;</w:t>
      </w:r>
    </w:p>
    <w:p w14:paraId="0FA7D81B" w14:textId="17AE6866" w:rsidR="009762E9" w:rsidRPr="00794950" w:rsidRDefault="00EF5096" w:rsidP="007943DC">
      <w:pPr>
        <w:keepLines/>
        <w:tabs>
          <w:tab w:val="clear" w:pos="567"/>
          <w:tab w:val="clear" w:pos="1134"/>
          <w:tab w:val="clear" w:pos="1701"/>
          <w:tab w:val="clear" w:pos="2268"/>
          <w:tab w:val="clear" w:pos="2835"/>
        </w:tabs>
        <w:ind w:left="709"/>
      </w:pPr>
      <w:r w:rsidRPr="00794950">
        <w:lastRenderedPageBreak/>
        <w:t>4</w:t>
      </w:r>
      <w:r w:rsidR="008311B3" w:rsidRPr="00794950">
        <w:t>)</w:t>
      </w:r>
      <w:r w:rsidR="00626593" w:rsidRPr="00794950">
        <w:tab/>
      </w:r>
      <w:r w:rsidR="009762E9" w:rsidRPr="00794950">
        <w:t>de continuer d'organiser des ateliers et des séminaires à l'intention des membres de l'UIT, en collaboration avec les autres organismes de normalisation et institutions concernés, afin de les sensibiliser à cette question et de déterminer les besoins particuliers des régulateurs ainsi que les problèmes spécifiques que ceux-ci rencontrent lorsqu'il s'agit de promouvoir l'inclusion financière</w:t>
      </w:r>
      <w:r w:rsidR="00042F7A" w:rsidRPr="00794950">
        <w:t>.</w:t>
      </w:r>
      <w:r w:rsidR="00B401B9" w:rsidRPr="00794950">
        <w:t>"</w:t>
      </w:r>
    </w:p>
    <w:p w14:paraId="7B49DC2B" w14:textId="63CEC56D" w:rsidR="003F45BE" w:rsidRPr="00794950" w:rsidRDefault="003F45BE" w:rsidP="00F702FE">
      <w:pPr>
        <w:tabs>
          <w:tab w:val="clear" w:pos="567"/>
          <w:tab w:val="clear" w:pos="1134"/>
          <w:tab w:val="clear" w:pos="1701"/>
          <w:tab w:val="clear" w:pos="2268"/>
          <w:tab w:val="clear" w:pos="2835"/>
        </w:tabs>
      </w:pPr>
      <w:r w:rsidRPr="00794950">
        <w:t>3.3.5</w:t>
      </w:r>
      <w:r w:rsidRPr="00794950">
        <w:tab/>
      </w:r>
      <w:r w:rsidR="00463167" w:rsidRPr="00794950">
        <w:t>La Fondation</w:t>
      </w:r>
      <w:r w:rsidRPr="00794950">
        <w:t xml:space="preserve"> Bill </w:t>
      </w:r>
      <w:r w:rsidR="00463167" w:rsidRPr="00794950">
        <w:t>&amp;</w:t>
      </w:r>
      <w:r w:rsidRPr="00794950">
        <w:t xml:space="preserve"> Melinda Gates </w:t>
      </w:r>
      <w:r w:rsidR="000248DD" w:rsidRPr="00794950">
        <w:t>finance depuis trois ans</w:t>
      </w:r>
      <w:r w:rsidR="007961DF" w:rsidRPr="00794950">
        <w:t xml:space="preserve"> les activités actuelles d'un fonctionnaire </w:t>
      </w:r>
      <w:r w:rsidR="00CE325A" w:rsidRPr="00794950">
        <w:t xml:space="preserve">de grade </w:t>
      </w:r>
      <w:r w:rsidR="007961DF" w:rsidRPr="00794950">
        <w:t>P2</w:t>
      </w:r>
      <w:r w:rsidRPr="00794950">
        <w:t xml:space="preserve"> </w:t>
      </w:r>
      <w:r w:rsidR="00006DC5" w:rsidRPr="00794950">
        <w:t>et d'un</w:t>
      </w:r>
      <w:r w:rsidR="00ED39A6" w:rsidRPr="00794950">
        <w:t xml:space="preserve"> fonctionnaire </w:t>
      </w:r>
      <w:r w:rsidR="00CE325A" w:rsidRPr="00794950">
        <w:t xml:space="preserve">de grade </w:t>
      </w:r>
      <w:r w:rsidR="00006DC5" w:rsidRPr="00794950">
        <w:t>P4</w:t>
      </w:r>
      <w:r w:rsidRPr="00794950">
        <w:t xml:space="preserve">. </w:t>
      </w:r>
      <w:r w:rsidR="00463167" w:rsidRPr="00794950">
        <w:t>Ce financement prendra fin en</w:t>
      </w:r>
      <w:r w:rsidRPr="00794950">
        <w:t xml:space="preserve"> </w:t>
      </w:r>
      <w:r w:rsidR="008B2B93" w:rsidRPr="00794950">
        <w:t>juin</w:t>
      </w:r>
      <w:r w:rsidR="0001436B" w:rsidRPr="00794950">
        <w:t> </w:t>
      </w:r>
      <w:r w:rsidRPr="00794950">
        <w:t>2020.</w:t>
      </w:r>
    </w:p>
    <w:p w14:paraId="5B904AF1" w14:textId="7F5A2752" w:rsidR="003F45BE" w:rsidRPr="00794950" w:rsidRDefault="003F45BE" w:rsidP="00F702FE">
      <w:pPr>
        <w:tabs>
          <w:tab w:val="clear" w:pos="567"/>
          <w:tab w:val="clear" w:pos="1134"/>
          <w:tab w:val="clear" w:pos="1701"/>
          <w:tab w:val="clear" w:pos="2268"/>
          <w:tab w:val="clear" w:pos="2835"/>
        </w:tabs>
      </w:pPr>
      <w:r w:rsidRPr="00794950">
        <w:t>3.3.6</w:t>
      </w:r>
      <w:r w:rsidRPr="00794950">
        <w:tab/>
      </w:r>
      <w:r w:rsidR="00626593" w:rsidRPr="00794950">
        <w:t xml:space="preserve">Le TSB demande </w:t>
      </w:r>
      <w:r w:rsidR="00ED39A6" w:rsidRPr="00794950">
        <w:t>qu</w:t>
      </w:r>
      <w:r w:rsidR="00A54667" w:rsidRPr="00794950">
        <w:t>'</w:t>
      </w:r>
      <w:r w:rsidR="00ED39A6" w:rsidRPr="00794950">
        <w:t xml:space="preserve">il soit fait appel à </w:t>
      </w:r>
      <w:r w:rsidR="008B2B93" w:rsidRPr="00794950">
        <w:t>un</w:t>
      </w:r>
      <w:r w:rsidR="00463167" w:rsidRPr="00794950">
        <w:t xml:space="preserve"> </w:t>
      </w:r>
      <w:r w:rsidR="00463167" w:rsidRPr="00794950">
        <w:rPr>
          <w:b/>
        </w:rPr>
        <w:t xml:space="preserve">fonctionnaire </w:t>
      </w:r>
      <w:r w:rsidR="00ED39A6" w:rsidRPr="00794950">
        <w:rPr>
          <w:bCs/>
        </w:rPr>
        <w:t xml:space="preserve">supplémentaire </w:t>
      </w:r>
      <w:r w:rsidR="00CE325A" w:rsidRPr="00794950">
        <w:rPr>
          <w:b/>
        </w:rPr>
        <w:t xml:space="preserve">de grade </w:t>
      </w:r>
      <w:r w:rsidRPr="00794950">
        <w:rPr>
          <w:b/>
          <w:bCs/>
        </w:rPr>
        <w:t xml:space="preserve">P4 </w:t>
      </w:r>
      <w:r w:rsidR="00463167" w:rsidRPr="00794950">
        <w:t xml:space="preserve">et </w:t>
      </w:r>
      <w:r w:rsidR="00ED39A6" w:rsidRPr="00794950">
        <w:t xml:space="preserve">à </w:t>
      </w:r>
      <w:r w:rsidR="00463167" w:rsidRPr="00794950">
        <w:t xml:space="preserve">un </w:t>
      </w:r>
      <w:r w:rsidR="00463167" w:rsidRPr="00794950">
        <w:rPr>
          <w:b/>
        </w:rPr>
        <w:t xml:space="preserve">fonctionnaire </w:t>
      </w:r>
      <w:r w:rsidR="00CE325A" w:rsidRPr="00794950">
        <w:rPr>
          <w:b/>
        </w:rPr>
        <w:t xml:space="preserve">de grade </w:t>
      </w:r>
      <w:r w:rsidRPr="00794950">
        <w:rPr>
          <w:b/>
          <w:bCs/>
        </w:rPr>
        <w:t>G6</w:t>
      </w:r>
      <w:r w:rsidR="007961DF" w:rsidRPr="00794950">
        <w:rPr>
          <w:bCs/>
        </w:rPr>
        <w:t>,</w:t>
      </w:r>
      <w:r w:rsidRPr="00794950">
        <w:rPr>
          <w:b/>
          <w:bCs/>
        </w:rPr>
        <w:t xml:space="preserve"> </w:t>
      </w:r>
      <w:r w:rsidR="007961DF" w:rsidRPr="00794950">
        <w:t xml:space="preserve">afin de donner suite aux </w:t>
      </w:r>
      <w:r w:rsidRPr="00794950">
        <w:t xml:space="preserve">instructions </w:t>
      </w:r>
      <w:r w:rsidR="00990D74" w:rsidRPr="00794950">
        <w:t>énoncées</w:t>
      </w:r>
      <w:r w:rsidR="007961DF" w:rsidRPr="00794950">
        <w:t xml:space="preserve"> dans la Résolution</w:t>
      </w:r>
      <w:r w:rsidRPr="00794950">
        <w:t xml:space="preserve"> 204 </w:t>
      </w:r>
      <w:r w:rsidR="007961DF" w:rsidRPr="00794950">
        <w:t>de la Conférence de plénipotentiaires et la</w:t>
      </w:r>
      <w:r w:rsidRPr="00794950">
        <w:t xml:space="preserve"> </w:t>
      </w:r>
      <w:r w:rsidR="007961DF" w:rsidRPr="00794950">
        <w:t>Résolution</w:t>
      </w:r>
      <w:r w:rsidRPr="00794950">
        <w:t xml:space="preserve"> 89 </w:t>
      </w:r>
      <w:r w:rsidR="007961DF" w:rsidRPr="00794950">
        <w:t>de l'AMNT</w:t>
      </w:r>
      <w:r w:rsidR="00ED39A6" w:rsidRPr="00794950">
        <w:t xml:space="preserve">, pour </w:t>
      </w:r>
      <w:r w:rsidR="00990D74" w:rsidRPr="00794950">
        <w:t>appuyer l</w:t>
      </w:r>
      <w:r w:rsidR="007961DF" w:rsidRPr="00794950">
        <w:t>es activités en faveur de l'inclusion financière</w:t>
      </w:r>
      <w:r w:rsidRPr="00794950">
        <w:t>.</w:t>
      </w:r>
    </w:p>
    <w:p w14:paraId="6DBF316C" w14:textId="3DD68672" w:rsidR="00E75F0E" w:rsidRPr="00794950" w:rsidRDefault="003F45BE" w:rsidP="007943DC">
      <w:pPr>
        <w:pStyle w:val="Heading2"/>
      </w:pPr>
      <w:bookmarkStart w:id="34" w:name="_Toc54336501"/>
      <w:r w:rsidRPr="00794950">
        <w:t>3.4</w:t>
      </w:r>
      <w:r w:rsidRPr="00794950">
        <w:tab/>
      </w:r>
      <w:r w:rsidR="00AB4231" w:rsidRPr="007943DC">
        <w:t>Spécialiste</w:t>
      </w:r>
      <w:r w:rsidR="00F00D96" w:rsidRPr="00794950">
        <w:t xml:space="preserve"> </w:t>
      </w:r>
      <w:r w:rsidR="00834BBE" w:rsidRPr="00794950">
        <w:t>de l'apprentissage automatique</w:t>
      </w:r>
      <w:r w:rsidR="00ED39A6" w:rsidRPr="00794950">
        <w:t xml:space="preserve"> appliqué aux </w:t>
      </w:r>
      <w:r w:rsidR="00834BBE" w:rsidRPr="00794950">
        <w:t xml:space="preserve">infrastructures et </w:t>
      </w:r>
      <w:r w:rsidR="00ED39A6" w:rsidRPr="00794950">
        <w:t>aux</w:t>
      </w:r>
      <w:r w:rsidR="00F00D96" w:rsidRPr="00794950">
        <w:t xml:space="preserve"> </w:t>
      </w:r>
      <w:r w:rsidR="00834BBE" w:rsidRPr="00794950">
        <w:t>services</w:t>
      </w:r>
      <w:r w:rsidR="00F00D96" w:rsidRPr="00794950">
        <w:t xml:space="preserve"> </w:t>
      </w:r>
      <w:r w:rsidR="00834BBE" w:rsidRPr="00794950">
        <w:t>TIC</w:t>
      </w:r>
      <w:bookmarkEnd w:id="34"/>
    </w:p>
    <w:p w14:paraId="0FA745CD" w14:textId="4CA890FC" w:rsidR="009762E9" w:rsidRPr="00794950" w:rsidRDefault="003F45BE" w:rsidP="00F702FE">
      <w:pPr>
        <w:tabs>
          <w:tab w:val="clear" w:pos="567"/>
          <w:tab w:val="clear" w:pos="1134"/>
          <w:tab w:val="clear" w:pos="1701"/>
          <w:tab w:val="clear" w:pos="2268"/>
          <w:tab w:val="clear" w:pos="2835"/>
        </w:tabs>
      </w:pPr>
      <w:r w:rsidRPr="00794950">
        <w:rPr>
          <w:bCs/>
        </w:rPr>
        <w:t>3.4.1</w:t>
      </w:r>
      <w:r w:rsidRPr="00794950">
        <w:rPr>
          <w:bCs/>
        </w:rPr>
        <w:tab/>
      </w:r>
      <w:r w:rsidR="00D060DE" w:rsidRPr="00794950">
        <w:rPr>
          <w:bCs/>
        </w:rPr>
        <w:t>L'intelligence artificielle (</w:t>
      </w:r>
      <w:r w:rsidR="00F260F4" w:rsidRPr="00794950">
        <w:rPr>
          <w:bCs/>
        </w:rPr>
        <w:t>AI</w:t>
      </w:r>
      <w:r w:rsidRPr="00794950">
        <w:rPr>
          <w:bCs/>
        </w:rPr>
        <w:t>) sera la principale technologie de demain et aura une influence sur tous les aspects de not</w:t>
      </w:r>
      <w:r w:rsidR="00D060DE" w:rsidRPr="00794950">
        <w:rPr>
          <w:bCs/>
        </w:rPr>
        <w:t>re société. En particulier,</w:t>
      </w:r>
      <w:r w:rsidR="00F260F4" w:rsidRPr="00794950">
        <w:rPr>
          <w:bCs/>
        </w:rPr>
        <w:t xml:space="preserve"> l'AI</w:t>
      </w:r>
      <w:r w:rsidRPr="00794950">
        <w:rPr>
          <w:bCs/>
        </w:rPr>
        <w:t xml:space="preserve"> et l'apprentissage automatique </w:t>
      </w:r>
      <w:r w:rsidR="00ED39A6" w:rsidRPr="00794950">
        <w:rPr>
          <w:bCs/>
        </w:rPr>
        <w:t xml:space="preserve">(ML) </w:t>
      </w:r>
      <w:r w:rsidRPr="00794950">
        <w:rPr>
          <w:bCs/>
        </w:rPr>
        <w:t>détermineront</w:t>
      </w:r>
      <w:r w:rsidR="00ED39A6" w:rsidRPr="00794950">
        <w:rPr>
          <w:bCs/>
        </w:rPr>
        <w:t xml:space="preserve"> la façon dont </w:t>
      </w:r>
      <w:r w:rsidRPr="00794950">
        <w:rPr>
          <w:bCs/>
        </w:rPr>
        <w:t>les réseaux de communication</w:t>
      </w:r>
      <w:r w:rsidR="00D060DE" w:rsidRPr="00794950">
        <w:rPr>
          <w:bCs/>
        </w:rPr>
        <w:t xml:space="preserve"> </w:t>
      </w:r>
      <w:r w:rsidRPr="00794950">
        <w:rPr>
          <w:bCs/>
        </w:rPr>
        <w:t>seront exploités</w:t>
      </w:r>
      <w:r w:rsidR="00D060DE" w:rsidRPr="00794950">
        <w:rPr>
          <w:bCs/>
        </w:rPr>
        <w:t xml:space="preserve"> et</w:t>
      </w:r>
      <w:r w:rsidR="00ED39A6" w:rsidRPr="00794950">
        <w:rPr>
          <w:bCs/>
        </w:rPr>
        <w:t xml:space="preserve"> dont </w:t>
      </w:r>
      <w:r w:rsidR="00D060DE" w:rsidRPr="00794950">
        <w:rPr>
          <w:bCs/>
        </w:rPr>
        <w:t>les services</w:t>
      </w:r>
      <w:r w:rsidR="00F00D96" w:rsidRPr="00794950">
        <w:rPr>
          <w:bCs/>
        </w:rPr>
        <w:t xml:space="preserve"> </w:t>
      </w:r>
      <w:r w:rsidR="00D060DE" w:rsidRPr="00794950">
        <w:rPr>
          <w:bCs/>
        </w:rPr>
        <w:t xml:space="preserve">TIC </w:t>
      </w:r>
      <w:r w:rsidR="00611CB3" w:rsidRPr="00794950">
        <w:rPr>
          <w:bCs/>
        </w:rPr>
        <w:t>répondront aux exigences des utilisateurs</w:t>
      </w:r>
      <w:r w:rsidRPr="00794950">
        <w:rPr>
          <w:bCs/>
        </w:rPr>
        <w:t>.</w:t>
      </w:r>
      <w:r w:rsidR="00ED39A6" w:rsidRPr="00794950">
        <w:rPr>
          <w:bCs/>
        </w:rPr>
        <w:t xml:space="preserve"> Bon nombre d</w:t>
      </w:r>
      <w:r w:rsidR="00A54667" w:rsidRPr="00794950">
        <w:rPr>
          <w:bCs/>
        </w:rPr>
        <w:t>'</w:t>
      </w:r>
      <w:r w:rsidR="00ED39A6" w:rsidRPr="00794950">
        <w:rPr>
          <w:bCs/>
        </w:rPr>
        <w:t>entreprises</w:t>
      </w:r>
      <w:r w:rsidR="00F00D96" w:rsidRPr="00794950">
        <w:rPr>
          <w:bCs/>
        </w:rPr>
        <w:t xml:space="preserve"> </w:t>
      </w:r>
      <w:r w:rsidRPr="00794950">
        <w:rPr>
          <w:bCs/>
        </w:rPr>
        <w:t xml:space="preserve">du secteur des TIC </w:t>
      </w:r>
      <w:r w:rsidR="00ED39A6" w:rsidRPr="00794950">
        <w:rPr>
          <w:bCs/>
        </w:rPr>
        <w:t>réfléchissent actuellement à la manière d</w:t>
      </w:r>
      <w:r w:rsidR="00A54667" w:rsidRPr="00794950">
        <w:rPr>
          <w:bCs/>
        </w:rPr>
        <w:t>'</w:t>
      </w:r>
      <w:r w:rsidRPr="00794950">
        <w:rPr>
          <w:bCs/>
        </w:rPr>
        <w:t>utiliser au mieux</w:t>
      </w:r>
      <w:r w:rsidR="00E66337" w:rsidRPr="00794950">
        <w:rPr>
          <w:bCs/>
        </w:rPr>
        <w:t xml:space="preserve"> l'AI</w:t>
      </w:r>
      <w:r w:rsidR="002D468C" w:rsidRPr="00794950">
        <w:rPr>
          <w:bCs/>
        </w:rPr>
        <w:t xml:space="preserve"> et l'apprentissage automatique</w:t>
      </w:r>
      <w:r w:rsidRPr="00794950">
        <w:rPr>
          <w:bCs/>
        </w:rPr>
        <w:t>.</w:t>
      </w:r>
    </w:p>
    <w:p w14:paraId="28F2048E" w14:textId="199484AF" w:rsidR="003F45BE" w:rsidRPr="00794950" w:rsidRDefault="003F45BE" w:rsidP="00F702FE">
      <w:pPr>
        <w:tabs>
          <w:tab w:val="clear" w:pos="567"/>
          <w:tab w:val="clear" w:pos="1134"/>
          <w:tab w:val="clear" w:pos="1701"/>
          <w:tab w:val="clear" w:pos="2268"/>
          <w:tab w:val="clear" w:pos="2835"/>
        </w:tabs>
      </w:pPr>
      <w:r w:rsidRPr="00794950">
        <w:t>3.4.2</w:t>
      </w:r>
      <w:r w:rsidRPr="00794950">
        <w:tab/>
        <w:t>L'UIT est à l'avant-garde de</w:t>
      </w:r>
      <w:r w:rsidR="00ED39A6" w:rsidRPr="00794950">
        <w:t>s</w:t>
      </w:r>
      <w:r w:rsidR="00F00D96" w:rsidRPr="00794950">
        <w:t xml:space="preserve"> </w:t>
      </w:r>
      <w:r w:rsidRPr="00794950">
        <w:t xml:space="preserve">efforts </w:t>
      </w:r>
      <w:r w:rsidR="00ED39A6" w:rsidRPr="00794950">
        <w:t>déployés pour déterminer la meilleure manière</w:t>
      </w:r>
      <w:r w:rsidR="00F00D96" w:rsidRPr="00794950">
        <w:t xml:space="preserve"> </w:t>
      </w:r>
      <w:r w:rsidR="00ED39A6" w:rsidRPr="00794950">
        <w:t>d</w:t>
      </w:r>
      <w:r w:rsidR="00A54667" w:rsidRPr="00794950">
        <w:t>'</w:t>
      </w:r>
      <w:r w:rsidR="00366831" w:rsidRPr="00794950">
        <w:t>appliquer</w:t>
      </w:r>
      <w:r w:rsidR="00F00D96" w:rsidRPr="00794950">
        <w:t xml:space="preserve"> </w:t>
      </w:r>
      <w:r w:rsidR="00366831" w:rsidRPr="00794950">
        <w:t>l'</w:t>
      </w:r>
      <w:r w:rsidR="00F260F4" w:rsidRPr="00794950">
        <w:t>AI</w:t>
      </w:r>
      <w:r w:rsidRPr="00794950">
        <w:t xml:space="preserve"> et l'apprentissage automatique dans les </w:t>
      </w:r>
      <w:r w:rsidR="00366831" w:rsidRPr="00794950">
        <w:t>envir</w:t>
      </w:r>
      <w:r w:rsidR="001D7D65" w:rsidRPr="00794950">
        <w:t>onnements des réseaux futurs, y </w:t>
      </w:r>
      <w:r w:rsidR="00366831" w:rsidRPr="00794950">
        <w:t xml:space="preserve">compris </w:t>
      </w:r>
      <w:r w:rsidR="00ED39A6" w:rsidRPr="00794950">
        <w:t>l</w:t>
      </w:r>
      <w:r w:rsidRPr="00794950">
        <w:t>es réseaux 5G</w:t>
      </w:r>
      <w:r w:rsidR="00366831" w:rsidRPr="00794950">
        <w:t xml:space="preserve"> et </w:t>
      </w:r>
      <w:r w:rsidR="00ED39A6" w:rsidRPr="00794950">
        <w:t>l</w:t>
      </w:r>
      <w:r w:rsidR="00366831" w:rsidRPr="00794950">
        <w:t>es réseaux industriels privés</w:t>
      </w:r>
      <w:r w:rsidRPr="00794950">
        <w:t>, et a déjà approuvé quatre spécifications, qui font partie d'un kit pratique visant à mettre en</w:t>
      </w:r>
      <w:r w:rsidR="00ED39A6" w:rsidRPr="00794950">
        <w:t xml:space="preserve"> place </w:t>
      </w:r>
      <w:r w:rsidRPr="00794950">
        <w:t>l'apprentissage automatique dans les réseaux de communication</w:t>
      </w:r>
      <w:r w:rsidR="00366831" w:rsidRPr="00794950">
        <w:t>:</w:t>
      </w:r>
      <w:r w:rsidR="00F00D96" w:rsidRPr="00794950">
        <w:t xml:space="preserve"> </w:t>
      </w:r>
      <w:r w:rsidR="00366831" w:rsidRPr="00794950">
        <w:t>cas d'utilisation (Supplé</w:t>
      </w:r>
      <w:r w:rsidRPr="00794950">
        <w:t>ment 55</w:t>
      </w:r>
      <w:r w:rsidR="00ED39A6" w:rsidRPr="00794950">
        <w:t xml:space="preserve"> aux Recommandations de la </w:t>
      </w:r>
      <w:r w:rsidR="00366831" w:rsidRPr="00794950">
        <w:t>série UIT</w:t>
      </w:r>
      <w:r w:rsidRPr="00794950">
        <w:t>-T Y.3170</w:t>
      </w:r>
      <w:r w:rsidR="00386284" w:rsidRPr="00794950">
        <w:t>),</w:t>
      </w:r>
      <w:r w:rsidR="00F00D96" w:rsidRPr="00794950">
        <w:t xml:space="preserve"> </w:t>
      </w:r>
      <w:r w:rsidR="00366831" w:rsidRPr="00794950">
        <w:t>cadre architectural (Recommandation UIT</w:t>
      </w:r>
      <w:r w:rsidRPr="00794950">
        <w:t>-T Y.3172),</w:t>
      </w:r>
      <w:r w:rsidR="00F00D96" w:rsidRPr="00794950">
        <w:t xml:space="preserve"> </w:t>
      </w:r>
      <w:r w:rsidR="00366831" w:rsidRPr="00794950">
        <w:t>é</w:t>
      </w:r>
      <w:r w:rsidR="00C6628B" w:rsidRPr="00794950">
        <w:t xml:space="preserve">valuation du </w:t>
      </w:r>
      <w:r w:rsidR="00366831" w:rsidRPr="00794950">
        <w:t>niveau d'</w:t>
      </w:r>
      <w:r w:rsidRPr="00794950">
        <w:t xml:space="preserve">intelligence </w:t>
      </w:r>
      <w:r w:rsidR="00366831" w:rsidRPr="00794950">
        <w:t>des réseaux (Recommandation UIT-T Y.3173)</w:t>
      </w:r>
      <w:r w:rsidRPr="00794950">
        <w:t xml:space="preserve"> </w:t>
      </w:r>
      <w:r w:rsidR="00366831" w:rsidRPr="00794950">
        <w:t>et</w:t>
      </w:r>
      <w:r w:rsidR="00F00D96" w:rsidRPr="00794950">
        <w:t xml:space="preserve"> </w:t>
      </w:r>
      <w:r w:rsidR="00366831" w:rsidRPr="00794950">
        <w:t>traitement des données (Recommandation UIT</w:t>
      </w:r>
      <w:r w:rsidR="007D4A76" w:rsidRPr="00794950">
        <w:t>-T Y.3174</w:t>
      </w:r>
      <w:r w:rsidRPr="00794950">
        <w:t>).</w:t>
      </w:r>
    </w:p>
    <w:p w14:paraId="2CAEED93" w14:textId="01499C95" w:rsidR="003F45BE" w:rsidRPr="00794950" w:rsidRDefault="003F45BE" w:rsidP="00F702FE">
      <w:pPr>
        <w:tabs>
          <w:tab w:val="clear" w:pos="567"/>
          <w:tab w:val="clear" w:pos="1134"/>
          <w:tab w:val="clear" w:pos="1701"/>
          <w:tab w:val="clear" w:pos="2268"/>
          <w:tab w:val="clear" w:pos="2835"/>
        </w:tabs>
      </w:pPr>
      <w:r w:rsidRPr="00794950">
        <w:t>3.4.3</w:t>
      </w:r>
      <w:r w:rsidRPr="00794950">
        <w:tab/>
      </w:r>
      <w:bookmarkStart w:id="35" w:name="lt_pId174"/>
      <w:r w:rsidR="00F23A7D" w:rsidRPr="00794950">
        <w:t>D</w:t>
      </w:r>
      <w:r w:rsidR="00366831" w:rsidRPr="00794950">
        <w:t>'autres normes sont en cours d'élaboration</w:t>
      </w:r>
      <w:r w:rsidR="00ED39A6" w:rsidRPr="00794950">
        <w:t>, à savoir</w:t>
      </w:r>
      <w:r w:rsidR="00F00D96" w:rsidRPr="00794950">
        <w:t>:</w:t>
      </w:r>
      <w:bookmarkEnd w:id="35"/>
      <w:r w:rsidR="00F00D96" w:rsidRPr="00794950">
        <w:t xml:space="preserve"> </w:t>
      </w:r>
      <w:bookmarkStart w:id="36" w:name="lt_pId175"/>
      <w:r w:rsidR="00F23A7D" w:rsidRPr="00794950">
        <w:t>norme prenant en charge l'interopérabilité des</w:t>
      </w:r>
      <w:r w:rsidR="00F00D96" w:rsidRPr="00794950">
        <w:t xml:space="preserve"> </w:t>
      </w:r>
      <w:r w:rsidR="005A38C3" w:rsidRPr="00794950">
        <w:t>marché</w:t>
      </w:r>
      <w:r w:rsidR="00ED39A6" w:rsidRPr="00794950">
        <w:t>s</w:t>
      </w:r>
      <w:r w:rsidR="00F23A7D" w:rsidRPr="00794950">
        <w:t xml:space="preserve"> </w:t>
      </w:r>
      <w:r w:rsidR="005A38C3" w:rsidRPr="00794950">
        <w:t>de l'apprentissage automatique</w:t>
      </w:r>
      <w:r w:rsidR="00ED39A6" w:rsidRPr="00794950">
        <w:t xml:space="preserve"> (marchés </w:t>
      </w:r>
      <w:r w:rsidR="00E921AD" w:rsidRPr="00794950">
        <w:t>qui hébergent</w:t>
      </w:r>
      <w:r w:rsidR="00607E2D" w:rsidRPr="00794950">
        <w:t xml:space="preserve"> </w:t>
      </w:r>
      <w:r w:rsidR="002F0B7F" w:rsidRPr="00794950">
        <w:t>des</w:t>
      </w:r>
      <w:r w:rsidRPr="00794950">
        <w:t xml:space="preserve"> </w:t>
      </w:r>
      <w:r w:rsidR="00D0247F" w:rsidRPr="00794950">
        <w:t>référentiels de</w:t>
      </w:r>
      <w:r w:rsidRPr="00794950">
        <w:t xml:space="preserve"> </w:t>
      </w:r>
      <w:r w:rsidR="00381CC2" w:rsidRPr="00794950">
        <w:t>modèles d'apprentissage automatique</w:t>
      </w:r>
      <w:r w:rsidR="00ED39A6" w:rsidRPr="00794950">
        <w:t>)</w:t>
      </w:r>
      <w:r w:rsidRPr="00794950">
        <w:t>;</w:t>
      </w:r>
      <w:bookmarkEnd w:id="36"/>
      <w:r w:rsidR="00F00D96" w:rsidRPr="00794950">
        <w:t xml:space="preserve"> </w:t>
      </w:r>
      <w:bookmarkStart w:id="37" w:name="lt_pId176"/>
      <w:r w:rsidR="00381CC2" w:rsidRPr="00794950">
        <w:t xml:space="preserve">norme décrivant les </w:t>
      </w:r>
      <w:r w:rsidR="00A34E7F" w:rsidRPr="00794950">
        <w:t xml:space="preserve">"bacs à sable </w:t>
      </w:r>
      <w:r w:rsidR="00C6628B" w:rsidRPr="00794950">
        <w:t>pour</w:t>
      </w:r>
      <w:r w:rsidR="00255D1F" w:rsidRPr="00794950">
        <w:t xml:space="preserve"> l</w:t>
      </w:r>
      <w:r w:rsidR="00A34E7F" w:rsidRPr="00794950">
        <w:t>'apprentissage automatique"</w:t>
      </w:r>
      <w:r w:rsidRPr="00794950">
        <w:t xml:space="preserve"> (</w:t>
      </w:r>
      <w:r w:rsidR="00A34E7F" w:rsidRPr="00794950">
        <w:t xml:space="preserve">les "bacs à sable" </w:t>
      </w:r>
      <w:r w:rsidR="00255D1F" w:rsidRPr="00794950">
        <w:t>(</w:t>
      </w:r>
      <w:r w:rsidR="00255D1F" w:rsidRPr="00794950">
        <w:rPr>
          <w:i/>
        </w:rPr>
        <w:t>sandboxes</w:t>
      </w:r>
      <w:r w:rsidR="00255D1F" w:rsidRPr="00794950">
        <w:t>) fournissent des environnements isolés</w:t>
      </w:r>
      <w:r w:rsidRPr="00794950">
        <w:t xml:space="preserve"> </w:t>
      </w:r>
      <w:r w:rsidR="00371233" w:rsidRPr="00794950">
        <w:t>qui hébergent</w:t>
      </w:r>
      <w:r w:rsidR="00255D1F" w:rsidRPr="00794950">
        <w:t xml:space="preserve"> des pipelines</w:t>
      </w:r>
      <w:r w:rsidRPr="00794950">
        <w:t xml:space="preserve"> </w:t>
      </w:r>
      <w:r w:rsidR="00255D1F" w:rsidRPr="00794950">
        <w:t xml:space="preserve">d'apprentissage automatique </w:t>
      </w:r>
      <w:r w:rsidR="002B25EA" w:rsidRPr="00794950">
        <w:t>distincts</w:t>
      </w:r>
      <w:r w:rsidR="00F00D96" w:rsidRPr="00794950">
        <w:t xml:space="preserve"> </w:t>
      </w:r>
      <w:r w:rsidR="00255D1F" w:rsidRPr="00794950">
        <w:t>pour</w:t>
      </w:r>
      <w:r w:rsidRPr="00794950">
        <w:t xml:space="preserve"> </w:t>
      </w:r>
      <w:r w:rsidR="002B25EA" w:rsidRPr="00794950">
        <w:t>entraîner</w:t>
      </w:r>
      <w:r w:rsidRPr="00794950">
        <w:t>, test</w:t>
      </w:r>
      <w:r w:rsidR="00A34E7F" w:rsidRPr="00794950">
        <w:t>er</w:t>
      </w:r>
      <w:r w:rsidRPr="00794950">
        <w:t xml:space="preserve"> </w:t>
      </w:r>
      <w:r w:rsidR="00A34E7F" w:rsidRPr="00794950">
        <w:t>et évaluer des</w:t>
      </w:r>
      <w:r w:rsidRPr="00794950">
        <w:t xml:space="preserve"> </w:t>
      </w:r>
      <w:r w:rsidR="00377134" w:rsidRPr="00794950">
        <w:t xml:space="preserve">applications d'apprentissage automatique avant de les déployer </w:t>
      </w:r>
      <w:r w:rsidR="00C6628B" w:rsidRPr="00794950">
        <w:t>dans</w:t>
      </w:r>
      <w:r w:rsidR="00377134" w:rsidRPr="00794950">
        <w:t xml:space="preserve"> un réseau </w:t>
      </w:r>
      <w:r w:rsidR="00C6628B" w:rsidRPr="00794950">
        <w:t>opérationnel</w:t>
      </w:r>
      <w:r w:rsidRPr="00794950">
        <w:t>);</w:t>
      </w:r>
      <w:bookmarkEnd w:id="37"/>
      <w:r w:rsidRPr="00794950">
        <w:t xml:space="preserve"> </w:t>
      </w:r>
      <w:bookmarkStart w:id="38" w:name="lt_pId177"/>
      <w:r w:rsidR="00C6628B" w:rsidRPr="00794950">
        <w:t>et une norme sur</w:t>
      </w:r>
      <w:r w:rsidRPr="00794950">
        <w:t xml:space="preserve"> </w:t>
      </w:r>
      <w:r w:rsidR="00C6628B" w:rsidRPr="00794950">
        <w:t xml:space="preserve">"l'orchestration des fonctions de l'apprentissage automatique" pour </w:t>
      </w:r>
      <w:r w:rsidR="001038AC" w:rsidRPr="00794950">
        <w:t>aider à gérer les réseaux</w:t>
      </w:r>
      <w:r w:rsidRPr="00794950">
        <w:t>.</w:t>
      </w:r>
      <w:bookmarkEnd w:id="38"/>
    </w:p>
    <w:p w14:paraId="3152AE9A" w14:textId="16F20E8A" w:rsidR="009762E9" w:rsidRPr="00794950" w:rsidRDefault="003F45BE" w:rsidP="00F702FE">
      <w:pPr>
        <w:tabs>
          <w:tab w:val="clear" w:pos="567"/>
          <w:tab w:val="clear" w:pos="1134"/>
          <w:tab w:val="clear" w:pos="1701"/>
          <w:tab w:val="clear" w:pos="2268"/>
          <w:tab w:val="clear" w:pos="2835"/>
        </w:tabs>
      </w:pPr>
      <w:r w:rsidRPr="00794950">
        <w:t>3.4.4</w:t>
      </w:r>
      <w:r w:rsidRPr="00794950">
        <w:tab/>
      </w:r>
      <w:bookmarkStart w:id="39" w:name="lt_pId179"/>
      <w:r w:rsidR="001038AC" w:rsidRPr="00794950">
        <w:t xml:space="preserve">Pour résoudre </w:t>
      </w:r>
      <w:r w:rsidR="002B25EA" w:rsidRPr="00794950">
        <w:t>certains</w:t>
      </w:r>
      <w:r w:rsidR="00F00D96" w:rsidRPr="00794950">
        <w:t xml:space="preserve"> </w:t>
      </w:r>
      <w:r w:rsidR="001038AC" w:rsidRPr="00794950">
        <w:t>problèmes</w:t>
      </w:r>
      <w:r w:rsidR="00F00D96" w:rsidRPr="00794950">
        <w:t xml:space="preserve"> </w:t>
      </w:r>
      <w:r w:rsidR="001B2EAA" w:rsidRPr="00794950">
        <w:t>concernant</w:t>
      </w:r>
      <w:r w:rsidR="001038AC" w:rsidRPr="00794950">
        <w:t xml:space="preserve"> la 5G</w:t>
      </w:r>
      <w:r w:rsidR="00F00D96" w:rsidRPr="00794950">
        <w:t xml:space="preserve"> </w:t>
      </w:r>
      <w:r w:rsidR="001B2EAA" w:rsidRPr="00794950">
        <w:t>à</w:t>
      </w:r>
      <w:r w:rsidR="002B25EA" w:rsidRPr="00794950">
        <w:t xml:space="preserve"> l</w:t>
      </w:r>
      <w:r w:rsidR="00A54667" w:rsidRPr="00794950">
        <w:t>'</w:t>
      </w:r>
      <w:r w:rsidR="002B25EA" w:rsidRPr="00794950">
        <w:t>aide de</w:t>
      </w:r>
      <w:r w:rsidR="001038AC" w:rsidRPr="00794950">
        <w:t xml:space="preserve"> l'apprentissage automatique</w:t>
      </w:r>
      <w:r w:rsidRPr="00794950">
        <w:t xml:space="preserve">, </w:t>
      </w:r>
      <w:r w:rsidR="001038AC" w:rsidRPr="00794950">
        <w:t>l'UIT</w:t>
      </w:r>
      <w:r w:rsidR="001B2EAA" w:rsidRPr="00794950">
        <w:t xml:space="preserve"> organise aussi un</w:t>
      </w:r>
      <w:r w:rsidRPr="00794950">
        <w:t xml:space="preserve"> </w:t>
      </w:r>
      <w:r w:rsidR="001038AC" w:rsidRPr="00794950">
        <w:t>Concours de l'UIT sur l'AI/ML</w:t>
      </w:r>
      <w:r w:rsidRPr="00794950">
        <w:t xml:space="preserve"> </w:t>
      </w:r>
      <w:r w:rsidR="001B2EAA" w:rsidRPr="00794950">
        <w:t xml:space="preserve">à l'échelle mondiale sur le thème "Comment appliquer l'architecture de l'apprentissage automatique de l'UIT </w:t>
      </w:r>
      <w:r w:rsidR="002B25EA" w:rsidRPr="00794950">
        <w:t>aux</w:t>
      </w:r>
      <w:r w:rsidR="00F00D96" w:rsidRPr="00794950">
        <w:t xml:space="preserve"> </w:t>
      </w:r>
      <w:r w:rsidR="001B2EAA" w:rsidRPr="00794950">
        <w:t>réseaux</w:t>
      </w:r>
      <w:r w:rsidR="00700FDF">
        <w:t> </w:t>
      </w:r>
      <w:r w:rsidR="00AB4231" w:rsidRPr="00794950">
        <w:t>5G</w:t>
      </w:r>
      <w:r w:rsidRPr="00794950">
        <w:t>".</w:t>
      </w:r>
      <w:bookmarkEnd w:id="39"/>
      <w:r w:rsidRPr="00794950">
        <w:t xml:space="preserve"> </w:t>
      </w:r>
      <w:r w:rsidRPr="00794950">
        <w:rPr>
          <w:bCs/>
        </w:rPr>
        <w:t>Les participants seront capables de résoudre des problèmes du monde réel, au moyen de technologies normalisées</w:t>
      </w:r>
      <w:r w:rsidR="002B25EA" w:rsidRPr="00794950">
        <w:rPr>
          <w:bCs/>
        </w:rPr>
        <w:t xml:space="preserve"> conçues </w:t>
      </w:r>
      <w:r w:rsidRPr="00794950">
        <w:rPr>
          <w:bCs/>
        </w:rPr>
        <w:t>pour l'apprentissage automatique dans les réseaux</w:t>
      </w:r>
      <w:r w:rsidR="00700FDF">
        <w:rPr>
          <w:bCs/>
        </w:rPr>
        <w:t> </w:t>
      </w:r>
      <w:r w:rsidRPr="00794950">
        <w:rPr>
          <w:bCs/>
        </w:rPr>
        <w:t xml:space="preserve">5G. Les équipes devront imaginer, créer, entraîner et déployer des modèles ML, </w:t>
      </w:r>
      <w:r w:rsidR="002B25EA" w:rsidRPr="00794950">
        <w:rPr>
          <w:bCs/>
        </w:rPr>
        <w:t>afin que les</w:t>
      </w:r>
      <w:r w:rsidR="00F00D96" w:rsidRPr="00794950">
        <w:rPr>
          <w:bCs/>
        </w:rPr>
        <w:t xml:space="preserve"> </w:t>
      </w:r>
      <w:r w:rsidRPr="00794950">
        <w:rPr>
          <w:bCs/>
        </w:rPr>
        <w:t xml:space="preserve">participants </w:t>
      </w:r>
      <w:r w:rsidR="002B25EA" w:rsidRPr="00794950">
        <w:rPr>
          <w:bCs/>
        </w:rPr>
        <w:t xml:space="preserve">puissent </w:t>
      </w:r>
      <w:r w:rsidRPr="00794950">
        <w:rPr>
          <w:bCs/>
        </w:rPr>
        <w:t>acquérir une expérience pratique en matière d'AI/ML dans des domaines présentant un intérêt pour la 5G.</w:t>
      </w:r>
    </w:p>
    <w:p w14:paraId="012CD984" w14:textId="14A7D6E5" w:rsidR="003F45BE" w:rsidRPr="00794950" w:rsidRDefault="003F45BE" w:rsidP="00F702FE">
      <w:pPr>
        <w:tabs>
          <w:tab w:val="clear" w:pos="567"/>
          <w:tab w:val="clear" w:pos="1134"/>
          <w:tab w:val="clear" w:pos="1701"/>
          <w:tab w:val="clear" w:pos="2268"/>
          <w:tab w:val="clear" w:pos="2835"/>
        </w:tabs>
      </w:pPr>
      <w:r w:rsidRPr="00794950">
        <w:lastRenderedPageBreak/>
        <w:t>3.4.5</w:t>
      </w:r>
      <w:r w:rsidRPr="00794950">
        <w:tab/>
      </w:r>
      <w:bookmarkStart w:id="40" w:name="lt_pId183"/>
      <w:r w:rsidR="003A3DE0" w:rsidRPr="00794950">
        <w:t>Pour appuyer les travaux de l'UIT sur l'intelligence artificielle et l'apprentissage automatique</w:t>
      </w:r>
      <w:r w:rsidRPr="00794950">
        <w:t xml:space="preserve">, </w:t>
      </w:r>
      <w:r w:rsidR="00626593" w:rsidRPr="00794950">
        <w:t xml:space="preserve">le TSB demande </w:t>
      </w:r>
      <w:r w:rsidR="002B25EA" w:rsidRPr="00794950">
        <w:t>qu</w:t>
      </w:r>
      <w:r w:rsidR="00A54667" w:rsidRPr="00794950">
        <w:t>'</w:t>
      </w:r>
      <w:r w:rsidR="002B25EA" w:rsidRPr="00794950">
        <w:t xml:space="preserve">il soit fait appel à </w:t>
      </w:r>
      <w:r w:rsidR="00B033BC" w:rsidRPr="00794950">
        <w:rPr>
          <w:b/>
          <w:bCs/>
        </w:rPr>
        <w:t>un</w:t>
      </w:r>
      <w:r w:rsidRPr="00794950">
        <w:rPr>
          <w:b/>
          <w:bCs/>
        </w:rPr>
        <w:t xml:space="preserve"> </w:t>
      </w:r>
      <w:r w:rsidR="00B033BC" w:rsidRPr="00794950">
        <w:rPr>
          <w:b/>
          <w:bCs/>
        </w:rPr>
        <w:t xml:space="preserve">fonctionnaire </w:t>
      </w:r>
      <w:r w:rsidR="00CE325A" w:rsidRPr="00794950">
        <w:rPr>
          <w:b/>
          <w:bCs/>
        </w:rPr>
        <w:t xml:space="preserve">de grade </w:t>
      </w:r>
      <w:r w:rsidRPr="00794950">
        <w:rPr>
          <w:b/>
          <w:bCs/>
        </w:rPr>
        <w:t xml:space="preserve">P4 </w:t>
      </w:r>
      <w:r w:rsidR="00B033BC" w:rsidRPr="00794950">
        <w:t xml:space="preserve">pour un poste </w:t>
      </w:r>
      <w:r w:rsidR="00AB4231" w:rsidRPr="00794950">
        <w:t>de spécialiste</w:t>
      </w:r>
      <w:r w:rsidRPr="00794950">
        <w:t xml:space="preserve"> </w:t>
      </w:r>
      <w:r w:rsidR="00AB4231" w:rsidRPr="00794950">
        <w:t>de l</w:t>
      </w:r>
      <w:r w:rsidR="00B033BC" w:rsidRPr="00794950">
        <w:t xml:space="preserve">'application de l'apprentissage automatique </w:t>
      </w:r>
      <w:r w:rsidR="002B25EA" w:rsidRPr="00794950">
        <w:t>aux</w:t>
      </w:r>
      <w:r w:rsidR="00F00D96" w:rsidRPr="00794950">
        <w:t xml:space="preserve"> </w:t>
      </w:r>
      <w:r w:rsidR="00B033BC" w:rsidRPr="00794950">
        <w:t>réseaux de communication</w:t>
      </w:r>
      <w:r w:rsidRPr="00794950">
        <w:t>.</w:t>
      </w:r>
      <w:bookmarkEnd w:id="40"/>
    </w:p>
    <w:p w14:paraId="30A14D95" w14:textId="3E3AEDD9" w:rsidR="003F45BE" w:rsidRPr="00794950" w:rsidRDefault="003F45BE" w:rsidP="00F702FE">
      <w:pPr>
        <w:pStyle w:val="Heading1"/>
        <w:tabs>
          <w:tab w:val="clear" w:pos="567"/>
          <w:tab w:val="clear" w:pos="1134"/>
          <w:tab w:val="clear" w:pos="1701"/>
          <w:tab w:val="clear" w:pos="2268"/>
          <w:tab w:val="clear" w:pos="2835"/>
        </w:tabs>
        <w:ind w:left="0" w:firstLine="0"/>
      </w:pPr>
      <w:bookmarkStart w:id="41" w:name="_Toc37930311"/>
      <w:bookmarkStart w:id="42" w:name="_Toc54336502"/>
      <w:r w:rsidRPr="00794950">
        <w:t>4</w:t>
      </w:r>
      <w:r w:rsidRPr="00794950">
        <w:tab/>
      </w:r>
      <w:bookmarkEnd w:id="41"/>
      <w:r w:rsidR="00D7517A" w:rsidRPr="00794950">
        <w:t>Résumé des ressources demandées</w:t>
      </w:r>
      <w:bookmarkEnd w:id="42"/>
    </w:p>
    <w:p w14:paraId="6264EC16" w14:textId="279C5A61" w:rsidR="009762E9" w:rsidRPr="00794950" w:rsidRDefault="003F45BE" w:rsidP="00F702FE">
      <w:pPr>
        <w:tabs>
          <w:tab w:val="clear" w:pos="567"/>
          <w:tab w:val="clear" w:pos="1134"/>
          <w:tab w:val="clear" w:pos="1701"/>
          <w:tab w:val="clear" w:pos="2268"/>
          <w:tab w:val="clear" w:pos="2835"/>
        </w:tabs>
        <w:spacing w:after="240"/>
      </w:pPr>
      <w:r w:rsidRPr="00794950">
        <w:t>4.1</w:t>
      </w:r>
      <w:r w:rsidRPr="00794950">
        <w:tab/>
      </w:r>
      <w:bookmarkStart w:id="43" w:name="lt_pId187"/>
      <w:r w:rsidR="002B25EA" w:rsidRPr="00794950">
        <w:t xml:space="preserve">On trouvera dans </w:t>
      </w:r>
      <w:r w:rsidR="00ED73B2" w:rsidRPr="00794950">
        <w:t>le</w:t>
      </w:r>
      <w:r w:rsidR="002B25EA" w:rsidRPr="00794950">
        <w:t xml:space="preserve"> </w:t>
      </w:r>
      <w:r w:rsidR="00626593" w:rsidRPr="00794950">
        <w:t>T</w:t>
      </w:r>
      <w:r w:rsidR="00D7517A" w:rsidRPr="00794950">
        <w:t xml:space="preserve">ableau </w:t>
      </w:r>
      <w:r w:rsidR="00626593" w:rsidRPr="00794950">
        <w:t xml:space="preserve">4 </w:t>
      </w:r>
      <w:r w:rsidR="00D7517A" w:rsidRPr="00794950">
        <w:t>ci-dessous un résumé des coûts</w:t>
      </w:r>
      <w:r w:rsidR="00F00D96" w:rsidRPr="00794950">
        <w:t xml:space="preserve"> </w:t>
      </w:r>
      <w:r w:rsidR="002B25EA" w:rsidRPr="00794950">
        <w:t>afférents aux</w:t>
      </w:r>
      <w:r w:rsidR="00D7517A" w:rsidRPr="00794950">
        <w:t xml:space="preserve"> ressources supplémentaires </w:t>
      </w:r>
      <w:bookmarkEnd w:id="43"/>
      <w:r w:rsidR="002B25EA" w:rsidRPr="00794950">
        <w:t>demandées</w:t>
      </w:r>
      <w:r w:rsidR="0001436B" w:rsidRPr="00794950">
        <w:t>.</w:t>
      </w:r>
    </w:p>
    <w:tbl>
      <w:tblPr>
        <w:tblW w:w="8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32"/>
        <w:gridCol w:w="1559"/>
      </w:tblGrid>
      <w:tr w:rsidR="003F45BE" w:rsidRPr="00794950" w14:paraId="10349F68" w14:textId="77777777" w:rsidTr="00794950">
        <w:trPr>
          <w:trHeight w:val="288"/>
          <w:tblHeader/>
          <w:jc w:val="center"/>
        </w:trPr>
        <w:tc>
          <w:tcPr>
            <w:tcW w:w="6532" w:type="dxa"/>
            <w:noWrap/>
            <w:tcMar>
              <w:top w:w="0" w:type="dxa"/>
              <w:left w:w="108" w:type="dxa"/>
              <w:bottom w:w="0" w:type="dxa"/>
              <w:right w:w="108" w:type="dxa"/>
            </w:tcMar>
            <w:vAlign w:val="center"/>
          </w:tcPr>
          <w:p w14:paraId="58B26F5A" w14:textId="72943638" w:rsidR="003F45BE" w:rsidRPr="00794950" w:rsidRDefault="00D7517A" w:rsidP="00F702FE">
            <w:pPr>
              <w:pStyle w:val="Tablehead"/>
              <w:jc w:val="left"/>
            </w:pPr>
            <w:bookmarkStart w:id="44" w:name="lt_pId188"/>
            <w:r w:rsidRPr="00794950">
              <w:t>Activités des commissions d'études</w:t>
            </w:r>
            <w:r w:rsidR="003F45BE" w:rsidRPr="00794950">
              <w:t>:</w:t>
            </w:r>
            <w:bookmarkEnd w:id="44"/>
          </w:p>
        </w:tc>
        <w:tc>
          <w:tcPr>
            <w:tcW w:w="1559" w:type="dxa"/>
            <w:noWrap/>
            <w:tcMar>
              <w:top w:w="0" w:type="dxa"/>
              <w:left w:w="108" w:type="dxa"/>
              <w:bottom w:w="0" w:type="dxa"/>
              <w:right w:w="108" w:type="dxa"/>
            </w:tcMar>
            <w:vAlign w:val="center"/>
          </w:tcPr>
          <w:p w14:paraId="5066BB84" w14:textId="2A899E43" w:rsidR="003F45BE" w:rsidRPr="00794950" w:rsidRDefault="00D7517A" w:rsidP="00F702FE">
            <w:pPr>
              <w:pStyle w:val="Tablehead"/>
            </w:pPr>
            <w:r w:rsidRPr="00794950">
              <w:t>Coût annuel</w:t>
            </w:r>
          </w:p>
        </w:tc>
      </w:tr>
      <w:tr w:rsidR="003F45BE" w:rsidRPr="00794950" w14:paraId="16C4BF1B" w14:textId="77777777" w:rsidTr="00E81E2C">
        <w:trPr>
          <w:jc w:val="center"/>
        </w:trPr>
        <w:tc>
          <w:tcPr>
            <w:tcW w:w="6532" w:type="dxa"/>
            <w:tcMar>
              <w:top w:w="0" w:type="dxa"/>
              <w:left w:w="108" w:type="dxa"/>
              <w:bottom w:w="0" w:type="dxa"/>
              <w:right w:w="108" w:type="dxa"/>
            </w:tcMar>
            <w:vAlign w:val="center"/>
            <w:hideMark/>
          </w:tcPr>
          <w:p w14:paraId="4DD41433" w14:textId="62238A5A" w:rsidR="003F45BE" w:rsidRPr="00794950" w:rsidRDefault="003F45BE" w:rsidP="00F702FE">
            <w:pPr>
              <w:pStyle w:val="Tabletext"/>
            </w:pPr>
            <w:bookmarkStart w:id="45" w:name="lt_pId190"/>
            <w:r w:rsidRPr="00794950">
              <w:t xml:space="preserve">1 P2, </w:t>
            </w:r>
            <w:r w:rsidR="009E7A2A" w:rsidRPr="00794950">
              <w:t xml:space="preserve">indicateurs fondamentaux de performance </w:t>
            </w:r>
            <w:r w:rsidR="00957863" w:rsidRPr="00794950">
              <w:t>relatifs aux</w:t>
            </w:r>
            <w:r w:rsidR="009E7A2A" w:rsidRPr="00794950">
              <w:t xml:space="preserve"> villes intelligentes </w:t>
            </w:r>
            <w:r w:rsidR="00E4116B" w:rsidRPr="00794950">
              <w:t xml:space="preserve">et durables </w:t>
            </w:r>
            <w:r w:rsidR="009E7A2A" w:rsidRPr="00794950">
              <w:t>et initiative</w:t>
            </w:r>
            <w:r w:rsidRPr="00794950">
              <w:t xml:space="preserve"> U4SSC</w:t>
            </w:r>
            <w:bookmarkEnd w:id="45"/>
          </w:p>
        </w:tc>
        <w:tc>
          <w:tcPr>
            <w:tcW w:w="1559" w:type="dxa"/>
            <w:noWrap/>
            <w:tcMar>
              <w:top w:w="0" w:type="dxa"/>
              <w:left w:w="108" w:type="dxa"/>
              <w:bottom w:w="0" w:type="dxa"/>
              <w:right w:w="108" w:type="dxa"/>
            </w:tcMar>
            <w:vAlign w:val="bottom"/>
            <w:hideMark/>
          </w:tcPr>
          <w:p w14:paraId="5C17C3F0" w14:textId="0C859E83" w:rsidR="003F45BE" w:rsidRPr="00794950" w:rsidRDefault="003F45BE" w:rsidP="00F702FE">
            <w:pPr>
              <w:pStyle w:val="Tabletext"/>
              <w:jc w:val="center"/>
            </w:pPr>
            <w:r w:rsidRPr="00794950">
              <w:t>120</w:t>
            </w:r>
            <w:r w:rsidR="006F7D44" w:rsidRPr="00794950">
              <w:t> 000</w:t>
            </w:r>
          </w:p>
        </w:tc>
      </w:tr>
      <w:tr w:rsidR="003F45BE" w:rsidRPr="00794950" w14:paraId="34DF7A31" w14:textId="77777777" w:rsidTr="00E81E2C">
        <w:trPr>
          <w:jc w:val="center"/>
        </w:trPr>
        <w:tc>
          <w:tcPr>
            <w:tcW w:w="6532" w:type="dxa"/>
            <w:tcMar>
              <w:top w:w="0" w:type="dxa"/>
              <w:left w:w="108" w:type="dxa"/>
              <w:bottom w:w="0" w:type="dxa"/>
              <w:right w:w="108" w:type="dxa"/>
            </w:tcMar>
            <w:vAlign w:val="center"/>
          </w:tcPr>
          <w:p w14:paraId="14E43E63" w14:textId="76231FE5" w:rsidR="003F45BE" w:rsidRPr="00794950" w:rsidRDefault="003F45BE" w:rsidP="00F702FE">
            <w:pPr>
              <w:pStyle w:val="Tabletext"/>
            </w:pPr>
            <w:bookmarkStart w:id="46" w:name="lt_pId192"/>
            <w:r w:rsidRPr="00794950">
              <w:t xml:space="preserve">1 P2, </w:t>
            </w:r>
            <w:bookmarkEnd w:id="46"/>
            <w:r w:rsidR="009E7A2A" w:rsidRPr="00794950">
              <w:t>ressources de numérotage</w:t>
            </w:r>
          </w:p>
        </w:tc>
        <w:tc>
          <w:tcPr>
            <w:tcW w:w="1559" w:type="dxa"/>
            <w:noWrap/>
            <w:tcMar>
              <w:top w:w="0" w:type="dxa"/>
              <w:left w:w="108" w:type="dxa"/>
              <w:bottom w:w="0" w:type="dxa"/>
              <w:right w:w="108" w:type="dxa"/>
            </w:tcMar>
            <w:vAlign w:val="bottom"/>
          </w:tcPr>
          <w:p w14:paraId="133A0BB2" w14:textId="1C7D33F7" w:rsidR="003F45BE" w:rsidRPr="00794950" w:rsidRDefault="003F45BE" w:rsidP="00F702FE">
            <w:pPr>
              <w:pStyle w:val="Tabletext"/>
              <w:jc w:val="center"/>
            </w:pPr>
            <w:r w:rsidRPr="00794950">
              <w:t>120</w:t>
            </w:r>
            <w:r w:rsidR="006F7D44" w:rsidRPr="00794950">
              <w:t> 000</w:t>
            </w:r>
          </w:p>
        </w:tc>
      </w:tr>
      <w:tr w:rsidR="003F45BE" w:rsidRPr="00794950" w14:paraId="222750A7" w14:textId="77777777" w:rsidTr="00E81E2C">
        <w:trPr>
          <w:jc w:val="center"/>
        </w:trPr>
        <w:tc>
          <w:tcPr>
            <w:tcW w:w="6532" w:type="dxa"/>
            <w:tcMar>
              <w:top w:w="0" w:type="dxa"/>
              <w:left w:w="108" w:type="dxa"/>
              <w:bottom w:w="0" w:type="dxa"/>
              <w:right w:w="108" w:type="dxa"/>
            </w:tcMar>
            <w:vAlign w:val="center"/>
          </w:tcPr>
          <w:p w14:paraId="7C5F6B0F" w14:textId="5EDB28EB" w:rsidR="003F45BE" w:rsidRPr="00794950" w:rsidRDefault="003F45BE" w:rsidP="00F702FE">
            <w:pPr>
              <w:pStyle w:val="Tabletext"/>
            </w:pPr>
            <w:bookmarkStart w:id="47" w:name="lt_pId194"/>
            <w:r w:rsidRPr="00794950">
              <w:t xml:space="preserve">1 P4, </w:t>
            </w:r>
            <w:bookmarkEnd w:id="47"/>
            <w:r w:rsidR="009E7A2A" w:rsidRPr="00794950">
              <w:t>inclusion financière</w:t>
            </w:r>
          </w:p>
        </w:tc>
        <w:tc>
          <w:tcPr>
            <w:tcW w:w="1559" w:type="dxa"/>
            <w:noWrap/>
            <w:tcMar>
              <w:top w:w="0" w:type="dxa"/>
              <w:left w:w="108" w:type="dxa"/>
              <w:bottom w:w="0" w:type="dxa"/>
              <w:right w:w="108" w:type="dxa"/>
            </w:tcMar>
            <w:vAlign w:val="bottom"/>
          </w:tcPr>
          <w:p w14:paraId="739B26AB" w14:textId="1245E647" w:rsidR="003F45BE" w:rsidRPr="00794950" w:rsidRDefault="003F45BE" w:rsidP="00F702FE">
            <w:pPr>
              <w:pStyle w:val="Tabletext"/>
              <w:jc w:val="center"/>
            </w:pPr>
            <w:r w:rsidRPr="00794950">
              <w:t>150</w:t>
            </w:r>
            <w:r w:rsidR="006F7D44" w:rsidRPr="00794950">
              <w:t> 000</w:t>
            </w:r>
          </w:p>
        </w:tc>
      </w:tr>
      <w:tr w:rsidR="003F45BE" w:rsidRPr="00794950" w14:paraId="75C694D0" w14:textId="77777777" w:rsidTr="00E81E2C">
        <w:trPr>
          <w:jc w:val="center"/>
        </w:trPr>
        <w:tc>
          <w:tcPr>
            <w:tcW w:w="6532" w:type="dxa"/>
            <w:tcMar>
              <w:top w:w="0" w:type="dxa"/>
              <w:left w:w="108" w:type="dxa"/>
              <w:bottom w:w="0" w:type="dxa"/>
              <w:right w:w="108" w:type="dxa"/>
            </w:tcMar>
            <w:vAlign w:val="center"/>
          </w:tcPr>
          <w:p w14:paraId="594DEB1C" w14:textId="7F9424D7" w:rsidR="003F45BE" w:rsidRPr="00794950" w:rsidRDefault="003F45BE" w:rsidP="00F702FE">
            <w:pPr>
              <w:pStyle w:val="Tabletext"/>
            </w:pPr>
            <w:bookmarkStart w:id="48" w:name="lt_pId196"/>
            <w:r w:rsidRPr="00794950">
              <w:t>1 G6, inclusion</w:t>
            </w:r>
            <w:bookmarkEnd w:id="48"/>
            <w:r w:rsidR="009E7A2A" w:rsidRPr="00794950">
              <w:t xml:space="preserve"> financière</w:t>
            </w:r>
          </w:p>
        </w:tc>
        <w:tc>
          <w:tcPr>
            <w:tcW w:w="1559" w:type="dxa"/>
            <w:noWrap/>
            <w:tcMar>
              <w:top w:w="0" w:type="dxa"/>
              <w:left w:w="108" w:type="dxa"/>
              <w:bottom w:w="0" w:type="dxa"/>
              <w:right w:w="108" w:type="dxa"/>
            </w:tcMar>
            <w:vAlign w:val="bottom"/>
          </w:tcPr>
          <w:p w14:paraId="1D418636" w14:textId="457B46A1" w:rsidR="003F45BE" w:rsidRPr="00794950" w:rsidRDefault="003F45BE" w:rsidP="00F702FE">
            <w:pPr>
              <w:pStyle w:val="Tabletext"/>
              <w:jc w:val="center"/>
            </w:pPr>
            <w:r w:rsidRPr="00794950">
              <w:t>110</w:t>
            </w:r>
            <w:r w:rsidR="006F7D44" w:rsidRPr="00794950">
              <w:t> 000</w:t>
            </w:r>
          </w:p>
        </w:tc>
      </w:tr>
      <w:tr w:rsidR="003F45BE" w:rsidRPr="00794950" w14:paraId="64BC4417" w14:textId="77777777" w:rsidTr="00E81E2C">
        <w:trPr>
          <w:jc w:val="center"/>
        </w:trPr>
        <w:tc>
          <w:tcPr>
            <w:tcW w:w="6532" w:type="dxa"/>
            <w:tcMar>
              <w:top w:w="0" w:type="dxa"/>
              <w:left w:w="108" w:type="dxa"/>
              <w:bottom w:w="0" w:type="dxa"/>
              <w:right w:w="108" w:type="dxa"/>
            </w:tcMar>
            <w:vAlign w:val="center"/>
          </w:tcPr>
          <w:p w14:paraId="5E47EF8A" w14:textId="18D32954" w:rsidR="003F45BE" w:rsidRPr="00794950" w:rsidRDefault="003F45BE" w:rsidP="00F702FE">
            <w:pPr>
              <w:pStyle w:val="Tabletext"/>
            </w:pPr>
            <w:bookmarkStart w:id="49" w:name="lt_pId198"/>
            <w:r w:rsidRPr="00794950">
              <w:t xml:space="preserve">1 P4, </w:t>
            </w:r>
            <w:r w:rsidR="00CA58EF" w:rsidRPr="00794950">
              <w:t>application</w:t>
            </w:r>
            <w:r w:rsidR="002B25EA" w:rsidRPr="00794950">
              <w:t>s</w:t>
            </w:r>
            <w:r w:rsidR="009E7A2A" w:rsidRPr="00794950">
              <w:t xml:space="preserve"> de l'apprentissage automatique </w:t>
            </w:r>
            <w:r w:rsidR="002B25EA" w:rsidRPr="00794950">
              <w:t>pour</w:t>
            </w:r>
            <w:r w:rsidR="00F00D96" w:rsidRPr="00794950">
              <w:t xml:space="preserve"> </w:t>
            </w:r>
            <w:r w:rsidR="009E7A2A" w:rsidRPr="00794950">
              <w:t>les infrastructures des TIC</w:t>
            </w:r>
            <w:bookmarkEnd w:id="49"/>
          </w:p>
        </w:tc>
        <w:tc>
          <w:tcPr>
            <w:tcW w:w="1559" w:type="dxa"/>
            <w:noWrap/>
            <w:tcMar>
              <w:top w:w="0" w:type="dxa"/>
              <w:left w:w="108" w:type="dxa"/>
              <w:bottom w:w="0" w:type="dxa"/>
              <w:right w:w="108" w:type="dxa"/>
            </w:tcMar>
            <w:vAlign w:val="bottom"/>
          </w:tcPr>
          <w:p w14:paraId="08BD6444" w14:textId="04C6FC87" w:rsidR="003F45BE" w:rsidRPr="00794950" w:rsidRDefault="003F45BE" w:rsidP="00F702FE">
            <w:pPr>
              <w:pStyle w:val="Tabletext"/>
              <w:jc w:val="center"/>
            </w:pPr>
            <w:r w:rsidRPr="00794950">
              <w:t>150</w:t>
            </w:r>
            <w:r w:rsidR="006F7D44" w:rsidRPr="00794950">
              <w:t> 000</w:t>
            </w:r>
          </w:p>
        </w:tc>
      </w:tr>
      <w:tr w:rsidR="003F45BE" w:rsidRPr="00794950" w14:paraId="5C0E14BD" w14:textId="77777777" w:rsidTr="00E81E2C">
        <w:trPr>
          <w:jc w:val="center"/>
        </w:trPr>
        <w:tc>
          <w:tcPr>
            <w:tcW w:w="6532" w:type="dxa"/>
            <w:tcMar>
              <w:top w:w="0" w:type="dxa"/>
              <w:left w:w="108" w:type="dxa"/>
              <w:bottom w:w="0" w:type="dxa"/>
              <w:right w:w="108" w:type="dxa"/>
            </w:tcMar>
            <w:vAlign w:val="center"/>
          </w:tcPr>
          <w:p w14:paraId="258D19D2" w14:textId="63F9C5A3" w:rsidR="003F45BE" w:rsidRPr="00794950" w:rsidRDefault="009E7A2A" w:rsidP="00F702FE">
            <w:pPr>
              <w:pStyle w:val="Tablehead"/>
              <w:jc w:val="left"/>
            </w:pPr>
            <w:bookmarkStart w:id="50" w:name="lt_pId200"/>
            <w:r w:rsidRPr="00794950">
              <w:t>Outils et</w:t>
            </w:r>
            <w:r w:rsidR="003F45BE" w:rsidRPr="00794950">
              <w:t xml:space="preserve"> applications</w:t>
            </w:r>
            <w:r w:rsidRPr="00794950">
              <w:t xml:space="preserve"> </w:t>
            </w:r>
            <w:r w:rsidR="00D70AD7" w:rsidRPr="00794950">
              <w:t>informatiques</w:t>
            </w:r>
            <w:r w:rsidR="003F45BE" w:rsidRPr="00794950">
              <w:t>:</w:t>
            </w:r>
            <w:bookmarkEnd w:id="50"/>
          </w:p>
        </w:tc>
        <w:tc>
          <w:tcPr>
            <w:tcW w:w="1559" w:type="dxa"/>
            <w:noWrap/>
            <w:tcMar>
              <w:top w:w="0" w:type="dxa"/>
              <w:left w:w="108" w:type="dxa"/>
              <w:bottom w:w="0" w:type="dxa"/>
              <w:right w:w="108" w:type="dxa"/>
            </w:tcMar>
            <w:vAlign w:val="bottom"/>
          </w:tcPr>
          <w:p w14:paraId="3124639C" w14:textId="77777777" w:rsidR="003F45BE" w:rsidRPr="00794950" w:rsidRDefault="003F45BE" w:rsidP="00F702FE">
            <w:pPr>
              <w:pStyle w:val="Tablehead"/>
            </w:pPr>
          </w:p>
        </w:tc>
      </w:tr>
      <w:tr w:rsidR="003F45BE" w:rsidRPr="00794950" w14:paraId="39A33D4C" w14:textId="77777777" w:rsidTr="00E81E2C">
        <w:trPr>
          <w:jc w:val="center"/>
        </w:trPr>
        <w:tc>
          <w:tcPr>
            <w:tcW w:w="6532" w:type="dxa"/>
            <w:tcMar>
              <w:top w:w="0" w:type="dxa"/>
              <w:left w:w="108" w:type="dxa"/>
              <w:bottom w:w="0" w:type="dxa"/>
              <w:right w:w="108" w:type="dxa"/>
            </w:tcMar>
            <w:vAlign w:val="center"/>
          </w:tcPr>
          <w:p w14:paraId="233E71ED" w14:textId="701EE8A3" w:rsidR="003F45BE" w:rsidRPr="00794950" w:rsidRDefault="003F45BE" w:rsidP="00F702FE">
            <w:pPr>
              <w:pStyle w:val="Tabletext"/>
            </w:pPr>
            <w:bookmarkStart w:id="51" w:name="lt_pId201"/>
            <w:r w:rsidRPr="00794950">
              <w:t>1 P1</w:t>
            </w:r>
            <w:bookmarkEnd w:id="51"/>
          </w:p>
        </w:tc>
        <w:tc>
          <w:tcPr>
            <w:tcW w:w="1559" w:type="dxa"/>
            <w:noWrap/>
            <w:tcMar>
              <w:top w:w="0" w:type="dxa"/>
              <w:left w:w="108" w:type="dxa"/>
              <w:bottom w:w="0" w:type="dxa"/>
              <w:right w:w="108" w:type="dxa"/>
            </w:tcMar>
            <w:vAlign w:val="bottom"/>
          </w:tcPr>
          <w:p w14:paraId="2DA54DB7" w14:textId="5448A4B0" w:rsidR="003F45BE" w:rsidRPr="00794950" w:rsidRDefault="003F45BE" w:rsidP="00F702FE">
            <w:pPr>
              <w:pStyle w:val="Tabletext"/>
              <w:jc w:val="center"/>
            </w:pPr>
            <w:r w:rsidRPr="00794950">
              <w:t>110</w:t>
            </w:r>
            <w:r w:rsidR="006F7D44" w:rsidRPr="00794950">
              <w:t> 000</w:t>
            </w:r>
          </w:p>
        </w:tc>
      </w:tr>
      <w:tr w:rsidR="003F45BE" w:rsidRPr="00794950" w14:paraId="2F5F12BA" w14:textId="77777777" w:rsidTr="00E81E2C">
        <w:trPr>
          <w:jc w:val="center"/>
        </w:trPr>
        <w:tc>
          <w:tcPr>
            <w:tcW w:w="6532" w:type="dxa"/>
            <w:tcMar>
              <w:top w:w="0" w:type="dxa"/>
              <w:left w:w="108" w:type="dxa"/>
              <w:bottom w:w="0" w:type="dxa"/>
              <w:right w:w="108" w:type="dxa"/>
            </w:tcMar>
            <w:vAlign w:val="center"/>
          </w:tcPr>
          <w:p w14:paraId="467361F4" w14:textId="4AD26AE3" w:rsidR="003F45BE" w:rsidRPr="00794950" w:rsidRDefault="003F45BE" w:rsidP="00F702FE">
            <w:pPr>
              <w:pStyle w:val="Tabletext"/>
            </w:pPr>
            <w:bookmarkStart w:id="52" w:name="lt_pId203"/>
            <w:r w:rsidRPr="00794950">
              <w:t>1 P2</w:t>
            </w:r>
            <w:bookmarkEnd w:id="52"/>
          </w:p>
        </w:tc>
        <w:tc>
          <w:tcPr>
            <w:tcW w:w="1559" w:type="dxa"/>
            <w:noWrap/>
            <w:tcMar>
              <w:top w:w="0" w:type="dxa"/>
              <w:left w:w="108" w:type="dxa"/>
              <w:bottom w:w="0" w:type="dxa"/>
              <w:right w:w="108" w:type="dxa"/>
            </w:tcMar>
            <w:vAlign w:val="bottom"/>
          </w:tcPr>
          <w:p w14:paraId="5381A335" w14:textId="23103573" w:rsidR="003F45BE" w:rsidRPr="00794950" w:rsidRDefault="003F45BE" w:rsidP="00F702FE">
            <w:pPr>
              <w:pStyle w:val="Tabletext"/>
              <w:jc w:val="center"/>
            </w:pPr>
            <w:r w:rsidRPr="00794950">
              <w:t>120</w:t>
            </w:r>
            <w:r w:rsidR="006F7D44" w:rsidRPr="00794950">
              <w:t> 000</w:t>
            </w:r>
          </w:p>
        </w:tc>
      </w:tr>
      <w:tr w:rsidR="003F45BE" w:rsidRPr="00794950" w14:paraId="32A09329" w14:textId="77777777" w:rsidTr="00E81E2C">
        <w:trPr>
          <w:trHeight w:val="288"/>
          <w:jc w:val="center"/>
        </w:trPr>
        <w:tc>
          <w:tcPr>
            <w:tcW w:w="6532" w:type="dxa"/>
            <w:shd w:val="clear" w:color="auto" w:fill="F2F2F2"/>
            <w:tcMar>
              <w:top w:w="0" w:type="dxa"/>
              <w:left w:w="108" w:type="dxa"/>
              <w:bottom w:w="0" w:type="dxa"/>
              <w:right w:w="108" w:type="dxa"/>
            </w:tcMar>
            <w:vAlign w:val="center"/>
            <w:hideMark/>
          </w:tcPr>
          <w:p w14:paraId="6D5E47AE" w14:textId="5FF495FD" w:rsidR="003F45BE" w:rsidRPr="00794950" w:rsidRDefault="003F45BE" w:rsidP="00F702FE">
            <w:pPr>
              <w:pStyle w:val="Tablehead"/>
              <w:jc w:val="left"/>
            </w:pPr>
            <w:bookmarkStart w:id="53" w:name="lt_pId205"/>
            <w:r w:rsidRPr="00794950">
              <w:t>Total</w:t>
            </w:r>
            <w:bookmarkEnd w:id="53"/>
          </w:p>
        </w:tc>
        <w:tc>
          <w:tcPr>
            <w:tcW w:w="1559" w:type="dxa"/>
            <w:shd w:val="clear" w:color="auto" w:fill="F2F2F2"/>
            <w:noWrap/>
            <w:tcMar>
              <w:top w:w="0" w:type="dxa"/>
              <w:left w:w="108" w:type="dxa"/>
              <w:bottom w:w="0" w:type="dxa"/>
              <w:right w:w="108" w:type="dxa"/>
            </w:tcMar>
            <w:vAlign w:val="bottom"/>
            <w:hideMark/>
          </w:tcPr>
          <w:p w14:paraId="54F0BD72" w14:textId="2021AF6C" w:rsidR="003F45BE" w:rsidRPr="00794950" w:rsidRDefault="003F45BE" w:rsidP="00F702FE">
            <w:pPr>
              <w:pStyle w:val="Tablehead"/>
            </w:pPr>
            <w:bookmarkStart w:id="54" w:name="lt_pId206"/>
            <w:r w:rsidRPr="00794950">
              <w:t>880</w:t>
            </w:r>
            <w:bookmarkEnd w:id="54"/>
            <w:r w:rsidR="006F7D44" w:rsidRPr="00794950">
              <w:t> 000</w:t>
            </w:r>
          </w:p>
        </w:tc>
      </w:tr>
    </w:tbl>
    <w:p w14:paraId="48391C24" w14:textId="6C4E7E18" w:rsidR="00626593" w:rsidRPr="00794950" w:rsidRDefault="00626593" w:rsidP="00F702FE">
      <w:pPr>
        <w:pStyle w:val="Tabletitle"/>
        <w:spacing w:before="240" w:after="240"/>
      </w:pPr>
      <w:bookmarkStart w:id="55" w:name="_Hlk38027531"/>
      <w:r w:rsidRPr="00794950">
        <w:t xml:space="preserve">Tableau 4: </w:t>
      </w:r>
      <w:r w:rsidR="006767D9" w:rsidRPr="00794950">
        <w:t>Coûts afférents aux ressources supplémentaires demandées</w:t>
      </w:r>
    </w:p>
    <w:p w14:paraId="25ADF2F7" w14:textId="5D2DFC68" w:rsidR="003F45BE" w:rsidRPr="00794950" w:rsidRDefault="003F45BE" w:rsidP="00F702FE">
      <w:pPr>
        <w:tabs>
          <w:tab w:val="clear" w:pos="567"/>
          <w:tab w:val="clear" w:pos="1134"/>
          <w:tab w:val="clear" w:pos="1701"/>
          <w:tab w:val="clear" w:pos="2268"/>
          <w:tab w:val="clear" w:pos="2835"/>
        </w:tabs>
        <w:spacing w:before="240" w:after="120"/>
      </w:pPr>
      <w:r w:rsidRPr="00794950">
        <w:t>4.2</w:t>
      </w:r>
      <w:r w:rsidRPr="00794950">
        <w:tab/>
      </w:r>
      <w:bookmarkStart w:id="56" w:name="lt_pId208"/>
      <w:r w:rsidR="00777E8D" w:rsidRPr="00794950">
        <w:t xml:space="preserve">Il est proposé de financer ces postes </w:t>
      </w:r>
      <w:r w:rsidR="002B25EA" w:rsidRPr="00794950">
        <w:t>en utilisant l</w:t>
      </w:r>
      <w:r w:rsidR="00A54667" w:rsidRPr="00794950">
        <w:t>'</w:t>
      </w:r>
      <w:r w:rsidR="00E43509" w:rsidRPr="00794950">
        <w:t>excédent</w:t>
      </w:r>
      <w:r w:rsidR="005F7DF4" w:rsidRPr="00794950">
        <w:t xml:space="preserve"> </w:t>
      </w:r>
      <w:r w:rsidR="002B25EA" w:rsidRPr="00794950">
        <w:t>de l</w:t>
      </w:r>
      <w:r w:rsidR="00A54667" w:rsidRPr="00794950">
        <w:t>'</w:t>
      </w:r>
      <w:r w:rsidR="002B25EA" w:rsidRPr="00794950">
        <w:t>exercice</w:t>
      </w:r>
      <w:r w:rsidR="00F00D96" w:rsidRPr="00794950">
        <w:t xml:space="preserve"> </w:t>
      </w:r>
      <w:r w:rsidRPr="00794950">
        <w:t xml:space="preserve">2020, </w:t>
      </w:r>
      <w:r w:rsidR="002B25EA" w:rsidRPr="00794950">
        <w:t>l</w:t>
      </w:r>
      <w:r w:rsidR="005F7DF4" w:rsidRPr="00794950">
        <w:t>e</w:t>
      </w:r>
      <w:r w:rsidR="00FA1A1A" w:rsidRPr="00794950">
        <w:t>s</w:t>
      </w:r>
      <w:r w:rsidRPr="00794950">
        <w:t xml:space="preserve"> contributions</w:t>
      </w:r>
      <w:r w:rsidR="005F7DF4" w:rsidRPr="00794950">
        <w:t xml:space="preserve"> volontaires</w:t>
      </w:r>
      <w:r w:rsidR="002B25EA" w:rsidRPr="00794950">
        <w:t xml:space="preserve"> et, en dernier recours,</w:t>
      </w:r>
      <w:r w:rsidR="00F00D96" w:rsidRPr="00794950">
        <w:t xml:space="preserve"> </w:t>
      </w:r>
      <w:r w:rsidR="001578B8" w:rsidRPr="00794950">
        <w:t>le</w:t>
      </w:r>
      <w:r w:rsidR="00FA1A1A" w:rsidRPr="00794950">
        <w:t xml:space="preserve"> </w:t>
      </w:r>
      <w:r w:rsidR="001578B8" w:rsidRPr="00794950">
        <w:t>F</w:t>
      </w:r>
      <w:r w:rsidR="005F7DF4" w:rsidRPr="00794950">
        <w:t xml:space="preserve">onds de réserve </w:t>
      </w:r>
      <w:r w:rsidR="00FA1A1A" w:rsidRPr="00794950">
        <w:t xml:space="preserve">ou </w:t>
      </w:r>
      <w:r w:rsidR="00D429F7" w:rsidRPr="00794950">
        <w:t>toute</w:t>
      </w:r>
      <w:r w:rsidR="005F7DF4" w:rsidRPr="00794950">
        <w:t xml:space="preserve"> combinaison de </w:t>
      </w:r>
      <w:bookmarkEnd w:id="56"/>
      <w:r w:rsidR="002B25EA" w:rsidRPr="00794950">
        <w:t>ces éléments</w:t>
      </w:r>
      <w:r w:rsidR="005F3635" w:rsidRPr="00794950">
        <w:t>.</w:t>
      </w:r>
    </w:p>
    <w:bookmarkEnd w:id="55"/>
    <w:p w14:paraId="078ED688" w14:textId="77777777" w:rsidR="003F45BE" w:rsidRPr="00794950" w:rsidRDefault="003F45BE" w:rsidP="00F702FE">
      <w:pPr>
        <w:spacing w:before="360"/>
        <w:jc w:val="center"/>
      </w:pPr>
      <w:r w:rsidRPr="00794950">
        <w:t>______________</w:t>
      </w:r>
    </w:p>
    <w:sectPr w:rsidR="003F45BE" w:rsidRPr="00794950" w:rsidSect="005C3890">
      <w:headerReference w:type="even" r:id="rId34"/>
      <w:headerReference w:type="default" r:id="rId35"/>
      <w:footerReference w:type="even" r:id="rId36"/>
      <w:footerReference w:type="default" r:id="rId37"/>
      <w:footerReference w:type="first" r:id="rId38"/>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4152FF" w14:textId="77777777" w:rsidR="00AF0B22" w:rsidRDefault="00AF0B22">
      <w:r>
        <w:separator/>
      </w:r>
    </w:p>
  </w:endnote>
  <w:endnote w:type="continuationSeparator" w:id="0">
    <w:p w14:paraId="67DF207B" w14:textId="77777777" w:rsidR="00AF0B22" w:rsidRDefault="00AF0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75C7E5" w14:textId="2A2AA81C" w:rsidR="00AF0B22" w:rsidRPr="00DD1814" w:rsidRDefault="00AF0B22">
    <w:pPr>
      <w:pStyle w:val="Footer"/>
      <w:rPr>
        <w:lang w:val="fr-CH"/>
      </w:rPr>
    </w:pPr>
    <w:r>
      <w:fldChar w:fldCharType="begin"/>
    </w:r>
    <w:r w:rsidRPr="00DD1814">
      <w:rPr>
        <w:lang w:val="fr-CH"/>
      </w:rPr>
      <w:instrText xml:space="preserve"> FILENAME \p \* MERGEFORMAT </w:instrText>
    </w:r>
    <w:r>
      <w:fldChar w:fldCharType="separate"/>
    </w:r>
    <w:r>
      <w:rPr>
        <w:lang w:val="fr-CH"/>
      </w:rPr>
      <w:t>P:\TRAD\F\SG\CONSEIL\C20\000\014REV1FMontage.docx</w:t>
    </w:r>
    <w:r>
      <w:fldChar w:fldCharType="end"/>
    </w:r>
    <w:r w:rsidRPr="00DD1814">
      <w:rPr>
        <w:lang w:val="fr-CH"/>
      </w:rPr>
      <w:tab/>
    </w:r>
    <w:r>
      <w:fldChar w:fldCharType="begin"/>
    </w:r>
    <w:r>
      <w:instrText xml:space="preserve"> savedate \@ dd.MM.yy </w:instrText>
    </w:r>
    <w:r>
      <w:fldChar w:fldCharType="separate"/>
    </w:r>
    <w:r w:rsidR="00111655">
      <w:t>26.10.20</w:t>
    </w:r>
    <w:r>
      <w:fldChar w:fldCharType="end"/>
    </w:r>
    <w:r w:rsidRPr="00DD1814">
      <w:rPr>
        <w:lang w:val="fr-CH"/>
      </w:rPr>
      <w:tab/>
    </w:r>
    <w:r>
      <w:fldChar w:fldCharType="begin"/>
    </w:r>
    <w:r>
      <w:instrText xml:space="preserve"> printdate \@ dd.MM.yy </w:instrText>
    </w:r>
    <w:r>
      <w:fldChar w:fldCharType="separate"/>
    </w:r>
    <w:r>
      <w:t>01.05.20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44D6D" w14:textId="42538CDE" w:rsidR="00AF0B22" w:rsidRPr="00111655" w:rsidRDefault="00AF0B22">
    <w:pPr>
      <w:pStyle w:val="Footer"/>
      <w:rPr>
        <w:color w:val="D9D9D9" w:themeColor="background1" w:themeShade="D9"/>
        <w:lang w:val="fr-CH"/>
      </w:rPr>
    </w:pPr>
    <w:r w:rsidRPr="00111655">
      <w:rPr>
        <w:color w:val="D9D9D9" w:themeColor="background1" w:themeShade="D9"/>
      </w:rPr>
      <w:fldChar w:fldCharType="begin"/>
    </w:r>
    <w:r w:rsidRPr="00111655">
      <w:rPr>
        <w:color w:val="D9D9D9" w:themeColor="background1" w:themeShade="D9"/>
        <w:lang w:val="fr-CH"/>
      </w:rPr>
      <w:instrText xml:space="preserve"> FILENAME \p \* MERGEFORMAT </w:instrText>
    </w:r>
    <w:r w:rsidRPr="00111655">
      <w:rPr>
        <w:color w:val="D9D9D9" w:themeColor="background1" w:themeShade="D9"/>
      </w:rPr>
      <w:fldChar w:fldCharType="separate"/>
    </w:r>
    <w:r w:rsidRPr="00111655">
      <w:rPr>
        <w:color w:val="D9D9D9" w:themeColor="background1" w:themeShade="D9"/>
        <w:lang w:val="fr-CH"/>
      </w:rPr>
      <w:t>P:\FRA\SG\CONSEIL\C20\000\014REV1F.docx</w:t>
    </w:r>
    <w:r w:rsidRPr="00111655">
      <w:rPr>
        <w:color w:val="D9D9D9" w:themeColor="background1" w:themeShade="D9"/>
      </w:rPr>
      <w:fldChar w:fldCharType="end"/>
    </w:r>
    <w:r w:rsidRPr="00111655">
      <w:rPr>
        <w:color w:val="D9D9D9" w:themeColor="background1" w:themeShade="D9"/>
        <w:lang w:val="fr-CH"/>
      </w:rPr>
      <w:t xml:space="preserve"> (478826)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C8D19" w14:textId="1F140615" w:rsidR="00AF0B22" w:rsidRDefault="00AF0B22">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28A4FF" w14:textId="77777777" w:rsidR="00AF0B22" w:rsidRDefault="00AF0B22">
      <w:r>
        <w:t>____________________</w:t>
      </w:r>
    </w:p>
  </w:footnote>
  <w:footnote w:type="continuationSeparator" w:id="0">
    <w:p w14:paraId="16170D59" w14:textId="77777777" w:rsidR="00AF0B22" w:rsidRDefault="00AF0B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3B207" w14:textId="77777777" w:rsidR="00AF0B22" w:rsidRDefault="00AF0B22">
    <w:pPr>
      <w:pStyle w:val="Header"/>
    </w:pPr>
    <w:r>
      <w:t xml:space="preserve">- </w:t>
    </w:r>
    <w:r>
      <w:fldChar w:fldCharType="begin"/>
    </w:r>
    <w:r>
      <w:instrText>PAGE</w:instrText>
    </w:r>
    <w:r>
      <w:fldChar w:fldCharType="separate"/>
    </w:r>
    <w:r>
      <w:rPr>
        <w:noProof/>
      </w:rPr>
      <w:t>2</w:t>
    </w:r>
    <w:r>
      <w:rPr>
        <w:noProof/>
      </w:rPr>
      <w:fldChar w:fldCharType="end"/>
    </w:r>
    <w:r>
      <w:t xml:space="preserve"> -</w:t>
    </w:r>
  </w:p>
  <w:p w14:paraId="0281A238" w14:textId="77777777" w:rsidR="00AF0B22" w:rsidRDefault="00AF0B22">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BB5CD" w14:textId="638733EB" w:rsidR="00AF0B22" w:rsidRDefault="00AF0B22" w:rsidP="00475FB3">
    <w:pPr>
      <w:pStyle w:val="Header"/>
    </w:pPr>
    <w:r>
      <w:fldChar w:fldCharType="begin"/>
    </w:r>
    <w:r>
      <w:instrText>PAGE</w:instrText>
    </w:r>
    <w:r>
      <w:fldChar w:fldCharType="separate"/>
    </w:r>
    <w:r>
      <w:rPr>
        <w:noProof/>
      </w:rPr>
      <w:t>9</w:t>
    </w:r>
    <w:r>
      <w:rPr>
        <w:noProof/>
      </w:rPr>
      <w:fldChar w:fldCharType="end"/>
    </w:r>
  </w:p>
  <w:p w14:paraId="453A44C7" w14:textId="22FA4418" w:rsidR="00AF0B22" w:rsidRDefault="00AF0B22" w:rsidP="00106B19">
    <w:pPr>
      <w:pStyle w:val="Header"/>
    </w:pPr>
    <w:r>
      <w:t>C20/14(Rév.1)-F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2D1A46"/>
    <w:multiLevelType w:val="hybridMultilevel"/>
    <w:tmpl w:val="6152F2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E5E6C13"/>
    <w:multiLevelType w:val="hybridMultilevel"/>
    <w:tmpl w:val="B1C20E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59547D1"/>
    <w:multiLevelType w:val="hybridMultilevel"/>
    <w:tmpl w:val="DCF8BE30"/>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58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A7BED48-5874-40FB-93B3-466169C6C223}"/>
    <w:docVar w:name="dgnword-eventsink" w:val="2300146130432"/>
  </w:docVars>
  <w:rsids>
    <w:rsidRoot w:val="000721A9"/>
    <w:rsid w:val="00006DC5"/>
    <w:rsid w:val="0001436B"/>
    <w:rsid w:val="000248DD"/>
    <w:rsid w:val="000325FC"/>
    <w:rsid w:val="00036357"/>
    <w:rsid w:val="00042F7A"/>
    <w:rsid w:val="00046943"/>
    <w:rsid w:val="000507D4"/>
    <w:rsid w:val="000721A9"/>
    <w:rsid w:val="0007231E"/>
    <w:rsid w:val="000773D4"/>
    <w:rsid w:val="00083CA9"/>
    <w:rsid w:val="00093A04"/>
    <w:rsid w:val="000A6A1A"/>
    <w:rsid w:val="000B0FAC"/>
    <w:rsid w:val="000B168C"/>
    <w:rsid w:val="000B325D"/>
    <w:rsid w:val="000C051E"/>
    <w:rsid w:val="000C0FBB"/>
    <w:rsid w:val="000C4DDB"/>
    <w:rsid w:val="000C6C55"/>
    <w:rsid w:val="000D0D0A"/>
    <w:rsid w:val="000D4A86"/>
    <w:rsid w:val="000E16D5"/>
    <w:rsid w:val="000F7279"/>
    <w:rsid w:val="00101AFF"/>
    <w:rsid w:val="00103163"/>
    <w:rsid w:val="001038AC"/>
    <w:rsid w:val="00106B19"/>
    <w:rsid w:val="00111655"/>
    <w:rsid w:val="00111774"/>
    <w:rsid w:val="0011574B"/>
    <w:rsid w:val="00115D93"/>
    <w:rsid w:val="001247A8"/>
    <w:rsid w:val="00133679"/>
    <w:rsid w:val="001362DF"/>
    <w:rsid w:val="001378C0"/>
    <w:rsid w:val="0015265A"/>
    <w:rsid w:val="00154B4D"/>
    <w:rsid w:val="001564EC"/>
    <w:rsid w:val="001578B8"/>
    <w:rsid w:val="00170AB0"/>
    <w:rsid w:val="00172BAC"/>
    <w:rsid w:val="001843FA"/>
    <w:rsid w:val="0018694A"/>
    <w:rsid w:val="001973B6"/>
    <w:rsid w:val="001A3287"/>
    <w:rsid w:val="001A6508"/>
    <w:rsid w:val="001B2EAA"/>
    <w:rsid w:val="001B34A4"/>
    <w:rsid w:val="001B3F57"/>
    <w:rsid w:val="001C1192"/>
    <w:rsid w:val="001D4C31"/>
    <w:rsid w:val="001D7D65"/>
    <w:rsid w:val="001E4D21"/>
    <w:rsid w:val="001F0CCF"/>
    <w:rsid w:val="001F2609"/>
    <w:rsid w:val="001F2EE3"/>
    <w:rsid w:val="00203BE2"/>
    <w:rsid w:val="00203DE5"/>
    <w:rsid w:val="002061BE"/>
    <w:rsid w:val="00206772"/>
    <w:rsid w:val="00207CD1"/>
    <w:rsid w:val="002123D7"/>
    <w:rsid w:val="0022043B"/>
    <w:rsid w:val="0022700A"/>
    <w:rsid w:val="00231559"/>
    <w:rsid w:val="00236198"/>
    <w:rsid w:val="00240618"/>
    <w:rsid w:val="002477A2"/>
    <w:rsid w:val="00253FE2"/>
    <w:rsid w:val="0025502C"/>
    <w:rsid w:val="00255D1F"/>
    <w:rsid w:val="00263A51"/>
    <w:rsid w:val="00267E02"/>
    <w:rsid w:val="00277BF2"/>
    <w:rsid w:val="00290918"/>
    <w:rsid w:val="00292D1C"/>
    <w:rsid w:val="002A587B"/>
    <w:rsid w:val="002A5D44"/>
    <w:rsid w:val="002A7F26"/>
    <w:rsid w:val="002B25EA"/>
    <w:rsid w:val="002C044B"/>
    <w:rsid w:val="002C345A"/>
    <w:rsid w:val="002D468C"/>
    <w:rsid w:val="002E0BC4"/>
    <w:rsid w:val="002F0B7F"/>
    <w:rsid w:val="002F1B76"/>
    <w:rsid w:val="002F5CFB"/>
    <w:rsid w:val="002F5EFF"/>
    <w:rsid w:val="0031580F"/>
    <w:rsid w:val="0032239D"/>
    <w:rsid w:val="0032470B"/>
    <w:rsid w:val="00330D0C"/>
    <w:rsid w:val="0033568E"/>
    <w:rsid w:val="00335745"/>
    <w:rsid w:val="003420B1"/>
    <w:rsid w:val="00355923"/>
    <w:rsid w:val="00355FF5"/>
    <w:rsid w:val="00356721"/>
    <w:rsid w:val="00361350"/>
    <w:rsid w:val="00366831"/>
    <w:rsid w:val="00370DD5"/>
    <w:rsid w:val="00371233"/>
    <w:rsid w:val="00373A44"/>
    <w:rsid w:val="00377134"/>
    <w:rsid w:val="00380AED"/>
    <w:rsid w:val="00381CC2"/>
    <w:rsid w:val="00386284"/>
    <w:rsid w:val="003901AD"/>
    <w:rsid w:val="003A300A"/>
    <w:rsid w:val="003A3DE0"/>
    <w:rsid w:val="003B0174"/>
    <w:rsid w:val="003C124A"/>
    <w:rsid w:val="003C3FAE"/>
    <w:rsid w:val="003D7163"/>
    <w:rsid w:val="003E15E3"/>
    <w:rsid w:val="003F45BE"/>
    <w:rsid w:val="003F581E"/>
    <w:rsid w:val="00401920"/>
    <w:rsid w:val="00402AF2"/>
    <w:rsid w:val="004038CB"/>
    <w:rsid w:val="0040546F"/>
    <w:rsid w:val="004176F6"/>
    <w:rsid w:val="0042404A"/>
    <w:rsid w:val="00424380"/>
    <w:rsid w:val="00430FAC"/>
    <w:rsid w:val="00432CC2"/>
    <w:rsid w:val="0044618F"/>
    <w:rsid w:val="004546A6"/>
    <w:rsid w:val="00462B60"/>
    <w:rsid w:val="00463167"/>
    <w:rsid w:val="0046769A"/>
    <w:rsid w:val="00475FB3"/>
    <w:rsid w:val="00477082"/>
    <w:rsid w:val="00496FB1"/>
    <w:rsid w:val="004A0C10"/>
    <w:rsid w:val="004C37A9"/>
    <w:rsid w:val="004E5ADF"/>
    <w:rsid w:val="004F1F64"/>
    <w:rsid w:val="004F259E"/>
    <w:rsid w:val="004F2870"/>
    <w:rsid w:val="004F49E3"/>
    <w:rsid w:val="00506021"/>
    <w:rsid w:val="00511C66"/>
    <w:rsid w:val="00511F1D"/>
    <w:rsid w:val="00520F36"/>
    <w:rsid w:val="00522FAC"/>
    <w:rsid w:val="00540615"/>
    <w:rsid w:val="005407AA"/>
    <w:rsid w:val="00540A6D"/>
    <w:rsid w:val="00563066"/>
    <w:rsid w:val="00563B49"/>
    <w:rsid w:val="00571EEA"/>
    <w:rsid w:val="00575417"/>
    <w:rsid w:val="005768E1"/>
    <w:rsid w:val="00585FD1"/>
    <w:rsid w:val="00590891"/>
    <w:rsid w:val="005A099B"/>
    <w:rsid w:val="005A38C3"/>
    <w:rsid w:val="005A561C"/>
    <w:rsid w:val="005B1938"/>
    <w:rsid w:val="005B6884"/>
    <w:rsid w:val="005C3890"/>
    <w:rsid w:val="005D5AE4"/>
    <w:rsid w:val="005F0A28"/>
    <w:rsid w:val="005F3635"/>
    <w:rsid w:val="005F7BFE"/>
    <w:rsid w:val="005F7DF4"/>
    <w:rsid w:val="00600017"/>
    <w:rsid w:val="0060316E"/>
    <w:rsid w:val="00607E2D"/>
    <w:rsid w:val="00611CB3"/>
    <w:rsid w:val="0061539E"/>
    <w:rsid w:val="006235CA"/>
    <w:rsid w:val="00626593"/>
    <w:rsid w:val="006427CF"/>
    <w:rsid w:val="006515BF"/>
    <w:rsid w:val="00656DA8"/>
    <w:rsid w:val="006643AB"/>
    <w:rsid w:val="0067554A"/>
    <w:rsid w:val="006767D9"/>
    <w:rsid w:val="00677237"/>
    <w:rsid w:val="0068453C"/>
    <w:rsid w:val="00691AF7"/>
    <w:rsid w:val="006A4888"/>
    <w:rsid w:val="006B2334"/>
    <w:rsid w:val="006B5D19"/>
    <w:rsid w:val="006C0CEC"/>
    <w:rsid w:val="006C32D5"/>
    <w:rsid w:val="006D23F4"/>
    <w:rsid w:val="006D276E"/>
    <w:rsid w:val="006E32E4"/>
    <w:rsid w:val="006E6BD2"/>
    <w:rsid w:val="006F7D44"/>
    <w:rsid w:val="00700FDF"/>
    <w:rsid w:val="00703AD5"/>
    <w:rsid w:val="0071127E"/>
    <w:rsid w:val="0071698B"/>
    <w:rsid w:val="007171AB"/>
    <w:rsid w:val="007210CD"/>
    <w:rsid w:val="00732045"/>
    <w:rsid w:val="007326BC"/>
    <w:rsid w:val="007369DB"/>
    <w:rsid w:val="00737A85"/>
    <w:rsid w:val="007469A3"/>
    <w:rsid w:val="00747892"/>
    <w:rsid w:val="007548D6"/>
    <w:rsid w:val="00760ED7"/>
    <w:rsid w:val="0076767F"/>
    <w:rsid w:val="007706E9"/>
    <w:rsid w:val="00773F66"/>
    <w:rsid w:val="00776589"/>
    <w:rsid w:val="00777E8D"/>
    <w:rsid w:val="00780BF0"/>
    <w:rsid w:val="00790800"/>
    <w:rsid w:val="00790D5B"/>
    <w:rsid w:val="007943DC"/>
    <w:rsid w:val="00794950"/>
    <w:rsid w:val="007956C2"/>
    <w:rsid w:val="007961DF"/>
    <w:rsid w:val="007A099C"/>
    <w:rsid w:val="007A187E"/>
    <w:rsid w:val="007A277D"/>
    <w:rsid w:val="007A5678"/>
    <w:rsid w:val="007A77F6"/>
    <w:rsid w:val="007C72C2"/>
    <w:rsid w:val="007D4436"/>
    <w:rsid w:val="007D4A76"/>
    <w:rsid w:val="007D5238"/>
    <w:rsid w:val="007F257A"/>
    <w:rsid w:val="007F3665"/>
    <w:rsid w:val="00800037"/>
    <w:rsid w:val="0081328B"/>
    <w:rsid w:val="0081691C"/>
    <w:rsid w:val="00820999"/>
    <w:rsid w:val="0082161C"/>
    <w:rsid w:val="00823D60"/>
    <w:rsid w:val="0082600A"/>
    <w:rsid w:val="00830C57"/>
    <w:rsid w:val="008311B3"/>
    <w:rsid w:val="00831706"/>
    <w:rsid w:val="00834B48"/>
    <w:rsid w:val="00834BBE"/>
    <w:rsid w:val="008413C4"/>
    <w:rsid w:val="00861038"/>
    <w:rsid w:val="00861D73"/>
    <w:rsid w:val="008721CF"/>
    <w:rsid w:val="00876BB4"/>
    <w:rsid w:val="008804A3"/>
    <w:rsid w:val="00884660"/>
    <w:rsid w:val="00886D3C"/>
    <w:rsid w:val="0089755E"/>
    <w:rsid w:val="008A4E87"/>
    <w:rsid w:val="008A60C3"/>
    <w:rsid w:val="008A6E75"/>
    <w:rsid w:val="008B2B93"/>
    <w:rsid w:val="008B4CD4"/>
    <w:rsid w:val="008D76E6"/>
    <w:rsid w:val="008D7794"/>
    <w:rsid w:val="008F1287"/>
    <w:rsid w:val="008F4B04"/>
    <w:rsid w:val="008F5D57"/>
    <w:rsid w:val="00912684"/>
    <w:rsid w:val="0092392D"/>
    <w:rsid w:val="0093234A"/>
    <w:rsid w:val="009535CF"/>
    <w:rsid w:val="00957863"/>
    <w:rsid w:val="00961FE9"/>
    <w:rsid w:val="009638E1"/>
    <w:rsid w:val="00967161"/>
    <w:rsid w:val="0097386B"/>
    <w:rsid w:val="009762E9"/>
    <w:rsid w:val="00990D74"/>
    <w:rsid w:val="009B3503"/>
    <w:rsid w:val="009B37B2"/>
    <w:rsid w:val="009C307F"/>
    <w:rsid w:val="009C353C"/>
    <w:rsid w:val="009C38EF"/>
    <w:rsid w:val="009D7400"/>
    <w:rsid w:val="009E0099"/>
    <w:rsid w:val="009E5468"/>
    <w:rsid w:val="009E7A2A"/>
    <w:rsid w:val="009F1891"/>
    <w:rsid w:val="009F24BD"/>
    <w:rsid w:val="00A0364C"/>
    <w:rsid w:val="00A04F73"/>
    <w:rsid w:val="00A113DB"/>
    <w:rsid w:val="00A2113E"/>
    <w:rsid w:val="00A23A51"/>
    <w:rsid w:val="00A24607"/>
    <w:rsid w:val="00A25CD3"/>
    <w:rsid w:val="00A330B9"/>
    <w:rsid w:val="00A33551"/>
    <w:rsid w:val="00A34E7F"/>
    <w:rsid w:val="00A3704D"/>
    <w:rsid w:val="00A416C6"/>
    <w:rsid w:val="00A43EE2"/>
    <w:rsid w:val="00A51233"/>
    <w:rsid w:val="00A53FF1"/>
    <w:rsid w:val="00A54667"/>
    <w:rsid w:val="00A63875"/>
    <w:rsid w:val="00A73257"/>
    <w:rsid w:val="00A80662"/>
    <w:rsid w:val="00A80D40"/>
    <w:rsid w:val="00A82767"/>
    <w:rsid w:val="00A95BE5"/>
    <w:rsid w:val="00A96C58"/>
    <w:rsid w:val="00A96E6C"/>
    <w:rsid w:val="00AA332F"/>
    <w:rsid w:val="00AA7BBB"/>
    <w:rsid w:val="00AB4231"/>
    <w:rsid w:val="00AB64A8"/>
    <w:rsid w:val="00AC0266"/>
    <w:rsid w:val="00AC0FC1"/>
    <w:rsid w:val="00AD24EC"/>
    <w:rsid w:val="00AD441B"/>
    <w:rsid w:val="00AF0A47"/>
    <w:rsid w:val="00AF0B22"/>
    <w:rsid w:val="00AF1D1C"/>
    <w:rsid w:val="00B033BC"/>
    <w:rsid w:val="00B072E4"/>
    <w:rsid w:val="00B1206F"/>
    <w:rsid w:val="00B13E8D"/>
    <w:rsid w:val="00B229D3"/>
    <w:rsid w:val="00B274B5"/>
    <w:rsid w:val="00B309F9"/>
    <w:rsid w:val="00B32B60"/>
    <w:rsid w:val="00B36E66"/>
    <w:rsid w:val="00B37E2E"/>
    <w:rsid w:val="00B401B9"/>
    <w:rsid w:val="00B41A80"/>
    <w:rsid w:val="00B44E5C"/>
    <w:rsid w:val="00B452D6"/>
    <w:rsid w:val="00B46A5F"/>
    <w:rsid w:val="00B476CC"/>
    <w:rsid w:val="00B61619"/>
    <w:rsid w:val="00B71646"/>
    <w:rsid w:val="00B77B3D"/>
    <w:rsid w:val="00B93210"/>
    <w:rsid w:val="00BA5562"/>
    <w:rsid w:val="00BB4545"/>
    <w:rsid w:val="00BC190D"/>
    <w:rsid w:val="00BC42ED"/>
    <w:rsid w:val="00BD4810"/>
    <w:rsid w:val="00BD4838"/>
    <w:rsid w:val="00BD5873"/>
    <w:rsid w:val="00BE05E8"/>
    <w:rsid w:val="00C04BE3"/>
    <w:rsid w:val="00C0691F"/>
    <w:rsid w:val="00C07955"/>
    <w:rsid w:val="00C12E93"/>
    <w:rsid w:val="00C13333"/>
    <w:rsid w:val="00C17AFF"/>
    <w:rsid w:val="00C2162A"/>
    <w:rsid w:val="00C216C9"/>
    <w:rsid w:val="00C2281D"/>
    <w:rsid w:val="00C25D29"/>
    <w:rsid w:val="00C26281"/>
    <w:rsid w:val="00C27A7C"/>
    <w:rsid w:val="00C41FB8"/>
    <w:rsid w:val="00C432F1"/>
    <w:rsid w:val="00C46549"/>
    <w:rsid w:val="00C47D15"/>
    <w:rsid w:val="00C6628B"/>
    <w:rsid w:val="00C67A94"/>
    <w:rsid w:val="00C722B6"/>
    <w:rsid w:val="00C94D11"/>
    <w:rsid w:val="00CA08ED"/>
    <w:rsid w:val="00CA16A5"/>
    <w:rsid w:val="00CA58EF"/>
    <w:rsid w:val="00CB4209"/>
    <w:rsid w:val="00CB4BDD"/>
    <w:rsid w:val="00CC796F"/>
    <w:rsid w:val="00CD13C9"/>
    <w:rsid w:val="00CE325A"/>
    <w:rsid w:val="00CF183B"/>
    <w:rsid w:val="00D0247F"/>
    <w:rsid w:val="00D060DE"/>
    <w:rsid w:val="00D141FA"/>
    <w:rsid w:val="00D152A3"/>
    <w:rsid w:val="00D254D8"/>
    <w:rsid w:val="00D26A9A"/>
    <w:rsid w:val="00D375CD"/>
    <w:rsid w:val="00D429F7"/>
    <w:rsid w:val="00D53F54"/>
    <w:rsid w:val="00D553A2"/>
    <w:rsid w:val="00D60A39"/>
    <w:rsid w:val="00D60DDB"/>
    <w:rsid w:val="00D622CE"/>
    <w:rsid w:val="00D62CC2"/>
    <w:rsid w:val="00D70370"/>
    <w:rsid w:val="00D70AD7"/>
    <w:rsid w:val="00D7517A"/>
    <w:rsid w:val="00D774D3"/>
    <w:rsid w:val="00D904E8"/>
    <w:rsid w:val="00D93E83"/>
    <w:rsid w:val="00D94FCF"/>
    <w:rsid w:val="00DA08C3"/>
    <w:rsid w:val="00DA53D1"/>
    <w:rsid w:val="00DB5A3E"/>
    <w:rsid w:val="00DB6AA5"/>
    <w:rsid w:val="00DC0CD3"/>
    <w:rsid w:val="00DC22AA"/>
    <w:rsid w:val="00DD1814"/>
    <w:rsid w:val="00DE5CF8"/>
    <w:rsid w:val="00DF74DD"/>
    <w:rsid w:val="00E07909"/>
    <w:rsid w:val="00E2363A"/>
    <w:rsid w:val="00E2490D"/>
    <w:rsid w:val="00E25AD0"/>
    <w:rsid w:val="00E4116B"/>
    <w:rsid w:val="00E43509"/>
    <w:rsid w:val="00E52954"/>
    <w:rsid w:val="00E66337"/>
    <w:rsid w:val="00E75F0E"/>
    <w:rsid w:val="00E81E2C"/>
    <w:rsid w:val="00E851E4"/>
    <w:rsid w:val="00E921AD"/>
    <w:rsid w:val="00E948E5"/>
    <w:rsid w:val="00EB15E8"/>
    <w:rsid w:val="00EB4460"/>
    <w:rsid w:val="00EB6350"/>
    <w:rsid w:val="00EC04F7"/>
    <w:rsid w:val="00EC50C3"/>
    <w:rsid w:val="00ED39A6"/>
    <w:rsid w:val="00ED73B2"/>
    <w:rsid w:val="00EE50F2"/>
    <w:rsid w:val="00EF5039"/>
    <w:rsid w:val="00EF5096"/>
    <w:rsid w:val="00F00D96"/>
    <w:rsid w:val="00F02A27"/>
    <w:rsid w:val="00F05100"/>
    <w:rsid w:val="00F12191"/>
    <w:rsid w:val="00F13FC0"/>
    <w:rsid w:val="00F15B57"/>
    <w:rsid w:val="00F23A7D"/>
    <w:rsid w:val="00F260F4"/>
    <w:rsid w:val="00F26D92"/>
    <w:rsid w:val="00F311F3"/>
    <w:rsid w:val="00F33C23"/>
    <w:rsid w:val="00F36593"/>
    <w:rsid w:val="00F427DB"/>
    <w:rsid w:val="00F44A52"/>
    <w:rsid w:val="00F54A90"/>
    <w:rsid w:val="00F65269"/>
    <w:rsid w:val="00F665D3"/>
    <w:rsid w:val="00F702FE"/>
    <w:rsid w:val="00F723B4"/>
    <w:rsid w:val="00F72BAB"/>
    <w:rsid w:val="00F747F1"/>
    <w:rsid w:val="00F76686"/>
    <w:rsid w:val="00F80AED"/>
    <w:rsid w:val="00F81E5E"/>
    <w:rsid w:val="00F82C99"/>
    <w:rsid w:val="00F91329"/>
    <w:rsid w:val="00F92D62"/>
    <w:rsid w:val="00F96FBF"/>
    <w:rsid w:val="00FA1A1A"/>
    <w:rsid w:val="00FA3E6A"/>
    <w:rsid w:val="00FA5EB1"/>
    <w:rsid w:val="00FA7439"/>
    <w:rsid w:val="00FB1171"/>
    <w:rsid w:val="00FC4EC0"/>
    <w:rsid w:val="00FC7A8F"/>
    <w:rsid w:val="00FD5F35"/>
    <w:rsid w:val="00FD7E81"/>
    <w:rsid w:val="00FF0181"/>
    <w:rsid w:val="00FF1BC1"/>
    <w:rsid w:val="00FF2E8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1D9AAE5E"/>
  <w15:docId w15:val="{AEE8A956-AC8C-4CBD-B3CE-975556B8D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uiPriority w:val="39"/>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uiPriority w:val="39"/>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aliases w:val="CEO_Hyperlink,超级链接,超?级链,Style 58,超????,하이퍼링크2,超链接1"/>
    <w:basedOn w:val="DefaultParagraphFont"/>
    <w:uiPriority w:val="99"/>
    <w:qForma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UnresolvedMention1">
    <w:name w:val="Unresolved Mention1"/>
    <w:basedOn w:val="DefaultParagraphFont"/>
    <w:uiPriority w:val="99"/>
    <w:semiHidden/>
    <w:unhideWhenUsed/>
    <w:rsid w:val="00E07909"/>
    <w:rPr>
      <w:color w:val="605E5C"/>
      <w:shd w:val="clear" w:color="auto" w:fill="E1DFDD"/>
    </w:rPr>
  </w:style>
  <w:style w:type="paragraph" w:styleId="BalloonText">
    <w:name w:val="Balloon Text"/>
    <w:basedOn w:val="Normal"/>
    <w:link w:val="BalloonTextChar"/>
    <w:semiHidden/>
    <w:unhideWhenUsed/>
    <w:rsid w:val="0011574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1574B"/>
    <w:rPr>
      <w:rFonts w:ascii="Segoe UI" w:hAnsi="Segoe UI" w:cs="Segoe UI"/>
      <w:sz w:val="18"/>
      <w:szCs w:val="18"/>
      <w:lang w:val="fr-FR" w:eastAsia="en-US"/>
    </w:rPr>
  </w:style>
  <w:style w:type="character" w:styleId="UnresolvedMention">
    <w:name w:val="Unresolved Mention"/>
    <w:basedOn w:val="DefaultParagraphFont"/>
    <w:uiPriority w:val="99"/>
    <w:semiHidden/>
    <w:unhideWhenUsed/>
    <w:rsid w:val="0011574B"/>
    <w:rPr>
      <w:color w:val="605E5C"/>
      <w:shd w:val="clear" w:color="auto" w:fill="E1DFDD"/>
    </w:rPr>
  </w:style>
  <w:style w:type="table" w:customStyle="1" w:styleId="ListTable2-Accent11">
    <w:name w:val="List Table 2 - Accent 11"/>
    <w:basedOn w:val="TableNormal"/>
    <w:next w:val="ListTable2-Accent1"/>
    <w:uiPriority w:val="47"/>
    <w:rsid w:val="0011574B"/>
    <w:rPr>
      <w:rFonts w:ascii="Calibri" w:eastAsia="Calibri" w:hAnsi="Calibri"/>
      <w:sz w:val="22"/>
      <w:szCs w:val="22"/>
      <w:lang w:val="en-GB" w:eastAsia="en-US"/>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1">
    <w:name w:val="List Table 2 Accent 1"/>
    <w:basedOn w:val="TableNormal"/>
    <w:uiPriority w:val="47"/>
    <w:rsid w:val="0011574B"/>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normaltextrun">
    <w:name w:val="normaltextrun"/>
    <w:basedOn w:val="DefaultParagraphFont"/>
    <w:rsid w:val="00EC50C3"/>
  </w:style>
  <w:style w:type="character" w:styleId="PlaceholderText">
    <w:name w:val="Placeholder Text"/>
    <w:basedOn w:val="DefaultParagraphFont"/>
    <w:uiPriority w:val="99"/>
    <w:semiHidden/>
    <w:rsid w:val="00EC50C3"/>
    <w:rPr>
      <w:color w:val="808080"/>
    </w:rPr>
  </w:style>
  <w:style w:type="character" w:customStyle="1" w:styleId="eop">
    <w:name w:val="eop"/>
    <w:basedOn w:val="DefaultParagraphFont"/>
    <w:rsid w:val="00626593"/>
  </w:style>
  <w:style w:type="paragraph" w:styleId="Caption">
    <w:name w:val="caption"/>
    <w:basedOn w:val="Normal"/>
    <w:next w:val="Normal"/>
    <w:unhideWhenUsed/>
    <w:qFormat/>
    <w:rsid w:val="00626593"/>
    <w:pPr>
      <w:spacing w:before="0" w:after="200"/>
    </w:pPr>
    <w:rPr>
      <w:i/>
      <w:iCs/>
      <w:color w:val="1F497D" w:themeColor="text2"/>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0-CL-INF-0007/en" TargetMode="External"/><Relationship Id="rId18" Type="http://schemas.openxmlformats.org/officeDocument/2006/relationships/hyperlink" Target="https://www.itu.int/myworkspace/" TargetMode="External"/><Relationship Id="rId26" Type="http://schemas.openxmlformats.org/officeDocument/2006/relationships/hyperlink" Target="https://www.itu.int/myworkspace/" TargetMode="External"/><Relationship Id="rId39" Type="http://schemas.openxmlformats.org/officeDocument/2006/relationships/fontTable" Target="fontTable.xml"/><Relationship Id="rId21" Type="http://schemas.openxmlformats.org/officeDocument/2006/relationships/hyperlink" Target="https://www.itu.int/myworkspace/"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itu.int/md/S20-CL-INF-0007" TargetMode="External"/><Relationship Id="rId17" Type="http://schemas.openxmlformats.org/officeDocument/2006/relationships/hyperlink" Target="https://adfso.itu.int/adfs/oauth2/authorize/?approval_prompt=force&amp;client_id=eaa2cbed-5116-46a4-82d8-ff03872437ed&amp;redirect_uri=https%3A%2F%2Faisdg.itu.int%2Foauth2%2Fcallback&amp;response_type=code&amp;scope=openid+email+profile&amp;state=df4729c1fae3b8ba3f0d32a6b7241f15%3A%2F" TargetMode="External"/><Relationship Id="rId25" Type="http://schemas.openxmlformats.org/officeDocument/2006/relationships/hyperlink" Target="https://www.itu.int/myworkspace/" TargetMode="External"/><Relationship Id="rId33" Type="http://schemas.openxmlformats.org/officeDocument/2006/relationships/hyperlink" Target="https://www.itu.int/net4/itu-t/nnp" TargetMode="Externa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itu.int/myworkspace/" TargetMode="External"/><Relationship Id="rId29" Type="http://schemas.openxmlformats.org/officeDocument/2006/relationships/hyperlink" Target="https://www.itu.int/net4/ITU-T/landscap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itu.int/myworkspace/" TargetMode="External"/><Relationship Id="rId32" Type="http://schemas.openxmlformats.org/officeDocument/2006/relationships/hyperlink" Target="https://www.itu.int/pub/T-SP-OB/fr"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hart" Target="charts/chart2.xml"/><Relationship Id="rId23" Type="http://schemas.openxmlformats.org/officeDocument/2006/relationships/hyperlink" Target="https://tsbcloud.itu.int/nextcloud/login" TargetMode="External"/><Relationship Id="rId28" Type="http://schemas.openxmlformats.org/officeDocument/2006/relationships/hyperlink" Target="http://www.itu.int/search"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itu.int/myworkspace/" TargetMode="External"/><Relationship Id="rId31" Type="http://schemas.openxmlformats.org/officeDocument/2006/relationships/hyperlink" Target="https://www.itu.int/en/ITU-T/ssc/united/Pages/default.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1.xml"/><Relationship Id="rId22" Type="http://schemas.openxmlformats.org/officeDocument/2006/relationships/hyperlink" Target="https://www.itu.int/myworkspace/" TargetMode="External"/><Relationship Id="rId27" Type="http://schemas.openxmlformats.org/officeDocument/2006/relationships/hyperlink" Target="https://www.itu.int/myworkspace/" TargetMode="External"/><Relationship Id="rId30" Type="http://schemas.openxmlformats.org/officeDocument/2006/relationships/image" Target="media/image3.png"/><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C20.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ITU-T Sector Members Actual Revenue - kCHF</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cked"/>
        <c:varyColors val="0"/>
        <c:ser>
          <c:idx val="0"/>
          <c:order val="0"/>
          <c:tx>
            <c:strRef>
              <c:f>Sheet1!$B$1</c:f>
              <c:strCache>
                <c:ptCount val="1"/>
                <c:pt idx="0">
                  <c:v>ITU-T Sector Members Actual Revenue - KCHF</c:v>
                </c:pt>
              </c:strCache>
            </c:strRef>
          </c:tx>
          <c:spPr>
            <a:ln w="28575" cap="rnd">
              <a:solidFill>
                <a:schemeClr val="accent1"/>
              </a:solidFill>
              <a:round/>
            </a:ln>
            <a:effectLst/>
          </c:spPr>
          <c:marker>
            <c:symbol val="none"/>
          </c:marker>
          <c:cat>
            <c:numRef>
              <c:f>Sheet1!$A$2:$A$4</c:f>
              <c:numCache>
                <c:formatCode>General</c:formatCode>
                <c:ptCount val="3"/>
                <c:pt idx="0">
                  <c:v>2017</c:v>
                </c:pt>
                <c:pt idx="1">
                  <c:v>2018</c:v>
                </c:pt>
                <c:pt idx="2">
                  <c:v>2019</c:v>
                </c:pt>
              </c:numCache>
            </c:numRef>
          </c:cat>
          <c:val>
            <c:numRef>
              <c:f>Sheet1!$B$2:$B$4</c:f>
              <c:numCache>
                <c:formatCode>#,##0</c:formatCode>
                <c:ptCount val="3"/>
                <c:pt idx="0">
                  <c:v>6184</c:v>
                </c:pt>
                <c:pt idx="1">
                  <c:v>6218</c:v>
                </c:pt>
                <c:pt idx="2">
                  <c:v>6376</c:v>
                </c:pt>
              </c:numCache>
            </c:numRef>
          </c:val>
          <c:smooth val="0"/>
          <c:extLst>
            <c:ext xmlns:c16="http://schemas.microsoft.com/office/drawing/2014/chart" uri="{C3380CC4-5D6E-409C-BE32-E72D297353CC}">
              <c16:uniqueId val="{00000000-44C5-4582-B2E5-389F4D17E2F0}"/>
            </c:ext>
          </c:extLst>
        </c:ser>
        <c:dLbls>
          <c:showLegendKey val="0"/>
          <c:showVal val="0"/>
          <c:showCatName val="0"/>
          <c:showSerName val="0"/>
          <c:showPercent val="0"/>
          <c:showBubbleSize val="0"/>
        </c:dLbls>
        <c:smooth val="0"/>
        <c:axId val="342959807"/>
        <c:axId val="618016223"/>
      </c:lineChart>
      <c:catAx>
        <c:axId val="3429598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8016223"/>
        <c:crosses val="autoZero"/>
        <c:auto val="1"/>
        <c:lblAlgn val="ctr"/>
        <c:lblOffset val="100"/>
        <c:noMultiLvlLbl val="0"/>
      </c:catAx>
      <c:valAx>
        <c:axId val="61801622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295980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ITU-T Associate Actual Revenue - kCHF</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cked"/>
        <c:varyColors val="0"/>
        <c:ser>
          <c:idx val="0"/>
          <c:order val="0"/>
          <c:tx>
            <c:strRef>
              <c:f>Sheet1!$B$1</c:f>
              <c:strCache>
                <c:ptCount val="1"/>
                <c:pt idx="0">
                  <c:v>ITU-T Associate Actual Revenue - KCHF</c:v>
                </c:pt>
              </c:strCache>
            </c:strRef>
          </c:tx>
          <c:spPr>
            <a:ln w="28575" cap="rnd">
              <a:solidFill>
                <a:schemeClr val="accent2"/>
              </a:solidFill>
              <a:round/>
            </a:ln>
            <a:effectLst/>
          </c:spPr>
          <c:marker>
            <c:symbol val="none"/>
          </c:marker>
          <c:cat>
            <c:numRef>
              <c:f>Sheet1!$A$2:$A$4</c:f>
              <c:numCache>
                <c:formatCode>General</c:formatCode>
                <c:ptCount val="3"/>
                <c:pt idx="0">
                  <c:v>2017</c:v>
                </c:pt>
                <c:pt idx="1">
                  <c:v>2018</c:v>
                </c:pt>
                <c:pt idx="2">
                  <c:v>2019</c:v>
                </c:pt>
              </c:numCache>
            </c:numRef>
          </c:cat>
          <c:val>
            <c:numRef>
              <c:f>Sheet1!$B$2:$B$4</c:f>
              <c:numCache>
                <c:formatCode>#,##0</c:formatCode>
                <c:ptCount val="3"/>
                <c:pt idx="0">
                  <c:v>1321</c:v>
                </c:pt>
                <c:pt idx="1">
                  <c:v>1529</c:v>
                </c:pt>
                <c:pt idx="2">
                  <c:v>1784</c:v>
                </c:pt>
              </c:numCache>
            </c:numRef>
          </c:val>
          <c:smooth val="0"/>
          <c:extLst>
            <c:ext xmlns:c16="http://schemas.microsoft.com/office/drawing/2014/chart" uri="{C3380CC4-5D6E-409C-BE32-E72D297353CC}">
              <c16:uniqueId val="{00000000-CF51-4112-8B8F-7EFF56E789E3}"/>
            </c:ext>
          </c:extLst>
        </c:ser>
        <c:dLbls>
          <c:showLegendKey val="0"/>
          <c:showVal val="0"/>
          <c:showCatName val="0"/>
          <c:showSerName val="0"/>
          <c:showPercent val="0"/>
          <c:showBubbleSize val="0"/>
        </c:dLbls>
        <c:smooth val="0"/>
        <c:axId val="616112799"/>
        <c:axId val="618023295"/>
      </c:lineChart>
      <c:catAx>
        <c:axId val="6161127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8023295"/>
        <c:crosses val="autoZero"/>
        <c:auto val="1"/>
        <c:lblAlgn val="ctr"/>
        <c:lblOffset val="100"/>
        <c:noMultiLvlLbl val="0"/>
      </c:catAx>
      <c:valAx>
        <c:axId val="61802329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611279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0" ma:contentTypeDescription="Create a new document." ma:contentTypeScope="" ma:versionID="fa8afc5d86603c1925ed271018c9909a">
  <xsd:schema xmlns:xsd="http://www.w3.org/2001/XMLSchema" xmlns:xs="http://www.w3.org/2001/XMLSchema" xmlns:p="http://schemas.microsoft.com/office/2006/metadata/properties" xmlns:ns3="8480b3bf-ff93-433f-9495-f8457f78f22f" targetNamespace="http://schemas.microsoft.com/office/2006/metadata/properties" ma:root="true" ma:fieldsID="945714bf9aca0f2ad10803486a386f4a" ns3:_="">
    <xsd:import namespace="8480b3bf-ff93-433f-9495-f8457f78f2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8E4DB3-2090-483F-8E55-7FA3482196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ED42A8-20B5-4E38-9C5A-4645AC50A1BD}">
  <ds:schemaRefs>
    <ds:schemaRef ds:uri="http://schemas.microsoft.com/sharepoint/v3/contenttype/forms"/>
  </ds:schemaRefs>
</ds:datastoreItem>
</file>

<file path=customXml/itemProps3.xml><?xml version="1.0" encoding="utf-8"?>
<ds:datastoreItem xmlns:ds="http://schemas.openxmlformats.org/officeDocument/2006/customXml" ds:itemID="{6CAFF09B-3BA9-40CA-ADF3-CC8785CF3488}">
  <ds:schemaRefs>
    <ds:schemaRef ds:uri="http://schemas.openxmlformats.org/officeDocument/2006/bibliography"/>
  </ds:schemaRefs>
</ds:datastoreItem>
</file>

<file path=customXml/itemProps4.xml><?xml version="1.0" encoding="utf-8"?>
<ds:datastoreItem xmlns:ds="http://schemas.openxmlformats.org/officeDocument/2006/customXml" ds:itemID="{CBA6733E-8EB7-4502-ACBD-E4138293F69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http://purl.org/dc/elements/1.1/"/>
    <ds:schemaRef ds:uri="http://www.w3.org/XML/1998/namespace"/>
    <ds:schemaRef ds:uri="8480b3bf-ff93-433f-9495-f8457f78f22f"/>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PF_C20.dotx</Template>
  <TotalTime>1</TotalTime>
  <Pages>12</Pages>
  <Words>4535</Words>
  <Characters>27899</Characters>
  <Application>Microsoft Office Word</Application>
  <DocSecurity>4</DocSecurity>
  <Lines>232</Lines>
  <Paragraphs>64</Paragraphs>
  <ScaleCrop>false</ScaleCrop>
  <HeadingPairs>
    <vt:vector size="2" baseType="variant">
      <vt:variant>
        <vt:lpstr>Title</vt:lpstr>
      </vt:variant>
      <vt:variant>
        <vt:i4>1</vt:i4>
      </vt:variant>
    </vt:vector>
  </HeadingPairs>
  <TitlesOfParts>
    <vt:vector size="1" baseType="lpstr">
      <vt:lpstr>Appui au TSB</vt:lpstr>
    </vt:vector>
  </TitlesOfParts>
  <Manager>Secrétariat général - Pool</Manager>
  <Company>Union internationale des télécommunications (UIT)</Company>
  <LinksUpToDate>false</LinksUpToDate>
  <CharactersWithSpaces>32370</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Appui au TSB</dc:title>
  <dc:subject>Conseil 2020, consultation virtuelle des conseillers</dc:subject>
  <dc:creator>French</dc:creator>
  <cp:keywords>C2020, C20, VC, VCC-2</cp:keywords>
  <dc:description/>
  <cp:lastModifiedBy>Brouard, Ricarda</cp:lastModifiedBy>
  <cp:revision>2</cp:revision>
  <cp:lastPrinted>2020-05-01T06:34:00Z</cp:lastPrinted>
  <dcterms:created xsi:type="dcterms:W3CDTF">2020-10-26T10:35:00Z</dcterms:created>
  <dcterms:modified xsi:type="dcterms:W3CDTF">2020-10-26T10:35:00Z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0x010100B638F4433E584047A097BE66491F0F20</vt:lpwstr>
  </property>
</Properties>
</file>