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70DC0" w14:paraId="2DBFE3D5" w14:textId="77777777">
        <w:trPr>
          <w:cantSplit/>
        </w:trPr>
        <w:tc>
          <w:tcPr>
            <w:tcW w:w="6912" w:type="dxa"/>
          </w:tcPr>
          <w:p w14:paraId="491DBAE8" w14:textId="77777777" w:rsidR="00093EEB" w:rsidRPr="00970DC0" w:rsidRDefault="00093EEB" w:rsidP="00E25998">
            <w:pPr>
              <w:spacing w:before="360"/>
              <w:rPr>
                <w:szCs w:val="24"/>
              </w:rPr>
            </w:pPr>
            <w:bookmarkStart w:id="0" w:name="dc06"/>
            <w:bookmarkStart w:id="1" w:name="dbluepink" w:colFirst="0" w:colLast="0"/>
            <w:bookmarkEnd w:id="0"/>
            <w:r w:rsidRPr="00970DC0">
              <w:rPr>
                <w:b/>
                <w:bCs/>
                <w:sz w:val="30"/>
                <w:szCs w:val="30"/>
              </w:rPr>
              <w:t>Consejo 20</w:t>
            </w:r>
            <w:r w:rsidR="007955DA" w:rsidRPr="00970DC0">
              <w:rPr>
                <w:b/>
                <w:bCs/>
                <w:sz w:val="30"/>
                <w:szCs w:val="30"/>
              </w:rPr>
              <w:t>20</w:t>
            </w:r>
            <w:r w:rsidRPr="00970DC0">
              <w:rPr>
                <w:b/>
                <w:bCs/>
                <w:sz w:val="26"/>
                <w:szCs w:val="26"/>
              </w:rPr>
              <w:br/>
            </w:r>
            <w:r w:rsidRPr="00970DC0">
              <w:rPr>
                <w:b/>
                <w:bCs/>
                <w:szCs w:val="24"/>
              </w:rPr>
              <w:t xml:space="preserve">Ginebra, </w:t>
            </w:r>
            <w:r w:rsidR="007955DA" w:rsidRPr="00970DC0">
              <w:rPr>
                <w:b/>
                <w:bCs/>
                <w:szCs w:val="24"/>
              </w:rPr>
              <w:t>9</w:t>
            </w:r>
            <w:r w:rsidRPr="00970DC0">
              <w:rPr>
                <w:b/>
                <w:bCs/>
                <w:szCs w:val="24"/>
              </w:rPr>
              <w:t>-</w:t>
            </w:r>
            <w:r w:rsidR="007955DA" w:rsidRPr="00970DC0">
              <w:rPr>
                <w:b/>
                <w:bCs/>
                <w:szCs w:val="24"/>
              </w:rPr>
              <w:t>19</w:t>
            </w:r>
            <w:r w:rsidRPr="00970DC0">
              <w:rPr>
                <w:b/>
                <w:bCs/>
                <w:szCs w:val="24"/>
              </w:rPr>
              <w:t xml:space="preserve"> de </w:t>
            </w:r>
            <w:r w:rsidR="00C2727F" w:rsidRPr="00970DC0">
              <w:rPr>
                <w:b/>
                <w:bCs/>
                <w:szCs w:val="24"/>
              </w:rPr>
              <w:t>junio</w:t>
            </w:r>
            <w:r w:rsidRPr="00970DC0">
              <w:rPr>
                <w:b/>
                <w:bCs/>
                <w:szCs w:val="24"/>
              </w:rPr>
              <w:t xml:space="preserve"> de 20</w:t>
            </w:r>
            <w:r w:rsidR="007955DA" w:rsidRPr="00970DC0">
              <w:rPr>
                <w:b/>
                <w:bCs/>
                <w:szCs w:val="24"/>
              </w:rPr>
              <w:t>20</w:t>
            </w:r>
          </w:p>
        </w:tc>
        <w:tc>
          <w:tcPr>
            <w:tcW w:w="3261" w:type="dxa"/>
          </w:tcPr>
          <w:p w14:paraId="149831EC" w14:textId="77777777" w:rsidR="00093EEB" w:rsidRPr="00970DC0" w:rsidRDefault="007955DA" w:rsidP="00E25998">
            <w:pPr>
              <w:spacing w:before="0"/>
              <w:rPr>
                <w:szCs w:val="24"/>
              </w:rPr>
            </w:pPr>
            <w:bookmarkStart w:id="2" w:name="ditulogo"/>
            <w:bookmarkEnd w:id="2"/>
            <w:r w:rsidRPr="00970DC0">
              <w:rPr>
                <w:noProof/>
              </w:rPr>
              <w:drawing>
                <wp:inline distT="0" distB="0" distL="0" distR="0" wp14:anchorId="247C3C60" wp14:editId="4D24E4F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970DC0" w14:paraId="0F72E913" w14:textId="77777777">
        <w:trPr>
          <w:cantSplit/>
          <w:trHeight w:val="20"/>
        </w:trPr>
        <w:tc>
          <w:tcPr>
            <w:tcW w:w="10173" w:type="dxa"/>
            <w:gridSpan w:val="2"/>
            <w:tcBorders>
              <w:bottom w:val="single" w:sz="12" w:space="0" w:color="auto"/>
            </w:tcBorders>
          </w:tcPr>
          <w:p w14:paraId="35942597" w14:textId="77777777" w:rsidR="00093EEB" w:rsidRPr="00970DC0" w:rsidRDefault="00093EEB" w:rsidP="00E25998">
            <w:pPr>
              <w:spacing w:before="0"/>
              <w:rPr>
                <w:b/>
                <w:bCs/>
                <w:szCs w:val="24"/>
              </w:rPr>
            </w:pPr>
          </w:p>
        </w:tc>
      </w:tr>
      <w:tr w:rsidR="00093EEB" w:rsidRPr="00970DC0" w14:paraId="13D5EEFC" w14:textId="77777777">
        <w:trPr>
          <w:cantSplit/>
          <w:trHeight w:val="20"/>
        </w:trPr>
        <w:tc>
          <w:tcPr>
            <w:tcW w:w="6912" w:type="dxa"/>
            <w:tcBorders>
              <w:top w:val="single" w:sz="12" w:space="0" w:color="auto"/>
            </w:tcBorders>
          </w:tcPr>
          <w:p w14:paraId="466441DD" w14:textId="77777777" w:rsidR="00093EEB" w:rsidRPr="00970DC0" w:rsidRDefault="00093EEB" w:rsidP="00E25998">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0F3F8B76" w14:textId="77777777" w:rsidR="00093EEB" w:rsidRPr="00970DC0" w:rsidRDefault="00093EEB" w:rsidP="00E25998">
            <w:pPr>
              <w:spacing w:before="0"/>
              <w:rPr>
                <w:b/>
                <w:bCs/>
                <w:szCs w:val="24"/>
              </w:rPr>
            </w:pPr>
          </w:p>
        </w:tc>
      </w:tr>
      <w:tr w:rsidR="00093EEB" w:rsidRPr="00970DC0" w14:paraId="0530673A" w14:textId="77777777">
        <w:trPr>
          <w:cantSplit/>
          <w:trHeight w:val="20"/>
        </w:trPr>
        <w:tc>
          <w:tcPr>
            <w:tcW w:w="6912" w:type="dxa"/>
            <w:shd w:val="clear" w:color="auto" w:fill="auto"/>
          </w:tcPr>
          <w:p w14:paraId="113DE71B" w14:textId="41271A95" w:rsidR="00093EEB" w:rsidRPr="00970DC0" w:rsidRDefault="005E3C98" w:rsidP="00E25998">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970DC0">
              <w:rPr>
                <w:rFonts w:cs="Times"/>
                <w:b/>
                <w:szCs w:val="24"/>
              </w:rPr>
              <w:t>Punto del orden del día: ADM 4</w:t>
            </w:r>
          </w:p>
        </w:tc>
        <w:tc>
          <w:tcPr>
            <w:tcW w:w="3261" w:type="dxa"/>
          </w:tcPr>
          <w:p w14:paraId="0ED7BB12" w14:textId="5883FBB3" w:rsidR="00093EEB" w:rsidRPr="00970DC0" w:rsidRDefault="00093EEB" w:rsidP="00E25998">
            <w:pPr>
              <w:spacing w:before="0"/>
              <w:rPr>
                <w:b/>
                <w:bCs/>
                <w:szCs w:val="24"/>
              </w:rPr>
            </w:pPr>
            <w:r w:rsidRPr="00970DC0">
              <w:rPr>
                <w:b/>
                <w:bCs/>
                <w:szCs w:val="24"/>
              </w:rPr>
              <w:t>Documento C</w:t>
            </w:r>
            <w:r w:rsidR="007955DA" w:rsidRPr="00970DC0">
              <w:rPr>
                <w:b/>
                <w:bCs/>
                <w:szCs w:val="24"/>
              </w:rPr>
              <w:t>20</w:t>
            </w:r>
            <w:r w:rsidRPr="00970DC0">
              <w:rPr>
                <w:b/>
                <w:bCs/>
                <w:szCs w:val="24"/>
              </w:rPr>
              <w:t>/</w:t>
            </w:r>
            <w:r w:rsidR="00453612" w:rsidRPr="00970DC0">
              <w:rPr>
                <w:b/>
                <w:bCs/>
                <w:szCs w:val="24"/>
              </w:rPr>
              <w:t>14</w:t>
            </w:r>
            <w:r w:rsidRPr="00970DC0">
              <w:rPr>
                <w:b/>
                <w:bCs/>
                <w:szCs w:val="24"/>
              </w:rPr>
              <w:t>-S</w:t>
            </w:r>
          </w:p>
        </w:tc>
      </w:tr>
      <w:tr w:rsidR="00093EEB" w:rsidRPr="00970DC0" w14:paraId="164625F4" w14:textId="77777777">
        <w:trPr>
          <w:cantSplit/>
          <w:trHeight w:val="20"/>
        </w:trPr>
        <w:tc>
          <w:tcPr>
            <w:tcW w:w="6912" w:type="dxa"/>
            <w:shd w:val="clear" w:color="auto" w:fill="auto"/>
          </w:tcPr>
          <w:p w14:paraId="2CF4CCB3" w14:textId="77777777" w:rsidR="00093EEB" w:rsidRPr="00970DC0" w:rsidRDefault="00093EEB" w:rsidP="00E25998">
            <w:pPr>
              <w:shd w:val="solid" w:color="FFFFFF" w:fill="FFFFFF"/>
              <w:spacing w:before="0"/>
              <w:rPr>
                <w:smallCaps/>
                <w:szCs w:val="24"/>
              </w:rPr>
            </w:pPr>
            <w:bookmarkStart w:id="5" w:name="ddate" w:colFirst="1" w:colLast="1"/>
            <w:bookmarkEnd w:id="3"/>
            <w:bookmarkEnd w:id="4"/>
          </w:p>
        </w:tc>
        <w:tc>
          <w:tcPr>
            <w:tcW w:w="3261" w:type="dxa"/>
          </w:tcPr>
          <w:p w14:paraId="465DC472" w14:textId="053F66D2" w:rsidR="00093EEB" w:rsidRPr="00970DC0" w:rsidRDefault="00453612" w:rsidP="00E25998">
            <w:pPr>
              <w:spacing w:before="0"/>
              <w:rPr>
                <w:b/>
                <w:bCs/>
                <w:szCs w:val="24"/>
              </w:rPr>
            </w:pPr>
            <w:r w:rsidRPr="00970DC0">
              <w:rPr>
                <w:b/>
                <w:bCs/>
                <w:szCs w:val="24"/>
              </w:rPr>
              <w:t>20 de abril</w:t>
            </w:r>
            <w:r w:rsidR="00093EEB" w:rsidRPr="00970DC0">
              <w:rPr>
                <w:b/>
                <w:bCs/>
                <w:szCs w:val="24"/>
              </w:rPr>
              <w:t xml:space="preserve"> de 20</w:t>
            </w:r>
            <w:r w:rsidR="007955DA" w:rsidRPr="00970DC0">
              <w:rPr>
                <w:b/>
                <w:bCs/>
                <w:szCs w:val="24"/>
              </w:rPr>
              <w:t>20</w:t>
            </w:r>
          </w:p>
        </w:tc>
      </w:tr>
      <w:tr w:rsidR="00093EEB" w:rsidRPr="00970DC0" w14:paraId="2264FB2C" w14:textId="77777777">
        <w:trPr>
          <w:cantSplit/>
          <w:trHeight w:val="20"/>
        </w:trPr>
        <w:tc>
          <w:tcPr>
            <w:tcW w:w="6912" w:type="dxa"/>
            <w:shd w:val="clear" w:color="auto" w:fill="auto"/>
          </w:tcPr>
          <w:p w14:paraId="1C2AC1A2" w14:textId="77777777" w:rsidR="00093EEB" w:rsidRPr="00970DC0" w:rsidRDefault="00093EEB" w:rsidP="00E25998">
            <w:pPr>
              <w:shd w:val="solid" w:color="FFFFFF" w:fill="FFFFFF"/>
              <w:spacing w:before="0"/>
              <w:rPr>
                <w:smallCaps/>
                <w:szCs w:val="24"/>
              </w:rPr>
            </w:pPr>
            <w:bookmarkStart w:id="6" w:name="dorlang" w:colFirst="1" w:colLast="1"/>
            <w:bookmarkEnd w:id="5"/>
          </w:p>
        </w:tc>
        <w:tc>
          <w:tcPr>
            <w:tcW w:w="3261" w:type="dxa"/>
          </w:tcPr>
          <w:p w14:paraId="2F531BF9" w14:textId="77777777" w:rsidR="00093EEB" w:rsidRPr="00970DC0" w:rsidRDefault="00093EEB" w:rsidP="00E25998">
            <w:pPr>
              <w:spacing w:before="0"/>
              <w:rPr>
                <w:b/>
                <w:bCs/>
                <w:szCs w:val="24"/>
              </w:rPr>
            </w:pPr>
            <w:r w:rsidRPr="00970DC0">
              <w:rPr>
                <w:b/>
                <w:bCs/>
                <w:szCs w:val="24"/>
              </w:rPr>
              <w:t>Original: inglés</w:t>
            </w:r>
          </w:p>
        </w:tc>
      </w:tr>
      <w:tr w:rsidR="001D4EA9" w:rsidRPr="00970DC0" w14:paraId="23BDBCD0" w14:textId="77777777">
        <w:trPr>
          <w:cantSplit/>
        </w:trPr>
        <w:tc>
          <w:tcPr>
            <w:tcW w:w="10173" w:type="dxa"/>
            <w:gridSpan w:val="2"/>
          </w:tcPr>
          <w:p w14:paraId="1704870D" w14:textId="545FFD59" w:rsidR="001D4EA9" w:rsidRPr="00970DC0" w:rsidRDefault="001D4EA9" w:rsidP="00E25998">
            <w:pPr>
              <w:pStyle w:val="Source"/>
            </w:pPr>
            <w:bookmarkStart w:id="7" w:name="lt_pId013"/>
            <w:bookmarkStart w:id="8" w:name="dsource" w:colFirst="0" w:colLast="0"/>
            <w:bookmarkEnd w:id="1"/>
            <w:bookmarkEnd w:id="6"/>
            <w:r w:rsidRPr="00970DC0">
              <w:t>Not</w:t>
            </w:r>
            <w:r w:rsidR="005E3C98" w:rsidRPr="00970DC0">
              <w:t>a</w:t>
            </w:r>
            <w:r w:rsidRPr="00970DC0">
              <w:t xml:space="preserve"> </w:t>
            </w:r>
            <w:r w:rsidR="005E3C98" w:rsidRPr="00970DC0">
              <w:t>del</w:t>
            </w:r>
            <w:r w:rsidRPr="00970DC0">
              <w:t xml:space="preserve"> Secretar</w:t>
            </w:r>
            <w:r w:rsidR="005E3C98" w:rsidRPr="00970DC0">
              <w:t xml:space="preserve">io </w:t>
            </w:r>
            <w:r w:rsidRPr="00970DC0">
              <w:t>General</w:t>
            </w:r>
            <w:bookmarkEnd w:id="7"/>
          </w:p>
        </w:tc>
      </w:tr>
      <w:tr w:rsidR="001D4EA9" w:rsidRPr="00970DC0" w14:paraId="6A4671F8" w14:textId="77777777">
        <w:trPr>
          <w:cantSplit/>
        </w:trPr>
        <w:tc>
          <w:tcPr>
            <w:tcW w:w="10173" w:type="dxa"/>
            <w:gridSpan w:val="2"/>
          </w:tcPr>
          <w:p w14:paraId="41014F27" w14:textId="7EEBD704" w:rsidR="001D4EA9" w:rsidRPr="00970DC0" w:rsidRDefault="005E3C98" w:rsidP="00E25998">
            <w:pPr>
              <w:pStyle w:val="Title1"/>
            </w:pPr>
            <w:bookmarkStart w:id="9" w:name="lt_pId014"/>
            <w:bookmarkStart w:id="10" w:name="dtitle1" w:colFirst="0" w:colLast="0"/>
            <w:bookmarkEnd w:id="8"/>
            <w:r w:rsidRPr="00970DC0">
              <w:t>APOYO A LA</w:t>
            </w:r>
            <w:r w:rsidR="001D4EA9" w:rsidRPr="00970DC0">
              <w:t xml:space="preserve"> TSB</w:t>
            </w:r>
            <w:bookmarkEnd w:id="9"/>
          </w:p>
        </w:tc>
      </w:tr>
      <w:bookmarkEnd w:id="10"/>
    </w:tbl>
    <w:p w14:paraId="2B8F1907" w14:textId="77777777" w:rsidR="00093EEB" w:rsidRPr="00970DC0" w:rsidRDefault="00093EEB" w:rsidP="00E2599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970DC0" w14:paraId="0193D50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BBFE488" w14:textId="77777777" w:rsidR="00093EEB" w:rsidRPr="00970DC0" w:rsidRDefault="00093EEB" w:rsidP="00E25998">
            <w:pPr>
              <w:pStyle w:val="Headingb"/>
            </w:pPr>
            <w:bookmarkStart w:id="11" w:name="_Toc39047644"/>
            <w:r w:rsidRPr="00970DC0">
              <w:t>Resumen</w:t>
            </w:r>
            <w:bookmarkEnd w:id="11"/>
          </w:p>
          <w:p w14:paraId="2C6A191B" w14:textId="0521A51A" w:rsidR="00453612" w:rsidRPr="00970DC0" w:rsidRDefault="005E3C98" w:rsidP="00080EEE">
            <w:pPr>
              <w:jc w:val="both"/>
            </w:pPr>
            <w:bookmarkStart w:id="12" w:name="lt_pId016"/>
            <w:r w:rsidRPr="00970DC0">
              <w:t xml:space="preserve">El Sector de Normalización de la UIT ha experimentado un aumento notable del número de nuevos </w:t>
            </w:r>
            <w:r w:rsidR="00060939" w:rsidRPr="00970DC0">
              <w:t>miembros</w:t>
            </w:r>
            <w:r w:rsidRPr="00970DC0">
              <w:t>, comunidades, actividades y reuniones con respecto a años anteriores</w:t>
            </w:r>
            <w:r w:rsidR="00453612" w:rsidRPr="00970DC0">
              <w:t>.</w:t>
            </w:r>
            <w:bookmarkEnd w:id="12"/>
            <w:r w:rsidR="00453612" w:rsidRPr="00970DC0">
              <w:t xml:space="preserve"> </w:t>
            </w:r>
            <w:bookmarkStart w:id="13" w:name="lt_pId017"/>
            <w:r w:rsidRPr="00970DC0">
              <w:t xml:space="preserve">En diversas Resoluciones de la </w:t>
            </w:r>
            <w:r w:rsidR="00453612" w:rsidRPr="00970DC0">
              <w:t xml:space="preserve">PP-18 </w:t>
            </w:r>
            <w:r w:rsidRPr="00970DC0">
              <w:t>y la AMNT</w:t>
            </w:r>
            <w:r w:rsidR="00453612" w:rsidRPr="00970DC0">
              <w:t>-16</w:t>
            </w:r>
            <w:r w:rsidRPr="00970DC0">
              <w:t xml:space="preserve"> se encarga a la TSB que realice labores adicionales. La carga de trabajo del personal de la TSB ha ido en considerable aumento, mientras que el número de puestos en esa Oficina se ha mantenido constante durante las dos últimas décadas en torno a 65 puestos. La TSB solicita que se le concedan los siguientes recursos de personal adicionales</w:t>
            </w:r>
            <w:bookmarkStart w:id="14" w:name="lt_pId019"/>
            <w:bookmarkEnd w:id="13"/>
            <w:r w:rsidR="00453612" w:rsidRPr="00970DC0">
              <w:t>:</w:t>
            </w:r>
            <w:bookmarkEnd w:id="14"/>
          </w:p>
          <w:p w14:paraId="7D51E49E" w14:textId="4187B120" w:rsidR="00453612" w:rsidRPr="00970DC0" w:rsidRDefault="00E25998" w:rsidP="00080EEE">
            <w:pPr>
              <w:pStyle w:val="enumlev1"/>
              <w:jc w:val="both"/>
            </w:pPr>
            <w:bookmarkStart w:id="15" w:name="lt_pId020"/>
            <w:r w:rsidRPr="00970DC0">
              <w:t>–</w:t>
            </w:r>
            <w:r w:rsidRPr="00970DC0">
              <w:tab/>
            </w:r>
            <w:r w:rsidR="00453612" w:rsidRPr="00970DC0">
              <w:t xml:space="preserve">1 P2 </w:t>
            </w:r>
            <w:r w:rsidR="005E3C98" w:rsidRPr="00970DC0">
              <w:t>para IFR de ciudades inteligentes y</w:t>
            </w:r>
            <w:r w:rsidR="00453612" w:rsidRPr="00970DC0">
              <w:t xml:space="preserve"> U4SSC</w:t>
            </w:r>
            <w:bookmarkEnd w:id="15"/>
            <w:r w:rsidRPr="00970DC0">
              <w:t>;</w:t>
            </w:r>
          </w:p>
          <w:p w14:paraId="49BC6A00" w14:textId="0609FF55" w:rsidR="00453612" w:rsidRPr="00970DC0" w:rsidRDefault="00E25998" w:rsidP="00080EEE">
            <w:pPr>
              <w:pStyle w:val="enumlev1"/>
              <w:jc w:val="both"/>
            </w:pPr>
            <w:bookmarkStart w:id="16" w:name="lt_pId021"/>
            <w:r w:rsidRPr="00970DC0">
              <w:t>–</w:t>
            </w:r>
            <w:r w:rsidRPr="00970DC0">
              <w:tab/>
            </w:r>
            <w:r w:rsidR="00453612" w:rsidRPr="00970DC0">
              <w:t xml:space="preserve">1 P2 </w:t>
            </w:r>
            <w:r w:rsidR="005E3C98" w:rsidRPr="00970DC0">
              <w:t>para recursos de numeración</w:t>
            </w:r>
            <w:bookmarkEnd w:id="16"/>
            <w:r w:rsidRPr="00970DC0">
              <w:t>;</w:t>
            </w:r>
          </w:p>
          <w:p w14:paraId="5C3B4B5A" w14:textId="48951886" w:rsidR="00453612" w:rsidRPr="00970DC0" w:rsidRDefault="00E25998" w:rsidP="00080EEE">
            <w:pPr>
              <w:pStyle w:val="enumlev1"/>
              <w:jc w:val="both"/>
            </w:pPr>
            <w:bookmarkStart w:id="17" w:name="lt_pId022"/>
            <w:r w:rsidRPr="00970DC0">
              <w:t>–</w:t>
            </w:r>
            <w:r w:rsidRPr="00970DC0">
              <w:tab/>
            </w:r>
            <w:r w:rsidR="00453612" w:rsidRPr="00970DC0">
              <w:t xml:space="preserve">1 P4 </w:t>
            </w:r>
            <w:r w:rsidR="005E3C98" w:rsidRPr="00970DC0">
              <w:t>y</w:t>
            </w:r>
            <w:r w:rsidR="00453612" w:rsidRPr="00970DC0">
              <w:t xml:space="preserve"> 1 G6 </w:t>
            </w:r>
            <w:r w:rsidR="005E3C98" w:rsidRPr="00970DC0">
              <w:t>para inclusión financiera</w:t>
            </w:r>
            <w:bookmarkEnd w:id="17"/>
            <w:r w:rsidRPr="00970DC0">
              <w:t>;</w:t>
            </w:r>
          </w:p>
          <w:p w14:paraId="69C6B53A" w14:textId="1ADAB2CF" w:rsidR="00453612" w:rsidRPr="00970DC0" w:rsidRDefault="00E25998" w:rsidP="00080EEE">
            <w:pPr>
              <w:pStyle w:val="enumlev1"/>
              <w:jc w:val="both"/>
            </w:pPr>
            <w:bookmarkStart w:id="18" w:name="lt_pId023"/>
            <w:r w:rsidRPr="00970DC0">
              <w:t>–</w:t>
            </w:r>
            <w:r w:rsidRPr="00970DC0">
              <w:tab/>
            </w:r>
            <w:r w:rsidR="00453612" w:rsidRPr="00970DC0">
              <w:t xml:space="preserve">1 P4 </w:t>
            </w:r>
            <w:r w:rsidR="005E3C98" w:rsidRPr="00970DC0">
              <w:t>experto en aplicación del aprendizaje automático a las redes de comunicaciones</w:t>
            </w:r>
            <w:bookmarkEnd w:id="18"/>
            <w:r w:rsidRPr="00970DC0">
              <w:t>;</w:t>
            </w:r>
          </w:p>
          <w:p w14:paraId="7BAEF7B7" w14:textId="530A78C7" w:rsidR="00093EEB" w:rsidRPr="00970DC0" w:rsidRDefault="00E25998" w:rsidP="00080EEE">
            <w:pPr>
              <w:pStyle w:val="enumlev1"/>
              <w:jc w:val="both"/>
            </w:pPr>
            <w:bookmarkStart w:id="19" w:name="lt_pId024"/>
            <w:r w:rsidRPr="00970DC0">
              <w:t>–</w:t>
            </w:r>
            <w:r w:rsidRPr="00970DC0">
              <w:tab/>
            </w:r>
            <w:r w:rsidR="00453612" w:rsidRPr="00970DC0">
              <w:t xml:space="preserve">1 P1 </w:t>
            </w:r>
            <w:r w:rsidR="005E3C98" w:rsidRPr="00970DC0">
              <w:t>y</w:t>
            </w:r>
            <w:r w:rsidR="00453612" w:rsidRPr="00970DC0">
              <w:t xml:space="preserve"> 1 P2 </w:t>
            </w:r>
            <w:r w:rsidR="005E3C98" w:rsidRPr="00970DC0">
              <w:t>para herramientas y aplicaciones de TI</w:t>
            </w:r>
            <w:bookmarkEnd w:id="19"/>
            <w:r w:rsidRPr="00970DC0">
              <w:t>.</w:t>
            </w:r>
          </w:p>
          <w:p w14:paraId="02621E2C" w14:textId="77777777" w:rsidR="00093EEB" w:rsidRPr="00970DC0" w:rsidRDefault="00093EEB" w:rsidP="00080EEE">
            <w:pPr>
              <w:pStyle w:val="Headingb"/>
              <w:jc w:val="both"/>
            </w:pPr>
            <w:bookmarkStart w:id="20" w:name="_Toc39047645"/>
            <w:r w:rsidRPr="00970DC0">
              <w:t>Acción solicitada</w:t>
            </w:r>
            <w:bookmarkEnd w:id="20"/>
          </w:p>
          <w:p w14:paraId="092C26AD" w14:textId="5049C547" w:rsidR="00093EEB" w:rsidRPr="00970DC0" w:rsidRDefault="005E3C98" w:rsidP="00080EEE">
            <w:pPr>
              <w:jc w:val="both"/>
            </w:pPr>
            <w:bookmarkStart w:id="21" w:name="lt_pId026"/>
            <w:r w:rsidRPr="00970DC0">
              <w:t xml:space="preserve">Se invita al Consejo a </w:t>
            </w:r>
            <w:r w:rsidRPr="00970DC0">
              <w:rPr>
                <w:b/>
                <w:bCs/>
              </w:rPr>
              <w:t>debatir</w:t>
            </w:r>
            <w:r w:rsidRPr="00970DC0">
              <w:t xml:space="preserve"> y aprobar las solicitudes presentadas en la parte 4 de este documento. Puede encontrarse más información de antecedentes en el Documento</w:t>
            </w:r>
            <w:bookmarkStart w:id="22" w:name="lt_pId027"/>
            <w:bookmarkEnd w:id="21"/>
            <w:r w:rsidR="00453612" w:rsidRPr="00970DC0">
              <w:t xml:space="preserve"> INF/7.</w:t>
            </w:r>
            <w:bookmarkEnd w:id="22"/>
          </w:p>
          <w:p w14:paraId="7DD46029" w14:textId="77777777" w:rsidR="00093EEB" w:rsidRPr="00970DC0" w:rsidRDefault="00093EEB" w:rsidP="00E25998">
            <w:pPr>
              <w:pStyle w:val="Table"/>
              <w:keepNext w:val="0"/>
              <w:spacing w:before="0" w:after="0"/>
              <w:rPr>
                <w:caps w:val="0"/>
                <w:sz w:val="22"/>
                <w:lang w:val="es-ES_tradnl"/>
              </w:rPr>
            </w:pPr>
            <w:r w:rsidRPr="00970DC0">
              <w:rPr>
                <w:caps w:val="0"/>
                <w:sz w:val="22"/>
                <w:lang w:val="es-ES_tradnl"/>
              </w:rPr>
              <w:t>____________</w:t>
            </w:r>
          </w:p>
          <w:p w14:paraId="577A0742" w14:textId="77777777" w:rsidR="00093EEB" w:rsidRPr="00970DC0" w:rsidRDefault="00093EEB" w:rsidP="00E25998">
            <w:pPr>
              <w:pStyle w:val="Headingb"/>
            </w:pPr>
            <w:bookmarkStart w:id="23" w:name="_Toc39047646"/>
            <w:r w:rsidRPr="00970DC0">
              <w:t>Referencia</w:t>
            </w:r>
            <w:bookmarkEnd w:id="23"/>
          </w:p>
          <w:p w14:paraId="5542DFE2" w14:textId="54D491EA" w:rsidR="00093EEB" w:rsidRPr="00970DC0" w:rsidRDefault="00080EEE" w:rsidP="00E25998">
            <w:pPr>
              <w:spacing w:after="120"/>
              <w:rPr>
                <w:i/>
                <w:iCs/>
              </w:rPr>
            </w:pPr>
            <w:hyperlink r:id="rId12" w:history="1">
              <w:bookmarkStart w:id="24" w:name="lt_pId030"/>
              <w:r w:rsidR="00453612" w:rsidRPr="00970DC0">
                <w:rPr>
                  <w:rStyle w:val="Hyperlink"/>
                  <w:i/>
                  <w:iCs/>
                </w:rPr>
                <w:t>Document</w:t>
              </w:r>
              <w:r w:rsidR="005E3C98" w:rsidRPr="00970DC0">
                <w:rPr>
                  <w:rStyle w:val="Hyperlink"/>
                  <w:i/>
                  <w:iCs/>
                </w:rPr>
                <w:t>o</w:t>
              </w:r>
              <w:r w:rsidR="00453612" w:rsidRPr="00970DC0">
                <w:rPr>
                  <w:rStyle w:val="Hyperlink"/>
                  <w:i/>
                  <w:iCs/>
                </w:rPr>
                <w:t xml:space="preserve"> C20/INF/7</w:t>
              </w:r>
              <w:bookmarkEnd w:id="24"/>
            </w:hyperlink>
          </w:p>
        </w:tc>
      </w:tr>
    </w:tbl>
    <w:p w14:paraId="224E3215" w14:textId="7E71009C" w:rsidR="00453612" w:rsidRPr="00970DC0" w:rsidRDefault="00453612" w:rsidP="00E25998">
      <w:r w:rsidRPr="00970DC0">
        <w:br w:type="page"/>
      </w:r>
    </w:p>
    <w:p w14:paraId="503156E8" w14:textId="01460072" w:rsidR="00C2727F" w:rsidRDefault="005E3C98" w:rsidP="002F6252">
      <w:pPr>
        <w:pStyle w:val="Title4"/>
      </w:pPr>
      <w:r w:rsidRPr="00970DC0">
        <w:lastRenderedPageBreak/>
        <w:t>Í</w:t>
      </w:r>
      <w:r w:rsidR="00453612" w:rsidRPr="00970DC0">
        <w:t>NDICE</w:t>
      </w:r>
    </w:p>
    <w:p w14:paraId="758BCC7C" w14:textId="7648B724" w:rsidR="002F6252" w:rsidRDefault="002F6252" w:rsidP="002F6252">
      <w:pPr>
        <w:pStyle w:val="toc0"/>
        <w:jc w:val="right"/>
      </w:pPr>
      <w:r>
        <w:t>Página</w:t>
      </w:r>
    </w:p>
    <w:sdt>
      <w:sdtPr>
        <w:id w:val="-992484925"/>
        <w:docPartObj>
          <w:docPartGallery w:val="Table of Contents"/>
          <w:docPartUnique/>
        </w:docPartObj>
      </w:sdtPr>
      <w:sdtEndPr>
        <w:rPr>
          <w:b/>
          <w:bCs/>
          <w:noProof/>
        </w:rPr>
      </w:sdtEndPr>
      <w:sdtContent>
        <w:p w14:paraId="11942342" w14:textId="3F94D327" w:rsidR="002F6252" w:rsidRPr="002F6252" w:rsidRDefault="002F6252">
          <w:pPr>
            <w:pStyle w:val="TOC1"/>
            <w:rPr>
              <w:rFonts w:eastAsiaTheme="minorEastAsia"/>
              <w:noProof/>
            </w:rPr>
          </w:pPr>
          <w:r>
            <w:fldChar w:fldCharType="begin"/>
          </w:r>
          <w:r>
            <w:instrText xml:space="preserve"> TOC \o "1-3" \h \z \u </w:instrText>
          </w:r>
          <w:r>
            <w:fldChar w:fldCharType="separate"/>
          </w:r>
          <w:hyperlink w:anchor="_Toc39047647" w:history="1">
            <w:r w:rsidRPr="000175D5">
              <w:rPr>
                <w:rStyle w:val="Hyperlink"/>
                <w:noProof/>
              </w:rPr>
              <w:t>1</w:t>
            </w:r>
            <w:r>
              <w:rPr>
                <w:rFonts w:asciiTheme="minorHAnsi" w:eastAsiaTheme="minorEastAsia" w:hAnsiTheme="minorHAnsi" w:cstheme="minorBidi"/>
                <w:noProof/>
                <w:sz w:val="22"/>
                <w:szCs w:val="22"/>
                <w:lang w:val="en-US"/>
              </w:rPr>
              <w:tab/>
            </w:r>
            <w:r w:rsidRPr="000175D5">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_Toc39047647 \h </w:instrText>
            </w:r>
            <w:r>
              <w:rPr>
                <w:noProof/>
                <w:webHidden/>
              </w:rPr>
            </w:r>
            <w:r>
              <w:rPr>
                <w:noProof/>
                <w:webHidden/>
              </w:rPr>
              <w:fldChar w:fldCharType="separate"/>
            </w:r>
            <w:r w:rsidR="00060939">
              <w:rPr>
                <w:noProof/>
                <w:webHidden/>
              </w:rPr>
              <w:t>2</w:t>
            </w:r>
            <w:r>
              <w:rPr>
                <w:noProof/>
                <w:webHidden/>
              </w:rPr>
              <w:fldChar w:fldCharType="end"/>
            </w:r>
          </w:hyperlink>
        </w:p>
        <w:p w14:paraId="7B195258" w14:textId="376B85CB" w:rsidR="002F6252" w:rsidRDefault="00080EEE">
          <w:pPr>
            <w:pStyle w:val="TOC1"/>
            <w:rPr>
              <w:rFonts w:asciiTheme="minorHAnsi" w:eastAsiaTheme="minorEastAsia" w:hAnsiTheme="minorHAnsi" w:cstheme="minorBidi"/>
              <w:noProof/>
              <w:sz w:val="22"/>
              <w:szCs w:val="22"/>
              <w:lang w:val="en-US"/>
            </w:rPr>
          </w:pPr>
          <w:hyperlink w:anchor="_Toc39047648" w:history="1">
            <w:r w:rsidR="002F6252" w:rsidRPr="000175D5">
              <w:rPr>
                <w:rStyle w:val="Hyperlink"/>
                <w:noProof/>
                <w:lang w:eastAsia="zh-CN"/>
              </w:rPr>
              <w:t>2</w:t>
            </w:r>
            <w:r w:rsidR="002F6252">
              <w:rPr>
                <w:rFonts w:asciiTheme="minorHAnsi" w:eastAsiaTheme="minorEastAsia" w:hAnsiTheme="minorHAnsi" w:cstheme="minorBidi"/>
                <w:noProof/>
                <w:sz w:val="22"/>
                <w:szCs w:val="22"/>
                <w:lang w:val="en-US"/>
              </w:rPr>
              <w:tab/>
            </w:r>
            <w:r w:rsidR="002F6252" w:rsidRPr="000175D5">
              <w:rPr>
                <w:rStyle w:val="Hyperlink"/>
                <w:noProof/>
                <w:lang w:eastAsia="zh-CN"/>
              </w:rPr>
              <w:t>Servicios y herramientas de la UIT</w:t>
            </w:r>
            <w:r w:rsidR="002F6252">
              <w:rPr>
                <w:noProof/>
                <w:webHidden/>
              </w:rPr>
              <w:tab/>
            </w:r>
            <w:r w:rsidR="002F6252">
              <w:rPr>
                <w:noProof/>
                <w:webHidden/>
              </w:rPr>
              <w:tab/>
            </w:r>
            <w:r w:rsidR="002F6252">
              <w:rPr>
                <w:noProof/>
                <w:webHidden/>
              </w:rPr>
              <w:fldChar w:fldCharType="begin"/>
            </w:r>
            <w:r w:rsidR="002F6252">
              <w:rPr>
                <w:noProof/>
                <w:webHidden/>
              </w:rPr>
              <w:instrText xml:space="preserve"> PAGEREF _Toc39047648 \h </w:instrText>
            </w:r>
            <w:r w:rsidR="002F6252">
              <w:rPr>
                <w:noProof/>
                <w:webHidden/>
              </w:rPr>
            </w:r>
            <w:r w:rsidR="002F6252">
              <w:rPr>
                <w:noProof/>
                <w:webHidden/>
              </w:rPr>
              <w:fldChar w:fldCharType="separate"/>
            </w:r>
            <w:r w:rsidR="00060939">
              <w:rPr>
                <w:noProof/>
                <w:webHidden/>
              </w:rPr>
              <w:t>3</w:t>
            </w:r>
            <w:r w:rsidR="002F6252">
              <w:rPr>
                <w:noProof/>
                <w:webHidden/>
              </w:rPr>
              <w:fldChar w:fldCharType="end"/>
            </w:r>
          </w:hyperlink>
        </w:p>
        <w:p w14:paraId="15790317" w14:textId="01F2D57E" w:rsidR="002F6252" w:rsidRDefault="00080EEE">
          <w:pPr>
            <w:pStyle w:val="TOC1"/>
            <w:rPr>
              <w:rFonts w:asciiTheme="minorHAnsi" w:eastAsiaTheme="minorEastAsia" w:hAnsiTheme="minorHAnsi" w:cstheme="minorBidi"/>
              <w:noProof/>
              <w:sz w:val="22"/>
              <w:szCs w:val="22"/>
              <w:lang w:val="en-US"/>
            </w:rPr>
          </w:pPr>
          <w:hyperlink w:anchor="_Toc39047649" w:history="1">
            <w:r w:rsidR="002F6252" w:rsidRPr="000175D5">
              <w:rPr>
                <w:rStyle w:val="Hyperlink"/>
                <w:noProof/>
                <w:lang w:eastAsia="zh-CN"/>
              </w:rPr>
              <w:t>3</w:t>
            </w:r>
            <w:r w:rsidR="002F6252">
              <w:rPr>
                <w:rFonts w:asciiTheme="minorHAnsi" w:eastAsiaTheme="minorEastAsia" w:hAnsiTheme="minorHAnsi" w:cstheme="minorBidi"/>
                <w:noProof/>
                <w:sz w:val="22"/>
                <w:szCs w:val="22"/>
                <w:lang w:val="en-US"/>
              </w:rPr>
              <w:tab/>
            </w:r>
            <w:r w:rsidR="002F6252" w:rsidRPr="000175D5">
              <w:rPr>
                <w:rStyle w:val="Hyperlink"/>
                <w:noProof/>
                <w:lang w:eastAsia="zh-CN"/>
              </w:rPr>
              <w:t>Solicitud de recursos adicionales para las actividades de las Comisiones de Estudio</w:t>
            </w:r>
            <w:r w:rsidR="002F6252">
              <w:rPr>
                <w:noProof/>
                <w:webHidden/>
              </w:rPr>
              <w:tab/>
            </w:r>
            <w:r w:rsidR="002F6252">
              <w:rPr>
                <w:noProof/>
                <w:webHidden/>
              </w:rPr>
              <w:fldChar w:fldCharType="begin"/>
            </w:r>
            <w:r w:rsidR="002F6252">
              <w:rPr>
                <w:noProof/>
                <w:webHidden/>
              </w:rPr>
              <w:instrText xml:space="preserve"> PAGEREF _Toc39047649 \h </w:instrText>
            </w:r>
            <w:r w:rsidR="002F6252">
              <w:rPr>
                <w:noProof/>
                <w:webHidden/>
              </w:rPr>
            </w:r>
            <w:r w:rsidR="002F6252">
              <w:rPr>
                <w:noProof/>
                <w:webHidden/>
              </w:rPr>
              <w:fldChar w:fldCharType="separate"/>
            </w:r>
            <w:r w:rsidR="00060939">
              <w:rPr>
                <w:noProof/>
                <w:webHidden/>
              </w:rPr>
              <w:t>4</w:t>
            </w:r>
            <w:r w:rsidR="002F6252">
              <w:rPr>
                <w:noProof/>
                <w:webHidden/>
              </w:rPr>
              <w:fldChar w:fldCharType="end"/>
            </w:r>
          </w:hyperlink>
        </w:p>
        <w:p w14:paraId="5E784C6A" w14:textId="5F72689B" w:rsidR="002F6252" w:rsidRDefault="00080EEE">
          <w:pPr>
            <w:pStyle w:val="TOC2"/>
            <w:rPr>
              <w:rFonts w:asciiTheme="minorHAnsi" w:eastAsiaTheme="minorEastAsia" w:hAnsiTheme="minorHAnsi" w:cstheme="minorBidi"/>
              <w:noProof/>
              <w:sz w:val="22"/>
              <w:szCs w:val="22"/>
              <w:lang w:val="en-US"/>
            </w:rPr>
          </w:pPr>
          <w:hyperlink w:anchor="_Toc39047650" w:history="1">
            <w:r w:rsidR="002F6252" w:rsidRPr="000175D5">
              <w:rPr>
                <w:rStyle w:val="Hyperlink"/>
                <w:noProof/>
                <w:lang w:eastAsia="zh-CN"/>
              </w:rPr>
              <w:t>3.1</w:t>
            </w:r>
            <w:r w:rsidR="002F6252">
              <w:rPr>
                <w:rFonts w:asciiTheme="minorHAnsi" w:eastAsiaTheme="minorEastAsia" w:hAnsiTheme="minorHAnsi" w:cstheme="minorBidi"/>
                <w:noProof/>
                <w:sz w:val="22"/>
                <w:szCs w:val="22"/>
                <w:lang w:val="en-US"/>
              </w:rPr>
              <w:tab/>
            </w:r>
            <w:r w:rsidR="002F6252" w:rsidRPr="000175D5">
              <w:rPr>
                <w:rStyle w:val="Hyperlink"/>
                <w:noProof/>
                <w:lang w:eastAsia="zh-CN"/>
              </w:rPr>
              <w:t>Ciudades de todo el mundo están utilizando los IFR para ciudades inteligentes</w:t>
            </w:r>
            <w:r w:rsidR="002F6252">
              <w:rPr>
                <w:rStyle w:val="Hyperlink"/>
                <w:noProof/>
                <w:lang w:eastAsia="zh-CN"/>
              </w:rPr>
              <w:br/>
            </w:r>
            <w:r w:rsidR="002F6252" w:rsidRPr="000175D5">
              <w:rPr>
                <w:rStyle w:val="Hyperlink"/>
                <w:noProof/>
                <w:lang w:eastAsia="zh-CN"/>
              </w:rPr>
              <w:t>y sostenibles de la UIT</w:t>
            </w:r>
            <w:r w:rsidR="002F6252">
              <w:rPr>
                <w:noProof/>
                <w:webHidden/>
              </w:rPr>
              <w:tab/>
            </w:r>
            <w:r w:rsidR="002F6252">
              <w:rPr>
                <w:noProof/>
                <w:webHidden/>
              </w:rPr>
              <w:tab/>
            </w:r>
            <w:r w:rsidR="002F6252">
              <w:rPr>
                <w:noProof/>
                <w:webHidden/>
              </w:rPr>
              <w:fldChar w:fldCharType="begin"/>
            </w:r>
            <w:r w:rsidR="002F6252">
              <w:rPr>
                <w:noProof/>
                <w:webHidden/>
              </w:rPr>
              <w:instrText xml:space="preserve"> PAGEREF _Toc39047650 \h </w:instrText>
            </w:r>
            <w:r w:rsidR="002F6252">
              <w:rPr>
                <w:noProof/>
                <w:webHidden/>
              </w:rPr>
            </w:r>
            <w:r w:rsidR="002F6252">
              <w:rPr>
                <w:noProof/>
                <w:webHidden/>
              </w:rPr>
              <w:fldChar w:fldCharType="separate"/>
            </w:r>
            <w:r w:rsidR="00060939">
              <w:rPr>
                <w:noProof/>
                <w:webHidden/>
              </w:rPr>
              <w:t>4</w:t>
            </w:r>
            <w:r w:rsidR="002F6252">
              <w:rPr>
                <w:noProof/>
                <w:webHidden/>
              </w:rPr>
              <w:fldChar w:fldCharType="end"/>
            </w:r>
          </w:hyperlink>
        </w:p>
        <w:p w14:paraId="48186E27" w14:textId="51AA7083" w:rsidR="002F6252" w:rsidRDefault="00080EEE">
          <w:pPr>
            <w:pStyle w:val="TOC2"/>
            <w:rPr>
              <w:rFonts w:asciiTheme="minorHAnsi" w:eastAsiaTheme="minorEastAsia" w:hAnsiTheme="minorHAnsi" w:cstheme="minorBidi"/>
              <w:noProof/>
              <w:sz w:val="22"/>
              <w:szCs w:val="22"/>
              <w:lang w:val="en-US"/>
            </w:rPr>
          </w:pPr>
          <w:hyperlink w:anchor="_Toc39047651" w:history="1">
            <w:r w:rsidR="002F6252" w:rsidRPr="000175D5">
              <w:rPr>
                <w:rStyle w:val="Hyperlink"/>
                <w:noProof/>
                <w:lang w:eastAsia="zh-CN"/>
              </w:rPr>
              <w:t>3.2</w:t>
            </w:r>
            <w:r w:rsidR="002F6252">
              <w:rPr>
                <w:rFonts w:asciiTheme="minorHAnsi" w:eastAsiaTheme="minorEastAsia" w:hAnsiTheme="minorHAnsi" w:cstheme="minorBidi"/>
                <w:noProof/>
                <w:sz w:val="22"/>
                <w:szCs w:val="22"/>
                <w:lang w:val="en-US"/>
              </w:rPr>
              <w:tab/>
            </w:r>
            <w:r w:rsidR="002F6252" w:rsidRPr="000175D5">
              <w:rPr>
                <w:rStyle w:val="Hyperlink"/>
                <w:noProof/>
                <w:lang w:eastAsia="zh-CN"/>
              </w:rPr>
              <w:t>Recursos de numeración internacional (INR), la columna dorsal de las redes de comunicaciones</w:t>
            </w:r>
            <w:r w:rsidR="002F6252">
              <w:rPr>
                <w:noProof/>
                <w:webHidden/>
              </w:rPr>
              <w:tab/>
            </w:r>
            <w:r w:rsidR="002F6252">
              <w:rPr>
                <w:noProof/>
                <w:webHidden/>
              </w:rPr>
              <w:tab/>
            </w:r>
            <w:r w:rsidR="002F6252">
              <w:rPr>
                <w:noProof/>
                <w:webHidden/>
              </w:rPr>
              <w:fldChar w:fldCharType="begin"/>
            </w:r>
            <w:r w:rsidR="002F6252">
              <w:rPr>
                <w:noProof/>
                <w:webHidden/>
              </w:rPr>
              <w:instrText xml:space="preserve"> PAGEREF _Toc39047651 \h </w:instrText>
            </w:r>
            <w:r w:rsidR="002F6252">
              <w:rPr>
                <w:noProof/>
                <w:webHidden/>
              </w:rPr>
            </w:r>
            <w:r w:rsidR="002F6252">
              <w:rPr>
                <w:noProof/>
                <w:webHidden/>
              </w:rPr>
              <w:fldChar w:fldCharType="separate"/>
            </w:r>
            <w:r w:rsidR="00060939">
              <w:rPr>
                <w:noProof/>
                <w:webHidden/>
              </w:rPr>
              <w:t>5</w:t>
            </w:r>
            <w:r w:rsidR="002F6252">
              <w:rPr>
                <w:noProof/>
                <w:webHidden/>
              </w:rPr>
              <w:fldChar w:fldCharType="end"/>
            </w:r>
          </w:hyperlink>
        </w:p>
        <w:p w14:paraId="6C469A5E" w14:textId="4ACDB6B8" w:rsidR="002F6252" w:rsidRDefault="00080EEE">
          <w:pPr>
            <w:pStyle w:val="TOC2"/>
            <w:rPr>
              <w:rFonts w:asciiTheme="minorHAnsi" w:eastAsiaTheme="minorEastAsia" w:hAnsiTheme="minorHAnsi" w:cstheme="minorBidi"/>
              <w:noProof/>
              <w:sz w:val="22"/>
              <w:szCs w:val="22"/>
              <w:lang w:val="en-US"/>
            </w:rPr>
          </w:pPr>
          <w:hyperlink w:anchor="_Toc39047652" w:history="1">
            <w:r w:rsidR="002F6252" w:rsidRPr="000175D5">
              <w:rPr>
                <w:rStyle w:val="Hyperlink"/>
                <w:noProof/>
                <w:lang w:eastAsia="zh-CN"/>
              </w:rPr>
              <w:t>3.3</w:t>
            </w:r>
            <w:r w:rsidR="002F6252">
              <w:rPr>
                <w:rFonts w:asciiTheme="minorHAnsi" w:eastAsiaTheme="minorEastAsia" w:hAnsiTheme="minorHAnsi" w:cstheme="minorBidi"/>
                <w:noProof/>
                <w:sz w:val="22"/>
                <w:szCs w:val="22"/>
                <w:lang w:val="en-US"/>
              </w:rPr>
              <w:tab/>
            </w:r>
            <w:r w:rsidR="002F6252" w:rsidRPr="000175D5">
              <w:rPr>
                <w:rStyle w:val="Hyperlink"/>
                <w:noProof/>
                <w:lang w:eastAsia="zh-CN"/>
              </w:rPr>
              <w:t>Los servicios financieros digitales pueden integrar a 2 mil millones de</w:t>
            </w:r>
            <w:r w:rsidR="002F6252">
              <w:rPr>
                <w:rStyle w:val="Hyperlink"/>
                <w:noProof/>
                <w:lang w:eastAsia="zh-CN"/>
              </w:rPr>
              <w:br/>
            </w:r>
            <w:r w:rsidR="002F6252" w:rsidRPr="000175D5">
              <w:rPr>
                <w:rStyle w:val="Hyperlink"/>
                <w:noProof/>
                <w:lang w:eastAsia="zh-CN"/>
              </w:rPr>
              <w:t>desbancarizados en la economía</w:t>
            </w:r>
            <w:r w:rsidR="002F6252">
              <w:rPr>
                <w:noProof/>
                <w:webHidden/>
              </w:rPr>
              <w:tab/>
            </w:r>
            <w:r w:rsidR="002F6252">
              <w:rPr>
                <w:noProof/>
                <w:webHidden/>
              </w:rPr>
              <w:tab/>
            </w:r>
            <w:r w:rsidR="002F6252">
              <w:rPr>
                <w:noProof/>
                <w:webHidden/>
              </w:rPr>
              <w:fldChar w:fldCharType="begin"/>
            </w:r>
            <w:r w:rsidR="002F6252">
              <w:rPr>
                <w:noProof/>
                <w:webHidden/>
              </w:rPr>
              <w:instrText xml:space="preserve"> PAGEREF _Toc39047652 \h </w:instrText>
            </w:r>
            <w:r w:rsidR="002F6252">
              <w:rPr>
                <w:noProof/>
                <w:webHidden/>
              </w:rPr>
            </w:r>
            <w:r w:rsidR="002F6252">
              <w:rPr>
                <w:noProof/>
                <w:webHidden/>
              </w:rPr>
              <w:fldChar w:fldCharType="separate"/>
            </w:r>
            <w:r w:rsidR="00060939">
              <w:rPr>
                <w:noProof/>
                <w:webHidden/>
              </w:rPr>
              <w:t>6</w:t>
            </w:r>
            <w:r w:rsidR="002F6252">
              <w:rPr>
                <w:noProof/>
                <w:webHidden/>
              </w:rPr>
              <w:fldChar w:fldCharType="end"/>
            </w:r>
          </w:hyperlink>
        </w:p>
        <w:p w14:paraId="6B9CFDEF" w14:textId="5FDC94EE" w:rsidR="002F6252" w:rsidRDefault="00080EEE">
          <w:pPr>
            <w:pStyle w:val="TOC2"/>
            <w:rPr>
              <w:rFonts w:asciiTheme="minorHAnsi" w:eastAsiaTheme="minorEastAsia" w:hAnsiTheme="minorHAnsi" w:cstheme="minorBidi"/>
              <w:noProof/>
              <w:sz w:val="22"/>
              <w:szCs w:val="22"/>
              <w:lang w:val="en-US"/>
            </w:rPr>
          </w:pPr>
          <w:hyperlink w:anchor="_Toc39047653" w:history="1">
            <w:r w:rsidR="002F6252" w:rsidRPr="000175D5">
              <w:rPr>
                <w:rStyle w:val="Hyperlink"/>
                <w:noProof/>
                <w:lang w:eastAsia="zh-CN"/>
              </w:rPr>
              <w:t>3.4</w:t>
            </w:r>
            <w:r w:rsidR="002F6252">
              <w:rPr>
                <w:rFonts w:asciiTheme="minorHAnsi" w:eastAsiaTheme="minorEastAsia" w:hAnsiTheme="minorHAnsi" w:cstheme="minorBidi"/>
                <w:noProof/>
                <w:sz w:val="22"/>
                <w:szCs w:val="22"/>
                <w:lang w:val="en-US"/>
              </w:rPr>
              <w:tab/>
            </w:r>
            <w:r w:rsidR="002F6252" w:rsidRPr="000175D5">
              <w:rPr>
                <w:rStyle w:val="Hyperlink"/>
                <w:noProof/>
                <w:lang w:eastAsia="zh-CN"/>
              </w:rPr>
              <w:t>Experto en la aplicación del aprendizaje automático a la infraestructura y</w:t>
            </w:r>
            <w:r w:rsidR="002F6252">
              <w:rPr>
                <w:rStyle w:val="Hyperlink"/>
                <w:noProof/>
                <w:lang w:eastAsia="zh-CN"/>
              </w:rPr>
              <w:br/>
            </w:r>
            <w:r w:rsidR="002F6252" w:rsidRPr="000175D5">
              <w:rPr>
                <w:rStyle w:val="Hyperlink"/>
                <w:noProof/>
                <w:lang w:eastAsia="zh-CN"/>
              </w:rPr>
              <w:t>servicios de TIC</w:t>
            </w:r>
            <w:r w:rsidR="002F6252">
              <w:rPr>
                <w:noProof/>
                <w:webHidden/>
              </w:rPr>
              <w:tab/>
            </w:r>
            <w:r w:rsidR="002F6252">
              <w:rPr>
                <w:noProof/>
                <w:webHidden/>
              </w:rPr>
              <w:tab/>
            </w:r>
            <w:r w:rsidR="002F6252">
              <w:rPr>
                <w:noProof/>
                <w:webHidden/>
              </w:rPr>
              <w:fldChar w:fldCharType="begin"/>
            </w:r>
            <w:r w:rsidR="002F6252">
              <w:rPr>
                <w:noProof/>
                <w:webHidden/>
              </w:rPr>
              <w:instrText xml:space="preserve"> PAGEREF _Toc39047653 \h </w:instrText>
            </w:r>
            <w:r w:rsidR="002F6252">
              <w:rPr>
                <w:noProof/>
                <w:webHidden/>
              </w:rPr>
            </w:r>
            <w:r w:rsidR="002F6252">
              <w:rPr>
                <w:noProof/>
                <w:webHidden/>
              </w:rPr>
              <w:fldChar w:fldCharType="separate"/>
            </w:r>
            <w:r w:rsidR="00060939">
              <w:rPr>
                <w:noProof/>
                <w:webHidden/>
              </w:rPr>
              <w:t>7</w:t>
            </w:r>
            <w:r w:rsidR="002F6252">
              <w:rPr>
                <w:noProof/>
                <w:webHidden/>
              </w:rPr>
              <w:fldChar w:fldCharType="end"/>
            </w:r>
          </w:hyperlink>
        </w:p>
        <w:p w14:paraId="3B396FA3" w14:textId="3D538F24" w:rsidR="002F6252" w:rsidRDefault="00080EEE" w:rsidP="002F6252">
          <w:pPr>
            <w:pStyle w:val="TOC1"/>
          </w:pPr>
          <w:hyperlink w:anchor="_Toc39047654" w:history="1">
            <w:r w:rsidR="002F6252" w:rsidRPr="000175D5">
              <w:rPr>
                <w:rStyle w:val="Hyperlink"/>
                <w:noProof/>
              </w:rPr>
              <w:t>4</w:t>
            </w:r>
            <w:r w:rsidR="002F6252">
              <w:rPr>
                <w:rFonts w:asciiTheme="minorHAnsi" w:eastAsiaTheme="minorEastAsia" w:hAnsiTheme="minorHAnsi" w:cstheme="minorBidi"/>
                <w:noProof/>
                <w:sz w:val="22"/>
                <w:szCs w:val="22"/>
                <w:lang w:val="en-US"/>
              </w:rPr>
              <w:tab/>
            </w:r>
            <w:r w:rsidR="002F6252" w:rsidRPr="000175D5">
              <w:rPr>
                <w:rStyle w:val="Hyperlink"/>
                <w:noProof/>
              </w:rPr>
              <w:t>Resumen de los recursos solicitados</w:t>
            </w:r>
            <w:r w:rsidR="002F6252">
              <w:rPr>
                <w:noProof/>
                <w:webHidden/>
              </w:rPr>
              <w:tab/>
            </w:r>
            <w:r w:rsidR="002F6252">
              <w:rPr>
                <w:noProof/>
                <w:webHidden/>
              </w:rPr>
              <w:tab/>
            </w:r>
            <w:r w:rsidR="002F6252">
              <w:rPr>
                <w:noProof/>
                <w:webHidden/>
              </w:rPr>
              <w:fldChar w:fldCharType="begin"/>
            </w:r>
            <w:r w:rsidR="002F6252">
              <w:rPr>
                <w:noProof/>
                <w:webHidden/>
              </w:rPr>
              <w:instrText xml:space="preserve"> PAGEREF _Toc39047654 \h </w:instrText>
            </w:r>
            <w:r w:rsidR="002F6252">
              <w:rPr>
                <w:noProof/>
                <w:webHidden/>
              </w:rPr>
            </w:r>
            <w:r w:rsidR="002F6252">
              <w:rPr>
                <w:noProof/>
                <w:webHidden/>
              </w:rPr>
              <w:fldChar w:fldCharType="separate"/>
            </w:r>
            <w:r w:rsidR="00060939">
              <w:rPr>
                <w:noProof/>
                <w:webHidden/>
              </w:rPr>
              <w:t>8</w:t>
            </w:r>
            <w:r w:rsidR="002F6252">
              <w:rPr>
                <w:noProof/>
                <w:webHidden/>
              </w:rPr>
              <w:fldChar w:fldCharType="end"/>
            </w:r>
          </w:hyperlink>
          <w:r w:rsidR="002F6252">
            <w:rPr>
              <w:b/>
              <w:bCs/>
              <w:noProof/>
            </w:rPr>
            <w:fldChar w:fldCharType="end"/>
          </w:r>
        </w:p>
      </w:sdtContent>
    </w:sdt>
    <w:p w14:paraId="7F94F06C" w14:textId="5DC80B25" w:rsidR="00453612" w:rsidRPr="00970DC0" w:rsidRDefault="00453612" w:rsidP="00080EEE">
      <w:pPr>
        <w:pStyle w:val="Heading1"/>
        <w:jc w:val="both"/>
      </w:pPr>
      <w:bookmarkStart w:id="25" w:name="_Toc37930304"/>
      <w:bookmarkStart w:id="26" w:name="_Toc39047647"/>
      <w:bookmarkStart w:id="27" w:name="_Hlk38891519"/>
      <w:r w:rsidRPr="00970DC0">
        <w:t>1</w:t>
      </w:r>
      <w:r w:rsidRPr="00970DC0">
        <w:tab/>
      </w:r>
      <w:bookmarkStart w:id="28" w:name="lt_pId033"/>
      <w:proofErr w:type="gramStart"/>
      <w:r w:rsidRPr="00970DC0">
        <w:t>Introduc</w:t>
      </w:r>
      <w:r w:rsidR="005E3C98" w:rsidRPr="00970DC0">
        <w:t>ción</w:t>
      </w:r>
      <w:bookmarkEnd w:id="25"/>
      <w:bookmarkEnd w:id="28"/>
      <w:bookmarkEnd w:id="26"/>
      <w:proofErr w:type="gramEnd"/>
    </w:p>
    <w:p w14:paraId="0FD85B9E" w14:textId="5364EE6B" w:rsidR="00453612" w:rsidRPr="00970DC0" w:rsidRDefault="00453612" w:rsidP="00080EEE">
      <w:pPr>
        <w:jc w:val="both"/>
        <w:rPr>
          <w:rFonts w:eastAsia="Calibri"/>
        </w:rPr>
      </w:pPr>
      <w:r w:rsidRPr="00970DC0">
        <w:rPr>
          <w:rFonts w:eastAsia="Calibri"/>
        </w:rPr>
        <w:t>1.1</w:t>
      </w:r>
      <w:r w:rsidRPr="00970DC0">
        <w:rPr>
          <w:rFonts w:eastAsia="Calibri"/>
        </w:rPr>
        <w:tab/>
      </w:r>
      <w:bookmarkStart w:id="29" w:name="lt_pId035"/>
      <w:r w:rsidR="005E3C98" w:rsidRPr="00970DC0">
        <w:rPr>
          <w:rFonts w:eastAsia="Calibri"/>
        </w:rPr>
        <w:t xml:space="preserve">Las TIC se han convertido en una parte indispensable de nuestra sociedad, integrándose en todos los aspectos laborales y de la vida cotidiana. Todos los sectores industriales utilizan las TIC. Esta tendencia hacia una mayor coincidencia entre las TIC y diversas industrias/sectores verticales también queda patente en el programa de trabajo, que contiene nuevas actividades como la inclusión financiera digital, los sistemas de transporte inteligentes, las ciudades inteligentes, la red eléctrica inteligente, las tecnologías de libro mayor distribuido, la inteligencia artificial/aprendizaje automático y la tecnología informática cuántica, que, a su vez, </w:t>
      </w:r>
      <w:r w:rsidR="00EC5C38" w:rsidRPr="00970DC0">
        <w:rPr>
          <w:rFonts w:eastAsia="Calibri"/>
        </w:rPr>
        <w:t xml:space="preserve">generan un aumento del número de </w:t>
      </w:r>
      <w:r w:rsidR="00060939" w:rsidRPr="00970DC0">
        <w:rPr>
          <w:rFonts w:eastAsia="Calibri"/>
        </w:rPr>
        <w:t xml:space="preserve">miembros </w:t>
      </w:r>
      <w:r w:rsidR="00EC5C38" w:rsidRPr="00970DC0">
        <w:rPr>
          <w:rFonts w:eastAsia="Calibri"/>
        </w:rPr>
        <w:t>del UIT-T</w:t>
      </w:r>
      <w:bookmarkStart w:id="30" w:name="lt_pId037"/>
      <w:bookmarkEnd w:id="29"/>
      <w:r w:rsidRPr="00970DC0">
        <w:rPr>
          <w:rFonts w:eastAsia="Calibri"/>
        </w:rPr>
        <w:t>.</w:t>
      </w:r>
      <w:bookmarkEnd w:id="30"/>
      <w:r w:rsidRPr="00970DC0">
        <w:rPr>
          <w:rFonts w:eastAsia="Calibri"/>
        </w:rPr>
        <w:t xml:space="preserve"> </w:t>
      </w:r>
    </w:p>
    <w:p w14:paraId="7A3F83F4" w14:textId="73FD5F26" w:rsidR="00453612" w:rsidRPr="00970DC0" w:rsidRDefault="00453612" w:rsidP="00080EEE">
      <w:pPr>
        <w:jc w:val="both"/>
      </w:pPr>
      <w:r w:rsidRPr="00970DC0">
        <w:rPr>
          <w:rFonts w:eastAsia="Calibri"/>
        </w:rPr>
        <w:t>1.2</w:t>
      </w:r>
      <w:r w:rsidRPr="00970DC0">
        <w:rPr>
          <w:rFonts w:eastAsia="Calibri"/>
        </w:rPr>
        <w:tab/>
      </w:r>
      <w:bookmarkStart w:id="31" w:name="lt_pId039"/>
      <w:r w:rsidR="00EC5C38" w:rsidRPr="00970DC0">
        <w:rPr>
          <w:rFonts w:eastAsia="Calibri"/>
        </w:rPr>
        <w:t>En</w:t>
      </w:r>
      <w:r w:rsidRPr="00970DC0">
        <w:rPr>
          <w:rFonts w:eastAsia="Calibri"/>
        </w:rPr>
        <w:t xml:space="preserve"> 2019</w:t>
      </w:r>
      <w:r w:rsidR="00EC5C38" w:rsidRPr="00970DC0">
        <w:rPr>
          <w:rFonts w:eastAsia="Calibri"/>
        </w:rPr>
        <w:t xml:space="preserve"> llegaron al UIT-T 34 nuevos Asociados (aumento neto</w:t>
      </w:r>
      <w:r w:rsidRPr="00970DC0">
        <w:t>:</w:t>
      </w:r>
      <w:bookmarkEnd w:id="31"/>
      <w:r w:rsidRPr="00970DC0">
        <w:t xml:space="preserve"> </w:t>
      </w:r>
      <w:bookmarkStart w:id="32" w:name="lt_pId040"/>
      <w:r w:rsidRPr="00970DC0">
        <w:t xml:space="preserve">+27) </w:t>
      </w:r>
      <w:r w:rsidR="00EC5C38" w:rsidRPr="00970DC0">
        <w:t>y</w:t>
      </w:r>
      <w:r w:rsidRPr="00970DC0">
        <w:t xml:space="preserve"> 20 n</w:t>
      </w:r>
      <w:r w:rsidR="00EC5C38" w:rsidRPr="00970DC0">
        <w:t>uevos Miembros de Sector (aumento neto:</w:t>
      </w:r>
      <w:r w:rsidRPr="00970DC0">
        <w:t xml:space="preserve"> +11).</w:t>
      </w:r>
      <w:bookmarkEnd w:id="32"/>
      <w:r w:rsidRPr="00970DC0">
        <w:t xml:space="preserve"> </w:t>
      </w:r>
      <w:bookmarkStart w:id="33" w:name="lt_pId041"/>
      <w:r w:rsidR="00EC5C38" w:rsidRPr="00970DC0">
        <w:t>En</w:t>
      </w:r>
      <w:r w:rsidRPr="00970DC0">
        <w:t xml:space="preserve"> 2018</w:t>
      </w:r>
      <w:r w:rsidR="00EC5C38" w:rsidRPr="00970DC0">
        <w:t xml:space="preserve"> se adhirieron 31 nuevos Asociados (aumento neto:</w:t>
      </w:r>
      <w:r w:rsidRPr="00970DC0">
        <w:t xml:space="preserve"> +20) </w:t>
      </w:r>
      <w:r w:rsidR="00EC5C38" w:rsidRPr="00970DC0">
        <w:t>y</w:t>
      </w:r>
      <w:r w:rsidRPr="00970DC0">
        <w:t xml:space="preserve"> 14</w:t>
      </w:r>
      <w:r w:rsidR="00080EEE">
        <w:t> </w:t>
      </w:r>
      <w:r w:rsidRPr="00970DC0">
        <w:t>n</w:t>
      </w:r>
      <w:r w:rsidR="00EC5C38" w:rsidRPr="00970DC0">
        <w:t>uevos Miembros de Sector (aumento neto:</w:t>
      </w:r>
      <w:r w:rsidRPr="00970DC0">
        <w:t xml:space="preserve"> 0).</w:t>
      </w:r>
      <w:bookmarkEnd w:id="33"/>
      <w:r w:rsidRPr="00970DC0">
        <w:t xml:space="preserve"> </w:t>
      </w:r>
      <w:bookmarkStart w:id="34" w:name="lt_pId042"/>
      <w:r w:rsidR="00EC5C38" w:rsidRPr="00970DC0">
        <w:t>Entre 2017 y 2019 el aumento en los ingresos asciende a unos 200 000 CHF procedentes de los Miembros de</w:t>
      </w:r>
      <w:r w:rsidR="00060939">
        <w:t xml:space="preserve"> </w:t>
      </w:r>
      <w:r w:rsidR="00EC5C38" w:rsidRPr="00970DC0">
        <w:t xml:space="preserve">Sector </w:t>
      </w:r>
      <w:r w:rsidR="00060939">
        <w:t xml:space="preserve">del </w:t>
      </w:r>
      <w:r w:rsidR="00EC5C38" w:rsidRPr="00970DC0">
        <w:t>UIT-T y unos 450 000 de los Asociados del UIT-T</w:t>
      </w:r>
      <w:r w:rsidRPr="00970DC0">
        <w:t>.</w:t>
      </w:r>
      <w:bookmarkEnd w:id="34"/>
    </w:p>
    <w:p w14:paraId="71B61363" w14:textId="20591393" w:rsidR="00453612" w:rsidRPr="00970DC0" w:rsidRDefault="00453612" w:rsidP="00080EEE">
      <w:pPr>
        <w:jc w:val="both"/>
      </w:pPr>
      <w:r w:rsidRPr="00970DC0">
        <w:t>1.3</w:t>
      </w:r>
      <w:r w:rsidRPr="00970DC0">
        <w:tab/>
      </w:r>
      <w:bookmarkStart w:id="35" w:name="lt_pId044"/>
      <w:r w:rsidRPr="00970DC0">
        <w:t>A</w:t>
      </w:r>
      <w:r w:rsidR="00EC5C38" w:rsidRPr="00970DC0">
        <w:t xml:space="preserve">l aumentar el número de </w:t>
      </w:r>
      <w:r w:rsidR="00060939" w:rsidRPr="00970DC0">
        <w:t xml:space="preserve">miembros </w:t>
      </w:r>
      <w:r w:rsidR="00EC5C38" w:rsidRPr="00970DC0">
        <w:t>del UIT-T, la TSB ha visto aumentar notablemente el número de solicitudes de servicios y ayuda para las diversas actividades del Sector. Por ejemplo, el número de reuniones electrónicas organizadas por el personal de la TSB prácticamente se ha duplicado en los últimos dos años, pasando de unas</w:t>
      </w:r>
      <w:bookmarkStart w:id="36" w:name="lt_pId045"/>
      <w:bookmarkEnd w:id="35"/>
      <w:r w:rsidRPr="00970DC0">
        <w:t xml:space="preserve"> 1</w:t>
      </w:r>
      <w:r w:rsidR="00EC5C38" w:rsidRPr="00970DC0">
        <w:t xml:space="preserve"> </w:t>
      </w:r>
      <w:r w:rsidRPr="00970DC0">
        <w:t xml:space="preserve">100 </w:t>
      </w:r>
      <w:r w:rsidR="00EC5C38" w:rsidRPr="00970DC0">
        <w:t>e</w:t>
      </w:r>
      <w:r w:rsidRPr="00970DC0">
        <w:t xml:space="preserve">n 2017 </w:t>
      </w:r>
      <w:r w:rsidR="00EC5C38" w:rsidRPr="00970DC0">
        <w:t>a cerca de</w:t>
      </w:r>
      <w:r w:rsidRPr="00970DC0">
        <w:t xml:space="preserve"> 1</w:t>
      </w:r>
      <w:r w:rsidR="00EC5C38" w:rsidRPr="00970DC0">
        <w:t xml:space="preserve"> </w:t>
      </w:r>
      <w:r w:rsidRPr="00970DC0">
        <w:t xml:space="preserve">900 </w:t>
      </w:r>
      <w:r w:rsidR="00EC5C38" w:rsidRPr="00970DC0">
        <w:t>e</w:t>
      </w:r>
      <w:r w:rsidRPr="00970DC0">
        <w:t>n 2019.</w:t>
      </w:r>
      <w:bookmarkEnd w:id="36"/>
      <w:r w:rsidRPr="00970DC0">
        <w:t xml:space="preserve"> </w:t>
      </w:r>
      <w:bookmarkStart w:id="37" w:name="lt_pId046"/>
      <w:r w:rsidR="00EC5C38" w:rsidRPr="00970DC0">
        <w:t xml:space="preserve">Gracias a la utilización de tecnologías avanzadas, como el aprendizaje automático, la TSB ha mejorado sus servicios y ha logrado asumir parte del cada vez mayor trabajo manual necesario. En el documento de información al Consejo de 2020, </w:t>
      </w:r>
      <w:bookmarkStart w:id="38" w:name="lt_pId047"/>
      <w:bookmarkEnd w:id="37"/>
      <w:r w:rsidRPr="00970DC0">
        <w:rPr>
          <w:i/>
          <w:iCs/>
        </w:rPr>
        <w:t xml:space="preserve">The extensive use of ICT leads to new activities, new communities, a net increase in ITU-T membership, new ICT tools, and more </w:t>
      </w:r>
      <w:proofErr w:type="gramStart"/>
      <w:r w:rsidRPr="00970DC0">
        <w:rPr>
          <w:i/>
          <w:iCs/>
        </w:rPr>
        <w:t>meetings</w:t>
      </w:r>
      <w:proofErr w:type="gramEnd"/>
      <w:r w:rsidR="00EC5C38" w:rsidRPr="00970DC0">
        <w:t>, pueden encontrarse más detalles al respecto</w:t>
      </w:r>
      <w:r w:rsidRPr="00970DC0">
        <w:t>.</w:t>
      </w:r>
      <w:bookmarkEnd w:id="38"/>
      <w:r w:rsidRPr="00970DC0">
        <w:t xml:space="preserve"> </w:t>
      </w:r>
    </w:p>
    <w:p w14:paraId="71129E98" w14:textId="6A16E2FC" w:rsidR="00453612" w:rsidRPr="00970DC0" w:rsidRDefault="00453612" w:rsidP="00080EEE">
      <w:pPr>
        <w:jc w:val="both"/>
      </w:pPr>
      <w:r w:rsidRPr="00970DC0">
        <w:lastRenderedPageBreak/>
        <w:t>1.4</w:t>
      </w:r>
      <w:r w:rsidRPr="00970DC0">
        <w:tab/>
      </w:r>
      <w:bookmarkStart w:id="39" w:name="lt_pId049"/>
      <w:r w:rsidR="00EC5C38" w:rsidRPr="00970DC0">
        <w:t>En diversas Resoluciones de la PP-18 y la AMNT-16 se encarga a la TSB que realice labores adicionales. Por ejemplo, el número de solicitudes de indicativos internacionales compartidos ha aumentado notablemente a causa de las necesidades de la industria en materia de identificadores para</w:t>
      </w:r>
      <w:bookmarkStart w:id="40" w:name="lt_pId050"/>
      <w:bookmarkEnd w:id="39"/>
      <w:r w:rsidRPr="00970DC0">
        <w:t xml:space="preserve"> IoT/M2M</w:t>
      </w:r>
      <w:r w:rsidR="00EC5C38" w:rsidRPr="00970DC0">
        <w:t>.</w:t>
      </w:r>
      <w:r w:rsidRPr="00970DC0">
        <w:t xml:space="preserve"> </w:t>
      </w:r>
      <w:r w:rsidR="00EC5C38" w:rsidRPr="00970DC0">
        <w:t xml:space="preserve">La carga de trabajo del personal de la TSB ha ido en considerable aumento, mientras que el número de puestos en esa Oficina se ha mantenido constante durante las dos últimas décadas en torno a 65 puestos. La sobrecarga de trabajo del personal causa </w:t>
      </w:r>
      <w:r w:rsidR="00E84561" w:rsidRPr="00970DC0">
        <w:t xml:space="preserve">un aumento de las </w:t>
      </w:r>
      <w:r w:rsidR="00EC5C38" w:rsidRPr="00970DC0">
        <w:t>bajas médicas por estrés</w:t>
      </w:r>
      <w:r w:rsidR="00E84561" w:rsidRPr="00970DC0">
        <w:t xml:space="preserve"> que, a su vez, redundan en un aumento de la carga laboral del personal restante y el correspondiente aumento de las bajas médicas por estrés</w:t>
      </w:r>
      <w:bookmarkStart w:id="41" w:name="lt_pId052"/>
      <w:bookmarkEnd w:id="40"/>
      <w:r w:rsidRPr="00970DC0">
        <w:t>.</w:t>
      </w:r>
      <w:bookmarkEnd w:id="41"/>
    </w:p>
    <w:p w14:paraId="725B2121" w14:textId="457DC54F" w:rsidR="00453612" w:rsidRPr="00970DC0" w:rsidRDefault="00453612" w:rsidP="00080EEE">
      <w:pPr>
        <w:pStyle w:val="Heading1"/>
        <w:jc w:val="both"/>
      </w:pPr>
      <w:bookmarkStart w:id="42" w:name="_Toc37930305"/>
      <w:bookmarkStart w:id="43" w:name="_Toc39047648"/>
      <w:r w:rsidRPr="00970DC0">
        <w:rPr>
          <w:rFonts w:eastAsiaTheme="minorEastAsia"/>
          <w:lang w:eastAsia="zh-CN"/>
        </w:rPr>
        <w:t>2</w:t>
      </w:r>
      <w:r w:rsidRPr="00970DC0">
        <w:rPr>
          <w:rFonts w:eastAsiaTheme="minorEastAsia"/>
          <w:lang w:eastAsia="zh-CN"/>
        </w:rPr>
        <w:tab/>
      </w:r>
      <w:bookmarkStart w:id="44" w:name="lt_pId054"/>
      <w:proofErr w:type="gramStart"/>
      <w:r w:rsidR="00E84561" w:rsidRPr="00970DC0">
        <w:rPr>
          <w:rFonts w:eastAsiaTheme="minorEastAsia"/>
          <w:lang w:eastAsia="zh-CN"/>
        </w:rPr>
        <w:t>Servicios</w:t>
      </w:r>
      <w:proofErr w:type="gramEnd"/>
      <w:r w:rsidR="00E84561" w:rsidRPr="00970DC0">
        <w:rPr>
          <w:rFonts w:eastAsiaTheme="minorEastAsia"/>
          <w:lang w:eastAsia="zh-CN"/>
        </w:rPr>
        <w:t xml:space="preserve"> y herramientas de la UIT</w:t>
      </w:r>
      <w:bookmarkStart w:id="45" w:name="_Toc312148142"/>
      <w:bookmarkStart w:id="46" w:name="_Toc462664277"/>
      <w:bookmarkStart w:id="47" w:name="_Toc480527869"/>
      <w:bookmarkStart w:id="48" w:name="_Toc18509779"/>
      <w:bookmarkEnd w:id="42"/>
      <w:bookmarkEnd w:id="44"/>
      <w:bookmarkEnd w:id="43"/>
    </w:p>
    <w:p w14:paraId="2D12EF31" w14:textId="7B2A97FF" w:rsidR="00453612" w:rsidRPr="00970DC0" w:rsidRDefault="00E25998" w:rsidP="00080EEE">
      <w:pPr>
        <w:jc w:val="both"/>
      </w:pPr>
      <w:r w:rsidRPr="00970DC0">
        <w:rPr>
          <w:rStyle w:val="normaltextrun"/>
          <w:rFonts w:asciiTheme="minorHAnsi" w:hAnsiTheme="minorHAnsi" w:cstheme="minorHAnsi"/>
        </w:rPr>
        <w:t>2.1</w:t>
      </w:r>
      <w:r w:rsidR="00453612" w:rsidRPr="00970DC0">
        <w:rPr>
          <w:rStyle w:val="normaltextrun"/>
          <w:rFonts w:asciiTheme="minorHAnsi" w:hAnsiTheme="minorHAnsi" w:cstheme="minorHAnsi"/>
        </w:rPr>
        <w:tab/>
      </w:r>
      <w:bookmarkStart w:id="49" w:name="lt_pId056"/>
      <w:r w:rsidR="00E84561" w:rsidRPr="00970DC0">
        <w:rPr>
          <w:rStyle w:val="normaltextrun"/>
          <w:rFonts w:asciiTheme="minorHAnsi" w:hAnsiTheme="minorHAnsi" w:cstheme="minorHAnsi"/>
        </w:rPr>
        <w:t>A lo largo de los últimos años la TSB ha visto aumentar notablemente las solicitudes de servicios y ayuda para las actividades del Sector. Las TIC han evolucionado enormemente en la última década, hasta el punto de que hoy en día desempeñan un papel clave en las siguientes esferas: automatización de tareas, toma de decisiones fundamentales, y registro y seguimiento de la información de manera segura y fiable, como el análisis estadístico y la relevancia semántica de las actividades del UIT-T para los ODS. Gracias a esas tecnologías avanzadas la TSB puede responder a las crecientes demandas del Sector, mantener y actualizar sus servicios y reducir algunos problemas relacionados con las labores manuales que se puedan experimentar</w:t>
      </w:r>
      <w:bookmarkStart w:id="50" w:name="lt_pId059"/>
      <w:bookmarkEnd w:id="49"/>
      <w:r w:rsidR="00453612" w:rsidRPr="00970DC0">
        <w:rPr>
          <w:rStyle w:val="normaltextrun"/>
          <w:rFonts w:asciiTheme="minorHAnsi" w:hAnsiTheme="minorHAnsi" w:cstheme="minorHAnsi"/>
        </w:rPr>
        <w:t>.</w:t>
      </w:r>
      <w:bookmarkEnd w:id="50"/>
    </w:p>
    <w:p w14:paraId="4A6EFC8C" w14:textId="525DD002" w:rsidR="00453612" w:rsidRPr="00970DC0" w:rsidRDefault="00E25998" w:rsidP="00080EEE">
      <w:pPr>
        <w:jc w:val="both"/>
        <w:rPr>
          <w:rStyle w:val="normaltextrun"/>
          <w:rFonts w:asciiTheme="minorHAnsi" w:hAnsiTheme="minorHAnsi" w:cstheme="minorHAnsi"/>
        </w:rPr>
      </w:pPr>
      <w:r w:rsidRPr="00970DC0">
        <w:rPr>
          <w:rStyle w:val="normaltextrun"/>
          <w:rFonts w:asciiTheme="minorHAnsi" w:hAnsiTheme="minorHAnsi" w:cstheme="minorHAnsi"/>
        </w:rPr>
        <w:t>2.2</w:t>
      </w:r>
      <w:r w:rsidR="00453612" w:rsidRPr="00970DC0">
        <w:rPr>
          <w:rStyle w:val="normaltextrun"/>
          <w:rFonts w:asciiTheme="minorHAnsi" w:hAnsiTheme="minorHAnsi" w:cstheme="minorHAnsi"/>
        </w:rPr>
        <w:tab/>
      </w:r>
      <w:bookmarkStart w:id="51" w:name="lt_pId061"/>
      <w:r w:rsidR="008E6935" w:rsidRPr="00970DC0">
        <w:rPr>
          <w:rStyle w:val="normaltextrun"/>
          <w:rFonts w:asciiTheme="minorHAnsi" w:hAnsiTheme="minorHAnsi" w:cstheme="minorHAnsi"/>
        </w:rPr>
        <w:t>Desde el principio del periodo de estudios</w:t>
      </w:r>
      <w:r w:rsidR="00453612" w:rsidRPr="00970DC0">
        <w:rPr>
          <w:rStyle w:val="normaltextrun"/>
          <w:rFonts w:asciiTheme="minorHAnsi" w:hAnsiTheme="minorHAnsi" w:cstheme="minorHAnsi"/>
        </w:rPr>
        <w:t xml:space="preserve"> 2017-2020</w:t>
      </w:r>
      <w:r w:rsidR="008E6935" w:rsidRPr="00970DC0">
        <w:rPr>
          <w:rStyle w:val="normaltextrun"/>
          <w:rFonts w:asciiTheme="minorHAnsi" w:hAnsiTheme="minorHAnsi" w:cstheme="minorHAnsi"/>
        </w:rPr>
        <w:t>, y en paralelo a los servicios tradicionales de apoyo a las actividades y publicaciones del Programa de trabajo del UIT-T, la TSB ha creado los siguientes servicios para adaptarse a las siempre cambiantes demandas del Sector</w:t>
      </w:r>
      <w:r w:rsidR="00453612" w:rsidRPr="00970DC0">
        <w:t>:</w:t>
      </w:r>
      <w:bookmarkEnd w:id="51"/>
    </w:p>
    <w:p w14:paraId="1EDB6738" w14:textId="4977584D" w:rsidR="00453612" w:rsidRPr="00970DC0" w:rsidRDefault="00E25998" w:rsidP="00080EEE">
      <w:pPr>
        <w:pStyle w:val="enumlev1"/>
        <w:jc w:val="both"/>
        <w:rPr>
          <w:b/>
        </w:rPr>
      </w:pPr>
      <w:bookmarkStart w:id="52" w:name="lt_pId062"/>
      <w:r w:rsidRPr="00970DC0">
        <w:t>•</w:t>
      </w:r>
      <w:r w:rsidRPr="00970DC0">
        <w:rPr>
          <w:b/>
        </w:rPr>
        <w:tab/>
      </w:r>
      <w:r w:rsidR="00BB4F9A" w:rsidRPr="00970DC0">
        <w:rPr>
          <w:b/>
        </w:rPr>
        <w:t>Herramienta de correspondencia con los ODS mediante IA</w:t>
      </w:r>
      <w:bookmarkEnd w:id="52"/>
    </w:p>
    <w:p w14:paraId="62139972" w14:textId="5FAD3887" w:rsidR="00453612" w:rsidRPr="00970DC0" w:rsidRDefault="00E25998" w:rsidP="00080EEE">
      <w:pPr>
        <w:pStyle w:val="enumlev1"/>
        <w:jc w:val="both"/>
        <w:rPr>
          <w:b/>
          <w:bCs/>
        </w:rPr>
      </w:pPr>
      <w:bookmarkStart w:id="53" w:name="lt_pId063"/>
      <w:r w:rsidRPr="00970DC0">
        <w:tab/>
      </w:r>
      <w:r w:rsidR="00BB4F9A" w:rsidRPr="00970DC0">
        <w:t xml:space="preserve">Se trata de una aplicación de la </w:t>
      </w:r>
      <w:r w:rsidR="00453612" w:rsidRPr="00970DC0">
        <w:t xml:space="preserve">TSB </w:t>
      </w:r>
      <w:r w:rsidR="00BB4F9A" w:rsidRPr="00970DC0">
        <w:t xml:space="preserve">que utiliza la inteligencia artificial (IA) para realizar un análisis estadístico de la pertinencia de las actividades del UIT-T (por ejemplo, Recomendaciones, </w:t>
      </w:r>
      <w:r w:rsidR="008160A2" w:rsidRPr="00970DC0">
        <w:t>especificaciones técnicas</w:t>
      </w:r>
      <w:r w:rsidR="00453612" w:rsidRPr="00970DC0">
        <w:t xml:space="preserve">, etc.) </w:t>
      </w:r>
      <w:r w:rsidR="00BB4F9A" w:rsidRPr="00970DC0">
        <w:t>para los ODS de las Naciones Unidas y para establecer una correspondencia entre esas actividades, a partir de un amplio abanico de fuentes (por ejemplo, sitios web, bases de datos</w:t>
      </w:r>
      <w:r w:rsidR="00453612" w:rsidRPr="00970DC0">
        <w:t>, etc.)</w:t>
      </w:r>
      <w:r w:rsidR="00BB4F9A" w:rsidRPr="00970DC0">
        <w:t>, y ODS específicos empleando la relevancia semántica</w:t>
      </w:r>
      <w:r w:rsidR="00453612" w:rsidRPr="00970DC0">
        <w:t>.</w:t>
      </w:r>
      <w:bookmarkEnd w:id="53"/>
    </w:p>
    <w:p w14:paraId="24F29CE8" w14:textId="05349610" w:rsidR="00453612" w:rsidRPr="00970DC0" w:rsidRDefault="00E25998" w:rsidP="00080EEE">
      <w:pPr>
        <w:pStyle w:val="enumlev1"/>
        <w:jc w:val="both"/>
        <w:rPr>
          <w:rStyle w:val="normaltextrun"/>
        </w:rPr>
      </w:pPr>
      <w:bookmarkStart w:id="54" w:name="lt_pId064"/>
      <w:r w:rsidRPr="00970DC0">
        <w:t>•</w:t>
      </w:r>
      <w:r w:rsidRPr="00970DC0">
        <w:tab/>
      </w:r>
      <w:hyperlink r:id="rId13" w:history="1">
        <w:r w:rsidR="00453612" w:rsidRPr="00970DC0">
          <w:rPr>
            <w:rStyle w:val="Hyperlink"/>
            <w:b/>
          </w:rPr>
          <w:t>MyWorkspace</w:t>
        </w:r>
      </w:hyperlink>
      <w:r w:rsidR="00453612" w:rsidRPr="00970DC0">
        <w:rPr>
          <w:rStyle w:val="normaltextrun"/>
        </w:rPr>
        <w:t xml:space="preserve"> – </w:t>
      </w:r>
      <w:r w:rsidR="00BB4F9A" w:rsidRPr="00970DC0">
        <w:rPr>
          <w:rStyle w:val="normaltextrun"/>
        </w:rPr>
        <w:t>Ventanilla única que da acceso a una amplia gama de aplicaciones, a saber</w:t>
      </w:r>
      <w:r w:rsidR="00453612" w:rsidRPr="00970DC0">
        <w:rPr>
          <w:rStyle w:val="normaltextrun"/>
        </w:rPr>
        <w:t>:</w:t>
      </w:r>
      <w:bookmarkEnd w:id="54"/>
    </w:p>
    <w:p w14:paraId="0A7A38BE" w14:textId="40F1F6AD" w:rsidR="00453612" w:rsidRPr="00970DC0" w:rsidRDefault="00E25998" w:rsidP="00080EEE">
      <w:pPr>
        <w:pStyle w:val="enumlev2"/>
        <w:jc w:val="both"/>
        <w:rPr>
          <w:rStyle w:val="normaltextrun"/>
          <w:rFonts w:asciiTheme="minorHAnsi" w:hAnsiTheme="minorHAnsi" w:cstheme="minorHAnsi"/>
          <w:b/>
          <w:bCs/>
        </w:rPr>
      </w:pPr>
      <w:bookmarkStart w:id="55" w:name="lt_pId065"/>
      <w:r w:rsidRPr="00970DC0">
        <w:rPr>
          <w:rStyle w:val="normaltextrun"/>
          <w:rFonts w:asciiTheme="minorHAnsi" w:hAnsiTheme="minorHAnsi" w:cstheme="minorHAnsi"/>
        </w:rPr>
        <w:t>–</w:t>
      </w:r>
      <w:r w:rsidRPr="00970DC0">
        <w:rPr>
          <w:rStyle w:val="normaltextrun"/>
          <w:rFonts w:asciiTheme="minorHAnsi" w:hAnsiTheme="minorHAnsi" w:cstheme="minorHAnsi"/>
        </w:rPr>
        <w:tab/>
      </w:r>
      <w:r w:rsidR="00BB4F9A" w:rsidRPr="00970DC0">
        <w:rPr>
          <w:rStyle w:val="normaltextrun"/>
          <w:rFonts w:asciiTheme="minorHAnsi" w:hAnsiTheme="minorHAnsi" w:cstheme="minorHAnsi"/>
          <w:u w:val="single"/>
        </w:rPr>
        <w:t>Herramienta de participación a distancia</w:t>
      </w:r>
      <w:r w:rsidR="00453612" w:rsidRPr="00970DC0">
        <w:rPr>
          <w:rStyle w:val="normaltextrun"/>
          <w:rFonts w:asciiTheme="minorHAnsi" w:hAnsiTheme="minorHAnsi" w:cstheme="minorHAnsi"/>
        </w:rPr>
        <w:t>:</w:t>
      </w:r>
      <w:bookmarkEnd w:id="55"/>
      <w:r w:rsidR="00453612" w:rsidRPr="00970DC0">
        <w:rPr>
          <w:rStyle w:val="normaltextrun"/>
          <w:rFonts w:asciiTheme="minorHAnsi" w:hAnsiTheme="minorHAnsi" w:cstheme="minorHAnsi"/>
        </w:rPr>
        <w:t xml:space="preserve"> </w:t>
      </w:r>
      <w:bookmarkStart w:id="56" w:name="lt_pId066"/>
      <w:r w:rsidR="005E73FE" w:rsidRPr="00970DC0">
        <w:rPr>
          <w:rStyle w:val="normaltextrun"/>
          <w:rFonts w:asciiTheme="minorHAnsi" w:hAnsiTheme="minorHAnsi" w:cstheme="minorHAnsi"/>
        </w:rPr>
        <w:t xml:space="preserve">crea </w:t>
      </w:r>
      <w:r w:rsidR="00BB4F9A" w:rsidRPr="00970DC0">
        <w:rPr>
          <w:rStyle w:val="normaltextrun"/>
          <w:rFonts w:asciiTheme="minorHAnsi" w:hAnsiTheme="minorHAnsi" w:cstheme="minorHAnsi"/>
        </w:rPr>
        <w:t>un entorno de reunión electrónica seguro con condiciones semejantes a las de las reuniones presenciales habituales</w:t>
      </w:r>
      <w:bookmarkEnd w:id="56"/>
      <w:r w:rsidR="00BB4F9A" w:rsidRPr="00970DC0">
        <w:rPr>
          <w:rStyle w:val="normaltextrun"/>
          <w:rFonts w:asciiTheme="minorHAnsi" w:hAnsiTheme="minorHAnsi" w:cstheme="minorHAnsi"/>
        </w:rPr>
        <w:t>.</w:t>
      </w:r>
    </w:p>
    <w:p w14:paraId="0DDF76F1" w14:textId="33967EDE" w:rsidR="00453612" w:rsidRPr="00970DC0" w:rsidRDefault="00E25998" w:rsidP="00080EEE">
      <w:pPr>
        <w:pStyle w:val="enumlev2"/>
        <w:jc w:val="both"/>
        <w:rPr>
          <w:rStyle w:val="normaltextrun"/>
          <w:rFonts w:asciiTheme="minorHAnsi" w:hAnsiTheme="minorHAnsi" w:cstheme="minorHAnsi"/>
          <w:b/>
          <w:bCs/>
        </w:rPr>
      </w:pPr>
      <w:bookmarkStart w:id="57" w:name="lt_pId067"/>
      <w:r w:rsidRPr="00970DC0">
        <w:rPr>
          <w:rStyle w:val="normaltextrun"/>
          <w:rFonts w:asciiTheme="minorHAnsi" w:hAnsiTheme="minorHAnsi" w:cstheme="minorHAnsi"/>
        </w:rPr>
        <w:t>–</w:t>
      </w:r>
      <w:r w:rsidRPr="00970DC0">
        <w:rPr>
          <w:rStyle w:val="normaltextrun"/>
          <w:rFonts w:asciiTheme="minorHAnsi" w:hAnsiTheme="minorHAnsi" w:cstheme="minorHAnsi"/>
        </w:rPr>
        <w:tab/>
      </w:r>
      <w:r w:rsidR="00BB4F9A" w:rsidRPr="00970DC0">
        <w:rPr>
          <w:rStyle w:val="normaltextrun"/>
          <w:rFonts w:asciiTheme="minorHAnsi" w:hAnsiTheme="minorHAnsi" w:cstheme="minorHAnsi"/>
          <w:u w:val="single"/>
        </w:rPr>
        <w:t>Traducción automática de documentos</w:t>
      </w:r>
      <w:r w:rsidR="00453612" w:rsidRPr="00970DC0">
        <w:rPr>
          <w:rStyle w:val="normaltextrun"/>
          <w:rFonts w:asciiTheme="minorHAnsi" w:hAnsiTheme="minorHAnsi" w:cstheme="minorHAnsi"/>
        </w:rPr>
        <w:t>:</w:t>
      </w:r>
      <w:bookmarkEnd w:id="57"/>
      <w:r w:rsidR="00453612" w:rsidRPr="00970DC0">
        <w:rPr>
          <w:rStyle w:val="normaltextrun"/>
          <w:rFonts w:asciiTheme="minorHAnsi" w:hAnsiTheme="minorHAnsi" w:cstheme="minorHAnsi"/>
        </w:rPr>
        <w:t xml:space="preserve"> </w:t>
      </w:r>
      <w:bookmarkStart w:id="58" w:name="lt_pId068"/>
      <w:r w:rsidR="00BB4F9A" w:rsidRPr="00970DC0">
        <w:rPr>
          <w:rStyle w:val="normaltextrun"/>
          <w:rFonts w:asciiTheme="minorHAnsi" w:hAnsiTheme="minorHAnsi" w:cstheme="minorHAnsi"/>
        </w:rPr>
        <w:t>se utilizan capacidades de aprendizaje automático para traducir en línea ficheros</w:t>
      </w:r>
      <w:r w:rsidR="00453612" w:rsidRPr="00970DC0">
        <w:rPr>
          <w:rStyle w:val="normaltextrun"/>
          <w:rFonts w:asciiTheme="minorHAnsi" w:hAnsiTheme="minorHAnsi" w:cstheme="minorHAnsi"/>
        </w:rPr>
        <w:t xml:space="preserve"> </w:t>
      </w:r>
      <w:r w:rsidR="00453612" w:rsidRPr="005E73FE">
        <w:rPr>
          <w:rStyle w:val="normaltextrun"/>
          <w:rFonts w:asciiTheme="minorHAnsi" w:hAnsiTheme="minorHAnsi" w:cstheme="minorHAnsi"/>
        </w:rPr>
        <w:t>docx</w:t>
      </w:r>
      <w:r w:rsidR="00453612" w:rsidRPr="00970DC0">
        <w:rPr>
          <w:rStyle w:val="normaltextrun"/>
          <w:rFonts w:asciiTheme="minorHAnsi" w:hAnsiTheme="minorHAnsi" w:cstheme="minorHAnsi"/>
        </w:rPr>
        <w:t xml:space="preserve"> </w:t>
      </w:r>
      <w:r w:rsidR="00BB4F9A" w:rsidRPr="00970DC0">
        <w:rPr>
          <w:rStyle w:val="normaltextrun"/>
          <w:rFonts w:asciiTheme="minorHAnsi" w:hAnsiTheme="minorHAnsi" w:cstheme="minorHAnsi"/>
        </w:rPr>
        <w:t>en cualquiera de los idiomas oficiales de las Naciones Unidas</w:t>
      </w:r>
      <w:r w:rsidR="00453612" w:rsidRPr="00970DC0">
        <w:rPr>
          <w:rStyle w:val="normaltextrun"/>
          <w:rFonts w:asciiTheme="minorHAnsi" w:hAnsiTheme="minorHAnsi" w:cstheme="minorHAnsi"/>
        </w:rPr>
        <w:t>.</w:t>
      </w:r>
      <w:bookmarkEnd w:id="58"/>
    </w:p>
    <w:p w14:paraId="50E2AB94" w14:textId="695DCE8F" w:rsidR="00453612" w:rsidRPr="00970DC0" w:rsidRDefault="00E25998" w:rsidP="00080EEE">
      <w:pPr>
        <w:pStyle w:val="enumlev2"/>
        <w:jc w:val="both"/>
        <w:rPr>
          <w:rStyle w:val="normaltextrun"/>
          <w:rFonts w:asciiTheme="minorHAnsi" w:hAnsiTheme="minorHAnsi" w:cstheme="minorHAnsi"/>
          <w:b/>
          <w:bCs/>
        </w:rPr>
      </w:pPr>
      <w:bookmarkStart w:id="59" w:name="lt_pId069"/>
      <w:r w:rsidRPr="00970DC0">
        <w:rPr>
          <w:rStyle w:val="normaltextrun"/>
          <w:rFonts w:asciiTheme="minorHAnsi" w:hAnsiTheme="minorHAnsi" w:cstheme="minorHAnsi"/>
        </w:rPr>
        <w:t>–</w:t>
      </w:r>
      <w:r w:rsidRPr="00970DC0">
        <w:rPr>
          <w:rStyle w:val="normaltextrun"/>
          <w:rFonts w:asciiTheme="minorHAnsi" w:hAnsiTheme="minorHAnsi" w:cstheme="minorHAnsi"/>
        </w:rPr>
        <w:tab/>
      </w:r>
      <w:r w:rsidR="00453612" w:rsidRPr="00970DC0">
        <w:rPr>
          <w:rStyle w:val="normaltextrun"/>
          <w:rFonts w:asciiTheme="minorHAnsi" w:hAnsiTheme="minorHAnsi" w:cstheme="minorHAnsi"/>
          <w:u w:val="single"/>
        </w:rPr>
        <w:t>Calendar</w:t>
      </w:r>
      <w:r w:rsidR="00BB4F9A" w:rsidRPr="00970DC0">
        <w:rPr>
          <w:rStyle w:val="normaltextrun"/>
          <w:rFonts w:asciiTheme="minorHAnsi" w:hAnsiTheme="minorHAnsi" w:cstheme="minorHAnsi"/>
          <w:u w:val="single"/>
        </w:rPr>
        <w:t>io de eventos</w:t>
      </w:r>
      <w:r w:rsidR="00453612" w:rsidRPr="00970DC0">
        <w:rPr>
          <w:rStyle w:val="normaltextrun"/>
          <w:rFonts w:asciiTheme="minorHAnsi" w:hAnsiTheme="minorHAnsi" w:cstheme="minorHAnsi"/>
        </w:rPr>
        <w:t>:</w:t>
      </w:r>
      <w:bookmarkEnd w:id="59"/>
      <w:r w:rsidR="00453612" w:rsidRPr="00970DC0">
        <w:rPr>
          <w:rStyle w:val="normaltextrun"/>
          <w:rFonts w:asciiTheme="minorHAnsi" w:hAnsiTheme="minorHAnsi" w:cstheme="minorHAnsi"/>
        </w:rPr>
        <w:t xml:space="preserve"> </w:t>
      </w:r>
      <w:bookmarkStart w:id="60" w:name="lt_pId070"/>
      <w:r w:rsidR="00BB4F9A" w:rsidRPr="00970DC0">
        <w:rPr>
          <w:rStyle w:val="normaltextrun"/>
          <w:rFonts w:asciiTheme="minorHAnsi" w:hAnsiTheme="minorHAnsi" w:cstheme="minorHAnsi"/>
        </w:rPr>
        <w:t>visualización de los próximos eventos y acceso directo</w:t>
      </w:r>
      <w:bookmarkEnd w:id="60"/>
      <w:r w:rsidR="00BB4F9A" w:rsidRPr="00970DC0">
        <w:rPr>
          <w:rStyle w:val="normaltextrun"/>
          <w:rFonts w:asciiTheme="minorHAnsi" w:hAnsiTheme="minorHAnsi" w:cstheme="minorHAnsi"/>
        </w:rPr>
        <w:t>.</w:t>
      </w:r>
    </w:p>
    <w:p w14:paraId="22DD372A" w14:textId="1C6FA0AE" w:rsidR="00453612" w:rsidRPr="00970DC0" w:rsidRDefault="00E25998" w:rsidP="00080EEE">
      <w:pPr>
        <w:pStyle w:val="enumlev2"/>
        <w:jc w:val="both"/>
        <w:rPr>
          <w:rStyle w:val="normaltextrun"/>
          <w:rFonts w:asciiTheme="minorHAnsi" w:hAnsiTheme="minorHAnsi" w:cstheme="minorHAnsi"/>
          <w:b/>
          <w:bCs/>
        </w:rPr>
      </w:pPr>
      <w:bookmarkStart w:id="61" w:name="lt_pId071"/>
      <w:r w:rsidRPr="00970DC0">
        <w:rPr>
          <w:rStyle w:val="normaltextrun"/>
          <w:rFonts w:asciiTheme="minorHAnsi" w:hAnsiTheme="minorHAnsi" w:cstheme="minorHAnsi"/>
        </w:rPr>
        <w:t>–</w:t>
      </w:r>
      <w:r w:rsidRPr="00970DC0">
        <w:rPr>
          <w:rStyle w:val="normaltextrun"/>
          <w:rFonts w:asciiTheme="minorHAnsi" w:hAnsiTheme="minorHAnsi" w:cstheme="minorHAnsi"/>
        </w:rPr>
        <w:tab/>
      </w:r>
      <w:r w:rsidR="00BB4F9A" w:rsidRPr="00970DC0">
        <w:rPr>
          <w:rStyle w:val="normaltextrun"/>
          <w:rFonts w:asciiTheme="minorHAnsi" w:hAnsiTheme="minorHAnsi" w:cstheme="minorHAnsi"/>
          <w:u w:val="single"/>
        </w:rPr>
        <w:t>Plataforma comunitaria</w:t>
      </w:r>
      <w:r w:rsidR="00453612" w:rsidRPr="00970DC0">
        <w:rPr>
          <w:rStyle w:val="normaltextrun"/>
          <w:rFonts w:asciiTheme="minorHAnsi" w:hAnsiTheme="minorHAnsi" w:cstheme="minorHAnsi"/>
        </w:rPr>
        <w:t>:</w:t>
      </w:r>
      <w:bookmarkEnd w:id="61"/>
      <w:r w:rsidR="00453612" w:rsidRPr="00970DC0">
        <w:rPr>
          <w:rStyle w:val="normaltextrun"/>
          <w:rFonts w:asciiTheme="minorHAnsi" w:hAnsiTheme="minorHAnsi" w:cstheme="minorHAnsi"/>
        </w:rPr>
        <w:t xml:space="preserve"> </w:t>
      </w:r>
      <w:bookmarkStart w:id="62" w:name="lt_pId072"/>
      <w:r w:rsidR="005E73FE" w:rsidRPr="00970DC0">
        <w:rPr>
          <w:rStyle w:val="normaltextrun"/>
          <w:rFonts w:asciiTheme="minorHAnsi" w:hAnsiTheme="minorHAnsi" w:cstheme="minorHAnsi"/>
        </w:rPr>
        <w:t xml:space="preserve">mejora </w:t>
      </w:r>
      <w:r w:rsidR="00BB4F9A" w:rsidRPr="00970DC0">
        <w:rPr>
          <w:rStyle w:val="normaltextrun"/>
          <w:rFonts w:asciiTheme="minorHAnsi" w:hAnsiTheme="minorHAnsi" w:cstheme="minorHAnsi"/>
        </w:rPr>
        <w:t xml:space="preserve">de las actividades de los </w:t>
      </w:r>
      <w:r w:rsidR="005E73FE" w:rsidRPr="00970DC0">
        <w:rPr>
          <w:rStyle w:val="normaltextrun"/>
          <w:rFonts w:asciiTheme="minorHAnsi" w:hAnsiTheme="minorHAnsi" w:cstheme="minorHAnsi"/>
        </w:rPr>
        <w:t xml:space="preserve">miembros </w:t>
      </w:r>
      <w:r w:rsidR="00BB4F9A" w:rsidRPr="00970DC0">
        <w:rPr>
          <w:rStyle w:val="normaltextrun"/>
          <w:rFonts w:asciiTheme="minorHAnsi" w:hAnsiTheme="minorHAnsi" w:cstheme="minorHAnsi"/>
        </w:rPr>
        <w:t>del UIT-T en red</w:t>
      </w:r>
      <w:bookmarkEnd w:id="62"/>
      <w:r w:rsidR="005E73FE">
        <w:rPr>
          <w:rStyle w:val="normaltextrun"/>
          <w:rFonts w:asciiTheme="minorHAnsi" w:hAnsiTheme="minorHAnsi" w:cstheme="minorHAnsi"/>
        </w:rPr>
        <w:t>.</w:t>
      </w:r>
    </w:p>
    <w:p w14:paraId="1B9A1D67" w14:textId="2C1F73A9" w:rsidR="00453612" w:rsidRPr="00970DC0" w:rsidRDefault="00E25998" w:rsidP="00080EEE">
      <w:pPr>
        <w:pStyle w:val="enumlev2"/>
        <w:jc w:val="both"/>
        <w:rPr>
          <w:rStyle w:val="normaltextrun"/>
          <w:rFonts w:asciiTheme="minorHAnsi" w:hAnsiTheme="minorHAnsi" w:cstheme="minorHAnsi"/>
          <w:b/>
          <w:bCs/>
        </w:rPr>
      </w:pPr>
      <w:bookmarkStart w:id="63" w:name="lt_pId073"/>
      <w:r w:rsidRPr="00970DC0">
        <w:rPr>
          <w:rStyle w:val="normaltextrun"/>
          <w:rFonts w:asciiTheme="minorHAnsi" w:hAnsiTheme="minorHAnsi" w:cstheme="minorHAnsi"/>
        </w:rPr>
        <w:t>–</w:t>
      </w:r>
      <w:r w:rsidRPr="00970DC0">
        <w:rPr>
          <w:rStyle w:val="normaltextrun"/>
          <w:rFonts w:asciiTheme="minorHAnsi" w:hAnsiTheme="minorHAnsi" w:cstheme="minorHAnsi"/>
        </w:rPr>
        <w:tab/>
      </w:r>
      <w:r w:rsidR="00453612" w:rsidRPr="00080EEE">
        <w:rPr>
          <w:rStyle w:val="normaltextrun"/>
          <w:rFonts w:asciiTheme="minorHAnsi" w:hAnsiTheme="minorHAnsi" w:cstheme="minorHAnsi"/>
          <w:spacing w:val="-4"/>
          <w:u w:val="single"/>
        </w:rPr>
        <w:t>ITU-T Cloud</w:t>
      </w:r>
      <w:r w:rsidR="00453612" w:rsidRPr="00080EEE">
        <w:rPr>
          <w:rStyle w:val="normaltextrun"/>
          <w:rFonts w:asciiTheme="minorHAnsi" w:hAnsiTheme="minorHAnsi" w:cstheme="minorHAnsi"/>
          <w:spacing w:val="-4"/>
        </w:rPr>
        <w:t>:</w:t>
      </w:r>
      <w:bookmarkEnd w:id="63"/>
      <w:r w:rsidR="00453612" w:rsidRPr="00080EEE">
        <w:rPr>
          <w:rStyle w:val="normaltextrun"/>
          <w:rFonts w:asciiTheme="minorHAnsi" w:hAnsiTheme="minorHAnsi" w:cstheme="minorHAnsi"/>
          <w:spacing w:val="-4"/>
        </w:rPr>
        <w:t xml:space="preserve"> </w:t>
      </w:r>
      <w:bookmarkStart w:id="64" w:name="lt_pId074"/>
      <w:r w:rsidR="005E73FE" w:rsidRPr="00080EEE">
        <w:rPr>
          <w:rStyle w:val="normaltextrun"/>
          <w:rFonts w:asciiTheme="minorHAnsi" w:hAnsiTheme="minorHAnsi" w:cstheme="minorHAnsi"/>
          <w:spacing w:val="-4"/>
        </w:rPr>
        <w:t xml:space="preserve">almacenaje </w:t>
      </w:r>
      <w:r w:rsidR="00BB4F9A" w:rsidRPr="00080EEE">
        <w:rPr>
          <w:rStyle w:val="normaltextrun"/>
          <w:rFonts w:asciiTheme="minorHAnsi" w:hAnsiTheme="minorHAnsi" w:cstheme="minorHAnsi"/>
          <w:spacing w:val="-4"/>
        </w:rPr>
        <w:t xml:space="preserve">personal y compartición de ficheros para los </w:t>
      </w:r>
      <w:r w:rsidR="005E73FE" w:rsidRPr="00080EEE">
        <w:rPr>
          <w:rStyle w:val="normaltextrun"/>
          <w:rFonts w:asciiTheme="minorHAnsi" w:hAnsiTheme="minorHAnsi" w:cstheme="minorHAnsi"/>
          <w:spacing w:val="-4"/>
        </w:rPr>
        <w:t xml:space="preserve">miembros </w:t>
      </w:r>
      <w:r w:rsidR="00BB4F9A" w:rsidRPr="00080EEE">
        <w:rPr>
          <w:rStyle w:val="normaltextrun"/>
          <w:rFonts w:asciiTheme="minorHAnsi" w:hAnsiTheme="minorHAnsi" w:cstheme="minorHAnsi"/>
          <w:spacing w:val="-4"/>
        </w:rPr>
        <w:t>del UIT-T</w:t>
      </w:r>
      <w:bookmarkEnd w:id="64"/>
      <w:r w:rsidR="005E73FE" w:rsidRPr="00080EEE">
        <w:rPr>
          <w:rStyle w:val="normaltextrun"/>
          <w:rFonts w:asciiTheme="minorHAnsi" w:hAnsiTheme="minorHAnsi" w:cstheme="minorHAnsi"/>
          <w:spacing w:val="-4"/>
        </w:rPr>
        <w:t>.</w:t>
      </w:r>
    </w:p>
    <w:p w14:paraId="0266B56A" w14:textId="3A53FB96" w:rsidR="00453612" w:rsidRPr="00970DC0" w:rsidRDefault="00E25998" w:rsidP="00080EEE">
      <w:pPr>
        <w:pStyle w:val="enumlev2"/>
        <w:jc w:val="both"/>
        <w:rPr>
          <w:b/>
          <w:bCs/>
        </w:rPr>
      </w:pPr>
      <w:bookmarkStart w:id="65" w:name="lt_pId075"/>
      <w:r w:rsidRPr="00970DC0">
        <w:rPr>
          <w:rStyle w:val="normaltextrun"/>
          <w:rFonts w:asciiTheme="minorHAnsi" w:hAnsiTheme="minorHAnsi" w:cstheme="minorHAnsi"/>
        </w:rPr>
        <w:t>–</w:t>
      </w:r>
      <w:r w:rsidRPr="00970DC0">
        <w:rPr>
          <w:rStyle w:val="normaltextrun"/>
          <w:rFonts w:asciiTheme="minorHAnsi" w:hAnsiTheme="minorHAnsi" w:cstheme="minorHAnsi"/>
        </w:rPr>
        <w:tab/>
      </w:r>
      <w:r w:rsidR="00453612" w:rsidRPr="00970DC0">
        <w:rPr>
          <w:rStyle w:val="normaltextrun"/>
          <w:rFonts w:asciiTheme="minorHAnsi" w:hAnsiTheme="minorHAnsi" w:cstheme="minorHAnsi"/>
          <w:u w:val="single"/>
        </w:rPr>
        <w:t xml:space="preserve">MyEvents </w:t>
      </w:r>
      <w:proofErr w:type="gramStart"/>
      <w:r w:rsidR="00453612" w:rsidRPr="00970DC0">
        <w:rPr>
          <w:rStyle w:val="normaltextrun"/>
          <w:rFonts w:asciiTheme="minorHAnsi" w:hAnsiTheme="minorHAnsi" w:cstheme="minorHAnsi"/>
          <w:u w:val="single"/>
        </w:rPr>
        <w:t>app</w:t>
      </w:r>
      <w:proofErr w:type="gramEnd"/>
      <w:r w:rsidR="00453612" w:rsidRPr="00970DC0">
        <w:rPr>
          <w:rStyle w:val="normaltextrun"/>
          <w:rFonts w:asciiTheme="minorHAnsi" w:hAnsiTheme="minorHAnsi" w:cstheme="minorHAnsi"/>
        </w:rPr>
        <w:t>:</w:t>
      </w:r>
      <w:bookmarkEnd w:id="65"/>
      <w:r w:rsidR="00453612" w:rsidRPr="00970DC0">
        <w:rPr>
          <w:rStyle w:val="normaltextrun"/>
          <w:rFonts w:asciiTheme="minorHAnsi" w:hAnsiTheme="minorHAnsi" w:cstheme="minorHAnsi"/>
        </w:rPr>
        <w:t xml:space="preserve"> </w:t>
      </w:r>
      <w:bookmarkStart w:id="66" w:name="lt_pId076"/>
      <w:r w:rsidR="00BB4F9A" w:rsidRPr="00970DC0">
        <w:rPr>
          <w:rStyle w:val="normaltextrun"/>
          <w:rFonts w:asciiTheme="minorHAnsi" w:hAnsiTheme="minorHAnsi" w:cstheme="minorHAnsi"/>
        </w:rPr>
        <w:t>acceso en tiempo real al orden del día de las reuniones</w:t>
      </w:r>
      <w:bookmarkEnd w:id="66"/>
      <w:r w:rsidR="005E73FE">
        <w:rPr>
          <w:rStyle w:val="normaltextrun"/>
          <w:rFonts w:asciiTheme="minorHAnsi" w:hAnsiTheme="minorHAnsi" w:cstheme="minorHAnsi"/>
        </w:rPr>
        <w:t>.</w:t>
      </w:r>
      <w:r w:rsidR="00453612" w:rsidRPr="00970DC0">
        <w:rPr>
          <w:rStyle w:val="normaltextrun"/>
          <w:rFonts w:asciiTheme="minorHAnsi" w:hAnsiTheme="minorHAnsi" w:cstheme="minorHAnsi"/>
        </w:rPr>
        <w:t xml:space="preserve"> </w:t>
      </w:r>
    </w:p>
    <w:p w14:paraId="394A5171" w14:textId="597086D8" w:rsidR="00453612" w:rsidRPr="00970DC0" w:rsidRDefault="00E25998" w:rsidP="00080EEE">
      <w:pPr>
        <w:pStyle w:val="enumlev1"/>
        <w:jc w:val="both"/>
        <w:rPr>
          <w:rFonts w:asciiTheme="minorHAnsi" w:hAnsiTheme="minorHAnsi" w:cstheme="minorHAnsi"/>
        </w:rPr>
      </w:pPr>
      <w:bookmarkStart w:id="67" w:name="lt_pId077"/>
      <w:r w:rsidRPr="00970DC0">
        <w:rPr>
          <w:rFonts w:asciiTheme="minorHAnsi" w:hAnsiTheme="minorHAnsi" w:cstheme="minorHAnsi"/>
        </w:rPr>
        <w:t>•</w:t>
      </w:r>
      <w:r w:rsidRPr="00970DC0">
        <w:rPr>
          <w:rFonts w:asciiTheme="minorHAnsi" w:hAnsiTheme="minorHAnsi" w:cstheme="minorHAnsi"/>
        </w:rPr>
        <w:tab/>
      </w:r>
      <w:hyperlink r:id="rId14" w:tgtFrame="_blank" w:history="1">
        <w:r w:rsidR="00453612" w:rsidRPr="00970DC0">
          <w:rPr>
            <w:rStyle w:val="normaltextrun"/>
            <w:rFonts w:asciiTheme="minorHAnsi" w:hAnsiTheme="minorHAnsi" w:cstheme="minorHAnsi"/>
            <w:b/>
            <w:bCs/>
            <w:color w:val="0563C1"/>
            <w:u w:val="single"/>
          </w:rPr>
          <w:t>ITUSearch</w:t>
        </w:r>
      </w:hyperlink>
      <w:r w:rsidR="00453612" w:rsidRPr="00970DC0">
        <w:rPr>
          <w:rStyle w:val="normaltextrun"/>
          <w:rFonts w:asciiTheme="minorHAnsi" w:hAnsiTheme="minorHAnsi" w:cstheme="minorHAnsi"/>
          <w:b/>
          <w:bCs/>
        </w:rPr>
        <w:t> </w:t>
      </w:r>
      <w:r w:rsidR="00BB4F9A" w:rsidRPr="00970DC0">
        <w:rPr>
          <w:rStyle w:val="normaltextrun"/>
          <w:rFonts w:asciiTheme="minorHAnsi" w:hAnsiTheme="minorHAnsi" w:cstheme="minorHAnsi"/>
        </w:rPr>
        <w:t>–</w:t>
      </w:r>
      <w:r w:rsidR="00453612" w:rsidRPr="00970DC0">
        <w:rPr>
          <w:rStyle w:val="normaltextrun"/>
          <w:rFonts w:asciiTheme="minorHAnsi" w:hAnsiTheme="minorHAnsi" w:cstheme="minorHAnsi"/>
        </w:rPr>
        <w:t> </w:t>
      </w:r>
      <w:r w:rsidR="00BB4F9A" w:rsidRPr="00970DC0">
        <w:rPr>
          <w:rStyle w:val="normaltextrun"/>
          <w:rFonts w:asciiTheme="minorHAnsi" w:hAnsiTheme="minorHAnsi" w:cstheme="minorHAnsi"/>
        </w:rPr>
        <w:t>Motor de búsqueda que da acceso a todos los recursos digitales de la UIT, incluidas las publicaciones, los documentos de las reuniones, el contenido de medios sociales y los seminarios web</w:t>
      </w:r>
      <w:r w:rsidR="00453612" w:rsidRPr="00970DC0">
        <w:rPr>
          <w:rStyle w:val="normaltextrun"/>
          <w:rFonts w:asciiTheme="minorHAnsi" w:hAnsiTheme="minorHAnsi" w:cstheme="minorHAnsi"/>
        </w:rPr>
        <w:t>.</w:t>
      </w:r>
      <w:bookmarkEnd w:id="67"/>
      <w:r w:rsidR="00453612" w:rsidRPr="00970DC0">
        <w:rPr>
          <w:rStyle w:val="normaltextrun"/>
          <w:rFonts w:asciiTheme="minorHAnsi" w:hAnsiTheme="minorHAnsi" w:cstheme="minorHAnsi"/>
        </w:rPr>
        <w:t xml:space="preserve"> </w:t>
      </w:r>
    </w:p>
    <w:p w14:paraId="73231CCA" w14:textId="6B016792" w:rsidR="00453612" w:rsidRPr="00970DC0" w:rsidRDefault="00E25998" w:rsidP="00080EEE">
      <w:pPr>
        <w:pStyle w:val="enumlev1"/>
        <w:jc w:val="both"/>
        <w:rPr>
          <w:rFonts w:asciiTheme="minorHAnsi" w:hAnsiTheme="minorHAnsi" w:cstheme="minorHAnsi"/>
        </w:rPr>
      </w:pPr>
      <w:bookmarkStart w:id="68" w:name="lt_pId078"/>
      <w:r w:rsidRPr="00970DC0">
        <w:rPr>
          <w:rFonts w:asciiTheme="minorHAnsi" w:hAnsiTheme="minorHAnsi" w:cstheme="minorHAnsi"/>
        </w:rPr>
        <w:lastRenderedPageBreak/>
        <w:t>•</w:t>
      </w:r>
      <w:r w:rsidRPr="00970DC0">
        <w:rPr>
          <w:rFonts w:asciiTheme="minorHAnsi" w:hAnsiTheme="minorHAnsi" w:cstheme="minorHAnsi"/>
        </w:rPr>
        <w:tab/>
      </w:r>
      <w:hyperlink r:id="rId15" w:anchor="?topic=0&amp;workgroup=1&amp;searchValue=&amp;page=1&amp;sort=Revelance" w:tgtFrame="_blank" w:history="1">
        <w:r w:rsidR="00453612" w:rsidRPr="00970DC0">
          <w:rPr>
            <w:rStyle w:val="normaltextrun"/>
            <w:rFonts w:asciiTheme="minorHAnsi" w:hAnsiTheme="minorHAnsi" w:cstheme="minorHAnsi"/>
            <w:b/>
            <w:bCs/>
            <w:color w:val="0563C1"/>
            <w:u w:val="single"/>
          </w:rPr>
          <w:t>ICT Standards Landscape</w:t>
        </w:r>
      </w:hyperlink>
      <w:r w:rsidR="00453612" w:rsidRPr="00970DC0">
        <w:rPr>
          <w:rStyle w:val="normaltextrun"/>
          <w:rFonts w:asciiTheme="minorHAnsi" w:hAnsiTheme="minorHAnsi" w:cstheme="minorHAnsi"/>
        </w:rPr>
        <w:t> </w:t>
      </w:r>
      <w:r w:rsidR="00BB4F9A" w:rsidRPr="00970DC0">
        <w:rPr>
          <w:rStyle w:val="normaltextrun"/>
          <w:rFonts w:asciiTheme="minorHAnsi" w:hAnsiTheme="minorHAnsi" w:cstheme="minorHAnsi"/>
        </w:rPr>
        <w:t>–</w:t>
      </w:r>
      <w:r w:rsidR="00453612" w:rsidRPr="00970DC0">
        <w:rPr>
          <w:rStyle w:val="normaltextrun"/>
          <w:rFonts w:asciiTheme="minorHAnsi" w:hAnsiTheme="minorHAnsi" w:cstheme="minorHAnsi"/>
        </w:rPr>
        <w:t> </w:t>
      </w:r>
      <w:r w:rsidR="00BB4F9A" w:rsidRPr="00970DC0">
        <w:rPr>
          <w:rStyle w:val="normaltextrun"/>
          <w:rFonts w:asciiTheme="minorHAnsi" w:hAnsiTheme="minorHAnsi" w:cstheme="minorHAnsi"/>
        </w:rPr>
        <w:t>Herramienta en línea utilizada por los expertos para clasificar las normas en sus respectivos dominios</w:t>
      </w:r>
      <w:r w:rsidR="00453612" w:rsidRPr="00970DC0">
        <w:rPr>
          <w:rStyle w:val="normaltextrun"/>
          <w:rFonts w:asciiTheme="minorHAnsi" w:hAnsiTheme="minorHAnsi" w:cstheme="minorHAnsi"/>
        </w:rPr>
        <w:t>.</w:t>
      </w:r>
      <w:bookmarkEnd w:id="68"/>
    </w:p>
    <w:p w14:paraId="25145FD4" w14:textId="61B221F0" w:rsidR="00453612" w:rsidRPr="00970DC0" w:rsidRDefault="00E25998" w:rsidP="00080EEE">
      <w:pPr>
        <w:pStyle w:val="enumlev1"/>
        <w:jc w:val="both"/>
        <w:rPr>
          <w:rFonts w:asciiTheme="minorHAnsi" w:hAnsiTheme="minorHAnsi" w:cstheme="minorHAnsi"/>
        </w:rPr>
      </w:pPr>
      <w:bookmarkStart w:id="69" w:name="lt_pId079"/>
      <w:r w:rsidRPr="00970DC0">
        <w:rPr>
          <w:rFonts w:asciiTheme="minorHAnsi" w:hAnsiTheme="minorHAnsi" w:cstheme="minorHAnsi"/>
        </w:rPr>
        <w:t>•</w:t>
      </w:r>
      <w:r w:rsidRPr="00970DC0">
        <w:rPr>
          <w:rFonts w:asciiTheme="minorHAnsi" w:hAnsiTheme="minorHAnsi" w:cstheme="minorHAnsi"/>
        </w:rPr>
        <w:tab/>
      </w:r>
      <w:r w:rsidR="00453612" w:rsidRPr="00970DC0">
        <w:rPr>
          <w:rStyle w:val="normaltextrun"/>
          <w:rFonts w:asciiTheme="minorHAnsi" w:hAnsiTheme="minorHAnsi" w:cstheme="minorHAnsi"/>
          <w:b/>
          <w:bCs/>
        </w:rPr>
        <w:t>ITU-T Events Dashboard</w:t>
      </w:r>
      <w:r w:rsidR="00453612" w:rsidRPr="00970DC0">
        <w:rPr>
          <w:rStyle w:val="normaltextrun"/>
          <w:rFonts w:asciiTheme="minorHAnsi" w:hAnsiTheme="minorHAnsi" w:cstheme="minorHAnsi"/>
        </w:rPr>
        <w:t> </w:t>
      </w:r>
      <w:r w:rsidR="00BB4F9A" w:rsidRPr="00970DC0">
        <w:rPr>
          <w:rStyle w:val="normaltextrun"/>
          <w:rFonts w:asciiTheme="minorHAnsi" w:hAnsiTheme="minorHAnsi" w:cstheme="minorHAnsi"/>
        </w:rPr>
        <w:t>–</w:t>
      </w:r>
      <w:r w:rsidR="00453612" w:rsidRPr="00970DC0">
        <w:rPr>
          <w:rStyle w:val="normaltextrun"/>
          <w:rFonts w:asciiTheme="minorHAnsi" w:hAnsiTheme="minorHAnsi" w:cstheme="minorHAnsi"/>
        </w:rPr>
        <w:t> </w:t>
      </w:r>
      <w:r w:rsidR="00BB4F9A" w:rsidRPr="00970DC0">
        <w:rPr>
          <w:rStyle w:val="normaltextrun"/>
          <w:rFonts w:asciiTheme="minorHAnsi" w:hAnsiTheme="minorHAnsi" w:cstheme="minorHAnsi"/>
        </w:rPr>
        <w:t>Gestión de procesos para el equipo de Eventos de la TSB para facilitar la organización de eventos</w:t>
      </w:r>
      <w:r w:rsidR="00453612" w:rsidRPr="00970DC0">
        <w:rPr>
          <w:rStyle w:val="normaltextrun"/>
          <w:rFonts w:asciiTheme="minorHAnsi" w:hAnsiTheme="minorHAnsi" w:cstheme="minorHAnsi"/>
        </w:rPr>
        <w:t>.</w:t>
      </w:r>
      <w:bookmarkEnd w:id="69"/>
      <w:r w:rsidR="00453612" w:rsidRPr="00970DC0">
        <w:rPr>
          <w:rStyle w:val="normaltextrun"/>
          <w:rFonts w:asciiTheme="minorHAnsi" w:hAnsiTheme="minorHAnsi" w:cstheme="minorHAnsi"/>
        </w:rPr>
        <w:t> </w:t>
      </w:r>
    </w:p>
    <w:p w14:paraId="19AD17F7" w14:textId="31BA4C56" w:rsidR="00453612" w:rsidRPr="002F6252" w:rsidRDefault="00E25998" w:rsidP="00080EEE">
      <w:pPr>
        <w:jc w:val="both"/>
        <w:rPr>
          <w:rStyle w:val="eop"/>
          <w:rFonts w:asciiTheme="minorHAnsi" w:hAnsiTheme="minorHAnsi" w:cstheme="minorHAnsi"/>
          <w:spacing w:val="-2"/>
        </w:rPr>
      </w:pPr>
      <w:r w:rsidRPr="002F6252">
        <w:rPr>
          <w:rStyle w:val="eop"/>
          <w:rFonts w:asciiTheme="minorHAnsi" w:hAnsiTheme="minorHAnsi" w:cstheme="minorHAnsi"/>
          <w:spacing w:val="-2"/>
        </w:rPr>
        <w:t>2.3</w:t>
      </w:r>
      <w:r w:rsidR="00453612" w:rsidRPr="002F6252">
        <w:rPr>
          <w:rStyle w:val="eop"/>
          <w:rFonts w:asciiTheme="minorHAnsi" w:hAnsiTheme="minorHAnsi" w:cstheme="minorHAnsi"/>
          <w:spacing w:val="-2"/>
        </w:rPr>
        <w:tab/>
      </w:r>
      <w:bookmarkStart w:id="70" w:name="lt_pId081"/>
      <w:r w:rsidR="00BB4F9A" w:rsidRPr="002F6252">
        <w:rPr>
          <w:rStyle w:val="eop"/>
          <w:rFonts w:asciiTheme="minorHAnsi" w:hAnsiTheme="minorHAnsi" w:cstheme="minorHAnsi"/>
          <w:spacing w:val="-2"/>
        </w:rPr>
        <w:t xml:space="preserve">Las aplicaciones de la TSB desempeñan un papel importante en el acceso a los servicios y la organización de eventos. </w:t>
      </w:r>
      <w:r w:rsidR="00144743" w:rsidRPr="002F6252">
        <w:rPr>
          <w:rStyle w:val="eop"/>
          <w:rFonts w:asciiTheme="minorHAnsi" w:hAnsiTheme="minorHAnsi" w:cstheme="minorHAnsi"/>
          <w:spacing w:val="-2"/>
        </w:rPr>
        <w:t xml:space="preserve">Las reuniones-e organizadas con las herramientas de participación a distancia de la </w:t>
      </w:r>
      <w:r w:rsidR="00453612" w:rsidRPr="002F6252">
        <w:rPr>
          <w:rStyle w:val="eop"/>
          <w:rFonts w:asciiTheme="minorHAnsi" w:hAnsiTheme="minorHAnsi" w:cstheme="minorHAnsi"/>
          <w:spacing w:val="-2"/>
        </w:rPr>
        <w:t xml:space="preserve">TSB </w:t>
      </w:r>
      <w:r w:rsidR="00144743" w:rsidRPr="002F6252">
        <w:rPr>
          <w:rStyle w:val="eop"/>
          <w:rFonts w:asciiTheme="minorHAnsi" w:hAnsiTheme="minorHAnsi" w:cstheme="minorHAnsi"/>
          <w:spacing w:val="-2"/>
        </w:rPr>
        <w:t>han contribuido a un aumento de la participación en reuniones y eventos. En general, el número de reuniones electrónicas organizadas prácticamente se ha duplicado en los últimos dos años, pasando de unas</w:t>
      </w:r>
      <w:bookmarkStart w:id="71" w:name="lt_pId083"/>
      <w:bookmarkEnd w:id="70"/>
      <w:r w:rsidR="00453612" w:rsidRPr="002F6252">
        <w:rPr>
          <w:rStyle w:val="eop"/>
          <w:rFonts w:asciiTheme="minorHAnsi" w:hAnsiTheme="minorHAnsi" w:cstheme="minorHAnsi"/>
          <w:spacing w:val="-2"/>
        </w:rPr>
        <w:t xml:space="preserve"> 1</w:t>
      </w:r>
      <w:r w:rsidRPr="002F6252">
        <w:rPr>
          <w:rStyle w:val="eop"/>
          <w:rFonts w:asciiTheme="minorHAnsi" w:hAnsiTheme="minorHAnsi" w:cstheme="minorHAnsi"/>
          <w:spacing w:val="-2"/>
        </w:rPr>
        <w:t> </w:t>
      </w:r>
      <w:r w:rsidR="00453612" w:rsidRPr="002F6252">
        <w:rPr>
          <w:rStyle w:val="eop"/>
          <w:rFonts w:asciiTheme="minorHAnsi" w:hAnsiTheme="minorHAnsi" w:cstheme="minorHAnsi"/>
          <w:spacing w:val="-2"/>
        </w:rPr>
        <w:t xml:space="preserve">100 </w:t>
      </w:r>
      <w:r w:rsidR="00144743" w:rsidRPr="002F6252">
        <w:rPr>
          <w:rStyle w:val="eop"/>
          <w:rFonts w:asciiTheme="minorHAnsi" w:hAnsiTheme="minorHAnsi" w:cstheme="minorHAnsi"/>
          <w:spacing w:val="-2"/>
        </w:rPr>
        <w:t>e</w:t>
      </w:r>
      <w:r w:rsidR="00453612" w:rsidRPr="002F6252">
        <w:rPr>
          <w:rStyle w:val="eop"/>
          <w:rFonts w:asciiTheme="minorHAnsi" w:hAnsiTheme="minorHAnsi" w:cstheme="minorHAnsi"/>
          <w:spacing w:val="-2"/>
        </w:rPr>
        <w:t xml:space="preserve">n 2017 </w:t>
      </w:r>
      <w:r w:rsidR="00144743" w:rsidRPr="002F6252">
        <w:rPr>
          <w:rStyle w:val="eop"/>
          <w:rFonts w:asciiTheme="minorHAnsi" w:hAnsiTheme="minorHAnsi" w:cstheme="minorHAnsi"/>
          <w:spacing w:val="-2"/>
        </w:rPr>
        <w:t>a cerca de</w:t>
      </w:r>
      <w:r w:rsidR="00453612" w:rsidRPr="002F6252">
        <w:rPr>
          <w:rStyle w:val="eop"/>
          <w:rFonts w:asciiTheme="minorHAnsi" w:hAnsiTheme="minorHAnsi" w:cstheme="minorHAnsi"/>
          <w:spacing w:val="-2"/>
        </w:rPr>
        <w:t xml:space="preserve"> 1</w:t>
      </w:r>
      <w:r w:rsidRPr="002F6252">
        <w:rPr>
          <w:rStyle w:val="eop"/>
          <w:rFonts w:asciiTheme="minorHAnsi" w:hAnsiTheme="minorHAnsi" w:cstheme="minorHAnsi"/>
          <w:spacing w:val="-2"/>
        </w:rPr>
        <w:t> </w:t>
      </w:r>
      <w:r w:rsidR="00453612" w:rsidRPr="002F6252">
        <w:rPr>
          <w:rStyle w:val="eop"/>
          <w:rFonts w:asciiTheme="minorHAnsi" w:hAnsiTheme="minorHAnsi" w:cstheme="minorHAnsi"/>
          <w:spacing w:val="-2"/>
        </w:rPr>
        <w:t xml:space="preserve">900 </w:t>
      </w:r>
      <w:r w:rsidR="00144743" w:rsidRPr="002F6252">
        <w:rPr>
          <w:rStyle w:val="eop"/>
          <w:rFonts w:asciiTheme="minorHAnsi" w:hAnsiTheme="minorHAnsi" w:cstheme="minorHAnsi"/>
          <w:spacing w:val="-2"/>
        </w:rPr>
        <w:t>e</w:t>
      </w:r>
      <w:r w:rsidR="00453612" w:rsidRPr="002F6252">
        <w:rPr>
          <w:rStyle w:val="eop"/>
          <w:rFonts w:asciiTheme="minorHAnsi" w:hAnsiTheme="minorHAnsi" w:cstheme="minorHAnsi"/>
          <w:spacing w:val="-2"/>
        </w:rPr>
        <w:t>n 2019 (</w:t>
      </w:r>
      <w:r w:rsidR="00144743" w:rsidRPr="002F6252">
        <w:rPr>
          <w:rStyle w:val="eop"/>
          <w:rFonts w:asciiTheme="minorHAnsi" w:hAnsiTheme="minorHAnsi" w:cstheme="minorHAnsi"/>
          <w:spacing w:val="-2"/>
        </w:rPr>
        <w:t>el número de participantes/usuarios también aumentó entre</w:t>
      </w:r>
      <w:r w:rsidR="00453612" w:rsidRPr="002F6252">
        <w:rPr>
          <w:rStyle w:val="eop"/>
          <w:rFonts w:asciiTheme="minorHAnsi" w:hAnsiTheme="minorHAnsi" w:cstheme="minorHAnsi"/>
          <w:spacing w:val="-2"/>
        </w:rPr>
        <w:t xml:space="preserve"> 2017 </w:t>
      </w:r>
      <w:r w:rsidR="00144743" w:rsidRPr="002F6252">
        <w:rPr>
          <w:rStyle w:val="eop"/>
          <w:rFonts w:asciiTheme="minorHAnsi" w:hAnsiTheme="minorHAnsi" w:cstheme="minorHAnsi"/>
          <w:spacing w:val="-2"/>
        </w:rPr>
        <w:t>y</w:t>
      </w:r>
      <w:r w:rsidR="00453612" w:rsidRPr="002F6252">
        <w:rPr>
          <w:rStyle w:val="eop"/>
          <w:rFonts w:asciiTheme="minorHAnsi" w:hAnsiTheme="minorHAnsi" w:cstheme="minorHAnsi"/>
          <w:spacing w:val="-2"/>
        </w:rPr>
        <w:t xml:space="preserve"> 2018).</w:t>
      </w:r>
      <w:bookmarkEnd w:id="71"/>
      <w:r w:rsidR="00453612" w:rsidRPr="002F6252">
        <w:rPr>
          <w:rStyle w:val="eop"/>
          <w:rFonts w:asciiTheme="minorHAnsi" w:hAnsiTheme="minorHAnsi" w:cstheme="minorHAnsi"/>
          <w:spacing w:val="-2"/>
        </w:rPr>
        <w:t xml:space="preserve"> </w:t>
      </w:r>
      <w:bookmarkStart w:id="72" w:name="lt_pId084"/>
      <w:r w:rsidR="00144743" w:rsidRPr="002F6252">
        <w:rPr>
          <w:rStyle w:val="eop"/>
          <w:rFonts w:asciiTheme="minorHAnsi" w:hAnsiTheme="minorHAnsi" w:cstheme="minorHAnsi"/>
          <w:spacing w:val="-2"/>
        </w:rPr>
        <w:t xml:space="preserve">También se ha constatado un importante aumento del número de usuarios de </w:t>
      </w:r>
      <w:r w:rsidR="00453612" w:rsidRPr="002F6252">
        <w:rPr>
          <w:rStyle w:val="eop"/>
          <w:rFonts w:asciiTheme="minorHAnsi" w:hAnsiTheme="minorHAnsi" w:cstheme="minorHAnsi"/>
          <w:spacing w:val="-2"/>
        </w:rPr>
        <w:t>MyWorkspace</w:t>
      </w:r>
      <w:r w:rsidR="00144743" w:rsidRPr="002F6252">
        <w:rPr>
          <w:rStyle w:val="eop"/>
          <w:rFonts w:asciiTheme="minorHAnsi" w:hAnsiTheme="minorHAnsi" w:cstheme="minorHAnsi"/>
          <w:spacing w:val="-2"/>
        </w:rPr>
        <w:t>, pasando de</w:t>
      </w:r>
      <w:r w:rsidR="00453612" w:rsidRPr="002F6252">
        <w:rPr>
          <w:rStyle w:val="eop"/>
          <w:rFonts w:asciiTheme="minorHAnsi" w:hAnsiTheme="minorHAnsi" w:cstheme="minorHAnsi"/>
          <w:spacing w:val="-2"/>
        </w:rPr>
        <w:t xml:space="preserve"> 100 us</w:t>
      </w:r>
      <w:r w:rsidR="00144743" w:rsidRPr="002F6252">
        <w:rPr>
          <w:rStyle w:val="eop"/>
          <w:rFonts w:asciiTheme="minorHAnsi" w:hAnsiTheme="minorHAnsi" w:cstheme="minorHAnsi"/>
          <w:spacing w:val="-2"/>
        </w:rPr>
        <w:t>uarios en enero de</w:t>
      </w:r>
      <w:r w:rsidR="00453612" w:rsidRPr="002F6252">
        <w:rPr>
          <w:rStyle w:val="eop"/>
          <w:rFonts w:asciiTheme="minorHAnsi" w:hAnsiTheme="minorHAnsi" w:cstheme="minorHAnsi"/>
          <w:spacing w:val="-2"/>
        </w:rPr>
        <w:t xml:space="preserve"> 2018 </w:t>
      </w:r>
      <w:r w:rsidR="00144743" w:rsidRPr="002F6252">
        <w:rPr>
          <w:rStyle w:val="eop"/>
          <w:rFonts w:asciiTheme="minorHAnsi" w:hAnsiTheme="minorHAnsi" w:cstheme="minorHAnsi"/>
          <w:spacing w:val="-2"/>
        </w:rPr>
        <w:t>a casi</w:t>
      </w:r>
      <w:r w:rsidR="00453612" w:rsidRPr="002F6252">
        <w:rPr>
          <w:rStyle w:val="eop"/>
          <w:rFonts w:asciiTheme="minorHAnsi" w:hAnsiTheme="minorHAnsi" w:cstheme="minorHAnsi"/>
          <w:spacing w:val="-2"/>
        </w:rPr>
        <w:t xml:space="preserve"> 2</w:t>
      </w:r>
      <w:r w:rsidR="00144743" w:rsidRPr="002F6252">
        <w:rPr>
          <w:rStyle w:val="eop"/>
          <w:rFonts w:asciiTheme="minorHAnsi" w:hAnsiTheme="minorHAnsi" w:cstheme="minorHAnsi"/>
          <w:spacing w:val="-2"/>
        </w:rPr>
        <w:t xml:space="preserve"> </w:t>
      </w:r>
      <w:r w:rsidR="00453612" w:rsidRPr="002F6252">
        <w:rPr>
          <w:rStyle w:val="eop"/>
          <w:rFonts w:asciiTheme="minorHAnsi" w:hAnsiTheme="minorHAnsi" w:cstheme="minorHAnsi"/>
          <w:spacing w:val="-2"/>
        </w:rPr>
        <w:t xml:space="preserve">700 </w:t>
      </w:r>
      <w:r w:rsidR="00144743" w:rsidRPr="002F6252">
        <w:rPr>
          <w:rStyle w:val="eop"/>
          <w:rFonts w:asciiTheme="minorHAnsi" w:hAnsiTheme="minorHAnsi" w:cstheme="minorHAnsi"/>
          <w:spacing w:val="-2"/>
        </w:rPr>
        <w:t>e</w:t>
      </w:r>
      <w:r w:rsidR="00453612" w:rsidRPr="002F6252">
        <w:rPr>
          <w:rStyle w:val="eop"/>
          <w:rFonts w:asciiTheme="minorHAnsi" w:hAnsiTheme="minorHAnsi" w:cstheme="minorHAnsi"/>
          <w:spacing w:val="-2"/>
        </w:rPr>
        <w:t xml:space="preserve">n </w:t>
      </w:r>
      <w:r w:rsidR="00144743" w:rsidRPr="002F6252">
        <w:rPr>
          <w:rStyle w:val="eop"/>
          <w:rFonts w:asciiTheme="minorHAnsi" w:hAnsiTheme="minorHAnsi" w:cstheme="minorHAnsi"/>
          <w:spacing w:val="-2"/>
        </w:rPr>
        <w:t>marzo de</w:t>
      </w:r>
      <w:r w:rsidR="00453612" w:rsidRPr="002F6252">
        <w:rPr>
          <w:rStyle w:val="eop"/>
          <w:rFonts w:asciiTheme="minorHAnsi" w:hAnsiTheme="minorHAnsi" w:cstheme="minorHAnsi"/>
          <w:spacing w:val="-2"/>
        </w:rPr>
        <w:t xml:space="preserve"> 2020, </w:t>
      </w:r>
      <w:r w:rsidR="00144743" w:rsidRPr="002F6252">
        <w:rPr>
          <w:rStyle w:val="eop"/>
          <w:rFonts w:asciiTheme="minorHAnsi" w:hAnsiTheme="minorHAnsi" w:cstheme="minorHAnsi"/>
          <w:spacing w:val="-2"/>
        </w:rPr>
        <w:t>y se prevé que haya aún más usuarios al final de este periodo de estudio</w:t>
      </w:r>
      <w:r w:rsidR="00B21D6A">
        <w:rPr>
          <w:rStyle w:val="eop"/>
          <w:rFonts w:asciiTheme="minorHAnsi" w:hAnsiTheme="minorHAnsi" w:cstheme="minorHAnsi"/>
          <w:spacing w:val="-2"/>
        </w:rPr>
        <w:t>s</w:t>
      </w:r>
      <w:r w:rsidR="00144743" w:rsidRPr="002F6252">
        <w:rPr>
          <w:rStyle w:val="eop"/>
          <w:rFonts w:asciiTheme="minorHAnsi" w:hAnsiTheme="minorHAnsi" w:cstheme="minorHAnsi"/>
          <w:spacing w:val="-2"/>
        </w:rPr>
        <w:t xml:space="preserve">. A otras herramientas de la TSB, como la traducción automática de documentos, se debe el aumento de participantes en eventos como las </w:t>
      </w:r>
      <w:r w:rsidR="00144743" w:rsidRPr="002F6252">
        <w:rPr>
          <w:rStyle w:val="eop"/>
          <w:rFonts w:asciiTheme="minorHAnsi" w:hAnsiTheme="minorHAnsi" w:cstheme="minorHAnsi"/>
          <w:i/>
          <w:iCs/>
          <w:spacing w:val="-2"/>
        </w:rPr>
        <w:t>sesiones de formación sobre el cierre de la brech</w:t>
      </w:r>
      <w:r w:rsidR="005E22CA" w:rsidRPr="002F6252">
        <w:rPr>
          <w:rStyle w:val="eop"/>
          <w:rFonts w:asciiTheme="minorHAnsi" w:hAnsiTheme="minorHAnsi" w:cstheme="minorHAnsi"/>
          <w:i/>
          <w:iCs/>
          <w:spacing w:val="-2"/>
        </w:rPr>
        <w:t>a</w:t>
      </w:r>
      <w:r w:rsidR="00144743" w:rsidRPr="002F6252">
        <w:rPr>
          <w:rStyle w:val="eop"/>
          <w:rFonts w:asciiTheme="minorHAnsi" w:hAnsiTheme="minorHAnsi" w:cstheme="minorHAnsi"/>
          <w:i/>
          <w:iCs/>
          <w:spacing w:val="-2"/>
        </w:rPr>
        <w:t xml:space="preserve"> de normalización </w:t>
      </w:r>
      <w:r w:rsidR="00144743" w:rsidRPr="002F6252">
        <w:rPr>
          <w:rStyle w:val="eop"/>
          <w:rFonts w:asciiTheme="minorHAnsi" w:hAnsiTheme="minorHAnsi" w:cstheme="minorHAnsi"/>
          <w:spacing w:val="-2"/>
        </w:rPr>
        <w:t>(</w:t>
      </w:r>
      <w:bookmarkStart w:id="73" w:name="lt_pId085"/>
      <w:bookmarkEnd w:id="72"/>
      <w:r w:rsidR="00144743" w:rsidRPr="002F6252">
        <w:rPr>
          <w:rStyle w:val="eop"/>
          <w:rFonts w:asciiTheme="minorHAnsi" w:hAnsiTheme="minorHAnsi" w:cstheme="minorHAnsi"/>
          <w:spacing w:val="-2"/>
        </w:rPr>
        <w:t xml:space="preserve">de </w:t>
      </w:r>
      <w:r w:rsidR="00453612" w:rsidRPr="002F6252">
        <w:rPr>
          <w:rStyle w:val="eop"/>
          <w:rFonts w:asciiTheme="minorHAnsi" w:hAnsiTheme="minorHAnsi" w:cstheme="minorHAnsi"/>
          <w:spacing w:val="-2"/>
        </w:rPr>
        <w:t>113 participant</w:t>
      </w:r>
      <w:r w:rsidR="00144743" w:rsidRPr="002F6252">
        <w:rPr>
          <w:rStyle w:val="eop"/>
          <w:rFonts w:asciiTheme="minorHAnsi" w:hAnsiTheme="minorHAnsi" w:cstheme="minorHAnsi"/>
          <w:spacing w:val="-2"/>
        </w:rPr>
        <w:t>e</w:t>
      </w:r>
      <w:r w:rsidR="00453612" w:rsidRPr="002F6252">
        <w:rPr>
          <w:rStyle w:val="eop"/>
          <w:rFonts w:asciiTheme="minorHAnsi" w:hAnsiTheme="minorHAnsi" w:cstheme="minorHAnsi"/>
          <w:spacing w:val="-2"/>
        </w:rPr>
        <w:t xml:space="preserve">s </w:t>
      </w:r>
      <w:r w:rsidR="00144743" w:rsidRPr="002F6252">
        <w:rPr>
          <w:rStyle w:val="eop"/>
          <w:rFonts w:asciiTheme="minorHAnsi" w:hAnsiTheme="minorHAnsi" w:cstheme="minorHAnsi"/>
          <w:spacing w:val="-2"/>
        </w:rPr>
        <w:t>e</w:t>
      </w:r>
      <w:r w:rsidR="00453612" w:rsidRPr="002F6252">
        <w:rPr>
          <w:rStyle w:val="eop"/>
          <w:rFonts w:asciiTheme="minorHAnsi" w:hAnsiTheme="minorHAnsi" w:cstheme="minorHAnsi"/>
          <w:spacing w:val="-2"/>
        </w:rPr>
        <w:t xml:space="preserve">n 2017 </w:t>
      </w:r>
      <w:r w:rsidR="00144743" w:rsidRPr="002F6252">
        <w:rPr>
          <w:rStyle w:val="eop"/>
          <w:rFonts w:asciiTheme="minorHAnsi" w:hAnsiTheme="minorHAnsi" w:cstheme="minorHAnsi"/>
          <w:spacing w:val="-2"/>
        </w:rPr>
        <w:t>a</w:t>
      </w:r>
      <w:r w:rsidR="00453612" w:rsidRPr="002F6252">
        <w:rPr>
          <w:rStyle w:val="eop"/>
          <w:rFonts w:asciiTheme="minorHAnsi" w:hAnsiTheme="minorHAnsi" w:cstheme="minorHAnsi"/>
          <w:spacing w:val="-2"/>
        </w:rPr>
        <w:t xml:space="preserve"> 348 participant</w:t>
      </w:r>
      <w:r w:rsidR="00144743" w:rsidRPr="002F6252">
        <w:rPr>
          <w:rStyle w:val="eop"/>
          <w:rFonts w:asciiTheme="minorHAnsi" w:hAnsiTheme="minorHAnsi" w:cstheme="minorHAnsi"/>
          <w:spacing w:val="-2"/>
        </w:rPr>
        <w:t>e</w:t>
      </w:r>
      <w:r w:rsidR="00453612" w:rsidRPr="002F6252">
        <w:rPr>
          <w:rStyle w:val="eop"/>
          <w:rFonts w:asciiTheme="minorHAnsi" w:hAnsiTheme="minorHAnsi" w:cstheme="minorHAnsi"/>
          <w:spacing w:val="-2"/>
        </w:rPr>
        <w:t>s</w:t>
      </w:r>
      <w:r w:rsidR="00144743" w:rsidRPr="002F6252">
        <w:rPr>
          <w:rStyle w:val="eop"/>
          <w:rFonts w:asciiTheme="minorHAnsi" w:hAnsiTheme="minorHAnsi" w:cstheme="minorHAnsi"/>
          <w:spacing w:val="-2"/>
        </w:rPr>
        <w:t xml:space="preserve"> e</w:t>
      </w:r>
      <w:r w:rsidR="00453612" w:rsidRPr="002F6252">
        <w:rPr>
          <w:rStyle w:val="eop"/>
          <w:rFonts w:asciiTheme="minorHAnsi" w:hAnsiTheme="minorHAnsi" w:cstheme="minorHAnsi"/>
          <w:spacing w:val="-2"/>
        </w:rPr>
        <w:t>n</w:t>
      </w:r>
      <w:r w:rsidR="002F6252" w:rsidRPr="002F6252">
        <w:rPr>
          <w:rStyle w:val="eop"/>
          <w:rFonts w:asciiTheme="minorHAnsi" w:hAnsiTheme="minorHAnsi" w:cstheme="minorHAnsi"/>
          <w:spacing w:val="-2"/>
        </w:rPr>
        <w:t xml:space="preserve"> </w:t>
      </w:r>
      <w:r w:rsidR="00453612" w:rsidRPr="002F6252">
        <w:rPr>
          <w:rStyle w:val="eop"/>
          <w:rFonts w:asciiTheme="minorHAnsi" w:hAnsiTheme="minorHAnsi" w:cstheme="minorHAnsi"/>
          <w:spacing w:val="-2"/>
        </w:rPr>
        <w:t>2019)</w:t>
      </w:r>
      <w:r w:rsidR="00453612" w:rsidRPr="002F6252">
        <w:rPr>
          <w:rStyle w:val="eop"/>
          <w:rFonts w:asciiTheme="minorHAnsi" w:hAnsiTheme="minorHAnsi" w:cstheme="minorHAnsi"/>
          <w:i/>
          <w:iCs/>
          <w:spacing w:val="-2"/>
        </w:rPr>
        <w:t>.</w:t>
      </w:r>
      <w:bookmarkEnd w:id="73"/>
    </w:p>
    <w:p w14:paraId="207D314E" w14:textId="5BD5D6DE" w:rsidR="00453612" w:rsidRPr="00970DC0" w:rsidRDefault="00144743" w:rsidP="00080EEE">
      <w:pPr>
        <w:jc w:val="both"/>
        <w:rPr>
          <w:rStyle w:val="eop"/>
          <w:rFonts w:asciiTheme="minorHAnsi" w:hAnsiTheme="minorHAnsi" w:cstheme="minorHAnsi"/>
          <w:szCs w:val="24"/>
        </w:rPr>
      </w:pPr>
      <w:bookmarkStart w:id="74" w:name="lt_pId086"/>
      <w:r w:rsidRPr="00970DC0">
        <w:t xml:space="preserve">La herramienta de participación a distancia de la </w:t>
      </w:r>
      <w:r w:rsidR="00453612" w:rsidRPr="00970DC0">
        <w:t xml:space="preserve">TSB BigBlueButton (BBB) </w:t>
      </w:r>
      <w:r w:rsidRPr="00970DC0">
        <w:t>ya es conforme con</w:t>
      </w:r>
      <w:r w:rsidR="00453612" w:rsidRPr="00970DC0">
        <w:t xml:space="preserve"> </w:t>
      </w:r>
      <w:r w:rsidR="00970DC0" w:rsidRPr="00970DC0">
        <w:t>"</w:t>
      </w:r>
      <w:r w:rsidR="00453612" w:rsidRPr="00970DC0">
        <w:t>WCAG 2.0 AA</w:t>
      </w:r>
      <w:r w:rsidR="00970DC0" w:rsidRPr="00970DC0">
        <w:t>"</w:t>
      </w:r>
      <w:r w:rsidR="00453612" w:rsidRPr="00970DC0">
        <w:t xml:space="preserve"> (</w:t>
      </w:r>
      <w:r w:rsidR="00453612" w:rsidRPr="00970DC0">
        <w:rPr>
          <w:i/>
          <w:iCs/>
        </w:rPr>
        <w:t>Web Content Accessibility Guidelines 2.0 AA</w:t>
      </w:r>
      <w:r w:rsidR="00453612" w:rsidRPr="00970DC0">
        <w:t>).</w:t>
      </w:r>
      <w:bookmarkEnd w:id="74"/>
      <w:r w:rsidR="00453612" w:rsidRPr="00970DC0">
        <w:t xml:space="preserve"> </w:t>
      </w:r>
      <w:bookmarkStart w:id="75" w:name="lt_pId087"/>
      <w:r w:rsidR="00DE145F" w:rsidRPr="00970DC0">
        <w:t>Se están mejorando otras aplicaciones y plataformas como</w:t>
      </w:r>
      <w:r w:rsidR="00453612" w:rsidRPr="00970DC0">
        <w:t xml:space="preserve"> MyWorkSpace, Search, ITU Translate, ITU-T Landscape </w:t>
      </w:r>
      <w:r w:rsidR="00DE145F" w:rsidRPr="00970DC0">
        <w:t>y</w:t>
      </w:r>
      <w:r w:rsidR="00453612" w:rsidRPr="00970DC0">
        <w:t xml:space="preserve"> </w:t>
      </w:r>
      <w:r w:rsidR="00DE145F" w:rsidRPr="00970DC0">
        <w:t>los sitios web del UIT-T para lograr su conformidad con</w:t>
      </w:r>
      <w:r w:rsidR="00453612" w:rsidRPr="00970DC0">
        <w:t xml:space="preserve"> WCAG 2.0 AA.</w:t>
      </w:r>
      <w:bookmarkEnd w:id="75"/>
    </w:p>
    <w:p w14:paraId="7DD93741" w14:textId="2C5D3D66" w:rsidR="00453612" w:rsidRPr="00970DC0" w:rsidRDefault="00E25998" w:rsidP="00080EEE">
      <w:pPr>
        <w:jc w:val="both"/>
      </w:pPr>
      <w:r w:rsidRPr="00970DC0">
        <w:rPr>
          <w:rStyle w:val="normaltextrun"/>
          <w:rFonts w:asciiTheme="minorHAnsi" w:hAnsiTheme="minorHAnsi" w:cstheme="minorHAnsi"/>
        </w:rPr>
        <w:t>2.4</w:t>
      </w:r>
      <w:r w:rsidR="00453612" w:rsidRPr="00970DC0">
        <w:rPr>
          <w:rStyle w:val="normaltextrun"/>
          <w:rFonts w:asciiTheme="minorHAnsi" w:hAnsiTheme="minorHAnsi" w:cstheme="minorHAnsi"/>
        </w:rPr>
        <w:tab/>
      </w:r>
      <w:bookmarkStart w:id="76" w:name="lt_pId089"/>
      <w:r w:rsidR="00DE145F" w:rsidRPr="00970DC0">
        <w:rPr>
          <w:rStyle w:val="normaltextrun"/>
          <w:rFonts w:asciiTheme="minorHAnsi" w:hAnsiTheme="minorHAnsi" w:cstheme="minorHAnsi"/>
        </w:rPr>
        <w:t xml:space="preserve">Es importante que la TSB mantenga y mejore sus herramientas y servicios para ajustarse a las demandas del Sector. Por consiguiente, la Oficina solicita poder dotar un </w:t>
      </w:r>
      <w:r w:rsidR="00DE145F" w:rsidRPr="00970DC0">
        <w:rPr>
          <w:rStyle w:val="normaltextrun"/>
          <w:rFonts w:asciiTheme="minorHAnsi" w:hAnsiTheme="minorHAnsi" w:cstheme="minorHAnsi"/>
          <w:b/>
          <w:bCs/>
        </w:rPr>
        <w:t>puesto</w:t>
      </w:r>
      <w:bookmarkStart w:id="77" w:name="lt_pId090"/>
      <w:bookmarkEnd w:id="76"/>
      <w:r w:rsidR="00453612" w:rsidRPr="00970DC0">
        <w:rPr>
          <w:rStyle w:val="normaltextrun"/>
          <w:rFonts w:asciiTheme="minorHAnsi" w:hAnsiTheme="minorHAnsi" w:cstheme="minorHAnsi"/>
        </w:rPr>
        <w:t xml:space="preserve"> </w:t>
      </w:r>
      <w:r w:rsidR="00453612" w:rsidRPr="00970DC0">
        <w:rPr>
          <w:rStyle w:val="normaltextrun"/>
          <w:rFonts w:asciiTheme="minorHAnsi" w:hAnsiTheme="minorHAnsi" w:cstheme="minorHAnsi"/>
          <w:b/>
          <w:bCs/>
        </w:rPr>
        <w:t>P1</w:t>
      </w:r>
      <w:r w:rsidR="00453612" w:rsidRPr="00970DC0">
        <w:rPr>
          <w:rStyle w:val="normaltextrun"/>
          <w:rFonts w:asciiTheme="minorHAnsi" w:hAnsiTheme="minorHAnsi" w:cstheme="minorHAnsi"/>
        </w:rPr>
        <w:t> </w:t>
      </w:r>
      <w:r w:rsidR="00DE145F" w:rsidRPr="00970DC0">
        <w:rPr>
          <w:rStyle w:val="normaltextrun"/>
          <w:rFonts w:asciiTheme="minorHAnsi" w:hAnsiTheme="minorHAnsi" w:cstheme="minorHAnsi"/>
        </w:rPr>
        <w:t>y un</w:t>
      </w:r>
      <w:r w:rsidR="00DE145F" w:rsidRPr="00970DC0">
        <w:rPr>
          <w:rStyle w:val="normaltextrun"/>
          <w:rFonts w:asciiTheme="minorHAnsi" w:hAnsiTheme="minorHAnsi" w:cstheme="minorHAnsi"/>
          <w:b/>
          <w:bCs/>
        </w:rPr>
        <w:t xml:space="preserve"> puesto</w:t>
      </w:r>
      <w:r w:rsidR="00453612" w:rsidRPr="00970DC0">
        <w:rPr>
          <w:rStyle w:val="normaltextrun"/>
          <w:rFonts w:asciiTheme="minorHAnsi" w:hAnsiTheme="minorHAnsi" w:cstheme="minorHAnsi"/>
        </w:rPr>
        <w:t> </w:t>
      </w:r>
      <w:r w:rsidR="00453612" w:rsidRPr="00970DC0">
        <w:rPr>
          <w:rStyle w:val="normaltextrun"/>
          <w:rFonts w:asciiTheme="minorHAnsi" w:hAnsiTheme="minorHAnsi" w:cstheme="minorHAnsi"/>
          <w:b/>
          <w:bCs/>
        </w:rPr>
        <w:t>P2</w:t>
      </w:r>
      <w:r w:rsidR="00453612" w:rsidRPr="00970DC0">
        <w:rPr>
          <w:rStyle w:val="normaltextrun"/>
          <w:rFonts w:asciiTheme="minorHAnsi" w:hAnsiTheme="minorHAnsi" w:cstheme="minorHAnsi"/>
        </w:rPr>
        <w:t> </w:t>
      </w:r>
      <w:r w:rsidR="00DE145F" w:rsidRPr="00970DC0">
        <w:rPr>
          <w:rStyle w:val="normaltextrun"/>
          <w:rFonts w:asciiTheme="minorHAnsi" w:hAnsiTheme="minorHAnsi" w:cstheme="minorHAnsi"/>
        </w:rPr>
        <w:t>para el soporte de las herramientas y servicios mencionados, así como para su innovación, actualización y constante mejora a fin de ofrecer</w:t>
      </w:r>
      <w:r w:rsidR="0021726E" w:rsidRPr="00970DC0">
        <w:rPr>
          <w:rStyle w:val="normaltextrun"/>
          <w:rFonts w:asciiTheme="minorHAnsi" w:hAnsiTheme="minorHAnsi" w:cstheme="minorHAnsi"/>
        </w:rPr>
        <w:t xml:space="preserve"> el mejor servicio a los </w:t>
      </w:r>
      <w:r w:rsidR="00B21D6A" w:rsidRPr="00970DC0">
        <w:rPr>
          <w:rStyle w:val="normaltextrun"/>
          <w:rFonts w:asciiTheme="minorHAnsi" w:hAnsiTheme="minorHAnsi" w:cstheme="minorHAnsi"/>
        </w:rPr>
        <w:t xml:space="preserve">miembros </w:t>
      </w:r>
      <w:r w:rsidR="0021726E" w:rsidRPr="00970DC0">
        <w:rPr>
          <w:rStyle w:val="normaltextrun"/>
          <w:rFonts w:asciiTheme="minorHAnsi" w:hAnsiTheme="minorHAnsi" w:cstheme="minorHAnsi"/>
        </w:rPr>
        <w:t>y actividades del UIT-T</w:t>
      </w:r>
      <w:r w:rsidR="00453612" w:rsidRPr="00970DC0">
        <w:rPr>
          <w:rStyle w:val="normaltextrun"/>
          <w:rFonts w:asciiTheme="minorHAnsi" w:hAnsiTheme="minorHAnsi" w:cstheme="minorHAnsi"/>
        </w:rPr>
        <w:t>.</w:t>
      </w:r>
      <w:bookmarkEnd w:id="77"/>
    </w:p>
    <w:p w14:paraId="1129A21E" w14:textId="6BCE951C" w:rsidR="00453612" w:rsidRPr="00970DC0" w:rsidRDefault="00453612" w:rsidP="00080EEE">
      <w:pPr>
        <w:pStyle w:val="Heading1"/>
        <w:jc w:val="both"/>
        <w:rPr>
          <w:rFonts w:eastAsiaTheme="minorEastAsia"/>
          <w:lang w:eastAsia="zh-CN"/>
        </w:rPr>
      </w:pPr>
      <w:bookmarkStart w:id="78" w:name="_Toc37930306"/>
      <w:bookmarkStart w:id="79" w:name="_Toc39047649"/>
      <w:bookmarkEnd w:id="45"/>
      <w:bookmarkEnd w:id="46"/>
      <w:bookmarkEnd w:id="47"/>
      <w:bookmarkEnd w:id="48"/>
      <w:r w:rsidRPr="00970DC0">
        <w:rPr>
          <w:rFonts w:eastAsiaTheme="minorEastAsia"/>
          <w:lang w:eastAsia="zh-CN"/>
        </w:rPr>
        <w:t>3</w:t>
      </w:r>
      <w:r w:rsidRPr="00970DC0">
        <w:rPr>
          <w:rFonts w:eastAsiaTheme="minorEastAsia"/>
          <w:lang w:eastAsia="zh-CN"/>
        </w:rPr>
        <w:tab/>
      </w:r>
      <w:bookmarkStart w:id="80" w:name="lt_pId092"/>
      <w:proofErr w:type="gramStart"/>
      <w:r w:rsidR="0021726E" w:rsidRPr="00970DC0">
        <w:rPr>
          <w:rFonts w:eastAsiaTheme="minorEastAsia"/>
          <w:lang w:eastAsia="zh-CN"/>
        </w:rPr>
        <w:t>Solicitud</w:t>
      </w:r>
      <w:proofErr w:type="gramEnd"/>
      <w:r w:rsidR="0021726E" w:rsidRPr="00970DC0">
        <w:rPr>
          <w:rFonts w:eastAsiaTheme="minorEastAsia"/>
          <w:lang w:eastAsia="zh-CN"/>
        </w:rPr>
        <w:t xml:space="preserve"> de recursos adicionales para las actividades de las Comisiones de Estudio</w:t>
      </w:r>
      <w:bookmarkEnd w:id="78"/>
      <w:bookmarkEnd w:id="80"/>
      <w:bookmarkEnd w:id="79"/>
    </w:p>
    <w:p w14:paraId="053D02CA" w14:textId="30593398" w:rsidR="00453612" w:rsidRPr="00970DC0" w:rsidRDefault="00453612" w:rsidP="00080EEE">
      <w:pPr>
        <w:pStyle w:val="Heading2"/>
        <w:jc w:val="both"/>
      </w:pPr>
      <w:bookmarkStart w:id="81" w:name="_Toc37930307"/>
      <w:bookmarkStart w:id="82" w:name="_Toc39047650"/>
      <w:r w:rsidRPr="00970DC0">
        <w:rPr>
          <w:rFonts w:eastAsiaTheme="minorEastAsia"/>
          <w:lang w:eastAsia="zh-CN"/>
        </w:rPr>
        <w:t>3.1</w:t>
      </w:r>
      <w:r w:rsidRPr="00970DC0">
        <w:rPr>
          <w:rFonts w:eastAsiaTheme="minorEastAsia"/>
          <w:lang w:eastAsia="zh-CN"/>
        </w:rPr>
        <w:tab/>
      </w:r>
      <w:bookmarkStart w:id="83" w:name="lt_pId094"/>
      <w:r w:rsidRPr="00970DC0">
        <w:rPr>
          <w:rFonts w:eastAsiaTheme="minorEastAsia"/>
          <w:lang w:eastAsia="zh-CN"/>
        </w:rPr>
        <w:t>Ci</w:t>
      </w:r>
      <w:r w:rsidR="00AF6A1B" w:rsidRPr="00970DC0">
        <w:rPr>
          <w:rFonts w:eastAsiaTheme="minorEastAsia"/>
          <w:lang w:eastAsia="zh-CN"/>
        </w:rPr>
        <w:t xml:space="preserve">udades de todo el mundo están utilizando los IFR para ciudades inteligentes y </w:t>
      </w:r>
      <w:r w:rsidR="00970DC0" w:rsidRPr="00970DC0">
        <w:rPr>
          <w:rFonts w:eastAsiaTheme="minorEastAsia"/>
          <w:lang w:eastAsia="zh-CN"/>
        </w:rPr>
        <w:t>sostenibles</w:t>
      </w:r>
      <w:r w:rsidR="00AF6A1B" w:rsidRPr="00970DC0">
        <w:rPr>
          <w:rFonts w:eastAsiaTheme="minorEastAsia"/>
          <w:lang w:eastAsia="zh-CN"/>
        </w:rPr>
        <w:t xml:space="preserve"> de la UIT</w:t>
      </w:r>
      <w:bookmarkEnd w:id="81"/>
      <w:bookmarkEnd w:id="83"/>
      <w:bookmarkEnd w:id="82"/>
    </w:p>
    <w:p w14:paraId="10A0A11B" w14:textId="1CB69D23" w:rsidR="00453612" w:rsidRPr="00970DC0" w:rsidRDefault="00453612" w:rsidP="00080EEE">
      <w:pPr>
        <w:jc w:val="both"/>
      </w:pPr>
      <w:r w:rsidRPr="00970DC0">
        <w:rPr>
          <w:rFonts w:eastAsiaTheme="minorEastAsia"/>
        </w:rPr>
        <w:t>3.1.1</w:t>
      </w:r>
      <w:r w:rsidRPr="00970DC0">
        <w:rPr>
          <w:rFonts w:eastAsiaTheme="minorEastAsia"/>
        </w:rPr>
        <w:tab/>
      </w:r>
      <w:bookmarkStart w:id="84" w:name="lt_pId097"/>
      <w:r w:rsidR="00FB315D" w:rsidRPr="00970DC0">
        <w:t xml:space="preserve">Más de 100 ciudades de todo el mundo están midiendo su </w:t>
      </w:r>
      <w:r w:rsidR="00AF6A1B" w:rsidRPr="00970DC0">
        <w:t>conversión en ciudades y comunidades inteligentes y sostenibles</w:t>
      </w:r>
      <w:r w:rsidR="00FB315D" w:rsidRPr="00970DC0">
        <w:t xml:space="preserve"> con los </w:t>
      </w:r>
      <w:r w:rsidR="00970DC0" w:rsidRPr="00970DC0">
        <w:t>"</w:t>
      </w:r>
      <w:r w:rsidR="00FB315D" w:rsidRPr="00970DC0">
        <w:t>Indicadores fundamentales de rendimiento para ciudades inteligentes y sostenibles</w:t>
      </w:r>
      <w:r w:rsidR="00970DC0" w:rsidRPr="00970DC0">
        <w:t>"</w:t>
      </w:r>
      <w:r w:rsidR="00FB315D" w:rsidRPr="00970DC0">
        <w:t>, basados en normas de la UIT. En el marco de los estudios de caso de la UIT se han evaluado los progresos logrados en los proyectos de ciudad inteligente de Dubái</w:t>
      </w:r>
      <w:r w:rsidR="00AF6A1B" w:rsidRPr="00970DC0">
        <w:t xml:space="preserve"> (EAU)</w:t>
      </w:r>
      <w:r w:rsidR="00FB315D" w:rsidRPr="00970DC0">
        <w:t>, Singapur</w:t>
      </w:r>
      <w:r w:rsidR="00B21D6A">
        <w:t>,</w:t>
      </w:r>
      <w:r w:rsidR="00FB315D" w:rsidRPr="00970DC0">
        <w:t xml:space="preserve"> Moscú</w:t>
      </w:r>
      <w:r w:rsidR="00AF6A1B" w:rsidRPr="00970DC0">
        <w:t xml:space="preserve"> (Federación de Rusia), Ålesund (Noruega), Bizerte (Túnez), Riad (Arabia Saudita) y Pully (Suiza)</w:t>
      </w:r>
      <w:r w:rsidR="00FB315D" w:rsidRPr="00970DC0">
        <w:t>, evaluaciones que se llevaron a cabo usando los indicadores fundamentales de rendimiento.</w:t>
      </w:r>
      <w:bookmarkEnd w:id="84"/>
      <w:r w:rsidRPr="00970DC0">
        <w:rPr>
          <w:rFonts w:cs="Calibri"/>
          <w:b/>
          <w:color w:val="800000"/>
          <w:sz w:val="22"/>
        </w:rPr>
        <w:t xml:space="preserve"> </w:t>
      </w:r>
    </w:p>
    <w:p w14:paraId="7D51323E" w14:textId="23B975F1" w:rsidR="00453612" w:rsidRPr="00970DC0" w:rsidRDefault="00453612" w:rsidP="00080EEE">
      <w:pPr>
        <w:jc w:val="both"/>
      </w:pPr>
      <w:r w:rsidRPr="00970DC0">
        <w:t>3.1.2</w:t>
      </w:r>
      <w:r w:rsidRPr="00970DC0">
        <w:tab/>
      </w:r>
      <w:bookmarkStart w:id="85" w:name="lt_pId099"/>
      <w:r w:rsidR="00AF6A1B" w:rsidRPr="00970DC0">
        <w:t xml:space="preserve">La </w:t>
      </w:r>
      <w:bookmarkStart w:id="86" w:name="_Hlk39052972"/>
      <w:r w:rsidR="00222FB5" w:rsidRPr="00222FB5">
        <w:rPr>
          <w:rFonts w:asciiTheme="minorHAnsi" w:hAnsiTheme="minorHAnsi" w:cstheme="minorHAnsi"/>
          <w:szCs w:val="24"/>
        </w:rPr>
        <w:t>iniciativa "</w:t>
      </w:r>
      <w:hyperlink r:id="rId16" w:history="1">
        <w:r w:rsidR="00AF6A1B" w:rsidRPr="00222FB5">
          <w:rPr>
            <w:rStyle w:val="Hyperlink"/>
            <w:rFonts w:asciiTheme="minorHAnsi" w:hAnsiTheme="minorHAnsi" w:cstheme="minorHAnsi"/>
            <w:szCs w:val="24"/>
          </w:rPr>
          <w:t>U</w:t>
        </w:r>
        <w:r w:rsidR="00FB315D" w:rsidRPr="00222FB5">
          <w:rPr>
            <w:rStyle w:val="Hyperlink"/>
            <w:rFonts w:asciiTheme="minorHAnsi" w:hAnsiTheme="minorHAnsi" w:cstheme="minorHAnsi"/>
            <w:szCs w:val="24"/>
          </w:rPr>
          <w:t>nidos p</w:t>
        </w:r>
        <w:r w:rsidR="00222FB5" w:rsidRPr="00222FB5">
          <w:rPr>
            <w:rStyle w:val="Hyperlink"/>
            <w:rFonts w:asciiTheme="minorHAnsi" w:hAnsiTheme="minorHAnsi" w:cstheme="minorHAnsi"/>
            <w:szCs w:val="24"/>
          </w:rPr>
          <w:t>or</w:t>
        </w:r>
        <w:r w:rsidR="00FB315D" w:rsidRPr="00222FB5">
          <w:rPr>
            <w:rStyle w:val="Hyperlink"/>
            <w:rFonts w:asciiTheme="minorHAnsi" w:hAnsiTheme="minorHAnsi" w:cstheme="minorHAnsi"/>
            <w:szCs w:val="24"/>
          </w:rPr>
          <w:t xml:space="preserve"> las ciudades inteligentes y sostenibles (U4SSC)</w:t>
        </w:r>
      </w:hyperlink>
      <w:bookmarkEnd w:id="86"/>
      <w:r w:rsidR="00970DC0" w:rsidRPr="00970DC0">
        <w:t>"</w:t>
      </w:r>
      <w:r w:rsidR="00AF6A1B" w:rsidRPr="00970DC0">
        <w:t xml:space="preserve"> también fomenta la utilización de los indicadores fundamentales de rendimiento de la UIT</w:t>
      </w:r>
      <w:bookmarkEnd w:id="85"/>
      <w:r w:rsidR="00AF6A1B" w:rsidRPr="00970DC0">
        <w:t xml:space="preserve">. La </w:t>
      </w:r>
      <w:r w:rsidR="00222FB5" w:rsidRPr="00970DC0">
        <w:t>iniciativa</w:t>
      </w:r>
      <w:bookmarkStart w:id="87" w:name="lt_pId100"/>
      <w:r w:rsidR="00222FB5" w:rsidRPr="00970DC0">
        <w:t xml:space="preserve"> </w:t>
      </w:r>
      <w:r w:rsidRPr="00970DC0">
        <w:t>U4SSC</w:t>
      </w:r>
      <w:r w:rsidR="00AF6A1B" w:rsidRPr="00970DC0">
        <w:t xml:space="preserve"> cuenta con el apoyo de</w:t>
      </w:r>
      <w:r w:rsidRPr="00970DC0">
        <w:t xml:space="preserve"> 16 </w:t>
      </w:r>
      <w:r w:rsidR="00AF6A1B" w:rsidRPr="00970DC0">
        <w:t xml:space="preserve">organismos de las Naciones Unidas y promueve políticas públicas destinadas a </w:t>
      </w:r>
      <w:r w:rsidR="00970DC0" w:rsidRPr="00970DC0">
        <w:t>garantizar</w:t>
      </w:r>
      <w:r w:rsidR="00AF6A1B" w:rsidRPr="00970DC0">
        <w:t xml:space="preserve"> que las TIC, y concretamente las normas en materia de TIC, desempeñan un papel decisivo en la transición a ciudades inteligentes.</w:t>
      </w:r>
      <w:r w:rsidR="00970DC0" w:rsidRPr="00970DC0">
        <w:t xml:space="preserve"> </w:t>
      </w:r>
      <w:r w:rsidR="00BC53FC" w:rsidRPr="00970DC0">
        <w:t>En el marco de la 9ª Semana de las Normas Verdes de la UIT se presentaron las fichas descriptivas de varias ciudades, preparadas bajo los auspicios de</w:t>
      </w:r>
      <w:bookmarkStart w:id="88" w:name="lt_pId101"/>
      <w:bookmarkEnd w:id="87"/>
      <w:r w:rsidRPr="00970DC0">
        <w:t xml:space="preserve"> U4SSC</w:t>
      </w:r>
      <w:r w:rsidR="00BC53FC" w:rsidRPr="00970DC0">
        <w:t xml:space="preserve">. En esas fichas se expone la relación entre las iniciativas de ciudades inteligentes y los </w:t>
      </w:r>
      <w:r w:rsidR="00BC53FC" w:rsidRPr="00970DC0">
        <w:lastRenderedPageBreak/>
        <w:t>Objetivos de Desarrollo Sostenible con información sobre la experiencia de esas ciudades en este sentido</w:t>
      </w:r>
      <w:bookmarkEnd w:id="88"/>
      <w:r w:rsidR="00BC53FC" w:rsidRPr="00970DC0">
        <w:t>.</w:t>
      </w:r>
    </w:p>
    <w:p w14:paraId="62BA59D7" w14:textId="58612F79" w:rsidR="00453612" w:rsidRPr="00970DC0" w:rsidRDefault="00453612" w:rsidP="00080EEE">
      <w:pPr>
        <w:jc w:val="both"/>
        <w:rPr>
          <w:rFonts w:eastAsiaTheme="minorEastAsia"/>
          <w:lang w:eastAsia="zh-CN"/>
        </w:rPr>
      </w:pPr>
      <w:r w:rsidRPr="00970DC0">
        <w:rPr>
          <w:rFonts w:eastAsiaTheme="minorEastAsia"/>
          <w:lang w:eastAsia="zh-CN"/>
        </w:rPr>
        <w:t>3.1.</w:t>
      </w:r>
      <w:r w:rsidR="0017737E" w:rsidRPr="00970DC0">
        <w:rPr>
          <w:rFonts w:eastAsiaTheme="minorEastAsia"/>
          <w:lang w:eastAsia="zh-CN"/>
        </w:rPr>
        <w:t>3</w:t>
      </w:r>
      <w:r w:rsidRPr="00970DC0">
        <w:rPr>
          <w:rFonts w:eastAsiaTheme="minorEastAsia"/>
          <w:lang w:eastAsia="zh-CN"/>
        </w:rPr>
        <w:tab/>
      </w:r>
      <w:bookmarkStart w:id="89" w:name="lt_pId104"/>
      <w:r w:rsidR="00BC53FC" w:rsidRPr="00970DC0">
        <w:rPr>
          <w:rFonts w:eastAsiaTheme="minorEastAsia"/>
          <w:lang w:eastAsia="zh-CN"/>
        </w:rPr>
        <w:t>En la Resolución 98 de la AMNT,</w:t>
      </w:r>
      <w:r w:rsidRPr="00970DC0">
        <w:rPr>
          <w:rFonts w:eastAsiaTheme="minorEastAsia"/>
          <w:lang w:eastAsia="zh-CN"/>
        </w:rPr>
        <w:t xml:space="preserve"> </w:t>
      </w:r>
      <w:r w:rsidR="00970DC0" w:rsidRPr="00970DC0">
        <w:rPr>
          <w:rFonts w:eastAsiaTheme="minorEastAsia"/>
          <w:lang w:eastAsia="zh-CN"/>
        </w:rPr>
        <w:t>"</w:t>
      </w:r>
      <w:r w:rsidR="00FB315D" w:rsidRPr="00970DC0">
        <w:rPr>
          <w:rFonts w:eastAsiaTheme="minorEastAsia"/>
          <w:lang w:eastAsia="zh-CN"/>
        </w:rPr>
        <w:t>Refuerzo de la normalización sobre Internet de las cosas y las ciudades y comunidades inteligentes para el desarrollo mundial</w:t>
      </w:r>
      <w:r w:rsidR="00970DC0" w:rsidRPr="00970DC0">
        <w:rPr>
          <w:rFonts w:eastAsiaTheme="minorEastAsia"/>
        </w:rPr>
        <w:t>"</w:t>
      </w:r>
      <w:r w:rsidR="00BC53FC" w:rsidRPr="00970DC0">
        <w:rPr>
          <w:rFonts w:eastAsiaTheme="minorEastAsia"/>
        </w:rPr>
        <w:t>,</w:t>
      </w:r>
      <w:r w:rsidR="00970DC0" w:rsidRPr="00970DC0">
        <w:rPr>
          <w:rFonts w:eastAsiaTheme="minorEastAsia"/>
        </w:rPr>
        <w:t xml:space="preserve"> </w:t>
      </w:r>
      <w:r w:rsidR="00BC53FC" w:rsidRPr="00970DC0">
        <w:rPr>
          <w:rFonts w:eastAsiaTheme="minorEastAsia"/>
          <w:lang w:eastAsia="zh-CN"/>
        </w:rPr>
        <w:t xml:space="preserve">se encarga al </w:t>
      </w:r>
      <w:proofErr w:type="gramStart"/>
      <w:r w:rsidR="00BC53FC" w:rsidRPr="00970DC0">
        <w:rPr>
          <w:rFonts w:eastAsiaTheme="minorEastAsia"/>
          <w:lang w:eastAsia="zh-CN"/>
        </w:rPr>
        <w:t>Director</w:t>
      </w:r>
      <w:proofErr w:type="gramEnd"/>
      <w:r w:rsidR="00BC53FC" w:rsidRPr="00970DC0">
        <w:rPr>
          <w:rFonts w:eastAsiaTheme="minorEastAsia"/>
          <w:lang w:eastAsia="zh-CN"/>
        </w:rPr>
        <w:t xml:space="preserve"> de la TSB</w:t>
      </w:r>
      <w:r w:rsidRPr="00970DC0">
        <w:rPr>
          <w:rFonts w:eastAsiaTheme="minorEastAsia"/>
          <w:lang w:eastAsia="zh-CN"/>
        </w:rPr>
        <w:t xml:space="preserve"> </w:t>
      </w:r>
      <w:r w:rsidR="00970DC0" w:rsidRPr="00970DC0">
        <w:rPr>
          <w:rFonts w:eastAsiaTheme="minorEastAsia"/>
          <w:lang w:eastAsia="zh-CN"/>
        </w:rPr>
        <w:t>"</w:t>
      </w:r>
      <w:r w:rsidR="00987695" w:rsidRPr="00970DC0">
        <w:t xml:space="preserve">que siga prestando apoyo a la iniciativa </w:t>
      </w:r>
      <w:r w:rsidR="00970DC0" w:rsidRPr="00970DC0">
        <w:t>"</w:t>
      </w:r>
      <w:r w:rsidR="00987695" w:rsidRPr="00970DC0">
        <w:t>Unidos por las ciudades inteligentes y sostenibles (U4SSC)</w:t>
      </w:r>
      <w:r w:rsidR="00970DC0" w:rsidRPr="00970DC0">
        <w:t>"</w:t>
      </w:r>
      <w:r w:rsidR="00987695" w:rsidRPr="00970DC0">
        <w:t>, puesta en marcha por la UIT y la Comisión Económica para Europa de las Naciones Unidas en mayo de 2016</w:t>
      </w:r>
      <w:r w:rsidR="00970DC0" w:rsidRPr="00080EEE">
        <w:rPr>
          <w:rFonts w:cs="Calibri"/>
          <w:b/>
          <w:sz w:val="22"/>
        </w:rPr>
        <w:t xml:space="preserve"> </w:t>
      </w:r>
      <w:r w:rsidRPr="00080EEE">
        <w:t>[…]</w:t>
      </w:r>
      <w:r w:rsidR="00970DC0" w:rsidRPr="00080EEE">
        <w:rPr>
          <w:rFonts w:eastAsiaTheme="minorEastAsia"/>
          <w:lang w:eastAsia="zh-CN"/>
        </w:rPr>
        <w:t>"</w:t>
      </w:r>
      <w:r w:rsidRPr="00080EEE">
        <w:rPr>
          <w:rFonts w:eastAsiaTheme="minorEastAsia"/>
          <w:lang w:eastAsia="zh-CN"/>
        </w:rPr>
        <w:t>.</w:t>
      </w:r>
      <w:bookmarkEnd w:id="89"/>
      <w:r w:rsidRPr="00080EEE">
        <w:rPr>
          <w:rFonts w:eastAsiaTheme="minorEastAsia"/>
          <w:lang w:eastAsia="zh-CN"/>
        </w:rPr>
        <w:t xml:space="preserve"> </w:t>
      </w:r>
    </w:p>
    <w:p w14:paraId="221575DB" w14:textId="6EB319B2" w:rsidR="00453612" w:rsidRPr="00970DC0" w:rsidRDefault="00453612" w:rsidP="00080EEE">
      <w:pPr>
        <w:jc w:val="both"/>
      </w:pPr>
      <w:r w:rsidRPr="00970DC0">
        <w:t>3.1.4</w:t>
      </w:r>
      <w:r w:rsidRPr="00970DC0">
        <w:tab/>
      </w:r>
      <w:bookmarkStart w:id="90" w:name="lt_pId106"/>
      <w:r w:rsidR="00BC53FC" w:rsidRPr="00970DC0">
        <w:t>Se necesitan recursos adicionales para gestionar el creciente número de solicitudes de ciudades para aplicar las normas IFR del UIT-T en el marco de la</w:t>
      </w:r>
      <w:r w:rsidRPr="00970DC0">
        <w:t xml:space="preserve"> U4SSC, </w:t>
      </w:r>
      <w:r w:rsidR="00BC53FC" w:rsidRPr="00970DC0">
        <w:t xml:space="preserve">para cumplir eficazmente las funciones de secretaría de la </w:t>
      </w:r>
      <w:r w:rsidR="00222FB5" w:rsidRPr="00970DC0">
        <w:t xml:space="preserve">iniciativa </w:t>
      </w:r>
      <w:r w:rsidRPr="00970DC0">
        <w:t xml:space="preserve">U4SSC </w:t>
      </w:r>
      <w:r w:rsidR="00BC53FC" w:rsidRPr="00970DC0">
        <w:t>y transmitir las lecciones extraídas y los nuevos requisitos a las Comisiones de Estudio del UIT-T pertinentes</w:t>
      </w:r>
      <w:r w:rsidRPr="00970DC0">
        <w:t>.</w:t>
      </w:r>
      <w:bookmarkEnd w:id="90"/>
      <w:r w:rsidRPr="00970DC0">
        <w:t xml:space="preserve"> </w:t>
      </w:r>
    </w:p>
    <w:p w14:paraId="2C5729DA" w14:textId="67621893" w:rsidR="00453612" w:rsidRPr="00970DC0" w:rsidRDefault="00453612" w:rsidP="00080EEE">
      <w:pPr>
        <w:jc w:val="both"/>
        <w:rPr>
          <w:bCs/>
        </w:rPr>
      </w:pPr>
      <w:r w:rsidRPr="00970DC0">
        <w:t>3.1.5</w:t>
      </w:r>
      <w:r w:rsidRPr="00970DC0">
        <w:tab/>
      </w:r>
      <w:bookmarkStart w:id="91" w:name="lt_pId108"/>
      <w:r w:rsidR="00BC53FC" w:rsidRPr="00970DC0">
        <w:t xml:space="preserve">Solicitamos poder dotar un </w:t>
      </w:r>
      <w:r w:rsidR="00BC53FC" w:rsidRPr="00970DC0">
        <w:rPr>
          <w:b/>
          <w:bCs/>
        </w:rPr>
        <w:t>puesto</w:t>
      </w:r>
      <w:r w:rsidRPr="00970DC0">
        <w:t xml:space="preserve"> </w:t>
      </w:r>
      <w:r w:rsidRPr="00970DC0">
        <w:rPr>
          <w:b/>
          <w:bCs/>
        </w:rPr>
        <w:t xml:space="preserve">P2 </w:t>
      </w:r>
      <w:r w:rsidR="00BC53FC" w:rsidRPr="00970DC0">
        <w:t xml:space="preserve">adicional </w:t>
      </w:r>
      <w:r w:rsidR="00B20B72" w:rsidRPr="00970DC0">
        <w:t xml:space="preserve">para las actividades relacionadas con los IFR para ciudades inteligentes y sostenibles de la UIT y la </w:t>
      </w:r>
      <w:r w:rsidR="00222FB5" w:rsidRPr="00970DC0">
        <w:t>iniciativa</w:t>
      </w:r>
      <w:r w:rsidR="00222FB5" w:rsidRPr="00970DC0">
        <w:rPr>
          <w:rFonts w:eastAsiaTheme="minorEastAsia"/>
          <w:lang w:eastAsia="zh-CN"/>
        </w:rPr>
        <w:t xml:space="preserve"> </w:t>
      </w:r>
      <w:r w:rsidRPr="00970DC0">
        <w:t>U4SSC.</w:t>
      </w:r>
      <w:bookmarkEnd w:id="91"/>
    </w:p>
    <w:p w14:paraId="26ED5B20" w14:textId="6D65167E" w:rsidR="00453612" w:rsidRPr="00970DC0" w:rsidRDefault="00453612" w:rsidP="00080EEE">
      <w:pPr>
        <w:pStyle w:val="Heading2"/>
        <w:jc w:val="both"/>
        <w:rPr>
          <w:rFonts w:eastAsiaTheme="minorEastAsia"/>
          <w:lang w:eastAsia="zh-CN"/>
        </w:rPr>
      </w:pPr>
      <w:bookmarkStart w:id="92" w:name="_Toc37930308"/>
      <w:bookmarkStart w:id="93" w:name="_Toc39047651"/>
      <w:r w:rsidRPr="00970DC0">
        <w:rPr>
          <w:rFonts w:eastAsiaTheme="minorEastAsia"/>
          <w:lang w:eastAsia="zh-CN"/>
        </w:rPr>
        <w:t>3.2</w:t>
      </w:r>
      <w:r w:rsidRPr="00970DC0">
        <w:rPr>
          <w:rFonts w:eastAsiaTheme="minorEastAsia"/>
          <w:lang w:eastAsia="zh-CN"/>
        </w:rPr>
        <w:tab/>
      </w:r>
      <w:bookmarkStart w:id="94" w:name="lt_pId110"/>
      <w:r w:rsidR="00B20B72" w:rsidRPr="00970DC0">
        <w:rPr>
          <w:rFonts w:eastAsiaTheme="minorEastAsia"/>
          <w:lang w:eastAsia="zh-CN"/>
        </w:rPr>
        <w:t>Recursos de numeración internacional</w:t>
      </w:r>
      <w:r w:rsidRPr="00970DC0">
        <w:rPr>
          <w:rFonts w:eastAsiaTheme="minorEastAsia"/>
          <w:lang w:eastAsia="zh-CN"/>
        </w:rPr>
        <w:t xml:space="preserve"> (INR), </w:t>
      </w:r>
      <w:r w:rsidR="00B20B72" w:rsidRPr="00970DC0">
        <w:rPr>
          <w:rFonts w:eastAsiaTheme="minorEastAsia"/>
          <w:lang w:eastAsia="zh-CN"/>
        </w:rPr>
        <w:t>la columna dorsal de las redes de comunicaciones</w:t>
      </w:r>
      <w:bookmarkEnd w:id="92"/>
      <w:bookmarkEnd w:id="94"/>
      <w:bookmarkEnd w:id="93"/>
    </w:p>
    <w:p w14:paraId="7ACDA6AD" w14:textId="7290097B" w:rsidR="00453612" w:rsidRPr="00970DC0" w:rsidRDefault="00453612" w:rsidP="00080EEE">
      <w:pPr>
        <w:jc w:val="both"/>
      </w:pPr>
      <w:r w:rsidRPr="00970DC0">
        <w:t>3.2.1</w:t>
      </w:r>
      <w:r w:rsidRPr="00970DC0">
        <w:tab/>
      </w:r>
      <w:bookmarkStart w:id="95" w:name="lt_pId112"/>
      <w:r w:rsidR="00B20B72" w:rsidRPr="00970DC0">
        <w:t>La UIT asigna directa o indirectamente una veintena</w:t>
      </w:r>
      <w:r w:rsidR="00222FB5">
        <w:t xml:space="preserve"> de</w:t>
      </w:r>
      <w:r w:rsidR="00B20B72" w:rsidRPr="00970DC0">
        <w:t xml:space="preserve"> recursos de numeración internacional distintos. En la Recomendación UIT</w:t>
      </w:r>
      <w:bookmarkStart w:id="96" w:name="lt_pId113"/>
      <w:bookmarkEnd w:id="95"/>
      <w:r w:rsidRPr="00970DC0">
        <w:t xml:space="preserve">-T E.195 </w:t>
      </w:r>
      <w:r w:rsidR="00B20B72" w:rsidRPr="00970DC0">
        <w:t>se propone la creación en la TSB de un Grupo de Administración de Numeración de la UIT (GAN</w:t>
      </w:r>
      <w:r w:rsidR="007A7B3A">
        <w:t>-</w:t>
      </w:r>
      <w:r w:rsidR="00B20B72" w:rsidRPr="00970DC0">
        <w:t>UIT) donde se centralicen esas funciones/responsabilidades</w:t>
      </w:r>
      <w:r w:rsidRPr="00970DC0">
        <w:t>.</w:t>
      </w:r>
      <w:bookmarkEnd w:id="96"/>
      <w:r w:rsidRPr="00970DC0">
        <w:t xml:space="preserve"> </w:t>
      </w:r>
      <w:r w:rsidR="00987695" w:rsidRPr="00970DC0">
        <w:t>Contiene procedimientos recomendados con los que asegurar que todas las peticiones de recursos se tramitan de manera imparcial, uniforme, coherente y eficaz.</w:t>
      </w:r>
      <w:r w:rsidRPr="00970DC0">
        <w:t xml:space="preserve"> </w:t>
      </w:r>
    </w:p>
    <w:p w14:paraId="3E8022B3" w14:textId="0B191FDE" w:rsidR="00453612" w:rsidRPr="00970DC0" w:rsidRDefault="00453612" w:rsidP="00080EEE">
      <w:pPr>
        <w:jc w:val="both"/>
      </w:pPr>
      <w:r w:rsidRPr="00970DC0">
        <w:t>3.2.2</w:t>
      </w:r>
      <w:r w:rsidRPr="00970DC0">
        <w:tab/>
      </w:r>
      <w:bookmarkStart w:id="97" w:name="lt_pId116"/>
      <w:r w:rsidR="00C156CC" w:rsidRPr="00970DC0">
        <w:t>Las notificaciones de actualización y asignación de los planes nacionales de numeración/identificación, así como las reclamaciones de rec</w:t>
      </w:r>
      <w:r w:rsidR="007A7B3A">
        <w:t>ursos nacionales de numeración/</w:t>
      </w:r>
      <w:r w:rsidR="00C156CC" w:rsidRPr="00970DC0">
        <w:t>identificación recibidas se publican en el</w:t>
      </w:r>
      <w:r w:rsidRPr="00970DC0">
        <w:t xml:space="preserve"> </w:t>
      </w:r>
      <w:hyperlink r:id="rId17" w:history="1">
        <w:r w:rsidR="00C156CC" w:rsidRPr="00970DC0">
          <w:rPr>
            <w:color w:val="0000FF"/>
            <w:u w:val="single" w:color="0000FF"/>
          </w:rPr>
          <w:t>Boletín de Explotación de la UIT</w:t>
        </w:r>
      </w:hyperlink>
      <w:r w:rsidRPr="00970DC0">
        <w:t>.</w:t>
      </w:r>
      <w:bookmarkEnd w:id="97"/>
      <w:r w:rsidRPr="00970DC0">
        <w:t xml:space="preserve"> </w:t>
      </w:r>
      <w:bookmarkStart w:id="98" w:name="lt_pId117"/>
      <w:r w:rsidR="00C156CC" w:rsidRPr="00970DC0">
        <w:t>El Boletín de Explotación se publica en los seis idiomas oficiales de la Unión con una periodicidad bimensual. Se mantienen unos 20 anexos en relación con los números e indicativos atribuidos de conformidad con las siguientes Recomendaciones</w:t>
      </w:r>
      <w:bookmarkStart w:id="99" w:name="lt_pId118"/>
      <w:bookmarkEnd w:id="98"/>
      <w:r w:rsidRPr="00970DC0">
        <w:t>:</w:t>
      </w:r>
      <w:bookmarkEnd w:id="99"/>
    </w:p>
    <w:p w14:paraId="54BFFD93" w14:textId="4ABC2ADD" w:rsidR="00453612" w:rsidRPr="00970DC0" w:rsidRDefault="0017737E" w:rsidP="00080EEE">
      <w:pPr>
        <w:pStyle w:val="enumlev1"/>
        <w:jc w:val="both"/>
        <w:rPr>
          <w:rFonts w:eastAsiaTheme="minorEastAsia"/>
        </w:rPr>
      </w:pPr>
      <w:bookmarkStart w:id="100" w:name="lt_pId119"/>
      <w:r w:rsidRPr="00970DC0">
        <w:rPr>
          <w:rFonts w:eastAsiaTheme="minorEastAsia"/>
        </w:rPr>
        <w:t>–</w:t>
      </w:r>
      <w:r w:rsidRPr="00970DC0">
        <w:rPr>
          <w:rFonts w:eastAsiaTheme="minorEastAsia"/>
        </w:rPr>
        <w:tab/>
      </w:r>
      <w:r w:rsidR="00C156CC" w:rsidRPr="00970DC0">
        <w:rPr>
          <w:rFonts w:eastAsiaTheme="minorEastAsia"/>
        </w:rPr>
        <w:t>UIT</w:t>
      </w:r>
      <w:r w:rsidR="00453612" w:rsidRPr="00970DC0">
        <w:rPr>
          <w:rFonts w:eastAsiaTheme="minorEastAsia"/>
        </w:rPr>
        <w:t xml:space="preserve">-T E.164 </w:t>
      </w:r>
      <w:r w:rsidR="00970DC0" w:rsidRPr="00970DC0">
        <w:rPr>
          <w:rFonts w:eastAsiaTheme="minorEastAsia"/>
        </w:rPr>
        <w:t>"</w:t>
      </w:r>
      <w:r w:rsidR="00C156CC" w:rsidRPr="00970DC0">
        <w:rPr>
          <w:rFonts w:eastAsiaTheme="minorEastAsia"/>
        </w:rPr>
        <w:t>Plan internacional de numeración de telecomunicaciones públicas</w:t>
      </w:r>
      <w:r w:rsidR="00970DC0" w:rsidRPr="00970DC0">
        <w:rPr>
          <w:rFonts w:eastAsiaTheme="minorEastAsia"/>
        </w:rPr>
        <w:t>"</w:t>
      </w:r>
      <w:bookmarkEnd w:id="100"/>
      <w:r w:rsidR="007A7B3A">
        <w:rPr>
          <w:rFonts w:eastAsiaTheme="minorEastAsia"/>
        </w:rPr>
        <w:t>;</w:t>
      </w:r>
    </w:p>
    <w:p w14:paraId="646FD45B" w14:textId="0A0A12C8" w:rsidR="00453612" w:rsidRPr="00970DC0" w:rsidRDefault="0017737E" w:rsidP="00080EEE">
      <w:pPr>
        <w:pStyle w:val="enumlev1"/>
        <w:jc w:val="both"/>
        <w:rPr>
          <w:rFonts w:asciiTheme="minorHAnsi" w:eastAsiaTheme="minorEastAsia" w:hAnsiTheme="minorHAnsi" w:cstheme="minorHAnsi"/>
          <w:szCs w:val="24"/>
        </w:rPr>
      </w:pPr>
      <w:bookmarkStart w:id="101" w:name="lt_pId120"/>
      <w:r w:rsidRPr="00970DC0">
        <w:rPr>
          <w:rFonts w:eastAsiaTheme="minorEastAsia"/>
        </w:rPr>
        <w:t>–</w:t>
      </w:r>
      <w:r w:rsidRPr="00970DC0">
        <w:rPr>
          <w:rFonts w:eastAsiaTheme="minorEastAsia"/>
        </w:rPr>
        <w:tab/>
      </w:r>
      <w:r w:rsidR="00C156CC" w:rsidRPr="00970DC0">
        <w:rPr>
          <w:rFonts w:asciiTheme="minorHAnsi" w:eastAsiaTheme="minorEastAsia" w:hAnsiTheme="minorHAnsi" w:cstheme="minorHAnsi"/>
          <w:szCs w:val="24"/>
        </w:rPr>
        <w:t>UIT</w:t>
      </w:r>
      <w:r w:rsidR="00453612" w:rsidRPr="00970DC0">
        <w:rPr>
          <w:rFonts w:asciiTheme="minorHAnsi" w:eastAsiaTheme="minorEastAsia" w:hAnsiTheme="minorHAnsi" w:cstheme="minorHAnsi"/>
          <w:szCs w:val="24"/>
        </w:rPr>
        <w:t xml:space="preserve">-T E.118 </w:t>
      </w:r>
      <w:r w:rsidR="00970DC0" w:rsidRPr="00970DC0">
        <w:rPr>
          <w:rFonts w:asciiTheme="minorHAnsi" w:eastAsiaTheme="minorEastAsia" w:hAnsiTheme="minorHAnsi" w:cstheme="minorHAnsi"/>
          <w:szCs w:val="24"/>
        </w:rPr>
        <w:t>"</w:t>
      </w:r>
      <w:r w:rsidR="00C156CC" w:rsidRPr="00970DC0">
        <w:rPr>
          <w:rFonts w:asciiTheme="minorHAnsi" w:eastAsiaTheme="minorEastAsia" w:hAnsiTheme="minorHAnsi" w:cstheme="minorHAnsi"/>
          <w:szCs w:val="24"/>
        </w:rPr>
        <w:t>Tarjeta con cargo a cuenta para telecomunicaciones internacionales</w:t>
      </w:r>
      <w:r w:rsidR="00970DC0" w:rsidRPr="00970DC0">
        <w:rPr>
          <w:rFonts w:asciiTheme="minorHAnsi" w:eastAsiaTheme="minorEastAsia" w:hAnsiTheme="minorHAnsi" w:cstheme="minorHAnsi"/>
          <w:szCs w:val="24"/>
        </w:rPr>
        <w:t>"</w:t>
      </w:r>
      <w:bookmarkEnd w:id="101"/>
      <w:r w:rsidR="007A7B3A">
        <w:rPr>
          <w:rFonts w:asciiTheme="minorHAnsi" w:eastAsiaTheme="minorEastAsia" w:hAnsiTheme="minorHAnsi" w:cstheme="minorHAnsi"/>
          <w:szCs w:val="24"/>
        </w:rPr>
        <w:t>;</w:t>
      </w:r>
    </w:p>
    <w:p w14:paraId="31328CBD" w14:textId="745E8527" w:rsidR="00453612" w:rsidRPr="00970DC0" w:rsidRDefault="0017737E" w:rsidP="00080EEE">
      <w:pPr>
        <w:pStyle w:val="enumlev1"/>
        <w:jc w:val="both"/>
        <w:rPr>
          <w:rFonts w:asciiTheme="minorHAnsi" w:eastAsiaTheme="minorEastAsia" w:hAnsiTheme="minorHAnsi" w:cstheme="minorHAnsi"/>
          <w:szCs w:val="24"/>
        </w:rPr>
      </w:pPr>
      <w:bookmarkStart w:id="102" w:name="lt_pId121"/>
      <w:r w:rsidRPr="00970DC0">
        <w:rPr>
          <w:rFonts w:eastAsiaTheme="minorEastAsia"/>
        </w:rPr>
        <w:t>–</w:t>
      </w:r>
      <w:r w:rsidRPr="00970DC0">
        <w:rPr>
          <w:rFonts w:eastAsiaTheme="minorEastAsia"/>
        </w:rPr>
        <w:tab/>
      </w:r>
      <w:r w:rsidR="00C156CC" w:rsidRPr="00970DC0">
        <w:rPr>
          <w:rFonts w:asciiTheme="minorHAnsi" w:eastAsiaTheme="minorEastAsia" w:hAnsiTheme="minorHAnsi" w:cstheme="minorHAnsi"/>
          <w:szCs w:val="24"/>
        </w:rPr>
        <w:t>UIT</w:t>
      </w:r>
      <w:r w:rsidR="00453612" w:rsidRPr="00970DC0">
        <w:rPr>
          <w:rFonts w:asciiTheme="minorHAnsi" w:eastAsiaTheme="minorEastAsia" w:hAnsiTheme="minorHAnsi" w:cstheme="minorHAnsi"/>
          <w:szCs w:val="24"/>
        </w:rPr>
        <w:t xml:space="preserve">-T E.212 </w:t>
      </w:r>
      <w:r w:rsidR="00970DC0" w:rsidRPr="00970DC0">
        <w:rPr>
          <w:rFonts w:asciiTheme="minorHAnsi" w:eastAsiaTheme="minorEastAsia" w:hAnsiTheme="minorHAnsi" w:cstheme="minorHAnsi"/>
          <w:szCs w:val="24"/>
        </w:rPr>
        <w:t>"</w:t>
      </w:r>
      <w:r w:rsidR="00C156CC" w:rsidRPr="00970DC0">
        <w:rPr>
          <w:rFonts w:asciiTheme="minorHAnsi" w:eastAsiaTheme="minorEastAsia" w:hAnsiTheme="minorHAnsi" w:cstheme="minorHAnsi"/>
          <w:szCs w:val="24"/>
        </w:rPr>
        <w:t>Plan de identificación internacional para redes públicas y suscripciones</w:t>
      </w:r>
      <w:r w:rsidR="00970DC0" w:rsidRPr="00970DC0">
        <w:rPr>
          <w:rFonts w:asciiTheme="minorHAnsi" w:eastAsiaTheme="minorEastAsia" w:hAnsiTheme="minorHAnsi" w:cstheme="minorHAnsi"/>
          <w:szCs w:val="24"/>
        </w:rPr>
        <w:t>"</w:t>
      </w:r>
      <w:bookmarkEnd w:id="102"/>
      <w:r w:rsidR="007A7B3A">
        <w:rPr>
          <w:rFonts w:asciiTheme="minorHAnsi" w:eastAsiaTheme="minorEastAsia" w:hAnsiTheme="minorHAnsi" w:cstheme="minorHAnsi"/>
          <w:szCs w:val="24"/>
        </w:rPr>
        <w:t>;</w:t>
      </w:r>
    </w:p>
    <w:p w14:paraId="7B4DF4CA" w14:textId="66BD804A" w:rsidR="00453612" w:rsidRPr="00970DC0" w:rsidRDefault="0017737E" w:rsidP="00080EEE">
      <w:pPr>
        <w:pStyle w:val="enumlev1"/>
        <w:jc w:val="both"/>
        <w:rPr>
          <w:rFonts w:asciiTheme="minorHAnsi" w:eastAsiaTheme="minorEastAsia" w:hAnsiTheme="minorHAnsi" w:cstheme="minorHAnsi"/>
          <w:szCs w:val="24"/>
        </w:rPr>
      </w:pPr>
      <w:bookmarkStart w:id="103" w:name="lt_pId122"/>
      <w:r w:rsidRPr="00970DC0">
        <w:rPr>
          <w:rFonts w:eastAsiaTheme="minorEastAsia"/>
        </w:rPr>
        <w:t>–</w:t>
      </w:r>
      <w:r w:rsidRPr="00970DC0">
        <w:rPr>
          <w:rFonts w:eastAsiaTheme="minorEastAsia"/>
        </w:rPr>
        <w:tab/>
      </w:r>
      <w:r w:rsidR="00C156CC" w:rsidRPr="00970DC0">
        <w:rPr>
          <w:rFonts w:asciiTheme="minorHAnsi" w:eastAsiaTheme="minorEastAsia" w:hAnsiTheme="minorHAnsi" w:cstheme="minorHAnsi"/>
          <w:szCs w:val="24"/>
        </w:rPr>
        <w:t>UIT</w:t>
      </w:r>
      <w:r w:rsidR="00453612" w:rsidRPr="00970DC0">
        <w:rPr>
          <w:rFonts w:asciiTheme="minorHAnsi" w:eastAsiaTheme="minorEastAsia" w:hAnsiTheme="minorHAnsi" w:cstheme="minorHAnsi"/>
          <w:szCs w:val="24"/>
        </w:rPr>
        <w:t xml:space="preserve">-T E.218 </w:t>
      </w:r>
      <w:r w:rsidR="00970DC0" w:rsidRPr="00970DC0">
        <w:rPr>
          <w:rFonts w:asciiTheme="minorHAnsi" w:eastAsiaTheme="minorEastAsia" w:hAnsiTheme="minorHAnsi" w:cstheme="minorHAnsi"/>
          <w:szCs w:val="24"/>
        </w:rPr>
        <w:t>"</w:t>
      </w:r>
      <w:r w:rsidR="00C156CC" w:rsidRPr="00970DC0">
        <w:rPr>
          <w:rFonts w:asciiTheme="minorHAnsi" w:eastAsiaTheme="minorEastAsia" w:hAnsiTheme="minorHAnsi" w:cstheme="minorHAnsi"/>
          <w:szCs w:val="24"/>
        </w:rPr>
        <w:t>Gestión de la atribución de indicativos de país para el servicio móvil de radiocomunicación con concentración de enlaces terrenales</w:t>
      </w:r>
      <w:r w:rsidR="00970DC0" w:rsidRPr="00970DC0">
        <w:rPr>
          <w:rFonts w:asciiTheme="minorHAnsi" w:eastAsiaTheme="minorEastAsia" w:hAnsiTheme="minorHAnsi" w:cstheme="minorHAnsi"/>
          <w:szCs w:val="24"/>
        </w:rPr>
        <w:t>"</w:t>
      </w:r>
      <w:bookmarkEnd w:id="103"/>
      <w:r w:rsidR="007A7B3A">
        <w:rPr>
          <w:rFonts w:asciiTheme="minorHAnsi" w:eastAsiaTheme="minorEastAsia" w:hAnsiTheme="minorHAnsi" w:cstheme="minorHAnsi"/>
          <w:szCs w:val="24"/>
        </w:rPr>
        <w:t>;</w:t>
      </w:r>
    </w:p>
    <w:p w14:paraId="78B4EA2E" w14:textId="732B78AF" w:rsidR="00453612" w:rsidRPr="00970DC0" w:rsidRDefault="0017737E" w:rsidP="00080EEE">
      <w:pPr>
        <w:pStyle w:val="enumlev1"/>
        <w:jc w:val="both"/>
        <w:rPr>
          <w:rFonts w:asciiTheme="minorHAnsi" w:eastAsiaTheme="minorEastAsia" w:hAnsiTheme="minorHAnsi" w:cstheme="minorHAnsi"/>
          <w:szCs w:val="24"/>
        </w:rPr>
      </w:pPr>
      <w:bookmarkStart w:id="104" w:name="lt_pId123"/>
      <w:r w:rsidRPr="00970DC0">
        <w:rPr>
          <w:rFonts w:eastAsiaTheme="minorEastAsia"/>
        </w:rPr>
        <w:t>–</w:t>
      </w:r>
      <w:r w:rsidRPr="00970DC0">
        <w:rPr>
          <w:rFonts w:eastAsiaTheme="minorEastAsia"/>
        </w:rPr>
        <w:tab/>
      </w:r>
      <w:r w:rsidR="00C156CC" w:rsidRPr="00970DC0">
        <w:rPr>
          <w:rFonts w:asciiTheme="minorHAnsi" w:eastAsiaTheme="minorEastAsia" w:hAnsiTheme="minorHAnsi" w:cstheme="minorHAnsi"/>
          <w:szCs w:val="24"/>
        </w:rPr>
        <w:t>UIT</w:t>
      </w:r>
      <w:r w:rsidR="00453612" w:rsidRPr="00970DC0">
        <w:rPr>
          <w:rFonts w:asciiTheme="minorHAnsi" w:eastAsiaTheme="minorEastAsia" w:hAnsiTheme="minorHAnsi" w:cstheme="minorHAnsi"/>
          <w:szCs w:val="24"/>
        </w:rPr>
        <w:t xml:space="preserve">-T Q.708 </w:t>
      </w:r>
      <w:r w:rsidR="00970DC0" w:rsidRPr="00970DC0">
        <w:rPr>
          <w:rFonts w:asciiTheme="minorHAnsi" w:eastAsiaTheme="minorEastAsia" w:hAnsiTheme="minorHAnsi" w:cstheme="minorHAnsi"/>
          <w:szCs w:val="24"/>
        </w:rPr>
        <w:t>"</w:t>
      </w:r>
      <w:r w:rsidR="00C156CC" w:rsidRPr="00970DC0">
        <w:rPr>
          <w:rFonts w:asciiTheme="minorHAnsi" w:eastAsiaTheme="minorEastAsia" w:hAnsiTheme="minorHAnsi" w:cstheme="minorHAnsi"/>
          <w:szCs w:val="24"/>
        </w:rPr>
        <w:t>Procedimientos de asignación de códigos de puntos de señalización internacional</w:t>
      </w:r>
      <w:r w:rsidR="00970DC0" w:rsidRPr="00970DC0">
        <w:rPr>
          <w:rFonts w:asciiTheme="minorHAnsi" w:eastAsiaTheme="minorEastAsia" w:hAnsiTheme="minorHAnsi" w:cstheme="minorHAnsi"/>
          <w:szCs w:val="24"/>
        </w:rPr>
        <w:t>"</w:t>
      </w:r>
      <w:r w:rsidR="00453612" w:rsidRPr="00970DC0">
        <w:rPr>
          <w:rFonts w:asciiTheme="minorHAnsi" w:eastAsiaTheme="minorEastAsia" w:hAnsiTheme="minorHAnsi" w:cstheme="minorHAnsi"/>
          <w:szCs w:val="24"/>
        </w:rPr>
        <w:t>.</w:t>
      </w:r>
      <w:bookmarkEnd w:id="104"/>
    </w:p>
    <w:p w14:paraId="4F88F034" w14:textId="2182D62F" w:rsidR="00453612" w:rsidRPr="00410651" w:rsidRDefault="00453612" w:rsidP="00080EEE">
      <w:pPr>
        <w:jc w:val="both"/>
      </w:pPr>
      <w:r w:rsidRPr="00970DC0">
        <w:t>3.2.3</w:t>
      </w:r>
      <w:r w:rsidRPr="00970DC0">
        <w:tab/>
      </w:r>
      <w:bookmarkStart w:id="105" w:name="lt_pId125"/>
      <w:r w:rsidR="00410651">
        <w:t xml:space="preserve">La Recomendación </w:t>
      </w:r>
      <w:r w:rsidR="00C156CC" w:rsidRPr="00970DC0">
        <w:t>UIT</w:t>
      </w:r>
      <w:r w:rsidRPr="00970DC0">
        <w:t xml:space="preserve">-T E.156 </w:t>
      </w:r>
      <w:r w:rsidR="00970DC0" w:rsidRPr="00970DC0">
        <w:t>"</w:t>
      </w:r>
      <w:r w:rsidR="00C156CC" w:rsidRPr="00970DC0">
        <w:t>Directrices para la actuación del UIT-T cuando se le notifique una utilización indebida de recursos de numeración E.164</w:t>
      </w:r>
      <w:r w:rsidR="00970DC0" w:rsidRPr="00970DC0">
        <w:t>"</w:t>
      </w:r>
      <w:r w:rsidRPr="00970DC0">
        <w:t xml:space="preserve"> </w:t>
      </w:r>
      <w:r w:rsidR="00C156CC" w:rsidRPr="00970DC0">
        <w:t>se está revisando para integrar nuevos casos de utilización indebida y explorar medios más eficaces de luchar contra la utilización indebida</w:t>
      </w:r>
      <w:bookmarkEnd w:id="105"/>
      <w:r w:rsidR="00C156CC" w:rsidRPr="00410651">
        <w:t>.</w:t>
      </w:r>
      <w:r w:rsidRPr="00410651">
        <w:t xml:space="preserve"> </w:t>
      </w:r>
    </w:p>
    <w:p w14:paraId="5373E0B8" w14:textId="21A0C07D" w:rsidR="00453612" w:rsidRPr="00970DC0" w:rsidRDefault="00453612" w:rsidP="00080EEE">
      <w:pPr>
        <w:jc w:val="both"/>
        <w:rPr>
          <w:rFonts w:eastAsiaTheme="minorEastAsia"/>
          <w:lang w:eastAsia="zh-CN"/>
        </w:rPr>
      </w:pPr>
      <w:r w:rsidRPr="00970DC0">
        <w:t>3.2.4</w:t>
      </w:r>
      <w:r w:rsidRPr="00970DC0">
        <w:tab/>
      </w:r>
      <w:r w:rsidR="00371113" w:rsidRPr="00970DC0">
        <w:t>Se ha creado un prototipo de nuevo repositorio de los planes nacionales de numeración, que puede consultarse en</w:t>
      </w:r>
      <w:r w:rsidRPr="00970DC0">
        <w:t xml:space="preserve">: </w:t>
      </w:r>
      <w:hyperlink r:id="rId18" w:history="1">
        <w:r w:rsidRPr="00970DC0">
          <w:rPr>
            <w:rStyle w:val="Hyperlink"/>
            <w:rFonts w:asciiTheme="minorHAnsi" w:hAnsiTheme="minorHAnsi" w:cstheme="minorHAnsi"/>
            <w:szCs w:val="24"/>
          </w:rPr>
          <w:t>https://www.itu.int/net4/itu-t/nnp</w:t>
        </w:r>
      </w:hyperlink>
      <w:r w:rsidRPr="00970DC0">
        <w:t xml:space="preserve">. </w:t>
      </w:r>
      <w:r w:rsidR="00371113" w:rsidRPr="00970DC0">
        <w:t>Este prototipo responde a la Resolución 91 de la AMNT</w:t>
      </w:r>
      <w:r w:rsidRPr="00970DC0">
        <w:rPr>
          <w:rFonts w:eastAsia="SimSun"/>
        </w:rPr>
        <w:t xml:space="preserve"> (Hammamet, 2016)</w:t>
      </w:r>
      <w:r w:rsidR="00371113" w:rsidRPr="00970DC0">
        <w:rPr>
          <w:rFonts w:eastAsia="SimSun"/>
        </w:rPr>
        <w:t xml:space="preserve">, </w:t>
      </w:r>
      <w:r w:rsidR="00970DC0" w:rsidRPr="00970DC0">
        <w:rPr>
          <w:rFonts w:eastAsia="SimSun"/>
        </w:rPr>
        <w:t>"</w:t>
      </w:r>
      <w:r w:rsidR="00371113" w:rsidRPr="00970DC0">
        <w:rPr>
          <w:rFonts w:eastAsia="SimSun"/>
        </w:rPr>
        <w:t>Mejora del acceso a un repositorio electrónico de información sobre planes de numeración publicados por el UIT-T</w:t>
      </w:r>
      <w:r w:rsidR="00970DC0" w:rsidRPr="00970DC0">
        <w:rPr>
          <w:rFonts w:eastAsia="SimSun"/>
        </w:rPr>
        <w:t>"</w:t>
      </w:r>
      <w:r w:rsidR="00371113" w:rsidRPr="00970DC0">
        <w:rPr>
          <w:rFonts w:eastAsia="SimSun"/>
        </w:rPr>
        <w:t>.</w:t>
      </w:r>
    </w:p>
    <w:p w14:paraId="1F80C6EA" w14:textId="225FBF87" w:rsidR="00453612" w:rsidRPr="00970DC0" w:rsidRDefault="00453612" w:rsidP="00080EEE">
      <w:pPr>
        <w:jc w:val="both"/>
        <w:rPr>
          <w:rFonts w:eastAsiaTheme="minorEastAsia"/>
          <w:lang w:eastAsia="zh-CN"/>
        </w:rPr>
      </w:pPr>
      <w:r w:rsidRPr="00970DC0">
        <w:rPr>
          <w:rFonts w:eastAsiaTheme="minorEastAsia"/>
          <w:lang w:eastAsia="zh-CN"/>
        </w:rPr>
        <w:lastRenderedPageBreak/>
        <w:t>3.2.5</w:t>
      </w:r>
      <w:r w:rsidRPr="00970DC0">
        <w:rPr>
          <w:rFonts w:eastAsiaTheme="minorEastAsia"/>
          <w:lang w:eastAsia="zh-CN"/>
        </w:rPr>
        <w:tab/>
      </w:r>
      <w:bookmarkStart w:id="106" w:name="lt_pId128"/>
      <w:r w:rsidR="00371113" w:rsidRPr="00970DC0">
        <w:rPr>
          <w:rFonts w:eastAsiaTheme="minorEastAsia"/>
          <w:lang w:eastAsia="zh-CN"/>
        </w:rPr>
        <w:t>Al aumentar el número de empresas que solicita códigos compartidos</w:t>
      </w:r>
      <w:r w:rsidRPr="00970DC0">
        <w:rPr>
          <w:rFonts w:eastAsiaTheme="minorEastAsia"/>
          <w:lang w:eastAsia="zh-CN"/>
        </w:rPr>
        <w:t xml:space="preserve"> (E.212 </w:t>
      </w:r>
      <w:r w:rsidR="00371113" w:rsidRPr="00970DC0">
        <w:rPr>
          <w:rFonts w:eastAsiaTheme="minorEastAsia"/>
          <w:lang w:eastAsia="zh-CN"/>
        </w:rPr>
        <w:t>y</w:t>
      </w:r>
      <w:r w:rsidRPr="00970DC0">
        <w:rPr>
          <w:rFonts w:eastAsiaTheme="minorEastAsia"/>
          <w:lang w:eastAsia="zh-CN"/>
        </w:rPr>
        <w:t xml:space="preserve"> E.164), </w:t>
      </w:r>
      <w:r w:rsidR="00371113" w:rsidRPr="00970DC0">
        <w:rPr>
          <w:rFonts w:eastAsiaTheme="minorEastAsia"/>
          <w:lang w:eastAsia="zh-CN"/>
        </w:rPr>
        <w:t>el Equipo de Coordinación de Numeración</w:t>
      </w:r>
      <w:r w:rsidRPr="00970DC0">
        <w:rPr>
          <w:rFonts w:eastAsiaTheme="minorEastAsia"/>
          <w:lang w:eastAsia="zh-CN"/>
        </w:rPr>
        <w:t xml:space="preserve"> (NCT) ha</w:t>
      </w:r>
      <w:r w:rsidR="00371113" w:rsidRPr="00970DC0">
        <w:rPr>
          <w:rFonts w:eastAsiaTheme="minorEastAsia"/>
          <w:lang w:eastAsia="zh-CN"/>
        </w:rPr>
        <w:t xml:space="preserve"> experimentado un aumento notable de su carga de trabajo. El</w:t>
      </w:r>
      <w:bookmarkStart w:id="107" w:name="lt_pId129"/>
      <w:bookmarkEnd w:id="106"/>
      <w:r w:rsidRPr="00970DC0">
        <w:rPr>
          <w:rFonts w:eastAsiaTheme="minorEastAsia"/>
          <w:lang w:eastAsia="zh-CN"/>
        </w:rPr>
        <w:t xml:space="preserve"> NCT </w:t>
      </w:r>
      <w:r w:rsidR="00371113" w:rsidRPr="00970DC0">
        <w:rPr>
          <w:rFonts w:eastAsiaTheme="minorEastAsia"/>
          <w:lang w:eastAsia="zh-CN"/>
        </w:rPr>
        <w:t>cuenta con el apoyo de la</w:t>
      </w:r>
      <w:r w:rsidRPr="00970DC0">
        <w:rPr>
          <w:rFonts w:eastAsiaTheme="minorEastAsia"/>
          <w:lang w:eastAsia="zh-CN"/>
        </w:rPr>
        <w:t xml:space="preserve"> TSB</w:t>
      </w:r>
      <w:r w:rsidR="00371113" w:rsidRPr="00970DC0">
        <w:rPr>
          <w:rFonts w:eastAsiaTheme="minorEastAsia"/>
          <w:lang w:eastAsia="zh-CN"/>
        </w:rPr>
        <w:t xml:space="preserve">, pues el </w:t>
      </w:r>
      <w:proofErr w:type="gramStart"/>
      <w:r w:rsidR="00371113" w:rsidRPr="00970DC0">
        <w:rPr>
          <w:rFonts w:eastAsiaTheme="minorEastAsia"/>
          <w:lang w:eastAsia="zh-CN"/>
        </w:rPr>
        <w:t>Consejero</w:t>
      </w:r>
      <w:proofErr w:type="gramEnd"/>
      <w:r w:rsidR="00371113" w:rsidRPr="00970DC0">
        <w:rPr>
          <w:rFonts w:eastAsiaTheme="minorEastAsia"/>
          <w:lang w:eastAsia="zh-CN"/>
        </w:rPr>
        <w:t xml:space="preserve"> de la CE</w:t>
      </w:r>
      <w:r w:rsidR="00BA1649">
        <w:rPr>
          <w:rFonts w:eastAsiaTheme="minorEastAsia"/>
          <w:lang w:eastAsia="zh-CN"/>
        </w:rPr>
        <w:t xml:space="preserve"> </w:t>
      </w:r>
      <w:r w:rsidR="00371113" w:rsidRPr="00970DC0">
        <w:rPr>
          <w:rFonts w:eastAsiaTheme="minorEastAsia"/>
          <w:lang w:eastAsia="zh-CN"/>
        </w:rPr>
        <w:t xml:space="preserve">2 brinda su asesoramiento técnico y la TSB gestiona el flujo de solicitudes, desde su presentación hasta la asignación, dentro de los plazos definidos por las Recomendaciones UIT-T pertinentes en vigor. En el Anexo </w:t>
      </w:r>
      <w:r w:rsidR="004C26E6">
        <w:rPr>
          <w:rFonts w:eastAsiaTheme="minorEastAsia"/>
          <w:lang w:eastAsia="zh-CN"/>
        </w:rPr>
        <w:t>5</w:t>
      </w:r>
      <w:r w:rsidR="00371113" w:rsidRPr="00970DC0">
        <w:rPr>
          <w:rFonts w:eastAsiaTheme="minorEastAsia"/>
          <w:lang w:eastAsia="zh-CN"/>
        </w:rPr>
        <w:t xml:space="preserve"> se muestra el crecimiento del número de empresas que solicitan</w:t>
      </w:r>
      <w:bookmarkStart w:id="108" w:name="lt_pId130"/>
      <w:bookmarkEnd w:id="107"/>
      <w:r w:rsidRPr="00970DC0">
        <w:rPr>
          <w:rFonts w:eastAsiaTheme="minorEastAsia"/>
          <w:lang w:eastAsia="zh-CN"/>
        </w:rPr>
        <w:t xml:space="preserve"> INR.</w:t>
      </w:r>
      <w:bookmarkEnd w:id="108"/>
    </w:p>
    <w:p w14:paraId="2A5BD135" w14:textId="677072F2" w:rsidR="00453612" w:rsidRPr="00970DC0" w:rsidRDefault="00453612" w:rsidP="00080EEE">
      <w:pPr>
        <w:jc w:val="both"/>
        <w:rPr>
          <w:rFonts w:eastAsiaTheme="minorEastAsia"/>
          <w:lang w:eastAsia="zh-CN"/>
        </w:rPr>
      </w:pPr>
      <w:r w:rsidRPr="00970DC0">
        <w:rPr>
          <w:rFonts w:eastAsiaTheme="minorEastAsia"/>
          <w:lang w:eastAsia="zh-CN"/>
        </w:rPr>
        <w:t>3.2.6</w:t>
      </w:r>
      <w:r w:rsidRPr="00970DC0">
        <w:rPr>
          <w:rFonts w:eastAsiaTheme="minorEastAsia"/>
          <w:lang w:eastAsia="zh-CN"/>
        </w:rPr>
        <w:tab/>
      </w:r>
      <w:bookmarkStart w:id="109" w:name="lt_pId132"/>
      <w:r w:rsidR="00371113" w:rsidRPr="00970DC0">
        <w:rPr>
          <w:rFonts w:eastAsiaTheme="minorEastAsia"/>
          <w:lang w:eastAsia="zh-CN"/>
        </w:rPr>
        <w:t xml:space="preserve">La </w:t>
      </w:r>
      <w:r w:rsidRPr="00970DC0">
        <w:rPr>
          <w:rFonts w:eastAsiaTheme="minorEastAsia"/>
          <w:lang w:eastAsia="zh-CN"/>
        </w:rPr>
        <w:t>TSB ha</w:t>
      </w:r>
      <w:r w:rsidR="00371113" w:rsidRPr="00970DC0">
        <w:rPr>
          <w:rFonts w:eastAsiaTheme="minorEastAsia"/>
          <w:lang w:eastAsia="zh-CN"/>
        </w:rPr>
        <w:t xml:space="preserve"> experimentado un aumento drástico de las necesidades de recursos para responder oportunamente a las solicitudes de notificación de los Estados Miembros, la publicación del Boletín de Explotación en los seis idiomas cada dos semanas, la aplicación de la Resolución 91 de la AMNT sobre los PNN y la gestión de las solicitudes de nuevas empresas a través del</w:t>
      </w:r>
      <w:r w:rsidRPr="00970DC0">
        <w:rPr>
          <w:rFonts w:eastAsiaTheme="minorEastAsia"/>
          <w:lang w:eastAsia="zh-CN"/>
        </w:rPr>
        <w:t xml:space="preserve"> NCT.</w:t>
      </w:r>
      <w:bookmarkEnd w:id="109"/>
      <w:r w:rsidRPr="00970DC0">
        <w:rPr>
          <w:rFonts w:eastAsiaTheme="minorEastAsia"/>
          <w:lang w:eastAsia="zh-CN"/>
        </w:rPr>
        <w:t xml:space="preserve"> </w:t>
      </w:r>
    </w:p>
    <w:p w14:paraId="1F759BB3" w14:textId="6FD6A1FB" w:rsidR="00453612" w:rsidRPr="00970DC0" w:rsidRDefault="00453612" w:rsidP="00080EEE">
      <w:pPr>
        <w:jc w:val="both"/>
        <w:rPr>
          <w:rFonts w:eastAsiaTheme="minorEastAsia"/>
          <w:lang w:eastAsia="zh-CN"/>
        </w:rPr>
      </w:pPr>
      <w:r w:rsidRPr="00970DC0">
        <w:rPr>
          <w:rFonts w:eastAsiaTheme="minorEastAsia"/>
          <w:lang w:eastAsia="zh-CN"/>
        </w:rPr>
        <w:t>3.2.7</w:t>
      </w:r>
      <w:r w:rsidRPr="00970DC0">
        <w:rPr>
          <w:rFonts w:eastAsiaTheme="minorEastAsia"/>
          <w:lang w:eastAsia="zh-CN"/>
        </w:rPr>
        <w:tab/>
      </w:r>
      <w:bookmarkStart w:id="110" w:name="lt_pId134"/>
      <w:r w:rsidR="00371113" w:rsidRPr="00970DC0">
        <w:rPr>
          <w:rFonts w:eastAsiaTheme="minorEastAsia"/>
          <w:lang w:eastAsia="zh-CN"/>
        </w:rPr>
        <w:t xml:space="preserve">Solicitamos poder dotar un </w:t>
      </w:r>
      <w:r w:rsidR="00371113" w:rsidRPr="00970DC0">
        <w:rPr>
          <w:rFonts w:eastAsiaTheme="minorEastAsia"/>
          <w:b/>
          <w:bCs/>
          <w:lang w:eastAsia="zh-CN"/>
        </w:rPr>
        <w:t>puesto</w:t>
      </w:r>
      <w:r w:rsidRPr="00970DC0">
        <w:rPr>
          <w:rFonts w:eastAsiaTheme="minorEastAsia"/>
          <w:lang w:eastAsia="zh-CN"/>
        </w:rPr>
        <w:t xml:space="preserve"> </w:t>
      </w:r>
      <w:r w:rsidRPr="00970DC0">
        <w:rPr>
          <w:rFonts w:eastAsiaTheme="minorEastAsia"/>
          <w:b/>
          <w:bCs/>
          <w:lang w:eastAsia="zh-CN"/>
        </w:rPr>
        <w:t>P2</w:t>
      </w:r>
      <w:r w:rsidRPr="00970DC0">
        <w:rPr>
          <w:rFonts w:eastAsiaTheme="minorEastAsia"/>
          <w:lang w:eastAsia="zh-CN"/>
        </w:rPr>
        <w:t xml:space="preserve"> </w:t>
      </w:r>
      <w:r w:rsidR="00371113" w:rsidRPr="00970DC0">
        <w:rPr>
          <w:rFonts w:eastAsiaTheme="minorEastAsia"/>
          <w:lang w:eastAsia="zh-CN"/>
        </w:rPr>
        <w:t>adicional para las cada vez más numerosas actividades relativas a la numeración</w:t>
      </w:r>
      <w:r w:rsidRPr="00970DC0">
        <w:rPr>
          <w:rFonts w:eastAsiaTheme="minorEastAsia"/>
          <w:lang w:eastAsia="zh-CN"/>
        </w:rPr>
        <w:t>.</w:t>
      </w:r>
      <w:bookmarkEnd w:id="110"/>
    </w:p>
    <w:p w14:paraId="7DE2D367" w14:textId="5DE17D92" w:rsidR="00453612" w:rsidRPr="00970DC0" w:rsidRDefault="00453612" w:rsidP="00080EEE">
      <w:pPr>
        <w:pStyle w:val="Heading2"/>
        <w:jc w:val="both"/>
        <w:rPr>
          <w:rFonts w:eastAsiaTheme="minorEastAsia"/>
          <w:lang w:eastAsia="zh-CN"/>
        </w:rPr>
      </w:pPr>
      <w:bookmarkStart w:id="111" w:name="_Toc37930309"/>
      <w:bookmarkStart w:id="112" w:name="_Toc39047652"/>
      <w:r w:rsidRPr="00970DC0">
        <w:rPr>
          <w:rFonts w:eastAsiaTheme="minorEastAsia"/>
          <w:lang w:eastAsia="zh-CN"/>
        </w:rPr>
        <w:t>3.3</w:t>
      </w:r>
      <w:r w:rsidRPr="00970DC0">
        <w:rPr>
          <w:rFonts w:eastAsiaTheme="minorEastAsia"/>
          <w:lang w:eastAsia="zh-CN"/>
        </w:rPr>
        <w:tab/>
      </w:r>
      <w:bookmarkStart w:id="113" w:name="lt_pId136"/>
      <w:r w:rsidR="00371113" w:rsidRPr="00970DC0">
        <w:rPr>
          <w:rFonts w:eastAsiaTheme="minorEastAsia"/>
          <w:lang w:eastAsia="zh-CN"/>
        </w:rPr>
        <w:t>Los servicios financieros digitales pueden integrar a 2 mil millones de desbancarizados en la economía</w:t>
      </w:r>
      <w:bookmarkEnd w:id="111"/>
      <w:bookmarkEnd w:id="113"/>
      <w:bookmarkEnd w:id="112"/>
      <w:r w:rsidRPr="00970DC0">
        <w:rPr>
          <w:rFonts w:eastAsiaTheme="minorEastAsia"/>
          <w:lang w:eastAsia="zh-CN"/>
        </w:rPr>
        <w:t xml:space="preserve"> </w:t>
      </w:r>
    </w:p>
    <w:p w14:paraId="01D50B29" w14:textId="46D6CB71" w:rsidR="00453612" w:rsidRPr="00970DC0" w:rsidRDefault="00453612" w:rsidP="00080EEE">
      <w:pPr>
        <w:jc w:val="both"/>
        <w:rPr>
          <w:rFonts w:eastAsiaTheme="minorEastAsia"/>
          <w:lang w:eastAsia="zh-CN"/>
        </w:rPr>
      </w:pPr>
      <w:r w:rsidRPr="00970DC0">
        <w:rPr>
          <w:rFonts w:eastAsiaTheme="minorEastAsia"/>
          <w:lang w:eastAsia="zh-CN"/>
        </w:rPr>
        <w:t>3.3.1</w:t>
      </w:r>
      <w:r w:rsidRPr="00970DC0">
        <w:rPr>
          <w:rFonts w:eastAsiaTheme="minorEastAsia"/>
          <w:lang w:eastAsia="zh-CN"/>
        </w:rPr>
        <w:tab/>
      </w:r>
      <w:bookmarkStart w:id="114" w:name="lt_pId138"/>
      <w:proofErr w:type="gramStart"/>
      <w:r w:rsidR="00D01286" w:rsidRPr="00970DC0">
        <w:rPr>
          <w:rFonts w:eastAsiaTheme="minorEastAsia"/>
          <w:lang w:eastAsia="zh-CN"/>
        </w:rPr>
        <w:t>A día de hoy</w:t>
      </w:r>
      <w:proofErr w:type="gramEnd"/>
      <w:r w:rsidR="00D01286" w:rsidRPr="00970DC0">
        <w:rPr>
          <w:rFonts w:eastAsiaTheme="minorEastAsia"/>
          <w:lang w:eastAsia="zh-CN"/>
        </w:rPr>
        <w:t xml:space="preserve"> hay en el mundo cerca de 2 mil millones de personas desbancarizadas. De ellas, las tres cuartas partes posee un teléfono móvil. La utilización del teléfono móvil como una cuenta bancaria ofrece una oportunidad sin par para integrar en la economía a los desbancarizados y mejorar su vida cotidiana</w:t>
      </w:r>
      <w:bookmarkStart w:id="115" w:name="lt_pId140"/>
      <w:bookmarkEnd w:id="114"/>
      <w:r w:rsidRPr="00970DC0">
        <w:rPr>
          <w:rFonts w:eastAsiaTheme="minorEastAsia"/>
          <w:lang w:eastAsia="zh-CN"/>
        </w:rPr>
        <w:t>.</w:t>
      </w:r>
      <w:bookmarkEnd w:id="115"/>
    </w:p>
    <w:p w14:paraId="6519D75E" w14:textId="4E58CC51" w:rsidR="00453612" w:rsidRPr="00970DC0" w:rsidRDefault="00453612" w:rsidP="00080EEE">
      <w:pPr>
        <w:jc w:val="both"/>
        <w:rPr>
          <w:rFonts w:eastAsiaTheme="minorEastAsia"/>
          <w:lang w:eastAsia="zh-CN"/>
        </w:rPr>
      </w:pPr>
      <w:r w:rsidRPr="00970DC0">
        <w:rPr>
          <w:rFonts w:eastAsiaTheme="minorEastAsia"/>
          <w:lang w:eastAsia="zh-CN"/>
        </w:rPr>
        <w:t>3.3.2</w:t>
      </w:r>
      <w:r w:rsidRPr="00970DC0">
        <w:rPr>
          <w:rFonts w:eastAsiaTheme="minorEastAsia"/>
          <w:lang w:eastAsia="zh-CN"/>
        </w:rPr>
        <w:tab/>
      </w:r>
      <w:bookmarkStart w:id="116" w:name="lt_pId142"/>
      <w:r w:rsidR="00D01286" w:rsidRPr="00970DC0">
        <w:rPr>
          <w:rFonts w:eastAsiaTheme="minorEastAsia"/>
          <w:lang w:eastAsia="zh-CN"/>
        </w:rPr>
        <w:t>Hace unos 15 años empezaron a funcionar los servicios financieros digitales (SFD) en los países en desarrollo: primero en Filipinas y posteriormente en Kenya con el ya famoso</w:t>
      </w:r>
      <w:r w:rsidRPr="00970DC0">
        <w:rPr>
          <w:rFonts w:eastAsiaTheme="minorEastAsia"/>
          <w:lang w:eastAsia="zh-CN"/>
        </w:rPr>
        <w:t xml:space="preserve"> M-PESA.</w:t>
      </w:r>
      <w:bookmarkEnd w:id="116"/>
      <w:r w:rsidRPr="00970DC0">
        <w:rPr>
          <w:rFonts w:eastAsiaTheme="minorEastAsia"/>
          <w:lang w:eastAsia="zh-CN"/>
        </w:rPr>
        <w:t xml:space="preserve"> </w:t>
      </w:r>
      <w:bookmarkStart w:id="117" w:name="lt_pId143"/>
      <w:r w:rsidR="00D01286" w:rsidRPr="00970DC0">
        <w:rPr>
          <w:rFonts w:eastAsiaTheme="minorEastAsia"/>
          <w:lang w:eastAsia="zh-CN"/>
        </w:rPr>
        <w:t>Sin embargo, la adopción de los servicios financieros digitales en los países en desarrollo de todo el mundo en los últimos doce años (todavía) no ha cosechado el éxito esperado. Algunos países en desarrollo obtienen mejores resultados que otros a la hora de crear una infraestructura SFD y una cultura SFD. ¿Por qué? ¿Cuál es el secreto para que los SFD funcionen en los países en desarrollo</w:t>
      </w:r>
      <w:bookmarkStart w:id="118" w:name="lt_pId146"/>
      <w:bookmarkEnd w:id="117"/>
      <w:r w:rsidRPr="00970DC0">
        <w:rPr>
          <w:rFonts w:eastAsiaTheme="minorEastAsia"/>
          <w:lang w:eastAsia="zh-CN"/>
        </w:rPr>
        <w:t>?</w:t>
      </w:r>
      <w:bookmarkEnd w:id="118"/>
    </w:p>
    <w:p w14:paraId="2B682930" w14:textId="69FAA5AC" w:rsidR="00453612" w:rsidRPr="00970DC0" w:rsidRDefault="00453612" w:rsidP="00080EEE">
      <w:pPr>
        <w:jc w:val="both"/>
        <w:rPr>
          <w:rFonts w:eastAsiaTheme="minorEastAsia"/>
        </w:rPr>
      </w:pPr>
      <w:r w:rsidRPr="00970DC0">
        <w:rPr>
          <w:rFonts w:eastAsiaTheme="minorEastAsia"/>
          <w:lang w:eastAsia="zh-CN"/>
        </w:rPr>
        <w:t>3.3.</w:t>
      </w:r>
      <w:r w:rsidR="0017737E" w:rsidRPr="00970DC0">
        <w:rPr>
          <w:rFonts w:eastAsiaTheme="minorEastAsia"/>
          <w:lang w:eastAsia="zh-CN"/>
        </w:rPr>
        <w:t>3</w:t>
      </w:r>
      <w:r w:rsidRPr="00970DC0">
        <w:rPr>
          <w:rFonts w:eastAsiaTheme="minorEastAsia"/>
          <w:lang w:eastAsia="zh-CN"/>
        </w:rPr>
        <w:tab/>
      </w:r>
      <w:bookmarkStart w:id="119" w:name="lt_pId148"/>
      <w:r w:rsidR="00D01286" w:rsidRPr="00970DC0">
        <w:rPr>
          <w:rFonts w:eastAsiaTheme="minorEastAsia"/>
          <w:lang w:eastAsia="zh-CN"/>
        </w:rPr>
        <w:t>La UIT, con la ayuda de la Fundación</w:t>
      </w:r>
      <w:r w:rsidRPr="00970DC0">
        <w:rPr>
          <w:rFonts w:eastAsiaTheme="minorEastAsia"/>
          <w:lang w:eastAsia="zh-CN"/>
        </w:rPr>
        <w:t xml:space="preserve"> Bill </w:t>
      </w:r>
      <w:r w:rsidR="00BA1649">
        <w:rPr>
          <w:rFonts w:eastAsiaTheme="minorEastAsia"/>
          <w:lang w:eastAsia="zh-CN"/>
        </w:rPr>
        <w:t>y</w:t>
      </w:r>
      <w:r w:rsidRPr="00970DC0">
        <w:rPr>
          <w:rFonts w:eastAsiaTheme="minorEastAsia"/>
          <w:lang w:eastAsia="zh-CN"/>
        </w:rPr>
        <w:t xml:space="preserve"> Melinda Gates, </w:t>
      </w:r>
      <w:r w:rsidR="00D01286" w:rsidRPr="00970DC0">
        <w:rPr>
          <w:rFonts w:eastAsiaTheme="minorEastAsia"/>
          <w:lang w:eastAsia="zh-CN"/>
        </w:rPr>
        <w:t>está trabajando para responder a esta pregunta. En la Resolución 89 de la AMNT</w:t>
      </w:r>
      <w:bookmarkStart w:id="120" w:name="lt_pId149"/>
      <w:bookmarkEnd w:id="119"/>
      <w:r w:rsidRPr="00970DC0">
        <w:rPr>
          <w:rFonts w:eastAsiaTheme="minorEastAsia"/>
          <w:lang w:eastAsia="zh-CN"/>
        </w:rPr>
        <w:t xml:space="preserve">-16 </w:t>
      </w:r>
      <w:r w:rsidR="00D01286" w:rsidRPr="00970DC0">
        <w:rPr>
          <w:rFonts w:eastAsiaTheme="minorEastAsia"/>
          <w:lang w:eastAsia="zh-CN"/>
        </w:rPr>
        <w:t>se</w:t>
      </w:r>
      <w:r w:rsidRPr="00970DC0">
        <w:rPr>
          <w:rFonts w:eastAsiaTheme="minorEastAsia"/>
          <w:lang w:eastAsia="zh-CN"/>
        </w:rPr>
        <w:t xml:space="preserve"> </w:t>
      </w:r>
      <w:bookmarkEnd w:id="120"/>
      <w:r w:rsidR="0018228C" w:rsidRPr="00970DC0">
        <w:rPr>
          <w:rFonts w:eastAsiaTheme="minorEastAsia"/>
          <w:lang w:eastAsia="zh-CN"/>
        </w:rPr>
        <w:t xml:space="preserve">encarga al </w:t>
      </w:r>
      <w:proofErr w:type="gramStart"/>
      <w:r w:rsidR="0018228C" w:rsidRPr="00970DC0">
        <w:rPr>
          <w:rFonts w:eastAsiaTheme="minorEastAsia"/>
          <w:lang w:eastAsia="zh-CN"/>
        </w:rPr>
        <w:t>Director</w:t>
      </w:r>
      <w:proofErr w:type="gramEnd"/>
      <w:r w:rsidR="0018228C" w:rsidRPr="00970DC0">
        <w:rPr>
          <w:rFonts w:eastAsiaTheme="minorEastAsia"/>
          <w:lang w:eastAsia="zh-CN"/>
        </w:rPr>
        <w:t xml:space="preserve"> de la Oficina de Normalización de las Telecomunicaciones en colaboración con los Directores de las demás Oficinas</w:t>
      </w:r>
      <w:r w:rsidR="00D01286" w:rsidRPr="00970DC0">
        <w:rPr>
          <w:rFonts w:eastAsiaTheme="minorEastAsia"/>
        </w:rPr>
        <w:t>:</w:t>
      </w:r>
      <w:r w:rsidRPr="00970DC0">
        <w:rPr>
          <w:rFonts w:eastAsiaTheme="minorEastAsia"/>
        </w:rPr>
        <w:t xml:space="preserve"> </w:t>
      </w:r>
    </w:p>
    <w:p w14:paraId="7AB020C0" w14:textId="6F90D9F8" w:rsidR="00453612" w:rsidRPr="00970DC0" w:rsidRDefault="0017737E" w:rsidP="00080EEE">
      <w:pPr>
        <w:pStyle w:val="enumlev1"/>
        <w:jc w:val="both"/>
        <w:rPr>
          <w:rFonts w:eastAsiaTheme="minorEastAsia"/>
          <w:lang w:eastAsia="zh-CN"/>
        </w:rPr>
      </w:pPr>
      <w:bookmarkStart w:id="121" w:name="lt_pId150"/>
      <w:r w:rsidRPr="00970DC0">
        <w:rPr>
          <w:rFonts w:eastAsiaTheme="minorEastAsia"/>
          <w:lang w:eastAsia="zh-CN"/>
        </w:rPr>
        <w:tab/>
      </w:r>
      <w:r w:rsidR="00970DC0" w:rsidRPr="00970DC0">
        <w:rPr>
          <w:rFonts w:eastAsiaTheme="minorEastAsia"/>
          <w:lang w:eastAsia="zh-CN"/>
        </w:rPr>
        <w:t>"</w:t>
      </w:r>
      <w:r w:rsidR="00D01286" w:rsidRPr="00970DC0">
        <w:rPr>
          <w:rFonts w:eastAsiaTheme="minorEastAsia"/>
          <w:lang w:eastAsia="zh-CN"/>
        </w:rPr>
        <w:t xml:space="preserve">2 </w:t>
      </w:r>
      <w:r w:rsidR="00F86A32" w:rsidRPr="00970DC0">
        <w:rPr>
          <w:rFonts w:eastAsiaTheme="minorEastAsia"/>
          <w:lang w:eastAsia="zh-CN"/>
        </w:rPr>
        <w:t>que apoye la elaboración de informes y prácticas idóneas sobre la inclusión financiera digital</w:t>
      </w:r>
      <w:r w:rsidR="00F86A32" w:rsidRPr="00970DC0">
        <w:rPr>
          <w:rFonts w:eastAsiaTheme="minorEastAsia"/>
          <w:b/>
          <w:lang w:eastAsia="zh-CN"/>
        </w:rPr>
        <w:t xml:space="preserve"> </w:t>
      </w:r>
      <w:r w:rsidR="00453612" w:rsidRPr="00970DC0">
        <w:rPr>
          <w:rFonts w:eastAsiaTheme="minorEastAsia"/>
          <w:lang w:eastAsia="zh-CN"/>
        </w:rPr>
        <w:t>[…]</w:t>
      </w:r>
      <w:r w:rsidR="00970DC0" w:rsidRPr="00970DC0">
        <w:rPr>
          <w:rFonts w:eastAsiaTheme="minorEastAsia"/>
          <w:lang w:eastAsia="zh-CN"/>
        </w:rPr>
        <w:t>"</w:t>
      </w:r>
      <w:bookmarkEnd w:id="121"/>
      <w:r w:rsidR="00BE5062">
        <w:rPr>
          <w:rFonts w:eastAsiaTheme="minorEastAsia"/>
          <w:lang w:eastAsia="zh-CN"/>
        </w:rPr>
        <w:t>;</w:t>
      </w:r>
      <w:r w:rsidR="00970DC0" w:rsidRPr="00970DC0">
        <w:rPr>
          <w:rFonts w:eastAsiaTheme="minorEastAsia"/>
          <w:lang w:eastAsia="zh-CN"/>
        </w:rPr>
        <w:t xml:space="preserve">  </w:t>
      </w:r>
    </w:p>
    <w:p w14:paraId="51E558B0" w14:textId="538DB3C0" w:rsidR="00453612" w:rsidRPr="00970DC0" w:rsidRDefault="0017737E" w:rsidP="00080EEE">
      <w:pPr>
        <w:pStyle w:val="enumlev1"/>
        <w:jc w:val="both"/>
        <w:rPr>
          <w:rFonts w:asciiTheme="minorHAnsi" w:eastAsiaTheme="minorEastAsia" w:hAnsiTheme="minorHAnsi" w:cstheme="minorHAnsi"/>
          <w:szCs w:val="24"/>
          <w:lang w:eastAsia="zh-CN"/>
        </w:rPr>
      </w:pPr>
      <w:bookmarkStart w:id="122" w:name="lt_pId151"/>
      <w:r w:rsidRPr="00970DC0">
        <w:rPr>
          <w:rFonts w:asciiTheme="minorHAnsi" w:eastAsiaTheme="minorEastAsia" w:hAnsiTheme="minorHAnsi" w:cstheme="minorHAnsi"/>
          <w:szCs w:val="24"/>
          <w:lang w:eastAsia="zh-CN"/>
        </w:rPr>
        <w:tab/>
      </w:r>
      <w:r w:rsidR="00970DC0" w:rsidRPr="00970DC0">
        <w:rPr>
          <w:rFonts w:asciiTheme="minorHAnsi" w:eastAsiaTheme="minorEastAsia" w:hAnsiTheme="minorHAnsi" w:cstheme="minorHAnsi"/>
          <w:szCs w:val="24"/>
          <w:lang w:eastAsia="zh-CN"/>
        </w:rPr>
        <w:t>"</w:t>
      </w:r>
      <w:r w:rsidR="00F86A32" w:rsidRPr="00970DC0">
        <w:rPr>
          <w:rFonts w:asciiTheme="minorHAnsi" w:eastAsiaTheme="minorEastAsia" w:hAnsiTheme="minorHAnsi" w:cstheme="minorHAnsi"/>
          <w:szCs w:val="24"/>
          <w:lang w:eastAsia="zh-CN"/>
        </w:rPr>
        <w:t>3</w:t>
      </w:r>
      <w:r w:rsidR="00F86A32" w:rsidRPr="00970DC0">
        <w:rPr>
          <w:rFonts w:asciiTheme="minorHAnsi" w:eastAsiaTheme="minorEastAsia" w:hAnsiTheme="minorHAnsi" w:cstheme="minorHAnsi"/>
          <w:szCs w:val="24"/>
          <w:lang w:eastAsia="zh-CN"/>
        </w:rPr>
        <w:tab/>
        <w:t>que establezca una plataforma o, cuando sea posible, una relación con las ya existentes, para la formación, el diálogo y el intercambio de experiencias entre homólogos con respecto a los servicios financieros digitales entre países y regiones, organismos de reglamentación de los sectores de las telecomunicaciones y los servicios financieros, expertos de la industria y organizaciones internacionales y regionales;</w:t>
      </w:r>
      <w:bookmarkEnd w:id="122"/>
      <w:r w:rsidR="00970DC0" w:rsidRPr="00970DC0">
        <w:rPr>
          <w:rFonts w:asciiTheme="minorHAnsi" w:eastAsiaTheme="minorEastAsia" w:hAnsiTheme="minorHAnsi" w:cstheme="minorHAnsi"/>
          <w:szCs w:val="24"/>
          <w:lang w:eastAsia="zh-CN"/>
        </w:rPr>
        <w:t>"</w:t>
      </w:r>
      <w:r w:rsidR="00453612" w:rsidRPr="00970DC0">
        <w:rPr>
          <w:rFonts w:asciiTheme="minorHAnsi" w:eastAsiaTheme="minorEastAsia" w:hAnsiTheme="minorHAnsi" w:cstheme="minorHAnsi"/>
          <w:szCs w:val="24"/>
          <w:lang w:eastAsia="zh-CN"/>
        </w:rPr>
        <w:t xml:space="preserve"> </w:t>
      </w:r>
    </w:p>
    <w:p w14:paraId="66884A5A" w14:textId="632D9D28" w:rsidR="00453612" w:rsidRPr="00970DC0" w:rsidRDefault="0017737E" w:rsidP="00080EEE">
      <w:pPr>
        <w:pStyle w:val="enumlev1"/>
        <w:jc w:val="both"/>
        <w:rPr>
          <w:rFonts w:asciiTheme="minorHAnsi" w:eastAsiaTheme="minorEastAsia" w:hAnsiTheme="minorHAnsi" w:cstheme="minorHAnsi"/>
          <w:szCs w:val="24"/>
          <w:lang w:eastAsia="zh-CN"/>
        </w:rPr>
      </w:pPr>
      <w:bookmarkStart w:id="123" w:name="lt_pId153"/>
      <w:r w:rsidRPr="00970DC0">
        <w:rPr>
          <w:rFonts w:asciiTheme="minorHAnsi" w:eastAsiaTheme="minorEastAsia" w:hAnsiTheme="minorHAnsi" w:cstheme="minorHAnsi"/>
          <w:szCs w:val="24"/>
          <w:lang w:eastAsia="zh-CN"/>
        </w:rPr>
        <w:tab/>
      </w:r>
      <w:r w:rsidR="00970DC0" w:rsidRPr="00970DC0">
        <w:rPr>
          <w:rFonts w:asciiTheme="minorHAnsi" w:eastAsiaTheme="minorEastAsia" w:hAnsiTheme="minorHAnsi" w:cstheme="minorHAnsi"/>
          <w:szCs w:val="24"/>
          <w:lang w:eastAsia="zh-CN"/>
        </w:rPr>
        <w:t>"</w:t>
      </w:r>
      <w:r w:rsidR="00453612" w:rsidRPr="00970DC0">
        <w:rPr>
          <w:rFonts w:asciiTheme="minorHAnsi" w:eastAsiaTheme="minorEastAsia" w:hAnsiTheme="minorHAnsi" w:cstheme="minorHAnsi"/>
          <w:szCs w:val="24"/>
          <w:lang w:eastAsia="zh-CN"/>
        </w:rPr>
        <w:t>4</w:t>
      </w:r>
      <w:r w:rsidR="00F86A32" w:rsidRPr="00970DC0">
        <w:rPr>
          <w:rFonts w:asciiTheme="minorHAnsi" w:eastAsiaTheme="minorEastAsia" w:hAnsiTheme="minorHAnsi" w:cstheme="minorHAnsi"/>
          <w:szCs w:val="24"/>
          <w:lang w:eastAsia="zh-CN"/>
        </w:rPr>
        <w:tab/>
        <w:t>que organice talleres y seminarios para los Miembros de la UIT en colaboración con otras organizaciones de normalización e instituciones relevantes, responsables principales de la elaboración, implementación y formación relativas a las normas de los servicios financieros, con el fin de fomentar la sensibilización y determinar las necesidades y retos específicos de los reguladores en materia de inclu</w:t>
      </w:r>
      <w:r w:rsidR="00BA1649">
        <w:rPr>
          <w:rFonts w:asciiTheme="minorHAnsi" w:eastAsiaTheme="minorEastAsia" w:hAnsiTheme="minorHAnsi" w:cstheme="minorHAnsi"/>
          <w:szCs w:val="24"/>
          <w:lang w:eastAsia="zh-CN"/>
        </w:rPr>
        <w:t>sión financiera</w:t>
      </w:r>
      <w:r w:rsidR="00970DC0" w:rsidRPr="00970DC0">
        <w:rPr>
          <w:rFonts w:asciiTheme="minorHAnsi" w:eastAsiaTheme="minorEastAsia" w:hAnsiTheme="minorHAnsi" w:cstheme="minorHAnsi"/>
          <w:szCs w:val="24"/>
          <w:lang w:eastAsia="zh-CN"/>
        </w:rPr>
        <w:t>"</w:t>
      </w:r>
      <w:bookmarkEnd w:id="123"/>
      <w:r w:rsidR="002F6252">
        <w:rPr>
          <w:rFonts w:asciiTheme="minorHAnsi" w:eastAsiaTheme="minorEastAsia" w:hAnsiTheme="minorHAnsi" w:cstheme="minorHAnsi"/>
          <w:szCs w:val="24"/>
          <w:lang w:eastAsia="zh-CN"/>
        </w:rPr>
        <w:t>.</w:t>
      </w:r>
    </w:p>
    <w:p w14:paraId="1599468D" w14:textId="10AD7A9A" w:rsidR="00453612" w:rsidRPr="00970DC0" w:rsidRDefault="00453612" w:rsidP="00080EEE">
      <w:pPr>
        <w:jc w:val="both"/>
        <w:rPr>
          <w:rFonts w:eastAsiaTheme="minorEastAsia"/>
        </w:rPr>
      </w:pPr>
      <w:bookmarkStart w:id="124" w:name="lt_pId154"/>
      <w:r w:rsidRPr="00970DC0">
        <w:rPr>
          <w:rFonts w:eastAsiaTheme="minorEastAsia"/>
          <w:lang w:eastAsia="zh-CN"/>
        </w:rPr>
        <w:t>3.3.</w:t>
      </w:r>
      <w:r w:rsidR="0017737E" w:rsidRPr="00970DC0">
        <w:rPr>
          <w:rFonts w:eastAsiaTheme="minorEastAsia"/>
          <w:lang w:eastAsia="zh-CN"/>
        </w:rPr>
        <w:t>4</w:t>
      </w:r>
      <w:r w:rsidR="0017737E" w:rsidRPr="00970DC0">
        <w:rPr>
          <w:rFonts w:eastAsiaTheme="minorEastAsia"/>
          <w:lang w:eastAsia="zh-CN"/>
        </w:rPr>
        <w:tab/>
      </w:r>
      <w:r w:rsidR="00D01286" w:rsidRPr="00970DC0">
        <w:rPr>
          <w:rFonts w:eastAsiaTheme="minorEastAsia"/>
          <w:lang w:eastAsia="zh-CN"/>
        </w:rPr>
        <w:t xml:space="preserve">En la Resolución 204 de la </w:t>
      </w:r>
      <w:r w:rsidRPr="00970DC0">
        <w:rPr>
          <w:rFonts w:eastAsiaTheme="minorEastAsia"/>
          <w:lang w:eastAsia="zh-CN"/>
        </w:rPr>
        <w:t>PP</w:t>
      </w:r>
      <w:r w:rsidR="00D01286" w:rsidRPr="00970DC0">
        <w:rPr>
          <w:rFonts w:eastAsiaTheme="minorEastAsia"/>
          <w:lang w:eastAsia="zh-CN"/>
        </w:rPr>
        <w:t xml:space="preserve"> se encarga a los </w:t>
      </w:r>
      <w:proofErr w:type="gramStart"/>
      <w:r w:rsidR="00D01286" w:rsidRPr="00970DC0">
        <w:rPr>
          <w:rFonts w:eastAsiaTheme="minorEastAsia"/>
          <w:lang w:eastAsia="zh-CN"/>
        </w:rPr>
        <w:t>Directores</w:t>
      </w:r>
      <w:proofErr w:type="gramEnd"/>
      <w:r w:rsidR="00D01286" w:rsidRPr="00970DC0">
        <w:rPr>
          <w:rFonts w:eastAsiaTheme="minorEastAsia"/>
          <w:lang w:eastAsia="zh-CN"/>
        </w:rPr>
        <w:t xml:space="preserve"> de la TSB y la</w:t>
      </w:r>
      <w:r w:rsidRPr="00970DC0">
        <w:rPr>
          <w:rFonts w:eastAsiaTheme="minorEastAsia"/>
          <w:lang w:eastAsia="zh-CN"/>
        </w:rPr>
        <w:t xml:space="preserve"> </w:t>
      </w:r>
      <w:r w:rsidRPr="00970DC0">
        <w:rPr>
          <w:rFonts w:eastAsiaTheme="minorEastAsia"/>
        </w:rPr>
        <w:t>BDT</w:t>
      </w:r>
      <w:bookmarkEnd w:id="124"/>
      <w:r w:rsidR="00BE5062">
        <w:rPr>
          <w:rFonts w:eastAsiaTheme="minorEastAsia"/>
        </w:rPr>
        <w:t>:</w:t>
      </w:r>
    </w:p>
    <w:p w14:paraId="34343942" w14:textId="39F0BDB7" w:rsidR="00453612" w:rsidRPr="00970DC0" w:rsidRDefault="00970DC0" w:rsidP="00080EEE">
      <w:pPr>
        <w:pStyle w:val="enumlev1"/>
        <w:jc w:val="both"/>
        <w:rPr>
          <w:rFonts w:asciiTheme="minorHAnsi" w:eastAsiaTheme="minorEastAsia" w:hAnsiTheme="minorHAnsi" w:cstheme="minorHAnsi"/>
          <w:szCs w:val="24"/>
          <w:lang w:eastAsia="zh-CN"/>
        </w:rPr>
      </w:pPr>
      <w:bookmarkStart w:id="125" w:name="lt_pId155"/>
      <w:r w:rsidRPr="00970DC0">
        <w:rPr>
          <w:rFonts w:asciiTheme="minorHAnsi" w:eastAsiaTheme="minorEastAsia" w:hAnsiTheme="minorHAnsi" w:cstheme="minorHAnsi"/>
          <w:szCs w:val="24"/>
          <w:lang w:eastAsia="zh-CN"/>
        </w:rPr>
        <w:t>"</w:t>
      </w:r>
      <w:r w:rsidR="0017737E" w:rsidRPr="00970DC0">
        <w:rPr>
          <w:rFonts w:asciiTheme="minorHAnsi" w:eastAsiaTheme="minorEastAsia" w:hAnsiTheme="minorHAnsi" w:cstheme="minorHAnsi"/>
          <w:szCs w:val="24"/>
          <w:lang w:eastAsia="zh-CN"/>
        </w:rPr>
        <w:tab/>
        <w:t>2</w:t>
      </w:r>
      <w:r w:rsidR="0017737E" w:rsidRPr="00970DC0">
        <w:rPr>
          <w:rFonts w:asciiTheme="minorHAnsi" w:eastAsiaTheme="minorEastAsia" w:hAnsiTheme="minorHAnsi" w:cstheme="minorHAnsi"/>
          <w:szCs w:val="24"/>
          <w:lang w:eastAsia="zh-CN"/>
        </w:rPr>
        <w:tab/>
      </w:r>
      <w:r w:rsidR="0018228C" w:rsidRPr="00970DC0">
        <w:rPr>
          <w:rFonts w:asciiTheme="minorHAnsi" w:eastAsiaTheme="minorEastAsia" w:hAnsiTheme="minorHAnsi" w:cstheme="minorHAnsi"/>
          <w:szCs w:val="24"/>
          <w:lang w:eastAsia="zh-CN"/>
        </w:rPr>
        <w:t>que apoyen la elaboración de informes, estudios y prácticas óptimas sobre la inclusión financiera digita</w:t>
      </w:r>
      <w:r w:rsidR="0017737E" w:rsidRPr="00970DC0">
        <w:rPr>
          <w:rFonts w:asciiTheme="minorHAnsi" w:eastAsiaTheme="minorEastAsia" w:hAnsiTheme="minorHAnsi" w:cstheme="minorHAnsi"/>
          <w:szCs w:val="24"/>
          <w:lang w:eastAsia="zh-CN"/>
        </w:rPr>
        <w:t xml:space="preserve">l </w:t>
      </w:r>
      <w:r w:rsidR="00453612" w:rsidRPr="00970DC0">
        <w:rPr>
          <w:rFonts w:asciiTheme="minorHAnsi" w:eastAsiaTheme="minorEastAsia" w:hAnsiTheme="minorHAnsi" w:cstheme="minorHAnsi"/>
          <w:szCs w:val="24"/>
          <w:lang w:eastAsia="zh-CN"/>
        </w:rPr>
        <w:t>[…]</w:t>
      </w:r>
      <w:r w:rsidRPr="00970DC0">
        <w:rPr>
          <w:rFonts w:asciiTheme="minorHAnsi" w:eastAsiaTheme="minorEastAsia" w:hAnsiTheme="minorHAnsi" w:cstheme="minorHAnsi"/>
          <w:szCs w:val="24"/>
          <w:lang w:eastAsia="zh-CN"/>
        </w:rPr>
        <w:t>"</w:t>
      </w:r>
      <w:bookmarkEnd w:id="125"/>
      <w:r w:rsidR="00BE5062">
        <w:rPr>
          <w:rFonts w:asciiTheme="minorHAnsi" w:eastAsiaTheme="minorEastAsia" w:hAnsiTheme="minorHAnsi" w:cstheme="minorHAnsi"/>
          <w:szCs w:val="24"/>
          <w:lang w:eastAsia="zh-CN"/>
        </w:rPr>
        <w:t>;</w:t>
      </w:r>
    </w:p>
    <w:p w14:paraId="52856EFE" w14:textId="5BF58010" w:rsidR="00453612" w:rsidRPr="00970DC0" w:rsidRDefault="0017737E" w:rsidP="00080EEE">
      <w:pPr>
        <w:pStyle w:val="enumlev1"/>
        <w:jc w:val="both"/>
        <w:rPr>
          <w:rFonts w:asciiTheme="minorHAnsi" w:eastAsiaTheme="minorEastAsia" w:hAnsiTheme="minorHAnsi" w:cstheme="minorHAnsi"/>
          <w:szCs w:val="24"/>
          <w:lang w:eastAsia="zh-CN"/>
        </w:rPr>
      </w:pPr>
      <w:bookmarkStart w:id="126" w:name="lt_pId156"/>
      <w:r w:rsidRPr="00970DC0">
        <w:rPr>
          <w:rFonts w:asciiTheme="minorHAnsi" w:eastAsiaTheme="minorEastAsia" w:hAnsiTheme="minorHAnsi" w:cstheme="minorHAnsi"/>
          <w:szCs w:val="24"/>
          <w:lang w:eastAsia="zh-CN"/>
        </w:rPr>
        <w:lastRenderedPageBreak/>
        <w:tab/>
        <w:t>3</w:t>
      </w:r>
      <w:r w:rsidRPr="00970DC0">
        <w:rPr>
          <w:rFonts w:asciiTheme="minorHAnsi" w:eastAsiaTheme="minorEastAsia" w:hAnsiTheme="minorHAnsi" w:cstheme="minorHAnsi"/>
          <w:szCs w:val="24"/>
          <w:lang w:eastAsia="zh-CN"/>
        </w:rPr>
        <w:tab/>
      </w:r>
      <w:r w:rsidR="0018228C" w:rsidRPr="00970DC0">
        <w:rPr>
          <w:rFonts w:asciiTheme="minorHAnsi" w:eastAsiaTheme="minorEastAsia" w:hAnsiTheme="minorHAnsi" w:cstheme="minorHAnsi"/>
          <w:szCs w:val="24"/>
          <w:lang w:eastAsia="zh-CN"/>
        </w:rPr>
        <w:t>que den apoyo a las plataformas pertinentes o, cuando sea posible, una relación con otras existentes, para la formación, el diálogo y el intercambio de experiencias entre homólogos con respecto a los servicios financieros digitales entre países y regiones, los organismos de reglamentación de los sectores de las telecomunicaciones y los servicios financieros, los expertos de la industria y las organizaciones internacionales y regionales</w:t>
      </w:r>
      <w:bookmarkEnd w:id="126"/>
      <w:r w:rsidR="00BE5062">
        <w:rPr>
          <w:rFonts w:asciiTheme="minorHAnsi" w:eastAsiaTheme="minorEastAsia" w:hAnsiTheme="minorHAnsi" w:cstheme="minorHAnsi"/>
          <w:szCs w:val="24"/>
          <w:lang w:eastAsia="zh-CN"/>
        </w:rPr>
        <w:t>;</w:t>
      </w:r>
      <w:r w:rsidR="00453612" w:rsidRPr="00970DC0">
        <w:rPr>
          <w:rFonts w:asciiTheme="minorHAnsi" w:eastAsiaTheme="minorEastAsia" w:hAnsiTheme="minorHAnsi" w:cstheme="minorHAnsi"/>
          <w:szCs w:val="24"/>
          <w:lang w:eastAsia="zh-CN"/>
        </w:rPr>
        <w:t xml:space="preserve"> </w:t>
      </w:r>
    </w:p>
    <w:p w14:paraId="6D47E78C" w14:textId="5662249D" w:rsidR="00453612" w:rsidRPr="00970DC0" w:rsidRDefault="0017737E" w:rsidP="00080EEE">
      <w:pPr>
        <w:pStyle w:val="enumlev1"/>
        <w:jc w:val="both"/>
        <w:rPr>
          <w:rFonts w:asciiTheme="minorHAnsi" w:eastAsiaTheme="minorEastAsia" w:hAnsiTheme="minorHAnsi" w:cstheme="minorHAnsi"/>
          <w:szCs w:val="24"/>
          <w:lang w:eastAsia="zh-CN"/>
        </w:rPr>
      </w:pPr>
      <w:r w:rsidRPr="00970DC0">
        <w:rPr>
          <w:rFonts w:asciiTheme="minorHAnsi" w:eastAsiaTheme="minorEastAsia" w:hAnsiTheme="minorHAnsi" w:cstheme="minorHAnsi"/>
          <w:szCs w:val="24"/>
          <w:lang w:eastAsia="zh-CN"/>
        </w:rPr>
        <w:tab/>
      </w:r>
      <w:r w:rsidR="0018228C" w:rsidRPr="00970DC0">
        <w:rPr>
          <w:rFonts w:asciiTheme="minorHAnsi" w:eastAsiaTheme="minorEastAsia" w:hAnsiTheme="minorHAnsi" w:cstheme="minorHAnsi"/>
          <w:szCs w:val="24"/>
          <w:lang w:eastAsia="zh-CN"/>
        </w:rPr>
        <w:t>4</w:t>
      </w:r>
      <w:r w:rsidRPr="00970DC0">
        <w:rPr>
          <w:rFonts w:asciiTheme="minorHAnsi" w:eastAsiaTheme="minorEastAsia" w:hAnsiTheme="minorHAnsi" w:cstheme="minorHAnsi"/>
          <w:szCs w:val="24"/>
          <w:lang w:eastAsia="zh-CN"/>
        </w:rPr>
        <w:tab/>
      </w:r>
      <w:r w:rsidR="0018228C" w:rsidRPr="00970DC0">
        <w:rPr>
          <w:rFonts w:asciiTheme="minorHAnsi" w:eastAsiaTheme="minorEastAsia" w:hAnsiTheme="minorHAnsi" w:cstheme="minorHAnsi"/>
          <w:szCs w:val="24"/>
          <w:lang w:eastAsia="zh-CN"/>
        </w:rPr>
        <w:t xml:space="preserve">que sigan organizando talleres y seminarios para los Miembros de la UIT en colaboración con otras organizaciones de normalización e instituciones pertinentes, responsables principales de la elaboración, implementación y formación relativas a las normas de los servicios financieros, con el fin de fomentar la sensibilización y determinar las necesidades y retos específicos de los reguladores en </w:t>
      </w:r>
      <w:r w:rsidR="00BE5062">
        <w:rPr>
          <w:rFonts w:asciiTheme="minorHAnsi" w:eastAsiaTheme="minorEastAsia" w:hAnsiTheme="minorHAnsi" w:cstheme="minorHAnsi"/>
          <w:szCs w:val="24"/>
          <w:lang w:eastAsia="zh-CN"/>
        </w:rPr>
        <w:t>materia de inclusión financiera.</w:t>
      </w:r>
    </w:p>
    <w:p w14:paraId="7A8AC756" w14:textId="6FEF74AB" w:rsidR="00453612" w:rsidRPr="00970DC0" w:rsidRDefault="00453612" w:rsidP="00080EEE">
      <w:pPr>
        <w:jc w:val="both"/>
      </w:pPr>
      <w:r w:rsidRPr="00970DC0">
        <w:t>3.3.</w:t>
      </w:r>
      <w:r w:rsidR="0017737E" w:rsidRPr="00970DC0">
        <w:t>5</w:t>
      </w:r>
      <w:r w:rsidRPr="00970DC0">
        <w:tab/>
      </w:r>
      <w:bookmarkStart w:id="127" w:name="lt_pId159"/>
      <w:r w:rsidR="00AA6A61" w:rsidRPr="00970DC0">
        <w:t>La Fundación</w:t>
      </w:r>
      <w:r w:rsidRPr="00970DC0">
        <w:t xml:space="preserve"> Bill </w:t>
      </w:r>
      <w:r w:rsidR="00BE5062">
        <w:t>y</w:t>
      </w:r>
      <w:r w:rsidRPr="00970DC0">
        <w:t xml:space="preserve"> Melinda Gates </w:t>
      </w:r>
      <w:r w:rsidR="00AA6A61" w:rsidRPr="00970DC0">
        <w:t>ha financiado durante los últimos tres años un puesto</w:t>
      </w:r>
      <w:r w:rsidRPr="00970DC0">
        <w:t xml:space="preserve"> P4</w:t>
      </w:r>
      <w:r w:rsidR="00AA6A61" w:rsidRPr="00970DC0">
        <w:t xml:space="preserve"> y un puesto</w:t>
      </w:r>
      <w:r w:rsidRPr="00970DC0">
        <w:t xml:space="preserve"> P2 </w:t>
      </w:r>
      <w:r w:rsidR="00AA6A61" w:rsidRPr="00970DC0">
        <w:t>para las actividades corrientes. Esa financiación llegará a su fin en junio de</w:t>
      </w:r>
      <w:bookmarkStart w:id="128" w:name="lt_pId160"/>
      <w:bookmarkEnd w:id="127"/>
      <w:r w:rsidRPr="00970DC0">
        <w:t xml:space="preserve"> 2020.</w:t>
      </w:r>
      <w:bookmarkEnd w:id="128"/>
    </w:p>
    <w:p w14:paraId="390E3A95" w14:textId="4A080CD6" w:rsidR="00453612" w:rsidRPr="00970DC0" w:rsidRDefault="00453612" w:rsidP="00080EEE">
      <w:pPr>
        <w:jc w:val="both"/>
      </w:pPr>
      <w:r w:rsidRPr="00970DC0">
        <w:t>3.3.</w:t>
      </w:r>
      <w:r w:rsidR="0017737E" w:rsidRPr="00970DC0">
        <w:t>6</w:t>
      </w:r>
      <w:r w:rsidRPr="00970DC0">
        <w:tab/>
      </w:r>
      <w:bookmarkStart w:id="129" w:name="lt_pId162"/>
      <w:r w:rsidR="00AA6A61" w:rsidRPr="00970DC0">
        <w:t xml:space="preserve">Solicitamos poder dotar un </w:t>
      </w:r>
      <w:r w:rsidR="00AA6A61" w:rsidRPr="00970DC0">
        <w:rPr>
          <w:b/>
          <w:bCs/>
        </w:rPr>
        <w:t>puesto</w:t>
      </w:r>
      <w:r w:rsidRPr="00970DC0">
        <w:t xml:space="preserve"> </w:t>
      </w:r>
      <w:r w:rsidRPr="00970DC0">
        <w:rPr>
          <w:b/>
          <w:bCs/>
        </w:rPr>
        <w:t xml:space="preserve">P4 </w:t>
      </w:r>
      <w:r w:rsidR="00AA6A61" w:rsidRPr="00970DC0">
        <w:t xml:space="preserve">y un </w:t>
      </w:r>
      <w:r w:rsidR="00AA6A61" w:rsidRPr="00970DC0">
        <w:rPr>
          <w:b/>
          <w:bCs/>
        </w:rPr>
        <w:t>puesto</w:t>
      </w:r>
      <w:r w:rsidRPr="00970DC0">
        <w:t xml:space="preserve"> </w:t>
      </w:r>
      <w:r w:rsidRPr="00970DC0">
        <w:rPr>
          <w:b/>
          <w:bCs/>
        </w:rPr>
        <w:t xml:space="preserve">G6 </w:t>
      </w:r>
      <w:r w:rsidR="00AA6A61" w:rsidRPr="00970DC0">
        <w:t>adicionales para responder a los encargos de la Resolución 204 de la PP y la Resolución 89 de la AMNT en pro de las actividades relacionadas con la inclusión financiera</w:t>
      </w:r>
      <w:r w:rsidRPr="00970DC0">
        <w:t>.</w:t>
      </w:r>
      <w:bookmarkEnd w:id="129"/>
    </w:p>
    <w:p w14:paraId="71EA4835" w14:textId="211DABAE" w:rsidR="00453612" w:rsidRPr="00970DC0" w:rsidRDefault="00453612" w:rsidP="00080EEE">
      <w:pPr>
        <w:pStyle w:val="Heading2"/>
        <w:jc w:val="both"/>
        <w:rPr>
          <w:rFonts w:eastAsiaTheme="minorEastAsia"/>
          <w:lang w:eastAsia="zh-CN"/>
        </w:rPr>
      </w:pPr>
      <w:bookmarkStart w:id="130" w:name="_Toc37930310"/>
      <w:bookmarkStart w:id="131" w:name="_Toc39047653"/>
      <w:r w:rsidRPr="00970DC0">
        <w:rPr>
          <w:rFonts w:eastAsiaTheme="minorEastAsia"/>
          <w:lang w:eastAsia="zh-CN"/>
        </w:rPr>
        <w:t>3.4</w:t>
      </w:r>
      <w:r w:rsidRPr="00970DC0">
        <w:rPr>
          <w:rFonts w:eastAsiaTheme="minorEastAsia"/>
          <w:lang w:eastAsia="zh-CN"/>
        </w:rPr>
        <w:tab/>
      </w:r>
      <w:bookmarkStart w:id="132" w:name="lt_pId164"/>
      <w:r w:rsidRPr="00970DC0">
        <w:rPr>
          <w:rFonts w:eastAsiaTheme="minorEastAsia"/>
          <w:lang w:eastAsia="zh-CN"/>
        </w:rPr>
        <w:t>Expert</w:t>
      </w:r>
      <w:r w:rsidR="00802274" w:rsidRPr="00970DC0">
        <w:rPr>
          <w:rFonts w:eastAsiaTheme="minorEastAsia"/>
          <w:lang w:eastAsia="zh-CN"/>
        </w:rPr>
        <w:t>o en la aplicación del aprendizaje automático a la infraestructura y servicios de TIC</w:t>
      </w:r>
      <w:bookmarkEnd w:id="130"/>
      <w:bookmarkEnd w:id="132"/>
      <w:bookmarkEnd w:id="131"/>
    </w:p>
    <w:p w14:paraId="43E1108A" w14:textId="03CAD090" w:rsidR="00453612" w:rsidRPr="00970DC0" w:rsidRDefault="00453612" w:rsidP="00080EEE">
      <w:pPr>
        <w:jc w:val="both"/>
      </w:pPr>
      <w:r w:rsidRPr="00970DC0">
        <w:rPr>
          <w:rFonts w:asciiTheme="minorHAnsi" w:hAnsiTheme="minorHAnsi" w:cstheme="minorHAnsi"/>
          <w:szCs w:val="24"/>
        </w:rPr>
        <w:t>3.4.1</w:t>
      </w:r>
      <w:r w:rsidRPr="00970DC0">
        <w:rPr>
          <w:rFonts w:asciiTheme="minorHAnsi" w:hAnsiTheme="minorHAnsi" w:cstheme="minorHAnsi"/>
          <w:szCs w:val="24"/>
        </w:rPr>
        <w:tab/>
      </w:r>
      <w:bookmarkStart w:id="133" w:name="lt_pId167"/>
      <w:r w:rsidR="00987695" w:rsidRPr="00970DC0">
        <w:t>La inteligencia artificial será la tecnología por excelencia del futuro y tendrá repercusiones en todos los ámbitos de la sociedad.</w:t>
      </w:r>
      <w:r w:rsidR="00987695" w:rsidRPr="00970DC0">
        <w:rPr>
          <w:rFonts w:asciiTheme="minorHAnsi" w:hAnsiTheme="minorHAnsi" w:cstheme="minorHAnsi"/>
          <w:szCs w:val="24"/>
        </w:rPr>
        <w:t xml:space="preserve"> En particular, la inteligencia artificial y el aprendizaje automático </w:t>
      </w:r>
      <w:r w:rsidR="006654A8" w:rsidRPr="00970DC0">
        <w:rPr>
          <w:rFonts w:asciiTheme="minorHAnsi" w:hAnsiTheme="minorHAnsi" w:cstheme="minorHAnsi"/>
          <w:szCs w:val="24"/>
        </w:rPr>
        <w:t xml:space="preserve">(ML) </w:t>
      </w:r>
      <w:r w:rsidR="00987695" w:rsidRPr="00970DC0">
        <w:rPr>
          <w:rFonts w:asciiTheme="minorHAnsi" w:hAnsiTheme="minorHAnsi" w:cstheme="minorHAnsi"/>
          <w:szCs w:val="24"/>
        </w:rPr>
        <w:t>conformarán las pautas de explotación de las redes de comunicación</w:t>
      </w:r>
      <w:r w:rsidR="00802274" w:rsidRPr="00970DC0">
        <w:rPr>
          <w:rFonts w:asciiTheme="minorHAnsi" w:hAnsiTheme="minorHAnsi" w:cstheme="minorHAnsi"/>
          <w:szCs w:val="24"/>
        </w:rPr>
        <w:t xml:space="preserve"> y los servicios de TIC se ajustarán a las necesidades de los usuarios</w:t>
      </w:r>
      <w:bookmarkStart w:id="134" w:name="lt_pId168"/>
      <w:bookmarkEnd w:id="133"/>
      <w:r w:rsidR="00802274" w:rsidRPr="00970DC0">
        <w:rPr>
          <w:rFonts w:asciiTheme="minorHAnsi" w:hAnsiTheme="minorHAnsi" w:cstheme="minorHAnsi"/>
          <w:szCs w:val="24"/>
        </w:rPr>
        <w:t>.</w:t>
      </w:r>
      <w:r w:rsidR="00987695" w:rsidRPr="00970DC0">
        <w:t xml:space="preserve"> Muchas empresas del sector de las TIC están ahondando en la mejor manera de aplicar ambas tecnologías</w:t>
      </w:r>
      <w:r w:rsidRPr="00970DC0">
        <w:t>.</w:t>
      </w:r>
      <w:bookmarkEnd w:id="134"/>
      <w:r w:rsidRPr="00970DC0">
        <w:t xml:space="preserve"> </w:t>
      </w:r>
    </w:p>
    <w:p w14:paraId="2C445E91" w14:textId="5D66DC76" w:rsidR="00453612" w:rsidRPr="00970DC0" w:rsidRDefault="00453612" w:rsidP="00080EEE">
      <w:pPr>
        <w:jc w:val="both"/>
      </w:pPr>
      <w:r w:rsidRPr="00970DC0">
        <w:t>3.4.2</w:t>
      </w:r>
      <w:r w:rsidRPr="00970DC0">
        <w:tab/>
      </w:r>
      <w:bookmarkStart w:id="135" w:name="lt_pId170"/>
      <w:r w:rsidR="00987695" w:rsidRPr="00970DC0">
        <w:t xml:space="preserve">La UIT se ha situado a la vanguardia </w:t>
      </w:r>
      <w:r w:rsidR="00802274" w:rsidRPr="00970DC0">
        <w:t>en su empeño por explorar</w:t>
      </w:r>
      <w:r w:rsidR="00987695" w:rsidRPr="00970DC0">
        <w:t xml:space="preserve"> la mejor manera de aplicar la inteligencia artificial y el aprendizaje automático en redes futuras, como las redes 5G</w:t>
      </w:r>
      <w:r w:rsidR="00802274" w:rsidRPr="00970DC0">
        <w:t xml:space="preserve"> y las redes privadas industriales</w:t>
      </w:r>
      <w:r w:rsidR="00987695" w:rsidRPr="00970DC0">
        <w:t xml:space="preserve">, </w:t>
      </w:r>
      <w:r w:rsidR="00802274" w:rsidRPr="00970DC0">
        <w:t xml:space="preserve">y ya </w:t>
      </w:r>
      <w:r w:rsidR="00987695" w:rsidRPr="00970DC0">
        <w:t>ha aprobado cuatro especificaciones que forman parte de un conjunto de herramientas para la integración del aprendizaje automático en las redes de comunicación</w:t>
      </w:r>
      <w:bookmarkStart w:id="136" w:name="lt_pId171"/>
      <w:bookmarkEnd w:id="135"/>
      <w:r w:rsidR="00802274" w:rsidRPr="00970DC0">
        <w:t>:</w:t>
      </w:r>
      <w:r w:rsidRPr="00970DC0">
        <w:rPr>
          <w:rFonts w:cs="Calibri"/>
          <w:b/>
          <w:color w:val="800000"/>
          <w:sz w:val="22"/>
        </w:rPr>
        <w:t xml:space="preserve"> </w:t>
      </w:r>
      <w:r w:rsidR="00802274" w:rsidRPr="00970DC0">
        <w:t>casos de uso</w:t>
      </w:r>
      <w:r w:rsidRPr="00970DC0">
        <w:t xml:space="preserve"> (Suplement</w:t>
      </w:r>
      <w:r w:rsidR="00802274" w:rsidRPr="00970DC0">
        <w:t>o</w:t>
      </w:r>
      <w:r w:rsidRPr="00970DC0">
        <w:t xml:space="preserve"> 55 </w:t>
      </w:r>
      <w:r w:rsidR="00802274" w:rsidRPr="00970DC0">
        <w:t>de la serie UIT</w:t>
      </w:r>
      <w:r w:rsidRPr="00970DC0">
        <w:t>-T Y.3170);</w:t>
      </w:r>
      <w:bookmarkEnd w:id="136"/>
      <w:r w:rsidRPr="00970DC0">
        <w:t xml:space="preserve"> </w:t>
      </w:r>
      <w:bookmarkStart w:id="137" w:name="lt_pId172"/>
      <w:r w:rsidR="00802274" w:rsidRPr="00970DC0">
        <w:t>marcos de arquitectura</w:t>
      </w:r>
      <w:r w:rsidRPr="00970DC0">
        <w:t xml:space="preserve"> (</w:t>
      </w:r>
      <w:r w:rsidR="00802274" w:rsidRPr="00970DC0">
        <w:t>UIT</w:t>
      </w:r>
      <w:r w:rsidRPr="00970DC0">
        <w:t>-T Y.3172)</w:t>
      </w:r>
      <w:r w:rsidR="00802274" w:rsidRPr="00970DC0">
        <w:t>;</w:t>
      </w:r>
      <w:r w:rsidRPr="00970DC0">
        <w:t xml:space="preserve"> </w:t>
      </w:r>
      <w:r w:rsidR="00802274" w:rsidRPr="00970DC0">
        <w:t>evaluación del nivel de inteligencia de las redes</w:t>
      </w:r>
      <w:r w:rsidRPr="00970DC0">
        <w:t xml:space="preserve"> (</w:t>
      </w:r>
      <w:r w:rsidR="00802274" w:rsidRPr="00970DC0">
        <w:t>UIT</w:t>
      </w:r>
      <w:r w:rsidRPr="00970DC0">
        <w:t xml:space="preserve">-T Y.3173), </w:t>
      </w:r>
      <w:r w:rsidR="00802274" w:rsidRPr="00970DC0">
        <w:t>y tratamiento de los datos</w:t>
      </w:r>
      <w:r w:rsidRPr="00970DC0">
        <w:t xml:space="preserve"> (</w:t>
      </w:r>
      <w:r w:rsidR="00802274" w:rsidRPr="00970DC0">
        <w:t>UIT</w:t>
      </w:r>
      <w:r w:rsidR="0017737E" w:rsidRPr="00970DC0">
        <w:noBreakHyphen/>
      </w:r>
      <w:r w:rsidRPr="00970DC0">
        <w:t>T</w:t>
      </w:r>
      <w:r w:rsidR="0017737E" w:rsidRPr="00970DC0">
        <w:t> </w:t>
      </w:r>
      <w:r w:rsidRPr="00970DC0">
        <w:t>Y.3172).</w:t>
      </w:r>
      <w:bookmarkEnd w:id="137"/>
    </w:p>
    <w:p w14:paraId="55ECB1BF" w14:textId="45CA6083" w:rsidR="00453612" w:rsidRPr="00970DC0" w:rsidRDefault="00453612" w:rsidP="00080EEE">
      <w:pPr>
        <w:jc w:val="both"/>
      </w:pPr>
      <w:r w:rsidRPr="00970DC0">
        <w:t>3.4.3</w:t>
      </w:r>
      <w:r w:rsidRPr="00970DC0">
        <w:tab/>
      </w:r>
      <w:bookmarkStart w:id="138" w:name="lt_pId174"/>
      <w:r w:rsidR="00802274" w:rsidRPr="00970DC0">
        <w:t xml:space="preserve">Otras normas están en fase de preparación: una norma sobre la interoperabilidad de mercados de aprendizaje automático (mercados que albergan repositorios de modelos de aprendizaje automático); una norma que describe los </w:t>
      </w:r>
      <w:r w:rsidR="00970DC0" w:rsidRPr="00970DC0">
        <w:t>"</w:t>
      </w:r>
      <w:r w:rsidR="00802274" w:rsidRPr="00970DC0">
        <w:t>entornos de pruebas de aprendizaje automático</w:t>
      </w:r>
      <w:r w:rsidR="00970DC0" w:rsidRPr="00970DC0">
        <w:t>"</w:t>
      </w:r>
      <w:r w:rsidR="00802274" w:rsidRPr="00970DC0">
        <w:t xml:space="preserve"> (se trata de entornos aislados donde se entrenan, prueban y evalúan aplicaciones de aprendizaje automático antes de su despliegue en una red real), y una norma sobre el </w:t>
      </w:r>
      <w:r w:rsidR="00970DC0" w:rsidRPr="00970DC0">
        <w:t>"</w:t>
      </w:r>
      <w:r w:rsidR="00802274" w:rsidRPr="00970DC0">
        <w:t>orquestador de funciones de aprendizaje automático</w:t>
      </w:r>
      <w:r w:rsidR="00970DC0" w:rsidRPr="00970DC0">
        <w:t>"</w:t>
      </w:r>
      <w:r w:rsidR="00802274" w:rsidRPr="00970DC0">
        <w:t xml:space="preserve"> para </w:t>
      </w:r>
      <w:r w:rsidR="006654A8" w:rsidRPr="00970DC0">
        <w:t>gestionar redes</w:t>
      </w:r>
      <w:bookmarkStart w:id="139" w:name="lt_pId177"/>
      <w:bookmarkEnd w:id="138"/>
      <w:r w:rsidRPr="00970DC0">
        <w:t>.</w:t>
      </w:r>
      <w:bookmarkEnd w:id="139"/>
      <w:r w:rsidRPr="00970DC0">
        <w:t xml:space="preserve"> </w:t>
      </w:r>
    </w:p>
    <w:p w14:paraId="746BDAC1" w14:textId="199CAFC9" w:rsidR="00453612" w:rsidRPr="00970DC0" w:rsidRDefault="00453612" w:rsidP="00080EEE">
      <w:pPr>
        <w:jc w:val="both"/>
      </w:pPr>
      <w:r w:rsidRPr="00970DC0">
        <w:t>3.4.4</w:t>
      </w:r>
      <w:r w:rsidRPr="00970DC0">
        <w:tab/>
      </w:r>
      <w:bookmarkStart w:id="140" w:name="lt_pId179"/>
      <w:r w:rsidR="006654A8" w:rsidRPr="00970DC0">
        <w:t xml:space="preserve">A fin de solventar problemas importantes en la 5G gracias al aprendizaje automático, la UIT también ha organizado el Reto IA/ML 5G de la UIT sobre el tema </w:t>
      </w:r>
      <w:r w:rsidR="00970DC0" w:rsidRPr="00970DC0">
        <w:t>"</w:t>
      </w:r>
      <w:r w:rsidR="006654A8" w:rsidRPr="00970DC0">
        <w:t>Cómo aplicar la arquitectura ML de la UIT a las redes 5G</w:t>
      </w:r>
      <w:r w:rsidR="00970DC0" w:rsidRPr="00970DC0">
        <w:t>"</w:t>
      </w:r>
      <w:bookmarkEnd w:id="140"/>
      <w:r w:rsidR="00987695" w:rsidRPr="00970DC0">
        <w:t>. Los participantes podrán resolver problemas reales, utilizando tecnologías normalizadas y desarrolladas para integrar el aprendizaje automático en redes 5G. Se requerirá la conformación de equipos a fin de habilitar, crear, formar y desplegar modelos de aprendizaje automático, que permitan a los participantes obtener experiencia práctica en la aplicación de ambas tecnologías en ámbitos pertinentes para la 5G.</w:t>
      </w:r>
      <w:r w:rsidR="00970DC0" w:rsidRPr="00970DC0">
        <w:t xml:space="preserve"> </w:t>
      </w:r>
    </w:p>
    <w:p w14:paraId="68B40D4E" w14:textId="2DF8BD56" w:rsidR="00453612" w:rsidRPr="00970DC0" w:rsidRDefault="00453612" w:rsidP="00080EEE">
      <w:pPr>
        <w:jc w:val="both"/>
      </w:pPr>
      <w:r w:rsidRPr="00970DC0">
        <w:t>3.4.5</w:t>
      </w:r>
      <w:r w:rsidRPr="00970DC0">
        <w:tab/>
      </w:r>
      <w:bookmarkStart w:id="141" w:name="lt_pId183"/>
      <w:r w:rsidR="006654A8" w:rsidRPr="00970DC0">
        <w:t xml:space="preserve">Para realizar los trabajos relacionados con la IA/ML de la UIT solicitamos poder dotar </w:t>
      </w:r>
      <w:r w:rsidR="006654A8" w:rsidRPr="00970DC0">
        <w:rPr>
          <w:b/>
          <w:bCs/>
        </w:rPr>
        <w:t>un puesto</w:t>
      </w:r>
      <w:r w:rsidRPr="00970DC0">
        <w:rPr>
          <w:b/>
          <w:bCs/>
        </w:rPr>
        <w:t xml:space="preserve"> P4 </w:t>
      </w:r>
      <w:r w:rsidR="006654A8" w:rsidRPr="00970DC0">
        <w:t>de experto en aplicación del aprendizaje automático a las redes de comunicaciones</w:t>
      </w:r>
      <w:r w:rsidRPr="00970DC0">
        <w:t>.</w:t>
      </w:r>
      <w:bookmarkEnd w:id="141"/>
    </w:p>
    <w:p w14:paraId="5E6F5874" w14:textId="6C2B9D48" w:rsidR="00453612" w:rsidRPr="00970DC0" w:rsidRDefault="00453612" w:rsidP="00970DC0">
      <w:pPr>
        <w:pStyle w:val="Heading1"/>
      </w:pPr>
      <w:bookmarkStart w:id="142" w:name="_Toc37930311"/>
      <w:bookmarkStart w:id="143" w:name="_Toc39047654"/>
      <w:r w:rsidRPr="00970DC0">
        <w:lastRenderedPageBreak/>
        <w:t>4</w:t>
      </w:r>
      <w:r w:rsidRPr="00970DC0">
        <w:tab/>
      </w:r>
      <w:bookmarkStart w:id="144" w:name="lt_pId185"/>
      <w:proofErr w:type="gramStart"/>
      <w:r w:rsidR="006654A8" w:rsidRPr="00970DC0">
        <w:t>Resumen</w:t>
      </w:r>
      <w:proofErr w:type="gramEnd"/>
      <w:r w:rsidR="006654A8" w:rsidRPr="00970DC0">
        <w:t xml:space="preserve"> de los recursos solicitados</w:t>
      </w:r>
      <w:bookmarkEnd w:id="142"/>
      <w:bookmarkEnd w:id="144"/>
      <w:bookmarkEnd w:id="143"/>
    </w:p>
    <w:p w14:paraId="70A1424A" w14:textId="75AF10D9" w:rsidR="00453612" w:rsidRPr="00970DC0" w:rsidRDefault="00453612" w:rsidP="00970DC0">
      <w:pPr>
        <w:spacing w:after="120"/>
      </w:pPr>
      <w:r w:rsidRPr="00970DC0">
        <w:t>4.1</w:t>
      </w:r>
      <w:r w:rsidRPr="00970DC0">
        <w:tab/>
      </w:r>
      <w:bookmarkStart w:id="145" w:name="lt_pId187"/>
      <w:r w:rsidR="006654A8" w:rsidRPr="00970DC0">
        <w:t>En el siguiente cuadro se resumen los costes de los recursos adicionales solicitados</w:t>
      </w:r>
      <w:r w:rsidRPr="00970DC0">
        <w:t>.</w:t>
      </w:r>
      <w:bookmarkEnd w:id="145"/>
      <w:r w:rsidRPr="00970DC0">
        <w:t xml:space="preserve"> </w:t>
      </w:r>
    </w:p>
    <w:tbl>
      <w:tblPr>
        <w:tblW w:w="7088" w:type="dxa"/>
        <w:jc w:val="center"/>
        <w:tblCellMar>
          <w:left w:w="0" w:type="dxa"/>
          <w:right w:w="0" w:type="dxa"/>
        </w:tblCellMar>
        <w:tblLook w:val="04A0" w:firstRow="1" w:lastRow="0" w:firstColumn="1" w:lastColumn="0" w:noHBand="0" w:noVBand="1"/>
      </w:tblPr>
      <w:tblGrid>
        <w:gridCol w:w="5529"/>
        <w:gridCol w:w="1559"/>
      </w:tblGrid>
      <w:tr w:rsidR="00453612" w:rsidRPr="00970DC0" w14:paraId="0BC30E2E" w14:textId="77777777" w:rsidTr="006A18EF">
        <w:trPr>
          <w:trHeight w:val="288"/>
          <w:jc w:val="center"/>
        </w:trPr>
        <w:tc>
          <w:tcPr>
            <w:tcW w:w="5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78FD27" w14:textId="02C22057" w:rsidR="00453612" w:rsidRPr="00970DC0" w:rsidRDefault="006654A8" w:rsidP="00970DC0">
            <w:pPr>
              <w:pStyle w:val="Tablehead"/>
            </w:pPr>
            <w:bookmarkStart w:id="146" w:name="lt_pId188"/>
            <w:r w:rsidRPr="00970DC0">
              <w:t>Actividades de Comisiones de Estudio</w:t>
            </w:r>
            <w:r w:rsidR="00453612" w:rsidRPr="00970DC0">
              <w:t>:</w:t>
            </w:r>
            <w:bookmarkEnd w:id="146"/>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D94AD24" w14:textId="37E24EC4" w:rsidR="00453612" w:rsidRPr="00970DC0" w:rsidRDefault="006654A8" w:rsidP="00970DC0">
            <w:pPr>
              <w:pStyle w:val="Tablehead"/>
            </w:pPr>
            <w:r w:rsidRPr="00970DC0">
              <w:t>Coste anual</w:t>
            </w:r>
          </w:p>
        </w:tc>
      </w:tr>
      <w:tr w:rsidR="00453612" w:rsidRPr="00970DC0" w14:paraId="099C90D6" w14:textId="77777777" w:rsidTr="006A18EF">
        <w:trPr>
          <w:jc w:val="center"/>
        </w:trPr>
        <w:tc>
          <w:tcPr>
            <w:tcW w:w="552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5503B4DB" w14:textId="377ECF72" w:rsidR="00453612" w:rsidRPr="00970DC0" w:rsidRDefault="00453612" w:rsidP="00970DC0">
            <w:pPr>
              <w:pStyle w:val="Tabletext"/>
            </w:pPr>
            <w:bookmarkStart w:id="147" w:name="lt_pId190"/>
            <w:r w:rsidRPr="00970DC0">
              <w:t xml:space="preserve">1 P2, </w:t>
            </w:r>
            <w:r w:rsidR="006654A8" w:rsidRPr="00970DC0">
              <w:t>IFR de ciudades inteligentes y</w:t>
            </w:r>
            <w:r w:rsidRPr="00970DC0">
              <w:t xml:space="preserve"> U4SSC</w:t>
            </w:r>
            <w:bookmarkEnd w:id="147"/>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14:paraId="0A3E0D9A" w14:textId="77777777" w:rsidR="00453612" w:rsidRPr="00970DC0" w:rsidRDefault="00453612" w:rsidP="00970DC0">
            <w:pPr>
              <w:pStyle w:val="Tabletext"/>
            </w:pPr>
            <w:r w:rsidRPr="00970DC0">
              <w:t>120</w:t>
            </w:r>
          </w:p>
        </w:tc>
      </w:tr>
      <w:tr w:rsidR="00453612" w:rsidRPr="00970DC0" w14:paraId="05DCBA1F" w14:textId="77777777" w:rsidTr="006A18EF">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566D0495" w14:textId="35937AD1" w:rsidR="00453612" w:rsidRPr="00970DC0" w:rsidRDefault="00453612" w:rsidP="00970DC0">
            <w:pPr>
              <w:pStyle w:val="Tabletext"/>
            </w:pPr>
            <w:bookmarkStart w:id="148" w:name="lt_pId192"/>
            <w:r w:rsidRPr="00970DC0">
              <w:t xml:space="preserve">1 P2, </w:t>
            </w:r>
            <w:r w:rsidR="006654A8" w:rsidRPr="00970DC0">
              <w:t>recursos de numeración</w:t>
            </w:r>
            <w:bookmarkEnd w:id="148"/>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2F55B3BA" w14:textId="77777777" w:rsidR="00453612" w:rsidRPr="00970DC0" w:rsidRDefault="00453612" w:rsidP="00970DC0">
            <w:pPr>
              <w:pStyle w:val="Tabletext"/>
            </w:pPr>
            <w:r w:rsidRPr="00970DC0">
              <w:t>120</w:t>
            </w:r>
          </w:p>
        </w:tc>
      </w:tr>
      <w:tr w:rsidR="00453612" w:rsidRPr="00970DC0" w14:paraId="574FB4B1" w14:textId="77777777" w:rsidTr="006A18EF">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7FDCD8AD" w14:textId="2BF07BE3" w:rsidR="00453612" w:rsidRPr="00970DC0" w:rsidRDefault="00453612" w:rsidP="00970DC0">
            <w:pPr>
              <w:pStyle w:val="Tabletext"/>
            </w:pPr>
            <w:bookmarkStart w:id="149" w:name="lt_pId194"/>
            <w:r w:rsidRPr="00970DC0">
              <w:t xml:space="preserve">1 P4, </w:t>
            </w:r>
            <w:r w:rsidR="006654A8" w:rsidRPr="00970DC0">
              <w:t>inclusión financiera</w:t>
            </w:r>
            <w:bookmarkEnd w:id="149"/>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56716580" w14:textId="77777777" w:rsidR="00453612" w:rsidRPr="00970DC0" w:rsidRDefault="00453612" w:rsidP="00970DC0">
            <w:pPr>
              <w:pStyle w:val="Tabletext"/>
            </w:pPr>
            <w:r w:rsidRPr="00970DC0">
              <w:t>150</w:t>
            </w:r>
          </w:p>
        </w:tc>
      </w:tr>
      <w:tr w:rsidR="00453612" w:rsidRPr="00970DC0" w14:paraId="5DC165BA" w14:textId="77777777" w:rsidTr="006A18EF">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27D3D84C" w14:textId="4F0F88A1" w:rsidR="00453612" w:rsidRPr="00970DC0" w:rsidRDefault="00453612" w:rsidP="00970DC0">
            <w:pPr>
              <w:pStyle w:val="Tabletext"/>
            </w:pPr>
            <w:bookmarkStart w:id="150" w:name="lt_pId196"/>
            <w:r w:rsidRPr="00970DC0">
              <w:t xml:space="preserve">1 G6, </w:t>
            </w:r>
            <w:r w:rsidR="006654A8" w:rsidRPr="00970DC0">
              <w:t>inclusión financiera</w:t>
            </w:r>
            <w:bookmarkEnd w:id="150"/>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051DA7F7" w14:textId="77777777" w:rsidR="00453612" w:rsidRPr="00970DC0" w:rsidRDefault="00453612" w:rsidP="00970DC0">
            <w:pPr>
              <w:pStyle w:val="Tabletext"/>
            </w:pPr>
            <w:r w:rsidRPr="00970DC0">
              <w:t>110</w:t>
            </w:r>
          </w:p>
        </w:tc>
      </w:tr>
      <w:tr w:rsidR="00453612" w:rsidRPr="00970DC0" w14:paraId="485F482A" w14:textId="77777777" w:rsidTr="006A18EF">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5F6876D9" w14:textId="36CB68D3" w:rsidR="00453612" w:rsidRPr="00970DC0" w:rsidRDefault="00453612" w:rsidP="00970DC0">
            <w:pPr>
              <w:pStyle w:val="Tabletext"/>
            </w:pPr>
            <w:bookmarkStart w:id="151" w:name="lt_pId198"/>
            <w:r w:rsidRPr="00970DC0">
              <w:t xml:space="preserve">1 P4, </w:t>
            </w:r>
            <w:r w:rsidR="006654A8" w:rsidRPr="00970DC0">
              <w:t>aplicaciones de aprendizaje automático para la infraestructura de TIC</w:t>
            </w:r>
            <w:bookmarkEnd w:id="151"/>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45A43A59" w14:textId="77777777" w:rsidR="00453612" w:rsidRPr="00970DC0" w:rsidRDefault="00453612" w:rsidP="00970DC0">
            <w:pPr>
              <w:pStyle w:val="Tabletext"/>
            </w:pPr>
            <w:r w:rsidRPr="00970DC0">
              <w:t>150</w:t>
            </w:r>
          </w:p>
        </w:tc>
      </w:tr>
      <w:tr w:rsidR="00453612" w:rsidRPr="00970DC0" w14:paraId="4DD8F6AE" w14:textId="77777777" w:rsidTr="006A18EF">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0A605950" w14:textId="6801DD73" w:rsidR="00453612" w:rsidRPr="00970DC0" w:rsidRDefault="006654A8" w:rsidP="00970DC0">
            <w:pPr>
              <w:pStyle w:val="Tabletext"/>
              <w:rPr>
                <w:b/>
              </w:rPr>
            </w:pPr>
            <w:r w:rsidRPr="00970DC0">
              <w:rPr>
                <w:b/>
              </w:rPr>
              <w:t>Herramientas y aplicaciones de TI:</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2D4F14AD" w14:textId="77777777" w:rsidR="00453612" w:rsidRPr="00970DC0" w:rsidRDefault="00453612" w:rsidP="00E25998">
            <w:pPr>
              <w:spacing w:before="100"/>
              <w:rPr>
                <w:rFonts w:asciiTheme="minorHAnsi" w:hAnsiTheme="minorHAnsi" w:cstheme="minorHAnsi"/>
                <w:color w:val="000000"/>
              </w:rPr>
            </w:pPr>
          </w:p>
        </w:tc>
      </w:tr>
      <w:tr w:rsidR="00453612" w:rsidRPr="00970DC0" w14:paraId="0A3C4AE7" w14:textId="77777777" w:rsidTr="006A18EF">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177C5624" w14:textId="77777777" w:rsidR="00453612" w:rsidRPr="00970DC0" w:rsidRDefault="00453612" w:rsidP="00970DC0">
            <w:pPr>
              <w:pStyle w:val="Tabletext"/>
            </w:pPr>
            <w:bookmarkStart w:id="152" w:name="lt_pId201"/>
            <w:r w:rsidRPr="00970DC0">
              <w:t>1 P1</w:t>
            </w:r>
            <w:bookmarkEnd w:id="152"/>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18017042" w14:textId="77777777" w:rsidR="00453612" w:rsidRPr="00970DC0" w:rsidRDefault="00453612" w:rsidP="00970DC0">
            <w:pPr>
              <w:pStyle w:val="Tabletext"/>
            </w:pPr>
            <w:r w:rsidRPr="00970DC0">
              <w:t>110</w:t>
            </w:r>
          </w:p>
        </w:tc>
      </w:tr>
      <w:tr w:rsidR="00453612" w:rsidRPr="00970DC0" w14:paraId="0D7FAA32" w14:textId="77777777" w:rsidTr="006A18EF">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461238DD" w14:textId="77777777" w:rsidR="00453612" w:rsidRPr="00970DC0" w:rsidRDefault="00453612" w:rsidP="00970DC0">
            <w:pPr>
              <w:pStyle w:val="Tabletext"/>
            </w:pPr>
            <w:bookmarkStart w:id="153" w:name="lt_pId203"/>
            <w:r w:rsidRPr="00970DC0">
              <w:t>1 P2</w:t>
            </w:r>
            <w:bookmarkEnd w:id="153"/>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441C51EC" w14:textId="77777777" w:rsidR="00453612" w:rsidRPr="00970DC0" w:rsidRDefault="00453612" w:rsidP="00970DC0">
            <w:pPr>
              <w:pStyle w:val="Tabletext"/>
            </w:pPr>
            <w:r w:rsidRPr="00970DC0">
              <w:t>120</w:t>
            </w:r>
          </w:p>
        </w:tc>
      </w:tr>
      <w:tr w:rsidR="00453612" w:rsidRPr="00970DC0" w14:paraId="52C2C9AE" w14:textId="77777777" w:rsidTr="006A18EF">
        <w:trPr>
          <w:trHeight w:val="288"/>
          <w:jc w:val="center"/>
        </w:trPr>
        <w:tc>
          <w:tcPr>
            <w:tcW w:w="552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75B1035F" w14:textId="77777777" w:rsidR="00453612" w:rsidRPr="00970DC0" w:rsidRDefault="00453612" w:rsidP="00970DC0">
            <w:pPr>
              <w:pStyle w:val="Tabletext"/>
              <w:rPr>
                <w:b/>
              </w:rPr>
            </w:pPr>
            <w:bookmarkStart w:id="154" w:name="lt_pId205"/>
            <w:r w:rsidRPr="00970DC0">
              <w:rPr>
                <w:b/>
              </w:rPr>
              <w:t>Total</w:t>
            </w:r>
            <w:bookmarkEnd w:id="154"/>
          </w:p>
        </w:tc>
        <w:tc>
          <w:tcPr>
            <w:tcW w:w="155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22DB5118" w14:textId="233446AE" w:rsidR="00453612" w:rsidRPr="00970DC0" w:rsidRDefault="00453612" w:rsidP="00386EFA">
            <w:pPr>
              <w:pStyle w:val="Tabletext"/>
              <w:rPr>
                <w:b/>
              </w:rPr>
            </w:pPr>
            <w:bookmarkStart w:id="155" w:name="lt_pId206"/>
            <w:r w:rsidRPr="00970DC0">
              <w:rPr>
                <w:b/>
              </w:rPr>
              <w:t>880</w:t>
            </w:r>
            <w:r w:rsidR="00386EFA">
              <w:rPr>
                <w:b/>
              </w:rPr>
              <w:t> 000</w:t>
            </w:r>
            <w:bookmarkEnd w:id="155"/>
          </w:p>
        </w:tc>
      </w:tr>
    </w:tbl>
    <w:p w14:paraId="15BFE863" w14:textId="11EA41A4" w:rsidR="00453612" w:rsidRPr="00970DC0" w:rsidRDefault="00453612" w:rsidP="00E25998">
      <w:pPr>
        <w:tabs>
          <w:tab w:val="clear" w:pos="567"/>
          <w:tab w:val="clear" w:pos="1134"/>
          <w:tab w:val="clear" w:pos="1701"/>
          <w:tab w:val="clear" w:pos="2268"/>
          <w:tab w:val="clear" w:pos="2835"/>
        </w:tabs>
        <w:overflowPunct/>
        <w:autoSpaceDE/>
        <w:autoSpaceDN/>
        <w:adjustRightInd/>
        <w:spacing w:before="160"/>
        <w:textAlignment w:val="auto"/>
        <w:rPr>
          <w:rFonts w:asciiTheme="minorHAnsi" w:eastAsiaTheme="minorEastAsia" w:hAnsiTheme="minorHAnsi" w:cstheme="minorHAnsi"/>
          <w:szCs w:val="24"/>
          <w:lang w:eastAsia="zh-CN"/>
        </w:rPr>
      </w:pPr>
      <w:bookmarkStart w:id="156" w:name="_Hlk38027531"/>
      <w:r w:rsidRPr="00970DC0">
        <w:rPr>
          <w:rFonts w:asciiTheme="minorHAnsi" w:eastAsiaTheme="minorEastAsia" w:hAnsiTheme="minorHAnsi" w:cstheme="minorHAnsi"/>
          <w:szCs w:val="24"/>
          <w:lang w:eastAsia="zh-CN"/>
        </w:rPr>
        <w:t>4.2</w:t>
      </w:r>
      <w:r w:rsidRPr="00970DC0">
        <w:rPr>
          <w:rFonts w:asciiTheme="minorHAnsi" w:eastAsiaTheme="minorEastAsia" w:hAnsiTheme="minorHAnsi" w:cstheme="minorHAnsi"/>
          <w:szCs w:val="24"/>
          <w:lang w:eastAsia="zh-CN"/>
        </w:rPr>
        <w:tab/>
      </w:r>
      <w:bookmarkStart w:id="157" w:name="lt_pId208"/>
      <w:r w:rsidR="006654A8" w:rsidRPr="00970DC0">
        <w:rPr>
          <w:rFonts w:asciiTheme="minorHAnsi" w:eastAsiaTheme="minorEastAsia" w:hAnsiTheme="minorHAnsi" w:cstheme="minorHAnsi"/>
          <w:szCs w:val="24"/>
          <w:lang w:eastAsia="zh-CN"/>
        </w:rPr>
        <w:t>Como fuente de financiación se propone utilizar el superávit de</w:t>
      </w:r>
      <w:r w:rsidRPr="00970DC0">
        <w:rPr>
          <w:rFonts w:asciiTheme="minorHAnsi" w:eastAsiaTheme="minorEastAsia" w:hAnsiTheme="minorHAnsi" w:cstheme="minorHAnsi"/>
          <w:szCs w:val="24"/>
          <w:lang w:eastAsia="zh-CN"/>
        </w:rPr>
        <w:t xml:space="preserve"> 2020, </w:t>
      </w:r>
      <w:r w:rsidR="006654A8" w:rsidRPr="00970DC0">
        <w:rPr>
          <w:rFonts w:asciiTheme="minorHAnsi" w:eastAsiaTheme="minorEastAsia" w:hAnsiTheme="minorHAnsi" w:cstheme="minorHAnsi"/>
          <w:szCs w:val="24"/>
          <w:lang w:eastAsia="zh-CN"/>
        </w:rPr>
        <w:t>las contribuciones voluntarias, la Cuenta de Provisión, como último recurso, o una combinación de cualquiera de los anteriores</w:t>
      </w:r>
      <w:r w:rsidRPr="00970DC0">
        <w:rPr>
          <w:rFonts w:asciiTheme="minorHAnsi" w:eastAsiaTheme="minorEastAsia" w:hAnsiTheme="minorHAnsi" w:cstheme="minorHAnsi"/>
          <w:szCs w:val="24"/>
          <w:lang w:eastAsia="zh-CN"/>
        </w:rPr>
        <w:t>.</w:t>
      </w:r>
      <w:bookmarkEnd w:id="157"/>
    </w:p>
    <w:p w14:paraId="1942B663" w14:textId="77777777" w:rsidR="00970DC0" w:rsidRPr="00970DC0" w:rsidRDefault="00970DC0" w:rsidP="00080EEE">
      <w:pPr>
        <w:spacing w:before="840"/>
        <w:jc w:val="center"/>
      </w:pPr>
      <w:r w:rsidRPr="00970DC0">
        <w:t>______________</w:t>
      </w:r>
    </w:p>
    <w:bookmarkEnd w:id="156"/>
    <w:bookmarkEnd w:id="27"/>
    <w:sectPr w:rsidR="00970DC0" w:rsidRPr="00970DC0" w:rsidSect="006710F6">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E8871" w14:textId="77777777" w:rsidR="00453612" w:rsidRDefault="00453612">
      <w:r>
        <w:separator/>
      </w:r>
    </w:p>
  </w:endnote>
  <w:endnote w:type="continuationSeparator" w:id="0">
    <w:p w14:paraId="7D3679F2" w14:textId="77777777" w:rsidR="00453612" w:rsidRDefault="0045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04EA6" w14:textId="739A5C9D" w:rsidR="00760F1C" w:rsidRPr="00080EEE" w:rsidRDefault="002F6252" w:rsidP="002F6252">
    <w:pPr>
      <w:pStyle w:val="Footer"/>
      <w:rPr>
        <w:color w:val="BFBFBF" w:themeColor="background1" w:themeShade="BF"/>
        <w:lang w:val="fr-CH"/>
      </w:rPr>
    </w:pPr>
    <w:r w:rsidRPr="00080EEE">
      <w:rPr>
        <w:color w:val="BFBFBF" w:themeColor="background1" w:themeShade="BF"/>
      </w:rPr>
      <w:fldChar w:fldCharType="begin"/>
    </w:r>
    <w:r w:rsidRPr="00080EEE">
      <w:rPr>
        <w:color w:val="BFBFBF" w:themeColor="background1" w:themeShade="BF"/>
        <w:lang w:val="fr-CH"/>
      </w:rPr>
      <w:instrText xml:space="preserve"> FILENAME \p  \* MERGEFORMAT </w:instrText>
    </w:r>
    <w:r w:rsidRPr="00080EEE">
      <w:rPr>
        <w:color w:val="BFBFBF" w:themeColor="background1" w:themeShade="BF"/>
      </w:rPr>
      <w:fldChar w:fldCharType="separate"/>
    </w:r>
    <w:r w:rsidR="00060939" w:rsidRPr="00080EEE">
      <w:rPr>
        <w:color w:val="BFBFBF" w:themeColor="background1" w:themeShade="BF"/>
        <w:lang w:val="fr-CH"/>
      </w:rPr>
      <w:t>P:\ESP\SG\CONSEIL\C20\000\014S.docx</w:t>
    </w:r>
    <w:r w:rsidRPr="00080EEE">
      <w:rPr>
        <w:color w:val="BFBFBF" w:themeColor="background1" w:themeShade="BF"/>
      </w:rPr>
      <w:fldChar w:fldCharType="end"/>
    </w:r>
    <w:r w:rsidRPr="00080EEE">
      <w:rPr>
        <w:color w:val="BFBFBF" w:themeColor="background1" w:themeShade="BF"/>
        <w:lang w:val="fr-CH"/>
      </w:rPr>
      <w:t xml:space="preserve"> (467320)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BCBBF"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D31B6" w14:textId="77777777" w:rsidR="00453612" w:rsidRDefault="00453612">
      <w:r>
        <w:t>____________________</w:t>
      </w:r>
    </w:p>
  </w:footnote>
  <w:footnote w:type="continuationSeparator" w:id="0">
    <w:p w14:paraId="42C0C217" w14:textId="77777777" w:rsidR="00453612" w:rsidRDefault="0045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4BB0B" w14:textId="60F0A09E" w:rsidR="00760F1C" w:rsidRDefault="000B7C15" w:rsidP="007657F0">
    <w:pPr>
      <w:pStyle w:val="Header"/>
    </w:pPr>
    <w:r>
      <w:fldChar w:fldCharType="begin"/>
    </w:r>
    <w:r>
      <w:instrText>PAGE</w:instrText>
    </w:r>
    <w:r>
      <w:fldChar w:fldCharType="separate"/>
    </w:r>
    <w:r w:rsidR="00386EFA">
      <w:rPr>
        <w:noProof/>
      </w:rPr>
      <w:t>8</w:t>
    </w:r>
    <w:r>
      <w:rPr>
        <w:noProof/>
      </w:rPr>
      <w:fldChar w:fldCharType="end"/>
    </w:r>
  </w:p>
  <w:p w14:paraId="05585656" w14:textId="7F8E1C66" w:rsidR="00760F1C" w:rsidRDefault="00760F1C" w:rsidP="00C2727F">
    <w:pPr>
      <w:pStyle w:val="Header"/>
    </w:pPr>
    <w:r>
      <w:t>C</w:t>
    </w:r>
    <w:r w:rsidR="007955DA">
      <w:t>20</w:t>
    </w:r>
    <w:r>
      <w:t>/</w:t>
    </w:r>
    <w:r w:rsidR="00E25998">
      <w:t>14</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2D1A46"/>
    <w:multiLevelType w:val="hybridMultilevel"/>
    <w:tmpl w:val="6152F2AE"/>
    <w:lvl w:ilvl="0" w:tplc="DFAC8B9A">
      <w:start w:val="1"/>
      <w:numFmt w:val="bullet"/>
      <w:lvlText w:val=""/>
      <w:lvlJc w:val="left"/>
      <w:pPr>
        <w:ind w:left="360" w:hanging="360"/>
      </w:pPr>
      <w:rPr>
        <w:rFonts w:ascii="Symbol" w:hAnsi="Symbol" w:hint="default"/>
      </w:rPr>
    </w:lvl>
    <w:lvl w:ilvl="1" w:tplc="FADA1952">
      <w:start w:val="1"/>
      <w:numFmt w:val="bullet"/>
      <w:lvlText w:val="o"/>
      <w:lvlJc w:val="left"/>
      <w:pPr>
        <w:ind w:left="1080" w:hanging="360"/>
      </w:pPr>
      <w:rPr>
        <w:rFonts w:ascii="Courier New" w:hAnsi="Courier New" w:cs="Courier New" w:hint="default"/>
      </w:rPr>
    </w:lvl>
    <w:lvl w:ilvl="2" w:tplc="E9169FA6" w:tentative="1">
      <w:start w:val="1"/>
      <w:numFmt w:val="bullet"/>
      <w:lvlText w:val=""/>
      <w:lvlJc w:val="left"/>
      <w:pPr>
        <w:ind w:left="1800" w:hanging="360"/>
      </w:pPr>
      <w:rPr>
        <w:rFonts w:ascii="Wingdings" w:hAnsi="Wingdings" w:hint="default"/>
      </w:rPr>
    </w:lvl>
    <w:lvl w:ilvl="3" w:tplc="40EC0008" w:tentative="1">
      <w:start w:val="1"/>
      <w:numFmt w:val="bullet"/>
      <w:lvlText w:val=""/>
      <w:lvlJc w:val="left"/>
      <w:pPr>
        <w:ind w:left="2520" w:hanging="360"/>
      </w:pPr>
      <w:rPr>
        <w:rFonts w:ascii="Symbol" w:hAnsi="Symbol" w:hint="default"/>
      </w:rPr>
    </w:lvl>
    <w:lvl w:ilvl="4" w:tplc="76DEA334" w:tentative="1">
      <w:start w:val="1"/>
      <w:numFmt w:val="bullet"/>
      <w:lvlText w:val="o"/>
      <w:lvlJc w:val="left"/>
      <w:pPr>
        <w:ind w:left="3240" w:hanging="360"/>
      </w:pPr>
      <w:rPr>
        <w:rFonts w:ascii="Courier New" w:hAnsi="Courier New" w:cs="Courier New" w:hint="default"/>
      </w:rPr>
    </w:lvl>
    <w:lvl w:ilvl="5" w:tplc="733C459C" w:tentative="1">
      <w:start w:val="1"/>
      <w:numFmt w:val="bullet"/>
      <w:lvlText w:val=""/>
      <w:lvlJc w:val="left"/>
      <w:pPr>
        <w:ind w:left="3960" w:hanging="360"/>
      </w:pPr>
      <w:rPr>
        <w:rFonts w:ascii="Wingdings" w:hAnsi="Wingdings" w:hint="default"/>
      </w:rPr>
    </w:lvl>
    <w:lvl w:ilvl="6" w:tplc="FAFAF5AA" w:tentative="1">
      <w:start w:val="1"/>
      <w:numFmt w:val="bullet"/>
      <w:lvlText w:val=""/>
      <w:lvlJc w:val="left"/>
      <w:pPr>
        <w:ind w:left="4680" w:hanging="360"/>
      </w:pPr>
      <w:rPr>
        <w:rFonts w:ascii="Symbol" w:hAnsi="Symbol" w:hint="default"/>
      </w:rPr>
    </w:lvl>
    <w:lvl w:ilvl="7" w:tplc="0E309938" w:tentative="1">
      <w:start w:val="1"/>
      <w:numFmt w:val="bullet"/>
      <w:lvlText w:val="o"/>
      <w:lvlJc w:val="left"/>
      <w:pPr>
        <w:ind w:left="5400" w:hanging="360"/>
      </w:pPr>
      <w:rPr>
        <w:rFonts w:ascii="Courier New" w:hAnsi="Courier New" w:cs="Courier New" w:hint="default"/>
      </w:rPr>
    </w:lvl>
    <w:lvl w:ilvl="8" w:tplc="7C30BB44" w:tentative="1">
      <w:start w:val="1"/>
      <w:numFmt w:val="bullet"/>
      <w:lvlText w:val=""/>
      <w:lvlJc w:val="left"/>
      <w:pPr>
        <w:ind w:left="6120" w:hanging="360"/>
      </w:pPr>
      <w:rPr>
        <w:rFonts w:ascii="Wingdings" w:hAnsi="Wingdings" w:hint="default"/>
      </w:rPr>
    </w:lvl>
  </w:abstractNum>
  <w:abstractNum w:abstractNumId="1" w15:restartNumberingAfterBreak="0">
    <w:nsid w:val="3E5E6C13"/>
    <w:multiLevelType w:val="hybridMultilevel"/>
    <w:tmpl w:val="B1C20E52"/>
    <w:lvl w:ilvl="0" w:tplc="76E00794">
      <w:start w:val="1"/>
      <w:numFmt w:val="bullet"/>
      <w:lvlText w:val=""/>
      <w:lvlJc w:val="left"/>
      <w:pPr>
        <w:ind w:left="360" w:hanging="360"/>
      </w:pPr>
      <w:rPr>
        <w:rFonts w:ascii="Symbol" w:hAnsi="Symbol" w:hint="default"/>
      </w:rPr>
    </w:lvl>
    <w:lvl w:ilvl="1" w:tplc="0D802550" w:tentative="1">
      <w:start w:val="1"/>
      <w:numFmt w:val="bullet"/>
      <w:lvlText w:val="o"/>
      <w:lvlJc w:val="left"/>
      <w:pPr>
        <w:ind w:left="1080" w:hanging="360"/>
      </w:pPr>
      <w:rPr>
        <w:rFonts w:ascii="Courier New" w:hAnsi="Courier New" w:cs="Courier New" w:hint="default"/>
      </w:rPr>
    </w:lvl>
    <w:lvl w:ilvl="2" w:tplc="EC040D22" w:tentative="1">
      <w:start w:val="1"/>
      <w:numFmt w:val="bullet"/>
      <w:lvlText w:val=""/>
      <w:lvlJc w:val="left"/>
      <w:pPr>
        <w:ind w:left="1800" w:hanging="360"/>
      </w:pPr>
      <w:rPr>
        <w:rFonts w:ascii="Wingdings" w:hAnsi="Wingdings" w:hint="default"/>
      </w:rPr>
    </w:lvl>
    <w:lvl w:ilvl="3" w:tplc="35066EE6" w:tentative="1">
      <w:start w:val="1"/>
      <w:numFmt w:val="bullet"/>
      <w:lvlText w:val=""/>
      <w:lvlJc w:val="left"/>
      <w:pPr>
        <w:ind w:left="2520" w:hanging="360"/>
      </w:pPr>
      <w:rPr>
        <w:rFonts w:ascii="Symbol" w:hAnsi="Symbol" w:hint="default"/>
      </w:rPr>
    </w:lvl>
    <w:lvl w:ilvl="4" w:tplc="EF46199E" w:tentative="1">
      <w:start w:val="1"/>
      <w:numFmt w:val="bullet"/>
      <w:lvlText w:val="o"/>
      <w:lvlJc w:val="left"/>
      <w:pPr>
        <w:ind w:left="3240" w:hanging="360"/>
      </w:pPr>
      <w:rPr>
        <w:rFonts w:ascii="Courier New" w:hAnsi="Courier New" w:cs="Courier New" w:hint="default"/>
      </w:rPr>
    </w:lvl>
    <w:lvl w:ilvl="5" w:tplc="2A02162C" w:tentative="1">
      <w:start w:val="1"/>
      <w:numFmt w:val="bullet"/>
      <w:lvlText w:val=""/>
      <w:lvlJc w:val="left"/>
      <w:pPr>
        <w:ind w:left="3960" w:hanging="360"/>
      </w:pPr>
      <w:rPr>
        <w:rFonts w:ascii="Wingdings" w:hAnsi="Wingdings" w:hint="default"/>
      </w:rPr>
    </w:lvl>
    <w:lvl w:ilvl="6" w:tplc="D7A42AD8" w:tentative="1">
      <w:start w:val="1"/>
      <w:numFmt w:val="bullet"/>
      <w:lvlText w:val=""/>
      <w:lvlJc w:val="left"/>
      <w:pPr>
        <w:ind w:left="4680" w:hanging="360"/>
      </w:pPr>
      <w:rPr>
        <w:rFonts w:ascii="Symbol" w:hAnsi="Symbol" w:hint="default"/>
      </w:rPr>
    </w:lvl>
    <w:lvl w:ilvl="7" w:tplc="26260536" w:tentative="1">
      <w:start w:val="1"/>
      <w:numFmt w:val="bullet"/>
      <w:lvlText w:val="o"/>
      <w:lvlJc w:val="left"/>
      <w:pPr>
        <w:ind w:left="5400" w:hanging="360"/>
      </w:pPr>
      <w:rPr>
        <w:rFonts w:ascii="Courier New" w:hAnsi="Courier New" w:cs="Courier New" w:hint="default"/>
      </w:rPr>
    </w:lvl>
    <w:lvl w:ilvl="8" w:tplc="38D8186E" w:tentative="1">
      <w:start w:val="1"/>
      <w:numFmt w:val="bullet"/>
      <w:lvlText w:val=""/>
      <w:lvlJc w:val="left"/>
      <w:pPr>
        <w:ind w:left="6120" w:hanging="360"/>
      </w:pPr>
      <w:rPr>
        <w:rFonts w:ascii="Wingdings" w:hAnsi="Wingdings" w:hint="default"/>
      </w:rPr>
    </w:lvl>
  </w:abstractNum>
  <w:abstractNum w:abstractNumId="2" w15:restartNumberingAfterBreak="0">
    <w:nsid w:val="659547D1"/>
    <w:multiLevelType w:val="hybridMultilevel"/>
    <w:tmpl w:val="DCF8BE30"/>
    <w:lvl w:ilvl="0" w:tplc="F73C7B24">
      <w:start w:val="1"/>
      <w:numFmt w:val="bullet"/>
      <w:lvlText w:val="–"/>
      <w:lvlJc w:val="left"/>
      <w:pPr>
        <w:ind w:left="720" w:hanging="360"/>
      </w:pPr>
      <w:rPr>
        <w:rFonts w:ascii="Times New Roman" w:hAnsi="Times New Roman" w:cs="Times New Roman" w:hint="default"/>
      </w:rPr>
    </w:lvl>
    <w:lvl w:ilvl="1" w:tplc="7F7C1A0A" w:tentative="1">
      <w:start w:val="1"/>
      <w:numFmt w:val="bullet"/>
      <w:lvlText w:val="o"/>
      <w:lvlJc w:val="left"/>
      <w:pPr>
        <w:ind w:left="1440" w:hanging="360"/>
      </w:pPr>
      <w:rPr>
        <w:rFonts w:ascii="Courier New" w:hAnsi="Courier New" w:cs="Courier New" w:hint="default"/>
      </w:rPr>
    </w:lvl>
    <w:lvl w:ilvl="2" w:tplc="33F8FFCE" w:tentative="1">
      <w:start w:val="1"/>
      <w:numFmt w:val="bullet"/>
      <w:lvlText w:val=""/>
      <w:lvlJc w:val="left"/>
      <w:pPr>
        <w:ind w:left="2160" w:hanging="360"/>
      </w:pPr>
      <w:rPr>
        <w:rFonts w:ascii="Wingdings" w:hAnsi="Wingdings" w:hint="default"/>
      </w:rPr>
    </w:lvl>
    <w:lvl w:ilvl="3" w:tplc="49BC2686" w:tentative="1">
      <w:start w:val="1"/>
      <w:numFmt w:val="bullet"/>
      <w:lvlText w:val=""/>
      <w:lvlJc w:val="left"/>
      <w:pPr>
        <w:ind w:left="2880" w:hanging="360"/>
      </w:pPr>
      <w:rPr>
        <w:rFonts w:ascii="Symbol" w:hAnsi="Symbol" w:hint="default"/>
      </w:rPr>
    </w:lvl>
    <w:lvl w:ilvl="4" w:tplc="25B602B0" w:tentative="1">
      <w:start w:val="1"/>
      <w:numFmt w:val="bullet"/>
      <w:lvlText w:val="o"/>
      <w:lvlJc w:val="left"/>
      <w:pPr>
        <w:ind w:left="3600" w:hanging="360"/>
      </w:pPr>
      <w:rPr>
        <w:rFonts w:ascii="Courier New" w:hAnsi="Courier New" w:cs="Courier New" w:hint="default"/>
      </w:rPr>
    </w:lvl>
    <w:lvl w:ilvl="5" w:tplc="61E29842" w:tentative="1">
      <w:start w:val="1"/>
      <w:numFmt w:val="bullet"/>
      <w:lvlText w:val=""/>
      <w:lvlJc w:val="left"/>
      <w:pPr>
        <w:ind w:left="4320" w:hanging="360"/>
      </w:pPr>
      <w:rPr>
        <w:rFonts w:ascii="Wingdings" w:hAnsi="Wingdings" w:hint="default"/>
      </w:rPr>
    </w:lvl>
    <w:lvl w:ilvl="6" w:tplc="AF5E3612" w:tentative="1">
      <w:start w:val="1"/>
      <w:numFmt w:val="bullet"/>
      <w:lvlText w:val=""/>
      <w:lvlJc w:val="left"/>
      <w:pPr>
        <w:ind w:left="5040" w:hanging="360"/>
      </w:pPr>
      <w:rPr>
        <w:rFonts w:ascii="Symbol" w:hAnsi="Symbol" w:hint="default"/>
      </w:rPr>
    </w:lvl>
    <w:lvl w:ilvl="7" w:tplc="D25A86C8" w:tentative="1">
      <w:start w:val="1"/>
      <w:numFmt w:val="bullet"/>
      <w:lvlText w:val="o"/>
      <w:lvlJc w:val="left"/>
      <w:pPr>
        <w:ind w:left="5760" w:hanging="360"/>
      </w:pPr>
      <w:rPr>
        <w:rFonts w:ascii="Courier New" w:hAnsi="Courier New" w:cs="Courier New" w:hint="default"/>
      </w:rPr>
    </w:lvl>
    <w:lvl w:ilvl="8" w:tplc="20E65B22"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12"/>
    <w:rsid w:val="000441A8"/>
    <w:rsid w:val="00060939"/>
    <w:rsid w:val="00080EEE"/>
    <w:rsid w:val="00093EEB"/>
    <w:rsid w:val="000B0D00"/>
    <w:rsid w:val="000B7C15"/>
    <w:rsid w:val="000D1D0F"/>
    <w:rsid w:val="000F5290"/>
    <w:rsid w:val="0010165C"/>
    <w:rsid w:val="00144743"/>
    <w:rsid w:val="00146BFB"/>
    <w:rsid w:val="0017737E"/>
    <w:rsid w:val="0018228C"/>
    <w:rsid w:val="001D4EA9"/>
    <w:rsid w:val="001F14A2"/>
    <w:rsid w:val="0021726E"/>
    <w:rsid w:val="00222FB5"/>
    <w:rsid w:val="002801AA"/>
    <w:rsid w:val="002C4676"/>
    <w:rsid w:val="002C70B0"/>
    <w:rsid w:val="002F3CC4"/>
    <w:rsid w:val="002F6252"/>
    <w:rsid w:val="00371113"/>
    <w:rsid w:val="00386EFA"/>
    <w:rsid w:val="00410651"/>
    <w:rsid w:val="00453612"/>
    <w:rsid w:val="004C26E6"/>
    <w:rsid w:val="00513630"/>
    <w:rsid w:val="00560125"/>
    <w:rsid w:val="00585553"/>
    <w:rsid w:val="005B34D9"/>
    <w:rsid w:val="005D0CCF"/>
    <w:rsid w:val="005E22CA"/>
    <w:rsid w:val="005E3C98"/>
    <w:rsid w:val="005E73FE"/>
    <w:rsid w:val="005F3BCB"/>
    <w:rsid w:val="005F410F"/>
    <w:rsid w:val="0060149A"/>
    <w:rsid w:val="00601924"/>
    <w:rsid w:val="006447EA"/>
    <w:rsid w:val="0064731F"/>
    <w:rsid w:val="00664572"/>
    <w:rsid w:val="006654A8"/>
    <w:rsid w:val="006710F6"/>
    <w:rsid w:val="006950C9"/>
    <w:rsid w:val="006C1B56"/>
    <w:rsid w:val="006D4761"/>
    <w:rsid w:val="00726872"/>
    <w:rsid w:val="00760F1C"/>
    <w:rsid w:val="007657F0"/>
    <w:rsid w:val="0077252D"/>
    <w:rsid w:val="007955DA"/>
    <w:rsid w:val="007A7B3A"/>
    <w:rsid w:val="007E5DD3"/>
    <w:rsid w:val="007F350B"/>
    <w:rsid w:val="00802274"/>
    <w:rsid w:val="008160A2"/>
    <w:rsid w:val="00820BE4"/>
    <w:rsid w:val="008451E8"/>
    <w:rsid w:val="0086534A"/>
    <w:rsid w:val="008E6935"/>
    <w:rsid w:val="00913B9C"/>
    <w:rsid w:val="00956E77"/>
    <w:rsid w:val="00970DC0"/>
    <w:rsid w:val="00987695"/>
    <w:rsid w:val="009F4811"/>
    <w:rsid w:val="00AA390C"/>
    <w:rsid w:val="00AA6A61"/>
    <w:rsid w:val="00AF6A1B"/>
    <w:rsid w:val="00B0200A"/>
    <w:rsid w:val="00B20B72"/>
    <w:rsid w:val="00B21D6A"/>
    <w:rsid w:val="00B574DB"/>
    <w:rsid w:val="00B826C2"/>
    <w:rsid w:val="00B8298E"/>
    <w:rsid w:val="00BA1649"/>
    <w:rsid w:val="00BB4F9A"/>
    <w:rsid w:val="00BC53FC"/>
    <w:rsid w:val="00BD0723"/>
    <w:rsid w:val="00BD2518"/>
    <w:rsid w:val="00BD5C73"/>
    <w:rsid w:val="00BE5062"/>
    <w:rsid w:val="00BF1D1C"/>
    <w:rsid w:val="00C156CC"/>
    <w:rsid w:val="00C20C59"/>
    <w:rsid w:val="00C2727F"/>
    <w:rsid w:val="00C55B1F"/>
    <w:rsid w:val="00CF1A67"/>
    <w:rsid w:val="00D01286"/>
    <w:rsid w:val="00D2750E"/>
    <w:rsid w:val="00D62446"/>
    <w:rsid w:val="00DA4EA2"/>
    <w:rsid w:val="00DC3D3E"/>
    <w:rsid w:val="00DE145F"/>
    <w:rsid w:val="00DE2C90"/>
    <w:rsid w:val="00DE3B24"/>
    <w:rsid w:val="00E06947"/>
    <w:rsid w:val="00E25998"/>
    <w:rsid w:val="00E3592D"/>
    <w:rsid w:val="00E84561"/>
    <w:rsid w:val="00E92DE8"/>
    <w:rsid w:val="00EB1212"/>
    <w:rsid w:val="00EC5C38"/>
    <w:rsid w:val="00ED65AB"/>
    <w:rsid w:val="00F12850"/>
    <w:rsid w:val="00F33BF4"/>
    <w:rsid w:val="00F7105E"/>
    <w:rsid w:val="00F75F57"/>
    <w:rsid w:val="00F80CF2"/>
    <w:rsid w:val="00F82FEE"/>
    <w:rsid w:val="00F86A32"/>
    <w:rsid w:val="00FB315D"/>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A0EDAB"/>
  <w15:docId w15:val="{3D723A82-7252-45EB-9055-DCC90F80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453612"/>
    <w:rPr>
      <w:color w:val="605E5C"/>
      <w:shd w:val="clear" w:color="auto" w:fill="E1DFDD"/>
    </w:rPr>
  </w:style>
  <w:style w:type="paragraph" w:customStyle="1" w:styleId="paragraph">
    <w:name w:val="paragraph"/>
    <w:basedOn w:val="Normal"/>
    <w:rsid w:val="0045361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ja-JP"/>
    </w:rPr>
  </w:style>
  <w:style w:type="character" w:customStyle="1" w:styleId="normaltextrun">
    <w:name w:val="normaltextrun"/>
    <w:basedOn w:val="DefaultParagraphFont"/>
    <w:rsid w:val="00453612"/>
  </w:style>
  <w:style w:type="character" w:customStyle="1" w:styleId="eop">
    <w:name w:val="eop"/>
    <w:basedOn w:val="DefaultParagraphFont"/>
    <w:rsid w:val="00453612"/>
  </w:style>
  <w:style w:type="paragraph" w:styleId="TOCHeading">
    <w:name w:val="TOC Heading"/>
    <w:basedOn w:val="Heading1"/>
    <w:next w:val="Normal"/>
    <w:uiPriority w:val="39"/>
    <w:unhideWhenUsed/>
    <w:qFormat/>
    <w:rsid w:val="002F6252"/>
    <w:pPr>
      <w:tabs>
        <w:tab w:val="clear" w:pos="567"/>
        <w:tab w:val="clear" w:pos="1134"/>
        <w:tab w:val="clear" w:pos="1701"/>
        <w:tab w:val="clear" w:pos="2268"/>
        <w:tab w:val="clear" w:pos="283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720550">
      <w:bodyDiv w:val="1"/>
      <w:marLeft w:val="0"/>
      <w:marRight w:val="0"/>
      <w:marTop w:val="0"/>
      <w:marBottom w:val="0"/>
      <w:divBdr>
        <w:top w:val="none" w:sz="0" w:space="0" w:color="auto"/>
        <w:left w:val="none" w:sz="0" w:space="0" w:color="auto"/>
        <w:bottom w:val="none" w:sz="0" w:space="0" w:color="auto"/>
        <w:right w:val="none" w:sz="0" w:space="0" w:color="auto"/>
      </w:divBdr>
    </w:div>
    <w:div w:id="1834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yworkspace/" TargetMode="External"/><Relationship Id="rId18" Type="http://schemas.openxmlformats.org/officeDocument/2006/relationships/hyperlink" Target="https://www.itu.int/net4/itu-t/nn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md/S20-CL-INF-0007/es" TargetMode="External"/><Relationship Id="rId17" Type="http://schemas.openxmlformats.org/officeDocument/2006/relationships/hyperlink" Target="http://www.itu.int/pub/T-SP-OB" TargetMode="External"/><Relationship Id="rId2" Type="http://schemas.openxmlformats.org/officeDocument/2006/relationships/customXml" Target="../customXml/item2.xml"/><Relationship Id="rId16" Type="http://schemas.openxmlformats.org/officeDocument/2006/relationships/hyperlink" Target="https://www.itu.int/en/ITU-T/ssc/united/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net4/ITU-T/landscap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search"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FCE3F-5FEF-4397-A5BA-AD1DFA987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E07A2-11D4-4268-B005-0B987909B1FC}">
  <ds:schemaRefs>
    <ds:schemaRef ds:uri="http://schemas.microsoft.com/sharepoint/v3/contenttype/forms"/>
  </ds:schemaRefs>
</ds:datastoreItem>
</file>

<file path=customXml/itemProps3.xml><?xml version="1.0" encoding="utf-8"?>
<ds:datastoreItem xmlns:ds="http://schemas.openxmlformats.org/officeDocument/2006/customXml" ds:itemID="{773699E0-0293-4368-80F0-3E52E7C079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D4117E-70E7-480B-9E2D-7F4A1CEF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2</TotalTime>
  <Pages>8</Pages>
  <Words>3422</Words>
  <Characters>19363</Characters>
  <Application>Microsoft Office Word</Application>
  <DocSecurity>4</DocSecurity>
  <Lines>161</Lines>
  <Paragraphs>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22740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Apoyo a la TSB</dc:title>
  <dc:subject>Consejo 2020</dc:subject>
  <dc:creator>Casellas, Mercedes</dc:creator>
  <cp:keywords>C2020, C20</cp:keywords>
  <dc:description/>
  <cp:lastModifiedBy>Brouard, Ricarda</cp:lastModifiedBy>
  <cp:revision>2</cp:revision>
  <cp:lastPrinted>2020-04-29T08:18:00Z</cp:lastPrinted>
  <dcterms:created xsi:type="dcterms:W3CDTF">2020-05-01T06:18:00Z</dcterms:created>
  <dcterms:modified xsi:type="dcterms:W3CDTF">2020-05-01T06:18:00Z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