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B37B2" w14:paraId="712B14A4" w14:textId="77777777">
        <w:trPr>
          <w:cantSplit/>
        </w:trPr>
        <w:tc>
          <w:tcPr>
            <w:tcW w:w="6912" w:type="dxa"/>
          </w:tcPr>
          <w:p w14:paraId="5FD95E37" w14:textId="77777777" w:rsidR="00520F36" w:rsidRPr="009B37B2" w:rsidRDefault="00520F36" w:rsidP="005A561C">
            <w:pPr>
              <w:spacing w:before="360"/>
            </w:pPr>
            <w:bookmarkStart w:id="0" w:name="dc06"/>
            <w:bookmarkEnd w:id="0"/>
            <w:r w:rsidRPr="009B37B2">
              <w:rPr>
                <w:b/>
                <w:bCs/>
                <w:sz w:val="30"/>
                <w:szCs w:val="30"/>
              </w:rPr>
              <w:t>Conseil 20</w:t>
            </w:r>
            <w:r w:rsidR="009C353C" w:rsidRPr="009B37B2">
              <w:rPr>
                <w:b/>
                <w:bCs/>
                <w:sz w:val="30"/>
                <w:szCs w:val="30"/>
              </w:rPr>
              <w:t>20</w:t>
            </w:r>
            <w:r w:rsidRPr="009B37B2">
              <w:rPr>
                <w:rFonts w:ascii="Verdana" w:hAnsi="Verdana"/>
                <w:b/>
                <w:bCs/>
                <w:sz w:val="26"/>
                <w:szCs w:val="26"/>
              </w:rPr>
              <w:br/>
            </w:r>
            <w:r w:rsidRPr="009B37B2">
              <w:rPr>
                <w:b/>
                <w:bCs/>
                <w:szCs w:val="24"/>
              </w:rPr>
              <w:t xml:space="preserve">Genève, </w:t>
            </w:r>
            <w:r w:rsidR="009C353C" w:rsidRPr="009B37B2">
              <w:rPr>
                <w:b/>
                <w:bCs/>
                <w:szCs w:val="24"/>
              </w:rPr>
              <w:t>9</w:t>
            </w:r>
            <w:r w:rsidRPr="009B37B2">
              <w:rPr>
                <w:b/>
                <w:bCs/>
                <w:szCs w:val="24"/>
              </w:rPr>
              <w:t>-</w:t>
            </w:r>
            <w:r w:rsidR="009C353C" w:rsidRPr="009B37B2">
              <w:rPr>
                <w:b/>
                <w:bCs/>
                <w:szCs w:val="24"/>
              </w:rPr>
              <w:t>19</w:t>
            </w:r>
            <w:r w:rsidR="00106B19" w:rsidRPr="009B37B2">
              <w:rPr>
                <w:b/>
                <w:bCs/>
                <w:szCs w:val="24"/>
              </w:rPr>
              <w:t xml:space="preserve"> juin</w:t>
            </w:r>
            <w:r w:rsidRPr="009B37B2">
              <w:rPr>
                <w:b/>
                <w:bCs/>
                <w:szCs w:val="24"/>
              </w:rPr>
              <w:t xml:space="preserve"> 20</w:t>
            </w:r>
            <w:r w:rsidR="009C353C" w:rsidRPr="009B37B2">
              <w:rPr>
                <w:b/>
                <w:bCs/>
                <w:szCs w:val="24"/>
              </w:rPr>
              <w:t>20</w:t>
            </w:r>
          </w:p>
        </w:tc>
        <w:tc>
          <w:tcPr>
            <w:tcW w:w="3261" w:type="dxa"/>
          </w:tcPr>
          <w:p w14:paraId="31003CD9" w14:textId="77777777" w:rsidR="00520F36" w:rsidRPr="009B37B2" w:rsidRDefault="009C353C" w:rsidP="005A561C">
            <w:pPr>
              <w:spacing w:before="0"/>
            </w:pPr>
            <w:bookmarkStart w:id="1" w:name="ditulogo"/>
            <w:bookmarkEnd w:id="1"/>
            <w:r w:rsidRPr="009B37B2">
              <w:rPr>
                <w:noProof/>
                <w:lang w:val="en-US"/>
              </w:rPr>
              <w:drawing>
                <wp:inline distT="0" distB="0" distL="0" distR="0" wp14:anchorId="42308490" wp14:editId="5A5A648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B37B2" w14:paraId="377B5559" w14:textId="77777777" w:rsidTr="002123D7">
        <w:trPr>
          <w:cantSplit/>
          <w:trHeight w:val="20"/>
        </w:trPr>
        <w:tc>
          <w:tcPr>
            <w:tcW w:w="6912" w:type="dxa"/>
            <w:tcBorders>
              <w:bottom w:val="single" w:sz="12" w:space="0" w:color="auto"/>
            </w:tcBorders>
            <w:vAlign w:val="center"/>
          </w:tcPr>
          <w:p w14:paraId="1CC3C02E" w14:textId="77777777" w:rsidR="00520F36" w:rsidRPr="009B37B2" w:rsidRDefault="00520F36" w:rsidP="005A561C">
            <w:pPr>
              <w:spacing w:before="0"/>
              <w:rPr>
                <w:b/>
                <w:bCs/>
                <w:sz w:val="26"/>
                <w:szCs w:val="26"/>
              </w:rPr>
            </w:pPr>
          </w:p>
        </w:tc>
        <w:tc>
          <w:tcPr>
            <w:tcW w:w="3261" w:type="dxa"/>
            <w:tcBorders>
              <w:bottom w:val="single" w:sz="12" w:space="0" w:color="auto"/>
            </w:tcBorders>
          </w:tcPr>
          <w:p w14:paraId="1CB06E11" w14:textId="77777777" w:rsidR="00520F36" w:rsidRPr="009B37B2" w:rsidRDefault="00520F36" w:rsidP="005A561C">
            <w:pPr>
              <w:spacing w:before="0"/>
              <w:rPr>
                <w:b/>
                <w:bCs/>
              </w:rPr>
            </w:pPr>
          </w:p>
        </w:tc>
      </w:tr>
      <w:tr w:rsidR="00520F36" w:rsidRPr="009B37B2" w14:paraId="2D3D45A2" w14:textId="77777777">
        <w:trPr>
          <w:cantSplit/>
          <w:trHeight w:val="20"/>
        </w:trPr>
        <w:tc>
          <w:tcPr>
            <w:tcW w:w="6912" w:type="dxa"/>
            <w:tcBorders>
              <w:top w:val="single" w:sz="12" w:space="0" w:color="auto"/>
            </w:tcBorders>
          </w:tcPr>
          <w:p w14:paraId="118602A3" w14:textId="77777777" w:rsidR="00520F36" w:rsidRPr="009B37B2" w:rsidRDefault="00520F36" w:rsidP="005A561C">
            <w:pPr>
              <w:spacing w:before="0"/>
              <w:rPr>
                <w:smallCaps/>
                <w:sz w:val="22"/>
              </w:rPr>
            </w:pPr>
          </w:p>
        </w:tc>
        <w:tc>
          <w:tcPr>
            <w:tcW w:w="3261" w:type="dxa"/>
            <w:tcBorders>
              <w:top w:val="single" w:sz="12" w:space="0" w:color="auto"/>
            </w:tcBorders>
          </w:tcPr>
          <w:p w14:paraId="5D1FEFBE" w14:textId="77777777" w:rsidR="00520F36" w:rsidRPr="009B37B2" w:rsidRDefault="00520F36" w:rsidP="005A561C">
            <w:pPr>
              <w:spacing w:before="0"/>
              <w:rPr>
                <w:b/>
                <w:bCs/>
              </w:rPr>
            </w:pPr>
          </w:p>
        </w:tc>
      </w:tr>
      <w:tr w:rsidR="00520F36" w:rsidRPr="009B37B2" w14:paraId="057F76E5" w14:textId="77777777">
        <w:trPr>
          <w:cantSplit/>
          <w:trHeight w:val="20"/>
        </w:trPr>
        <w:tc>
          <w:tcPr>
            <w:tcW w:w="6912" w:type="dxa"/>
            <w:vMerge w:val="restart"/>
          </w:tcPr>
          <w:p w14:paraId="22A52A20" w14:textId="5B24E243" w:rsidR="00520F36" w:rsidRPr="009B37B2" w:rsidRDefault="00E07909" w:rsidP="005A561C">
            <w:pPr>
              <w:spacing w:before="0"/>
              <w:rPr>
                <w:rFonts w:cs="Times"/>
                <w:b/>
                <w:bCs/>
                <w:szCs w:val="24"/>
              </w:rPr>
            </w:pPr>
            <w:bookmarkStart w:id="2" w:name="dnum" w:colFirst="1" w:colLast="1"/>
            <w:bookmarkStart w:id="3" w:name="dmeeting" w:colFirst="0" w:colLast="0"/>
            <w:r w:rsidRPr="009B37B2">
              <w:rPr>
                <w:rFonts w:cs="Times"/>
                <w:b/>
                <w:bCs/>
                <w:szCs w:val="24"/>
              </w:rPr>
              <w:t xml:space="preserve">Point de l'ordre du </w:t>
            </w:r>
            <w:proofErr w:type="gramStart"/>
            <w:r w:rsidRPr="009B37B2">
              <w:rPr>
                <w:rFonts w:cs="Times"/>
                <w:b/>
                <w:bCs/>
                <w:szCs w:val="24"/>
              </w:rPr>
              <w:t>jour:</w:t>
            </w:r>
            <w:proofErr w:type="gramEnd"/>
            <w:r w:rsidRPr="009B37B2">
              <w:rPr>
                <w:rFonts w:cs="Times"/>
                <w:b/>
                <w:bCs/>
                <w:szCs w:val="24"/>
              </w:rPr>
              <w:t xml:space="preserve"> ADM 4</w:t>
            </w:r>
          </w:p>
        </w:tc>
        <w:tc>
          <w:tcPr>
            <w:tcW w:w="3261" w:type="dxa"/>
          </w:tcPr>
          <w:p w14:paraId="354DD209" w14:textId="77823812" w:rsidR="00520F36" w:rsidRPr="009B37B2" w:rsidRDefault="00520F36" w:rsidP="005A561C">
            <w:pPr>
              <w:spacing w:before="0"/>
              <w:rPr>
                <w:b/>
                <w:bCs/>
              </w:rPr>
            </w:pPr>
            <w:r w:rsidRPr="009B37B2">
              <w:rPr>
                <w:b/>
                <w:bCs/>
              </w:rPr>
              <w:t>Document C</w:t>
            </w:r>
            <w:r w:rsidR="009C353C" w:rsidRPr="009B37B2">
              <w:rPr>
                <w:b/>
                <w:bCs/>
              </w:rPr>
              <w:t>20</w:t>
            </w:r>
            <w:r w:rsidRPr="009B37B2">
              <w:rPr>
                <w:b/>
                <w:bCs/>
              </w:rPr>
              <w:t>/</w:t>
            </w:r>
            <w:r w:rsidR="00E07909" w:rsidRPr="009B37B2">
              <w:rPr>
                <w:b/>
                <w:bCs/>
              </w:rPr>
              <w:t>14</w:t>
            </w:r>
            <w:r w:rsidRPr="009B37B2">
              <w:rPr>
                <w:b/>
                <w:bCs/>
              </w:rPr>
              <w:t>-F</w:t>
            </w:r>
          </w:p>
        </w:tc>
      </w:tr>
      <w:tr w:rsidR="00520F36" w:rsidRPr="009B37B2" w14:paraId="67BE8C51" w14:textId="77777777">
        <w:trPr>
          <w:cantSplit/>
          <w:trHeight w:val="20"/>
        </w:trPr>
        <w:tc>
          <w:tcPr>
            <w:tcW w:w="6912" w:type="dxa"/>
            <w:vMerge/>
          </w:tcPr>
          <w:p w14:paraId="0600D795" w14:textId="77777777" w:rsidR="00520F36" w:rsidRPr="009B37B2" w:rsidRDefault="00520F36" w:rsidP="005A561C">
            <w:pPr>
              <w:shd w:val="solid" w:color="FFFFFF" w:fill="FFFFFF"/>
              <w:spacing w:before="180"/>
              <w:rPr>
                <w:smallCaps/>
              </w:rPr>
            </w:pPr>
            <w:bookmarkStart w:id="4" w:name="ddate" w:colFirst="1" w:colLast="1"/>
            <w:bookmarkEnd w:id="2"/>
            <w:bookmarkEnd w:id="3"/>
          </w:p>
        </w:tc>
        <w:tc>
          <w:tcPr>
            <w:tcW w:w="3261" w:type="dxa"/>
          </w:tcPr>
          <w:p w14:paraId="695B1EEE" w14:textId="209FA29B" w:rsidR="00520F36" w:rsidRPr="009B37B2" w:rsidRDefault="00E07909" w:rsidP="005A561C">
            <w:pPr>
              <w:spacing w:before="0"/>
              <w:rPr>
                <w:b/>
                <w:bCs/>
              </w:rPr>
            </w:pPr>
            <w:r w:rsidRPr="009B37B2">
              <w:rPr>
                <w:b/>
                <w:bCs/>
              </w:rPr>
              <w:t>20 avril</w:t>
            </w:r>
            <w:r w:rsidR="00520F36" w:rsidRPr="009B37B2">
              <w:rPr>
                <w:b/>
                <w:bCs/>
              </w:rPr>
              <w:t xml:space="preserve"> 20</w:t>
            </w:r>
            <w:r w:rsidR="009C353C" w:rsidRPr="009B37B2">
              <w:rPr>
                <w:b/>
                <w:bCs/>
              </w:rPr>
              <w:t>20</w:t>
            </w:r>
          </w:p>
        </w:tc>
      </w:tr>
      <w:tr w:rsidR="00520F36" w:rsidRPr="009B37B2" w14:paraId="32BEB329" w14:textId="77777777">
        <w:trPr>
          <w:cantSplit/>
          <w:trHeight w:val="20"/>
        </w:trPr>
        <w:tc>
          <w:tcPr>
            <w:tcW w:w="6912" w:type="dxa"/>
            <w:vMerge/>
          </w:tcPr>
          <w:p w14:paraId="1419E2EF" w14:textId="77777777" w:rsidR="00520F36" w:rsidRPr="009B37B2" w:rsidRDefault="00520F36" w:rsidP="005A561C">
            <w:pPr>
              <w:shd w:val="solid" w:color="FFFFFF" w:fill="FFFFFF"/>
              <w:spacing w:before="180"/>
              <w:rPr>
                <w:smallCaps/>
              </w:rPr>
            </w:pPr>
            <w:bookmarkStart w:id="5" w:name="dorlang" w:colFirst="1" w:colLast="1"/>
            <w:bookmarkEnd w:id="4"/>
          </w:p>
        </w:tc>
        <w:tc>
          <w:tcPr>
            <w:tcW w:w="3261" w:type="dxa"/>
          </w:tcPr>
          <w:p w14:paraId="4023A6B1" w14:textId="77777777" w:rsidR="00520F36" w:rsidRPr="009B37B2" w:rsidRDefault="00520F36" w:rsidP="005A561C">
            <w:pPr>
              <w:spacing w:before="0"/>
              <w:rPr>
                <w:b/>
                <w:bCs/>
              </w:rPr>
            </w:pPr>
            <w:proofErr w:type="gramStart"/>
            <w:r w:rsidRPr="009B37B2">
              <w:rPr>
                <w:b/>
                <w:bCs/>
              </w:rPr>
              <w:t>Original:</w:t>
            </w:r>
            <w:proofErr w:type="gramEnd"/>
            <w:r w:rsidRPr="009B37B2">
              <w:rPr>
                <w:b/>
                <w:bCs/>
              </w:rPr>
              <w:t xml:space="preserve"> anglais</w:t>
            </w:r>
          </w:p>
        </w:tc>
      </w:tr>
      <w:tr w:rsidR="00520F36" w:rsidRPr="009B37B2" w14:paraId="716591D0" w14:textId="77777777">
        <w:trPr>
          <w:cantSplit/>
        </w:trPr>
        <w:tc>
          <w:tcPr>
            <w:tcW w:w="10173" w:type="dxa"/>
            <w:gridSpan w:val="2"/>
          </w:tcPr>
          <w:p w14:paraId="58EC0415" w14:textId="0EEE3770" w:rsidR="00520F36" w:rsidRPr="009B37B2" w:rsidRDefault="00E07909" w:rsidP="005A561C">
            <w:pPr>
              <w:pStyle w:val="Source"/>
            </w:pPr>
            <w:bookmarkStart w:id="6" w:name="dsource" w:colFirst="0" w:colLast="0"/>
            <w:bookmarkEnd w:id="5"/>
            <w:r w:rsidRPr="009B37B2">
              <w:t>Note du Secrétaire général</w:t>
            </w:r>
          </w:p>
        </w:tc>
      </w:tr>
      <w:tr w:rsidR="00520F36" w:rsidRPr="009B37B2" w14:paraId="38A953E3" w14:textId="77777777">
        <w:trPr>
          <w:cantSplit/>
        </w:trPr>
        <w:tc>
          <w:tcPr>
            <w:tcW w:w="10173" w:type="dxa"/>
            <w:gridSpan w:val="2"/>
          </w:tcPr>
          <w:p w14:paraId="6097BFE3" w14:textId="4FDD05DC" w:rsidR="00520F36" w:rsidRPr="009B37B2" w:rsidRDefault="00FD5F35" w:rsidP="005A561C">
            <w:pPr>
              <w:pStyle w:val="Title1"/>
            </w:pPr>
            <w:bookmarkStart w:id="7" w:name="lt_pId014"/>
            <w:bookmarkStart w:id="8" w:name="dtitle1" w:colFirst="0" w:colLast="0"/>
            <w:bookmarkEnd w:id="6"/>
            <w:r w:rsidRPr="009B37B2">
              <w:t>APPUI AU</w:t>
            </w:r>
            <w:r w:rsidR="00E07909" w:rsidRPr="009B37B2">
              <w:t xml:space="preserve"> TSB</w:t>
            </w:r>
            <w:bookmarkEnd w:id="7"/>
          </w:p>
        </w:tc>
      </w:tr>
      <w:bookmarkEnd w:id="8"/>
    </w:tbl>
    <w:p w14:paraId="28A497BA" w14:textId="77777777" w:rsidR="009762E9" w:rsidRPr="009B37B2" w:rsidRDefault="009762E9" w:rsidP="005A561C">
      <w:pPr>
        <w:rPr>
          <w:b/>
          <w:bC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B37B2" w14:paraId="4866A78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B57FE00" w14:textId="77777777" w:rsidR="00520F36" w:rsidRPr="009B37B2" w:rsidRDefault="00520F36" w:rsidP="005A561C">
            <w:pPr>
              <w:pStyle w:val="Headingb"/>
            </w:pPr>
            <w:r w:rsidRPr="009B37B2">
              <w:t>Résumé</w:t>
            </w:r>
          </w:p>
          <w:p w14:paraId="2E0F0AD7" w14:textId="406268F2" w:rsidR="00E07909" w:rsidRPr="009B37B2" w:rsidRDefault="007A77F6" w:rsidP="007171AB">
            <w:pPr>
              <w:spacing w:before="60"/>
            </w:pPr>
            <w:bookmarkStart w:id="9" w:name="lt_pId016"/>
            <w:r w:rsidRPr="009B37B2">
              <w:t xml:space="preserve">Le nombre de </w:t>
            </w:r>
            <w:r w:rsidR="00CE325A" w:rsidRPr="009B37B2">
              <w:t xml:space="preserve">nouveaux </w:t>
            </w:r>
            <w:r w:rsidRPr="009B37B2">
              <w:t>membres</w:t>
            </w:r>
            <w:r w:rsidR="00CE325A" w:rsidRPr="009B37B2">
              <w:t xml:space="preserve"> et de nouvelles</w:t>
            </w:r>
            <w:r w:rsidR="00F00D96" w:rsidRPr="009B37B2">
              <w:t xml:space="preserve"> </w:t>
            </w:r>
            <w:r w:rsidRPr="009B37B2">
              <w:t>communautés,</w:t>
            </w:r>
            <w:r w:rsidR="00F00D96" w:rsidRPr="009B37B2">
              <w:t xml:space="preserve"> </w:t>
            </w:r>
            <w:r w:rsidRPr="009B37B2">
              <w:t>activités et</w:t>
            </w:r>
            <w:r w:rsidR="00F00D96" w:rsidRPr="009B37B2">
              <w:t xml:space="preserve"> </w:t>
            </w:r>
            <w:r w:rsidRPr="009B37B2">
              <w:t>réunions du</w:t>
            </w:r>
            <w:r w:rsidR="003901AD" w:rsidRPr="009B37B2">
              <w:t xml:space="preserve"> Secteur de la normalisation de l'UIT a</w:t>
            </w:r>
            <w:r w:rsidR="00E07909" w:rsidRPr="009B37B2">
              <w:t xml:space="preserve"> </w:t>
            </w:r>
            <w:r w:rsidRPr="009B37B2">
              <w:t>fortement augmenté</w:t>
            </w:r>
            <w:r w:rsidR="00E07909" w:rsidRPr="009B37B2">
              <w:t xml:space="preserve"> </w:t>
            </w:r>
            <w:r w:rsidR="003901AD" w:rsidRPr="009B37B2">
              <w:t>par rapport aux années précédentes</w:t>
            </w:r>
            <w:r w:rsidR="00E07909" w:rsidRPr="009B37B2">
              <w:t>.</w:t>
            </w:r>
            <w:bookmarkEnd w:id="9"/>
            <w:r w:rsidR="00E07909" w:rsidRPr="009B37B2">
              <w:t xml:space="preserve"> </w:t>
            </w:r>
            <w:bookmarkStart w:id="10" w:name="lt_pId017"/>
            <w:r w:rsidR="003901AD" w:rsidRPr="009B37B2">
              <w:t xml:space="preserve">Aux termes de plusieurs </w:t>
            </w:r>
            <w:r w:rsidR="00CE325A" w:rsidRPr="009B37B2">
              <w:t>R</w:t>
            </w:r>
            <w:r w:rsidR="003901AD" w:rsidRPr="009B37B2">
              <w:t xml:space="preserve">ésolutions de la Conférence de plénipotentiaires de 2018 et de l'AMNT-16, </w:t>
            </w:r>
            <w:r w:rsidR="00133679" w:rsidRPr="009B37B2">
              <w:t>le</w:t>
            </w:r>
            <w:r w:rsidR="003901AD" w:rsidRPr="009B37B2">
              <w:t xml:space="preserve"> TSB </w:t>
            </w:r>
            <w:r w:rsidR="00133679" w:rsidRPr="009B37B2">
              <w:t xml:space="preserve">est chargé </w:t>
            </w:r>
            <w:r w:rsidR="003901AD" w:rsidRPr="009B37B2">
              <w:t>d'exécuter de nouvelles tâches</w:t>
            </w:r>
            <w:r w:rsidR="00E07909" w:rsidRPr="009B37B2">
              <w:t>.</w:t>
            </w:r>
            <w:bookmarkEnd w:id="10"/>
            <w:r w:rsidR="00E07909" w:rsidRPr="009B37B2">
              <w:t xml:space="preserve"> </w:t>
            </w:r>
            <w:bookmarkStart w:id="11" w:name="lt_pId018"/>
            <w:r w:rsidR="003901AD" w:rsidRPr="009B37B2">
              <w:t>La charge de travail du personnel du TSB a continué d'au</w:t>
            </w:r>
            <w:r w:rsidR="00206772" w:rsidRPr="009B37B2">
              <w:t>gmenter de manière considérable</w:t>
            </w:r>
            <w:r w:rsidR="00CE325A" w:rsidRPr="009B37B2">
              <w:t>,</w:t>
            </w:r>
            <w:r w:rsidR="003901AD" w:rsidRPr="009B37B2">
              <w:t xml:space="preserve"> alors que le</w:t>
            </w:r>
            <w:r w:rsidR="00DE5CF8" w:rsidRPr="009B37B2">
              <w:t xml:space="preserve"> nombre de postes au </w:t>
            </w:r>
            <w:r w:rsidR="00E52954" w:rsidRPr="009B37B2">
              <w:t xml:space="preserve">sein du </w:t>
            </w:r>
            <w:r w:rsidR="00961FE9" w:rsidRPr="009B37B2">
              <w:t>Secteur</w:t>
            </w:r>
            <w:r w:rsidR="00DE5CF8" w:rsidRPr="009B37B2">
              <w:t xml:space="preserve">, </w:t>
            </w:r>
            <w:r w:rsidR="00CE325A" w:rsidRPr="009B37B2">
              <w:t>qui s</w:t>
            </w:r>
            <w:r w:rsidR="00A54667" w:rsidRPr="009B37B2">
              <w:t>'</w:t>
            </w:r>
            <w:r w:rsidR="00CE325A" w:rsidRPr="009B37B2">
              <w:t>élève</w:t>
            </w:r>
            <w:r w:rsidR="00F00D96" w:rsidRPr="009B37B2">
              <w:t xml:space="preserve"> </w:t>
            </w:r>
            <w:r w:rsidR="00DE5CF8" w:rsidRPr="009B37B2">
              <w:t xml:space="preserve">à environ 65, </w:t>
            </w:r>
            <w:r w:rsidR="003901AD" w:rsidRPr="009B37B2">
              <w:t>est resté consta</w:t>
            </w:r>
            <w:r w:rsidR="00DE5CF8" w:rsidRPr="009B37B2">
              <w:t>nt ces deux dernières décennies</w:t>
            </w:r>
            <w:r w:rsidR="00E07909" w:rsidRPr="009B37B2">
              <w:t>.</w:t>
            </w:r>
            <w:bookmarkEnd w:id="11"/>
            <w:r w:rsidR="00E07909" w:rsidRPr="009B37B2">
              <w:t xml:space="preserve"> </w:t>
            </w:r>
            <w:bookmarkStart w:id="12" w:name="lt_pId019"/>
            <w:r w:rsidR="003901AD" w:rsidRPr="009B37B2">
              <w:t xml:space="preserve">Le </w:t>
            </w:r>
            <w:r w:rsidR="00E07909" w:rsidRPr="009B37B2">
              <w:t xml:space="preserve">TSB </w:t>
            </w:r>
            <w:r w:rsidR="003901AD" w:rsidRPr="009B37B2">
              <w:t xml:space="preserve">demande </w:t>
            </w:r>
            <w:r w:rsidR="00CE325A" w:rsidRPr="009B37B2">
              <w:t>que l</w:t>
            </w:r>
            <w:r w:rsidR="003901AD" w:rsidRPr="009B37B2">
              <w:t xml:space="preserve">es ressources </w:t>
            </w:r>
            <w:r w:rsidR="00CE325A" w:rsidRPr="009B37B2">
              <w:t>de</w:t>
            </w:r>
            <w:r w:rsidR="00F00D96" w:rsidRPr="009B37B2">
              <w:t xml:space="preserve"> </w:t>
            </w:r>
            <w:r w:rsidR="00E52954" w:rsidRPr="009B37B2">
              <w:t>personnel</w:t>
            </w:r>
            <w:r w:rsidR="003901AD" w:rsidRPr="009B37B2">
              <w:t xml:space="preserve"> supplémentaires</w:t>
            </w:r>
            <w:r w:rsidR="00CE325A" w:rsidRPr="009B37B2">
              <w:t xml:space="preserve"> ci-après lui soient </w:t>
            </w:r>
            <w:proofErr w:type="gramStart"/>
            <w:r w:rsidR="00CE325A" w:rsidRPr="009B37B2">
              <w:t>accordées</w:t>
            </w:r>
            <w:r w:rsidR="00E07909" w:rsidRPr="009B37B2">
              <w:t>:</w:t>
            </w:r>
            <w:bookmarkEnd w:id="12"/>
            <w:proofErr w:type="gramEnd"/>
          </w:p>
          <w:p w14:paraId="121FA244" w14:textId="23402542" w:rsidR="00E07909" w:rsidRPr="009B37B2" w:rsidRDefault="00E07909" w:rsidP="00BC190D">
            <w:pPr>
              <w:spacing w:before="80"/>
            </w:pPr>
            <w:bookmarkStart w:id="13" w:name="lt_pId020"/>
            <w:r w:rsidRPr="009B37B2">
              <w:t xml:space="preserve">1 </w:t>
            </w:r>
            <w:r w:rsidR="00277BF2" w:rsidRPr="009B37B2">
              <w:t xml:space="preserve">fonctionnaire </w:t>
            </w:r>
            <w:r w:rsidR="00CE325A" w:rsidRPr="009B37B2">
              <w:t xml:space="preserve">de grade </w:t>
            </w:r>
            <w:r w:rsidRPr="009B37B2">
              <w:t xml:space="preserve">P2 </w:t>
            </w:r>
            <w:r w:rsidR="00277BF2" w:rsidRPr="009B37B2">
              <w:t xml:space="preserve">pour </w:t>
            </w:r>
            <w:r w:rsidR="00BD4838" w:rsidRPr="009B37B2">
              <w:t xml:space="preserve">appuyer </w:t>
            </w:r>
            <w:r w:rsidR="008F1287" w:rsidRPr="009B37B2">
              <w:t xml:space="preserve">les activités </w:t>
            </w:r>
            <w:r w:rsidR="00BD4838" w:rsidRPr="009B37B2">
              <w:t>liées aux</w:t>
            </w:r>
            <w:r w:rsidR="00277BF2" w:rsidRPr="009B37B2">
              <w:t xml:space="preserve"> indicateurs fondamentaux de performance </w:t>
            </w:r>
            <w:r w:rsidR="00C41FB8" w:rsidRPr="009B37B2">
              <w:t>relatifs aux</w:t>
            </w:r>
            <w:r w:rsidR="00277BF2" w:rsidRPr="009B37B2">
              <w:t xml:space="preserve"> villes intelligentes </w:t>
            </w:r>
            <w:r w:rsidR="00E4116B" w:rsidRPr="009B37B2">
              <w:t xml:space="preserve">et durables </w:t>
            </w:r>
            <w:r w:rsidR="00277BF2" w:rsidRPr="009B37B2">
              <w:t xml:space="preserve">et </w:t>
            </w:r>
            <w:r w:rsidR="003B0174" w:rsidRPr="009B37B2">
              <w:t xml:space="preserve">à </w:t>
            </w:r>
            <w:r w:rsidR="00277BF2" w:rsidRPr="009B37B2">
              <w:t xml:space="preserve">l'initiative </w:t>
            </w:r>
            <w:r w:rsidRPr="009B37B2">
              <w:t>U4</w:t>
            </w:r>
            <w:proofErr w:type="gramStart"/>
            <w:r w:rsidRPr="009B37B2">
              <w:t>SSC</w:t>
            </w:r>
            <w:bookmarkEnd w:id="13"/>
            <w:r w:rsidR="0071127E" w:rsidRPr="009B37B2">
              <w:t>;</w:t>
            </w:r>
            <w:proofErr w:type="gramEnd"/>
          </w:p>
          <w:p w14:paraId="62A0BB1B" w14:textId="440D2E09" w:rsidR="00E07909" w:rsidRPr="009B37B2" w:rsidRDefault="00E07909" w:rsidP="00BC190D">
            <w:pPr>
              <w:spacing w:before="80"/>
            </w:pPr>
            <w:bookmarkStart w:id="14" w:name="lt_pId021"/>
            <w:r w:rsidRPr="009B37B2">
              <w:t xml:space="preserve">1 </w:t>
            </w:r>
            <w:r w:rsidR="00277BF2" w:rsidRPr="009B37B2">
              <w:t xml:space="preserve">fonctionnaire </w:t>
            </w:r>
            <w:r w:rsidR="00CE325A" w:rsidRPr="009B37B2">
              <w:t xml:space="preserve">de grade </w:t>
            </w:r>
            <w:r w:rsidRPr="009B37B2">
              <w:t xml:space="preserve">P2 </w:t>
            </w:r>
            <w:bookmarkEnd w:id="14"/>
            <w:r w:rsidR="00277BF2" w:rsidRPr="009B37B2">
              <w:t xml:space="preserve">pour </w:t>
            </w:r>
            <w:r w:rsidR="00BD4838" w:rsidRPr="009B37B2">
              <w:t xml:space="preserve">appuyer </w:t>
            </w:r>
            <w:r w:rsidR="00277BF2" w:rsidRPr="009B37B2">
              <w:t xml:space="preserve">les </w:t>
            </w:r>
            <w:r w:rsidR="00BD4838" w:rsidRPr="009B37B2">
              <w:t xml:space="preserve">activités </w:t>
            </w:r>
            <w:r w:rsidR="0071127E" w:rsidRPr="009B37B2">
              <w:t>liées aux</w:t>
            </w:r>
            <w:r w:rsidR="00BD4838" w:rsidRPr="009B37B2">
              <w:t xml:space="preserve"> </w:t>
            </w:r>
            <w:r w:rsidR="00277BF2" w:rsidRPr="009B37B2">
              <w:t xml:space="preserve">ressources de </w:t>
            </w:r>
            <w:proofErr w:type="gramStart"/>
            <w:r w:rsidR="00277BF2" w:rsidRPr="009B37B2">
              <w:t>numérotage</w:t>
            </w:r>
            <w:r w:rsidR="0071127E" w:rsidRPr="009B37B2">
              <w:t>;</w:t>
            </w:r>
            <w:proofErr w:type="gramEnd"/>
          </w:p>
          <w:p w14:paraId="4B36E1AF" w14:textId="5FC85CF5" w:rsidR="00E07909" w:rsidRPr="009B37B2" w:rsidRDefault="00E07909" w:rsidP="00BC190D">
            <w:pPr>
              <w:spacing w:before="80"/>
            </w:pPr>
            <w:bookmarkStart w:id="15" w:name="lt_pId022"/>
            <w:r w:rsidRPr="009B37B2">
              <w:t xml:space="preserve">1 </w:t>
            </w:r>
            <w:r w:rsidR="00277BF2" w:rsidRPr="009B37B2">
              <w:t xml:space="preserve">fonctionnaire </w:t>
            </w:r>
            <w:r w:rsidR="00CE325A" w:rsidRPr="009B37B2">
              <w:t xml:space="preserve">de grade </w:t>
            </w:r>
            <w:r w:rsidRPr="009B37B2">
              <w:t xml:space="preserve">P4 </w:t>
            </w:r>
            <w:r w:rsidR="00277BF2" w:rsidRPr="009B37B2">
              <w:t>et</w:t>
            </w:r>
            <w:r w:rsidRPr="009B37B2">
              <w:t xml:space="preserve"> </w:t>
            </w:r>
            <w:r w:rsidR="006515BF" w:rsidRPr="009B37B2">
              <w:t>1</w:t>
            </w:r>
            <w:r w:rsidR="00277BF2" w:rsidRPr="009B37B2">
              <w:t xml:space="preserve"> </w:t>
            </w:r>
            <w:r w:rsidR="00CE325A" w:rsidRPr="009B37B2">
              <w:t xml:space="preserve">fonctionnaire de grade </w:t>
            </w:r>
            <w:r w:rsidRPr="009B37B2">
              <w:t xml:space="preserve">G6 </w:t>
            </w:r>
            <w:bookmarkEnd w:id="15"/>
            <w:r w:rsidR="00277BF2" w:rsidRPr="009B37B2">
              <w:t xml:space="preserve">pour </w:t>
            </w:r>
            <w:r w:rsidR="0071127E" w:rsidRPr="009B37B2">
              <w:t xml:space="preserve">appuyer </w:t>
            </w:r>
            <w:r w:rsidR="00277BF2" w:rsidRPr="009B37B2">
              <w:t xml:space="preserve">l'inclusion </w:t>
            </w:r>
            <w:proofErr w:type="gramStart"/>
            <w:r w:rsidR="00277BF2" w:rsidRPr="009B37B2">
              <w:t>financière</w:t>
            </w:r>
            <w:r w:rsidR="0071127E" w:rsidRPr="009B37B2">
              <w:t>;</w:t>
            </w:r>
            <w:proofErr w:type="gramEnd"/>
          </w:p>
          <w:p w14:paraId="137CDF7A" w14:textId="4D879690" w:rsidR="00E07909" w:rsidRPr="009B37B2" w:rsidRDefault="00E07909" w:rsidP="00BC190D">
            <w:pPr>
              <w:spacing w:before="80"/>
            </w:pPr>
            <w:bookmarkStart w:id="16" w:name="lt_pId023"/>
            <w:r w:rsidRPr="009B37B2">
              <w:t xml:space="preserve">1 </w:t>
            </w:r>
            <w:r w:rsidR="00277BF2" w:rsidRPr="009B37B2">
              <w:t xml:space="preserve">fonctionnaire </w:t>
            </w:r>
            <w:r w:rsidR="00CE325A" w:rsidRPr="009B37B2">
              <w:t xml:space="preserve">de grade </w:t>
            </w:r>
            <w:r w:rsidRPr="009B37B2">
              <w:t xml:space="preserve">P4 </w:t>
            </w:r>
            <w:r w:rsidR="00A80D40" w:rsidRPr="009B37B2">
              <w:t>en tant que spécialiste de l'</w:t>
            </w:r>
            <w:r w:rsidR="00277BF2" w:rsidRPr="009B37B2">
              <w:t xml:space="preserve">application de l'apprentissage automatique </w:t>
            </w:r>
            <w:r w:rsidR="00496FB1" w:rsidRPr="009B37B2">
              <w:t>dans les</w:t>
            </w:r>
            <w:r w:rsidR="00277BF2" w:rsidRPr="009B37B2">
              <w:t xml:space="preserve"> réseaux de </w:t>
            </w:r>
            <w:proofErr w:type="gramStart"/>
            <w:r w:rsidRPr="009B37B2">
              <w:t>communication</w:t>
            </w:r>
            <w:bookmarkEnd w:id="16"/>
            <w:r w:rsidR="00D70AD7" w:rsidRPr="009B37B2">
              <w:t>;</w:t>
            </w:r>
            <w:proofErr w:type="gramEnd"/>
          </w:p>
          <w:p w14:paraId="59B82469" w14:textId="24A30B88" w:rsidR="00520F36" w:rsidRPr="009B37B2" w:rsidRDefault="00E07909" w:rsidP="00BC190D">
            <w:pPr>
              <w:spacing w:before="80"/>
            </w:pPr>
            <w:bookmarkStart w:id="17" w:name="lt_pId024"/>
            <w:r w:rsidRPr="009B37B2">
              <w:t xml:space="preserve">1 </w:t>
            </w:r>
            <w:r w:rsidR="00277BF2" w:rsidRPr="009B37B2">
              <w:t xml:space="preserve">fonctionnaire </w:t>
            </w:r>
            <w:r w:rsidR="00CE325A" w:rsidRPr="009B37B2">
              <w:t xml:space="preserve">de grade </w:t>
            </w:r>
            <w:r w:rsidRPr="009B37B2">
              <w:t xml:space="preserve">P1 </w:t>
            </w:r>
            <w:r w:rsidR="00277BF2" w:rsidRPr="009B37B2">
              <w:t>et</w:t>
            </w:r>
            <w:r w:rsidRPr="009B37B2">
              <w:t xml:space="preserve"> 1 </w:t>
            </w:r>
            <w:r w:rsidR="00CE325A" w:rsidRPr="009B37B2">
              <w:t xml:space="preserve">fonctionnaire de grade </w:t>
            </w:r>
            <w:r w:rsidRPr="009B37B2">
              <w:t xml:space="preserve">P2 </w:t>
            </w:r>
            <w:r w:rsidR="00277BF2" w:rsidRPr="009B37B2">
              <w:t>pour les outils et applications informatiques</w:t>
            </w:r>
            <w:bookmarkEnd w:id="17"/>
            <w:r w:rsidR="00A80D40" w:rsidRPr="009B37B2">
              <w:t>.</w:t>
            </w:r>
          </w:p>
          <w:p w14:paraId="0859A4E4" w14:textId="77777777" w:rsidR="00520F36" w:rsidRPr="009B37B2" w:rsidRDefault="00520F36" w:rsidP="007171AB">
            <w:pPr>
              <w:pStyle w:val="Headingb"/>
              <w:spacing w:before="120"/>
            </w:pPr>
            <w:proofErr w:type="gramStart"/>
            <w:r w:rsidRPr="009B37B2">
              <w:t>Suite à</w:t>
            </w:r>
            <w:proofErr w:type="gramEnd"/>
            <w:r w:rsidRPr="009B37B2">
              <w:t xml:space="preserve"> donner</w:t>
            </w:r>
          </w:p>
          <w:p w14:paraId="72178303" w14:textId="1B09E2B7" w:rsidR="00520F36" w:rsidRPr="009B37B2" w:rsidRDefault="00D53F54" w:rsidP="000773D4">
            <w:pPr>
              <w:spacing w:before="60"/>
            </w:pPr>
            <w:bookmarkStart w:id="18" w:name="lt_pId026"/>
            <w:r w:rsidRPr="009B37B2">
              <w:t>Le Conseil est invité à</w:t>
            </w:r>
            <w:r w:rsidR="00E07909" w:rsidRPr="009B37B2">
              <w:t xml:space="preserve"> </w:t>
            </w:r>
            <w:r w:rsidRPr="009B37B2">
              <w:rPr>
                <w:b/>
                <w:bCs/>
              </w:rPr>
              <w:t>examiner</w:t>
            </w:r>
            <w:r w:rsidR="00E07909" w:rsidRPr="009B37B2">
              <w:t xml:space="preserve"> </w:t>
            </w:r>
            <w:r w:rsidRPr="009B37B2">
              <w:t>et à approuver les demandes figurant dans la partie 4 du présent</w:t>
            </w:r>
            <w:r w:rsidR="00E07909" w:rsidRPr="009B37B2">
              <w:t xml:space="preserve"> document.</w:t>
            </w:r>
            <w:bookmarkStart w:id="19" w:name="lt_pId027"/>
            <w:bookmarkEnd w:id="18"/>
            <w:r w:rsidR="00CE325A" w:rsidRPr="009B37B2">
              <w:t xml:space="preserve"> On trouvera dans le </w:t>
            </w:r>
            <w:r w:rsidR="00E07909" w:rsidRPr="009B37B2">
              <w:t xml:space="preserve">document </w:t>
            </w:r>
            <w:r w:rsidRPr="009B37B2">
              <w:t xml:space="preserve">d'information </w:t>
            </w:r>
            <w:r w:rsidR="00E07909" w:rsidRPr="009B37B2">
              <w:t>INF/7</w:t>
            </w:r>
            <w:r w:rsidR="00CE325A" w:rsidRPr="009B37B2">
              <w:t xml:space="preserve"> davantage </w:t>
            </w:r>
            <w:r w:rsidRPr="009B37B2">
              <w:t>de renseignements</w:t>
            </w:r>
            <w:r w:rsidR="00CE325A" w:rsidRPr="009B37B2">
              <w:t xml:space="preserve"> à cet égard</w:t>
            </w:r>
            <w:r w:rsidR="00E07909" w:rsidRPr="009B37B2">
              <w:t>.</w:t>
            </w:r>
            <w:bookmarkEnd w:id="19"/>
          </w:p>
          <w:p w14:paraId="0B09EF2C" w14:textId="77777777" w:rsidR="00520F36" w:rsidRPr="009B37B2" w:rsidRDefault="00520F36" w:rsidP="000773D4">
            <w:pPr>
              <w:pStyle w:val="Table"/>
              <w:keepNext w:val="0"/>
              <w:spacing w:before="60" w:after="0"/>
              <w:rPr>
                <w:rFonts w:ascii="Calibri" w:hAnsi="Calibri"/>
                <w:caps w:val="0"/>
                <w:sz w:val="22"/>
                <w:lang w:val="fr-FR"/>
              </w:rPr>
            </w:pPr>
            <w:r w:rsidRPr="009B37B2">
              <w:rPr>
                <w:rFonts w:ascii="Calibri" w:hAnsi="Calibri"/>
                <w:caps w:val="0"/>
                <w:sz w:val="22"/>
                <w:lang w:val="fr-FR"/>
              </w:rPr>
              <w:t>____________</w:t>
            </w:r>
          </w:p>
          <w:p w14:paraId="17291FD0" w14:textId="77777777" w:rsidR="00520F36" w:rsidRPr="009B37B2" w:rsidRDefault="00520F36" w:rsidP="007171AB">
            <w:pPr>
              <w:pStyle w:val="Headingb"/>
              <w:spacing w:before="0"/>
            </w:pPr>
            <w:r w:rsidRPr="009B37B2">
              <w:t>Références</w:t>
            </w:r>
          </w:p>
          <w:p w14:paraId="2998078E" w14:textId="3E429928" w:rsidR="00520F36" w:rsidRPr="009B37B2" w:rsidRDefault="00691AF7" w:rsidP="007171AB">
            <w:pPr>
              <w:spacing w:before="0" w:after="120"/>
              <w:rPr>
                <w:i/>
                <w:iCs/>
              </w:rPr>
            </w:pPr>
            <w:hyperlink r:id="rId12" w:history="1">
              <w:bookmarkStart w:id="20" w:name="lt_pId030"/>
              <w:r w:rsidR="00E07909" w:rsidRPr="009B37B2">
                <w:rPr>
                  <w:rStyle w:val="Hyperlink"/>
                  <w:i/>
                  <w:iCs/>
                </w:rPr>
                <w:t>Document C20/INF/7</w:t>
              </w:r>
              <w:bookmarkEnd w:id="20"/>
            </w:hyperlink>
          </w:p>
        </w:tc>
      </w:tr>
    </w:tbl>
    <w:p w14:paraId="6916E3E5" w14:textId="2E31B3CA" w:rsidR="00E07909" w:rsidRPr="009B37B2" w:rsidRDefault="00E07909" w:rsidP="005A561C">
      <w:pPr>
        <w:tabs>
          <w:tab w:val="clear" w:pos="567"/>
          <w:tab w:val="clear" w:pos="1134"/>
          <w:tab w:val="clear" w:pos="1701"/>
          <w:tab w:val="clear" w:pos="2268"/>
          <w:tab w:val="clear" w:pos="2835"/>
        </w:tabs>
        <w:overflowPunct/>
        <w:autoSpaceDE/>
        <w:autoSpaceDN/>
        <w:adjustRightInd/>
        <w:spacing w:before="0"/>
        <w:textAlignment w:val="auto"/>
      </w:pPr>
      <w:r w:rsidRPr="009B37B2">
        <w:br w:type="page"/>
      </w:r>
    </w:p>
    <w:p w14:paraId="43CB1FEE" w14:textId="722287D5" w:rsidR="00E07909" w:rsidRPr="009B37B2" w:rsidRDefault="00E07909" w:rsidP="005A561C">
      <w:pPr>
        <w:pStyle w:val="Title4"/>
      </w:pPr>
      <w:r w:rsidRPr="009B37B2">
        <w:lastRenderedPageBreak/>
        <w:t>Table des matières</w:t>
      </w:r>
    </w:p>
    <w:p w14:paraId="25079370" w14:textId="1E34F413" w:rsidR="00E07909" w:rsidRPr="009B37B2" w:rsidRDefault="00E07909" w:rsidP="005A561C">
      <w:pPr>
        <w:pStyle w:val="toc0"/>
        <w:jc w:val="right"/>
      </w:pPr>
      <w:r w:rsidRPr="009B37B2">
        <w:t>Page</w:t>
      </w:r>
    </w:p>
    <w:p w14:paraId="562BB1C6" w14:textId="1D23A5B0" w:rsidR="00C17AFF" w:rsidRPr="009B37B2" w:rsidRDefault="00C17AFF" w:rsidP="00BC190D">
      <w:pPr>
        <w:pStyle w:val="TOC1"/>
        <w:spacing w:before="160"/>
        <w:rPr>
          <w:rFonts w:asciiTheme="minorHAnsi" w:eastAsiaTheme="minorEastAsia" w:hAnsiTheme="minorHAnsi" w:cstheme="minorBidi"/>
          <w:noProof/>
          <w:sz w:val="22"/>
          <w:szCs w:val="22"/>
          <w:lang w:eastAsia="en-GB"/>
        </w:rPr>
      </w:pPr>
      <w:r w:rsidRPr="009B37B2">
        <w:fldChar w:fldCharType="begin"/>
      </w:r>
      <w:r w:rsidRPr="009B37B2">
        <w:instrText xml:space="preserve"> TOC \o "2-2" \h \z \t "Heading 1;1" </w:instrText>
      </w:r>
      <w:r w:rsidRPr="009B37B2">
        <w:fldChar w:fldCharType="separate"/>
      </w:r>
      <w:hyperlink w:anchor="_Toc39559425" w:history="1">
        <w:r w:rsidRPr="009B37B2">
          <w:rPr>
            <w:rStyle w:val="Hyperlink"/>
            <w:noProof/>
          </w:rPr>
          <w:t>1</w:t>
        </w:r>
        <w:r w:rsidRPr="009B37B2">
          <w:rPr>
            <w:rFonts w:asciiTheme="minorHAnsi" w:eastAsiaTheme="minorEastAsia" w:hAnsiTheme="minorHAnsi" w:cstheme="minorBidi"/>
            <w:noProof/>
            <w:sz w:val="22"/>
            <w:szCs w:val="22"/>
            <w:lang w:eastAsia="en-GB"/>
          </w:rPr>
          <w:tab/>
        </w:r>
        <w:r w:rsidRPr="009B37B2">
          <w:rPr>
            <w:rStyle w:val="Hyperlink"/>
            <w:noProof/>
          </w:rPr>
          <w:t>Introduction</w:t>
        </w:r>
        <w:r w:rsidRPr="009B37B2">
          <w:rPr>
            <w:noProof/>
            <w:webHidden/>
          </w:rPr>
          <w:tab/>
        </w:r>
        <w:r w:rsidRPr="009B37B2">
          <w:rPr>
            <w:noProof/>
            <w:webHidden/>
          </w:rPr>
          <w:tab/>
        </w:r>
        <w:r w:rsidRPr="009B37B2">
          <w:rPr>
            <w:noProof/>
            <w:webHidden/>
          </w:rPr>
          <w:fldChar w:fldCharType="begin"/>
        </w:r>
        <w:r w:rsidRPr="009B37B2">
          <w:rPr>
            <w:noProof/>
            <w:webHidden/>
          </w:rPr>
          <w:instrText xml:space="preserve"> PAGEREF _Toc39559425 \h </w:instrText>
        </w:r>
        <w:r w:rsidRPr="009B37B2">
          <w:rPr>
            <w:noProof/>
            <w:webHidden/>
          </w:rPr>
        </w:r>
        <w:r w:rsidRPr="009B37B2">
          <w:rPr>
            <w:noProof/>
            <w:webHidden/>
          </w:rPr>
          <w:fldChar w:fldCharType="separate"/>
        </w:r>
        <w:r w:rsidR="000773D4" w:rsidRPr="009B37B2">
          <w:rPr>
            <w:noProof/>
            <w:webHidden/>
          </w:rPr>
          <w:t>3</w:t>
        </w:r>
        <w:r w:rsidRPr="009B37B2">
          <w:rPr>
            <w:noProof/>
            <w:webHidden/>
          </w:rPr>
          <w:fldChar w:fldCharType="end"/>
        </w:r>
      </w:hyperlink>
    </w:p>
    <w:p w14:paraId="654FD790" w14:textId="7E1B64FF" w:rsidR="00C17AFF" w:rsidRPr="009B37B2" w:rsidRDefault="00691AF7" w:rsidP="00BC190D">
      <w:pPr>
        <w:pStyle w:val="TOC1"/>
        <w:spacing w:before="160"/>
        <w:rPr>
          <w:rFonts w:asciiTheme="minorHAnsi" w:eastAsiaTheme="minorEastAsia" w:hAnsiTheme="minorHAnsi" w:cstheme="minorBidi"/>
          <w:noProof/>
          <w:sz w:val="22"/>
          <w:szCs w:val="22"/>
          <w:lang w:eastAsia="en-GB"/>
        </w:rPr>
      </w:pPr>
      <w:hyperlink w:anchor="_Toc39559426" w:history="1">
        <w:r w:rsidR="00C17AFF" w:rsidRPr="009B37B2">
          <w:rPr>
            <w:rStyle w:val="Hyperlink"/>
            <w:noProof/>
          </w:rPr>
          <w:t>2</w:t>
        </w:r>
        <w:r w:rsidR="00C17AFF" w:rsidRPr="009B37B2">
          <w:rPr>
            <w:rFonts w:asciiTheme="minorHAnsi" w:eastAsiaTheme="minorEastAsia" w:hAnsiTheme="minorHAnsi" w:cstheme="minorBidi"/>
            <w:noProof/>
            <w:sz w:val="22"/>
            <w:szCs w:val="22"/>
            <w:lang w:eastAsia="en-GB"/>
          </w:rPr>
          <w:tab/>
        </w:r>
        <w:r w:rsidR="00C17AFF" w:rsidRPr="009B37B2">
          <w:rPr>
            <w:rStyle w:val="Hyperlink"/>
            <w:noProof/>
          </w:rPr>
          <w:t>Services et outils de l'UIT</w:t>
        </w:r>
        <w:r w:rsidR="00C17AFF" w:rsidRPr="009B37B2">
          <w:rPr>
            <w:noProof/>
            <w:webHidden/>
          </w:rPr>
          <w:tab/>
        </w:r>
        <w:r w:rsidR="00C17AFF" w:rsidRPr="009B37B2">
          <w:rPr>
            <w:noProof/>
            <w:webHidden/>
          </w:rPr>
          <w:tab/>
        </w:r>
        <w:r w:rsidR="00C17AFF" w:rsidRPr="009B37B2">
          <w:rPr>
            <w:noProof/>
            <w:webHidden/>
          </w:rPr>
          <w:fldChar w:fldCharType="begin"/>
        </w:r>
        <w:r w:rsidR="00C17AFF" w:rsidRPr="009B37B2">
          <w:rPr>
            <w:noProof/>
            <w:webHidden/>
          </w:rPr>
          <w:instrText xml:space="preserve"> PAGEREF _Toc39559426 \h </w:instrText>
        </w:r>
        <w:r w:rsidR="00C17AFF" w:rsidRPr="009B37B2">
          <w:rPr>
            <w:noProof/>
            <w:webHidden/>
          </w:rPr>
        </w:r>
        <w:r w:rsidR="00C17AFF" w:rsidRPr="009B37B2">
          <w:rPr>
            <w:noProof/>
            <w:webHidden/>
          </w:rPr>
          <w:fldChar w:fldCharType="separate"/>
        </w:r>
        <w:r w:rsidR="000773D4" w:rsidRPr="009B37B2">
          <w:rPr>
            <w:noProof/>
            <w:webHidden/>
          </w:rPr>
          <w:t>3</w:t>
        </w:r>
        <w:r w:rsidR="00C17AFF" w:rsidRPr="009B37B2">
          <w:rPr>
            <w:noProof/>
            <w:webHidden/>
          </w:rPr>
          <w:fldChar w:fldCharType="end"/>
        </w:r>
      </w:hyperlink>
    </w:p>
    <w:p w14:paraId="430D98F6" w14:textId="6E71D3D0" w:rsidR="00C17AFF" w:rsidRPr="009B37B2" w:rsidRDefault="00691AF7" w:rsidP="00BC190D">
      <w:pPr>
        <w:pStyle w:val="TOC1"/>
        <w:spacing w:before="160"/>
        <w:rPr>
          <w:rFonts w:asciiTheme="minorHAnsi" w:eastAsiaTheme="minorEastAsia" w:hAnsiTheme="minorHAnsi" w:cstheme="minorBidi"/>
          <w:noProof/>
          <w:sz w:val="22"/>
          <w:szCs w:val="22"/>
          <w:lang w:eastAsia="en-GB"/>
        </w:rPr>
      </w:pPr>
      <w:hyperlink w:anchor="_Toc39559427" w:history="1">
        <w:r w:rsidR="00C17AFF" w:rsidRPr="009B37B2">
          <w:rPr>
            <w:rStyle w:val="Hyperlink"/>
            <w:noProof/>
          </w:rPr>
          <w:t>3</w:t>
        </w:r>
        <w:r w:rsidR="00C17AFF" w:rsidRPr="009B37B2">
          <w:rPr>
            <w:rFonts w:asciiTheme="minorHAnsi" w:eastAsiaTheme="minorEastAsia" w:hAnsiTheme="minorHAnsi" w:cstheme="minorBidi"/>
            <w:noProof/>
            <w:sz w:val="22"/>
            <w:szCs w:val="22"/>
            <w:lang w:eastAsia="en-GB"/>
          </w:rPr>
          <w:tab/>
        </w:r>
        <w:r w:rsidR="00C17AFF" w:rsidRPr="009B37B2">
          <w:rPr>
            <w:rStyle w:val="Hyperlink"/>
            <w:noProof/>
          </w:rPr>
          <w:t xml:space="preserve">Demande de ressources supplémentaires pour les activités </w:t>
        </w:r>
        <w:r w:rsidR="00C17AFF" w:rsidRPr="009B37B2">
          <w:rPr>
            <w:rStyle w:val="Hyperlink"/>
            <w:noProof/>
          </w:rPr>
          <w:br/>
          <w:t>des commissions d'études</w:t>
        </w:r>
        <w:r w:rsidR="00C17AFF" w:rsidRPr="009B37B2">
          <w:rPr>
            <w:noProof/>
            <w:webHidden/>
          </w:rPr>
          <w:tab/>
        </w:r>
        <w:r w:rsidR="00C17AFF" w:rsidRPr="009B37B2">
          <w:rPr>
            <w:noProof/>
            <w:webHidden/>
          </w:rPr>
          <w:tab/>
        </w:r>
        <w:r w:rsidR="00C17AFF" w:rsidRPr="009B37B2">
          <w:rPr>
            <w:noProof/>
            <w:webHidden/>
          </w:rPr>
          <w:fldChar w:fldCharType="begin"/>
        </w:r>
        <w:r w:rsidR="00C17AFF" w:rsidRPr="009B37B2">
          <w:rPr>
            <w:noProof/>
            <w:webHidden/>
          </w:rPr>
          <w:instrText xml:space="preserve"> PAGEREF _Toc39559427 \h </w:instrText>
        </w:r>
        <w:r w:rsidR="00C17AFF" w:rsidRPr="009B37B2">
          <w:rPr>
            <w:noProof/>
            <w:webHidden/>
          </w:rPr>
        </w:r>
        <w:r w:rsidR="00C17AFF" w:rsidRPr="009B37B2">
          <w:rPr>
            <w:noProof/>
            <w:webHidden/>
          </w:rPr>
          <w:fldChar w:fldCharType="separate"/>
        </w:r>
        <w:r w:rsidR="000773D4" w:rsidRPr="009B37B2">
          <w:rPr>
            <w:noProof/>
            <w:webHidden/>
          </w:rPr>
          <w:t>5</w:t>
        </w:r>
        <w:r w:rsidR="00C17AFF" w:rsidRPr="009B37B2">
          <w:rPr>
            <w:noProof/>
            <w:webHidden/>
          </w:rPr>
          <w:fldChar w:fldCharType="end"/>
        </w:r>
      </w:hyperlink>
    </w:p>
    <w:p w14:paraId="7BB1F38C" w14:textId="011099D5" w:rsidR="00C17AFF" w:rsidRPr="009B37B2" w:rsidRDefault="00691AF7" w:rsidP="00BC190D">
      <w:pPr>
        <w:pStyle w:val="TOC1"/>
        <w:spacing w:before="160"/>
        <w:rPr>
          <w:rFonts w:asciiTheme="minorHAnsi" w:eastAsiaTheme="minorEastAsia" w:hAnsiTheme="minorHAnsi" w:cstheme="minorBidi"/>
          <w:noProof/>
          <w:sz w:val="22"/>
          <w:szCs w:val="22"/>
          <w:lang w:eastAsia="en-GB"/>
        </w:rPr>
      </w:pPr>
      <w:hyperlink w:anchor="_Toc39559428" w:history="1">
        <w:r w:rsidR="00C17AFF" w:rsidRPr="009B37B2">
          <w:rPr>
            <w:rStyle w:val="Hyperlink"/>
            <w:noProof/>
          </w:rPr>
          <w:t>3.1</w:t>
        </w:r>
        <w:r w:rsidR="00C17AFF" w:rsidRPr="009B37B2">
          <w:rPr>
            <w:rFonts w:asciiTheme="minorHAnsi" w:eastAsiaTheme="minorEastAsia" w:hAnsiTheme="minorHAnsi" w:cstheme="minorBidi"/>
            <w:noProof/>
            <w:sz w:val="22"/>
            <w:szCs w:val="22"/>
            <w:lang w:eastAsia="en-GB"/>
          </w:rPr>
          <w:tab/>
        </w:r>
        <w:r w:rsidR="00C17AFF" w:rsidRPr="009B37B2">
          <w:rPr>
            <w:rStyle w:val="Hyperlink"/>
            <w:noProof/>
          </w:rPr>
          <w:t xml:space="preserve">Des villes du monde entier utilisent les indicateurs fondamentaux </w:t>
        </w:r>
        <w:r w:rsidR="00BC190D">
          <w:rPr>
            <w:rStyle w:val="Hyperlink"/>
            <w:noProof/>
          </w:rPr>
          <w:br/>
        </w:r>
        <w:r w:rsidR="00C17AFF" w:rsidRPr="009B37B2">
          <w:rPr>
            <w:rStyle w:val="Hyperlink"/>
            <w:noProof/>
          </w:rPr>
          <w:t>de performance (IFP) de l'UIT relatifs aux villes intelligentes et durables</w:t>
        </w:r>
        <w:r w:rsidR="00C17AFF" w:rsidRPr="009B37B2">
          <w:rPr>
            <w:noProof/>
            <w:webHidden/>
          </w:rPr>
          <w:tab/>
        </w:r>
        <w:r w:rsidR="00C17AFF" w:rsidRPr="009B37B2">
          <w:rPr>
            <w:noProof/>
            <w:webHidden/>
          </w:rPr>
          <w:tab/>
        </w:r>
        <w:r w:rsidR="00C17AFF" w:rsidRPr="009B37B2">
          <w:rPr>
            <w:noProof/>
            <w:webHidden/>
          </w:rPr>
          <w:fldChar w:fldCharType="begin"/>
        </w:r>
        <w:r w:rsidR="00C17AFF" w:rsidRPr="009B37B2">
          <w:rPr>
            <w:noProof/>
            <w:webHidden/>
          </w:rPr>
          <w:instrText xml:space="preserve"> PAGEREF _Toc39559428 \h </w:instrText>
        </w:r>
        <w:r w:rsidR="00C17AFF" w:rsidRPr="009B37B2">
          <w:rPr>
            <w:noProof/>
            <w:webHidden/>
          </w:rPr>
        </w:r>
        <w:r w:rsidR="00C17AFF" w:rsidRPr="009B37B2">
          <w:rPr>
            <w:noProof/>
            <w:webHidden/>
          </w:rPr>
          <w:fldChar w:fldCharType="separate"/>
        </w:r>
        <w:r w:rsidR="000773D4" w:rsidRPr="009B37B2">
          <w:rPr>
            <w:noProof/>
            <w:webHidden/>
          </w:rPr>
          <w:t>5</w:t>
        </w:r>
        <w:r w:rsidR="00C17AFF" w:rsidRPr="009B37B2">
          <w:rPr>
            <w:noProof/>
            <w:webHidden/>
          </w:rPr>
          <w:fldChar w:fldCharType="end"/>
        </w:r>
      </w:hyperlink>
    </w:p>
    <w:p w14:paraId="74D94E6C" w14:textId="4990D996" w:rsidR="00C17AFF" w:rsidRPr="009B37B2" w:rsidRDefault="00691AF7" w:rsidP="00BC190D">
      <w:pPr>
        <w:pStyle w:val="TOC1"/>
        <w:spacing w:before="160"/>
        <w:rPr>
          <w:rFonts w:asciiTheme="minorHAnsi" w:eastAsiaTheme="minorEastAsia" w:hAnsiTheme="minorHAnsi" w:cstheme="minorBidi"/>
          <w:noProof/>
          <w:sz w:val="22"/>
          <w:szCs w:val="22"/>
          <w:lang w:eastAsia="en-GB"/>
        </w:rPr>
      </w:pPr>
      <w:hyperlink w:anchor="_Toc39559429" w:history="1">
        <w:r w:rsidR="00C17AFF" w:rsidRPr="009B37B2">
          <w:rPr>
            <w:rStyle w:val="Hyperlink"/>
            <w:noProof/>
          </w:rPr>
          <w:t>3.2</w:t>
        </w:r>
        <w:r w:rsidR="00C17AFF" w:rsidRPr="009B37B2">
          <w:rPr>
            <w:rFonts w:asciiTheme="minorHAnsi" w:eastAsiaTheme="minorEastAsia" w:hAnsiTheme="minorHAnsi" w:cstheme="minorBidi"/>
            <w:noProof/>
            <w:sz w:val="22"/>
            <w:szCs w:val="22"/>
            <w:lang w:eastAsia="en-GB"/>
          </w:rPr>
          <w:tab/>
        </w:r>
        <w:r w:rsidR="00C17AFF" w:rsidRPr="009B37B2">
          <w:rPr>
            <w:rStyle w:val="Hyperlink"/>
            <w:noProof/>
          </w:rPr>
          <w:t xml:space="preserve">Ressources internationales de numérotage (INR): la cheville ouvrière </w:t>
        </w:r>
        <w:r w:rsidR="00C17AFF" w:rsidRPr="009B37B2">
          <w:rPr>
            <w:rStyle w:val="Hyperlink"/>
            <w:noProof/>
          </w:rPr>
          <w:br/>
          <w:t>des réseaux de communication</w:t>
        </w:r>
        <w:r w:rsidR="00C17AFF" w:rsidRPr="009B37B2">
          <w:rPr>
            <w:noProof/>
            <w:webHidden/>
          </w:rPr>
          <w:tab/>
        </w:r>
        <w:r w:rsidR="00C17AFF" w:rsidRPr="009B37B2">
          <w:rPr>
            <w:noProof/>
            <w:webHidden/>
          </w:rPr>
          <w:tab/>
        </w:r>
        <w:r w:rsidR="00C17AFF" w:rsidRPr="009B37B2">
          <w:rPr>
            <w:noProof/>
            <w:webHidden/>
          </w:rPr>
          <w:fldChar w:fldCharType="begin"/>
        </w:r>
        <w:r w:rsidR="00C17AFF" w:rsidRPr="009B37B2">
          <w:rPr>
            <w:noProof/>
            <w:webHidden/>
          </w:rPr>
          <w:instrText xml:space="preserve"> PAGEREF _Toc39559429 \h </w:instrText>
        </w:r>
        <w:r w:rsidR="00C17AFF" w:rsidRPr="009B37B2">
          <w:rPr>
            <w:noProof/>
            <w:webHidden/>
          </w:rPr>
        </w:r>
        <w:r w:rsidR="00C17AFF" w:rsidRPr="009B37B2">
          <w:rPr>
            <w:noProof/>
            <w:webHidden/>
          </w:rPr>
          <w:fldChar w:fldCharType="separate"/>
        </w:r>
        <w:r w:rsidR="000773D4" w:rsidRPr="009B37B2">
          <w:rPr>
            <w:noProof/>
            <w:webHidden/>
          </w:rPr>
          <w:t>6</w:t>
        </w:r>
        <w:r w:rsidR="00C17AFF" w:rsidRPr="009B37B2">
          <w:rPr>
            <w:noProof/>
            <w:webHidden/>
          </w:rPr>
          <w:fldChar w:fldCharType="end"/>
        </w:r>
      </w:hyperlink>
    </w:p>
    <w:p w14:paraId="4FA27C25" w14:textId="4F9E5051" w:rsidR="00C17AFF" w:rsidRPr="009B37B2" w:rsidRDefault="00691AF7" w:rsidP="00BC190D">
      <w:pPr>
        <w:pStyle w:val="TOC1"/>
        <w:spacing w:before="160"/>
        <w:rPr>
          <w:rFonts w:asciiTheme="minorHAnsi" w:eastAsiaTheme="minorEastAsia" w:hAnsiTheme="minorHAnsi" w:cstheme="minorBidi"/>
          <w:noProof/>
          <w:sz w:val="22"/>
          <w:szCs w:val="22"/>
          <w:lang w:eastAsia="en-GB"/>
        </w:rPr>
      </w:pPr>
      <w:hyperlink w:anchor="_Toc39559430" w:history="1">
        <w:r w:rsidR="00C17AFF" w:rsidRPr="009B37B2">
          <w:rPr>
            <w:rStyle w:val="Hyperlink"/>
            <w:noProof/>
          </w:rPr>
          <w:t>3.3</w:t>
        </w:r>
        <w:r w:rsidR="00C17AFF" w:rsidRPr="009B37B2">
          <w:rPr>
            <w:rFonts w:asciiTheme="minorHAnsi" w:eastAsiaTheme="minorEastAsia" w:hAnsiTheme="minorHAnsi" w:cstheme="minorBidi"/>
            <w:noProof/>
            <w:sz w:val="22"/>
            <w:szCs w:val="22"/>
            <w:lang w:eastAsia="en-GB"/>
          </w:rPr>
          <w:tab/>
        </w:r>
        <w:r w:rsidR="00C17AFF" w:rsidRPr="009B37B2">
          <w:rPr>
            <w:rStyle w:val="Hyperlink"/>
            <w:noProof/>
          </w:rPr>
          <w:t xml:space="preserve">Les services financiers numériques peuvent permettre à deux milliards </w:t>
        </w:r>
        <w:r w:rsidR="00C17AFF" w:rsidRPr="009B37B2">
          <w:rPr>
            <w:rStyle w:val="Hyperlink"/>
            <w:noProof/>
          </w:rPr>
          <w:br/>
          <w:t xml:space="preserve">de personnes ne possédant pas de compte bancaire d'accéder </w:t>
        </w:r>
        <w:r w:rsidR="00C17AFF" w:rsidRPr="009B37B2">
          <w:rPr>
            <w:rStyle w:val="Hyperlink"/>
            <w:noProof/>
          </w:rPr>
          <w:br/>
          <w:t>à la vie économique</w:t>
        </w:r>
        <w:r w:rsidR="00C17AFF" w:rsidRPr="009B37B2">
          <w:rPr>
            <w:noProof/>
            <w:webHidden/>
          </w:rPr>
          <w:tab/>
        </w:r>
        <w:r w:rsidR="00C17AFF" w:rsidRPr="009B37B2">
          <w:rPr>
            <w:noProof/>
            <w:webHidden/>
          </w:rPr>
          <w:tab/>
        </w:r>
        <w:r w:rsidR="00C17AFF" w:rsidRPr="009B37B2">
          <w:rPr>
            <w:noProof/>
            <w:webHidden/>
          </w:rPr>
          <w:fldChar w:fldCharType="begin"/>
        </w:r>
        <w:r w:rsidR="00C17AFF" w:rsidRPr="009B37B2">
          <w:rPr>
            <w:noProof/>
            <w:webHidden/>
          </w:rPr>
          <w:instrText xml:space="preserve"> PAGEREF _Toc39559430 \h </w:instrText>
        </w:r>
        <w:r w:rsidR="00C17AFF" w:rsidRPr="009B37B2">
          <w:rPr>
            <w:noProof/>
            <w:webHidden/>
          </w:rPr>
        </w:r>
        <w:r w:rsidR="00C17AFF" w:rsidRPr="009B37B2">
          <w:rPr>
            <w:noProof/>
            <w:webHidden/>
          </w:rPr>
          <w:fldChar w:fldCharType="separate"/>
        </w:r>
        <w:r w:rsidR="000773D4" w:rsidRPr="009B37B2">
          <w:rPr>
            <w:noProof/>
            <w:webHidden/>
          </w:rPr>
          <w:t>7</w:t>
        </w:r>
        <w:r w:rsidR="00C17AFF" w:rsidRPr="009B37B2">
          <w:rPr>
            <w:noProof/>
            <w:webHidden/>
          </w:rPr>
          <w:fldChar w:fldCharType="end"/>
        </w:r>
      </w:hyperlink>
    </w:p>
    <w:p w14:paraId="27817B79" w14:textId="3ED34754" w:rsidR="00C17AFF" w:rsidRPr="009B37B2" w:rsidRDefault="00691AF7" w:rsidP="00BC190D">
      <w:pPr>
        <w:pStyle w:val="TOC1"/>
        <w:spacing w:before="160"/>
        <w:rPr>
          <w:rFonts w:asciiTheme="minorHAnsi" w:eastAsiaTheme="minorEastAsia" w:hAnsiTheme="minorHAnsi" w:cstheme="minorBidi"/>
          <w:noProof/>
          <w:sz w:val="22"/>
          <w:szCs w:val="22"/>
          <w:lang w:eastAsia="en-GB"/>
        </w:rPr>
      </w:pPr>
      <w:hyperlink w:anchor="_Toc39559431" w:history="1">
        <w:r w:rsidR="00C17AFF" w:rsidRPr="009B37B2">
          <w:rPr>
            <w:rStyle w:val="Hyperlink"/>
            <w:noProof/>
          </w:rPr>
          <w:t>3.4</w:t>
        </w:r>
        <w:r w:rsidR="00C17AFF" w:rsidRPr="009B37B2">
          <w:rPr>
            <w:rFonts w:asciiTheme="minorHAnsi" w:eastAsiaTheme="minorEastAsia" w:hAnsiTheme="minorHAnsi" w:cstheme="minorBidi"/>
            <w:noProof/>
            <w:sz w:val="22"/>
            <w:szCs w:val="22"/>
            <w:lang w:eastAsia="en-GB"/>
          </w:rPr>
          <w:tab/>
        </w:r>
        <w:r w:rsidR="00C17AFF" w:rsidRPr="009B37B2">
          <w:rPr>
            <w:rStyle w:val="Hyperlink"/>
            <w:noProof/>
          </w:rPr>
          <w:t xml:space="preserve">Spécialiste de l'apprentissage automatique appliqué aux infrastructures </w:t>
        </w:r>
        <w:r w:rsidR="00C17AFF" w:rsidRPr="009B37B2">
          <w:rPr>
            <w:rStyle w:val="Hyperlink"/>
            <w:noProof/>
          </w:rPr>
          <w:br/>
          <w:t>et aux services TIC</w:t>
        </w:r>
        <w:r w:rsidR="00C17AFF" w:rsidRPr="009B37B2">
          <w:rPr>
            <w:noProof/>
            <w:webHidden/>
          </w:rPr>
          <w:tab/>
        </w:r>
        <w:r w:rsidR="00C17AFF" w:rsidRPr="009B37B2">
          <w:rPr>
            <w:noProof/>
            <w:webHidden/>
          </w:rPr>
          <w:tab/>
        </w:r>
        <w:r w:rsidR="00C17AFF" w:rsidRPr="009B37B2">
          <w:rPr>
            <w:noProof/>
            <w:webHidden/>
          </w:rPr>
          <w:fldChar w:fldCharType="begin"/>
        </w:r>
        <w:r w:rsidR="00C17AFF" w:rsidRPr="009B37B2">
          <w:rPr>
            <w:noProof/>
            <w:webHidden/>
          </w:rPr>
          <w:instrText xml:space="preserve"> PAGEREF _Toc39559431 \h </w:instrText>
        </w:r>
        <w:r w:rsidR="00C17AFF" w:rsidRPr="009B37B2">
          <w:rPr>
            <w:noProof/>
            <w:webHidden/>
          </w:rPr>
        </w:r>
        <w:r w:rsidR="00C17AFF" w:rsidRPr="009B37B2">
          <w:rPr>
            <w:noProof/>
            <w:webHidden/>
          </w:rPr>
          <w:fldChar w:fldCharType="separate"/>
        </w:r>
        <w:r w:rsidR="000773D4" w:rsidRPr="009B37B2">
          <w:rPr>
            <w:noProof/>
            <w:webHidden/>
          </w:rPr>
          <w:t>8</w:t>
        </w:r>
        <w:r w:rsidR="00C17AFF" w:rsidRPr="009B37B2">
          <w:rPr>
            <w:noProof/>
            <w:webHidden/>
          </w:rPr>
          <w:fldChar w:fldCharType="end"/>
        </w:r>
      </w:hyperlink>
    </w:p>
    <w:p w14:paraId="2D6A973E" w14:textId="04372D5C" w:rsidR="00C17AFF" w:rsidRPr="009B37B2" w:rsidRDefault="00691AF7" w:rsidP="00BC190D">
      <w:pPr>
        <w:pStyle w:val="TOC1"/>
        <w:spacing w:before="160"/>
        <w:rPr>
          <w:rFonts w:asciiTheme="minorHAnsi" w:eastAsiaTheme="minorEastAsia" w:hAnsiTheme="minorHAnsi" w:cstheme="minorBidi"/>
          <w:noProof/>
          <w:sz w:val="22"/>
          <w:szCs w:val="22"/>
          <w:lang w:eastAsia="en-GB"/>
        </w:rPr>
      </w:pPr>
      <w:hyperlink w:anchor="_Toc39559432" w:history="1">
        <w:r w:rsidR="00C17AFF" w:rsidRPr="009B37B2">
          <w:rPr>
            <w:rStyle w:val="Hyperlink"/>
            <w:noProof/>
          </w:rPr>
          <w:t>4</w:t>
        </w:r>
        <w:r w:rsidR="00C17AFF" w:rsidRPr="009B37B2">
          <w:rPr>
            <w:rFonts w:asciiTheme="minorHAnsi" w:eastAsiaTheme="minorEastAsia" w:hAnsiTheme="minorHAnsi" w:cstheme="minorBidi"/>
            <w:noProof/>
            <w:sz w:val="22"/>
            <w:szCs w:val="22"/>
            <w:lang w:eastAsia="en-GB"/>
          </w:rPr>
          <w:tab/>
        </w:r>
        <w:r w:rsidR="00C17AFF" w:rsidRPr="009B37B2">
          <w:rPr>
            <w:rStyle w:val="Hyperlink"/>
            <w:noProof/>
          </w:rPr>
          <w:t>Résumé des ressources demandées</w:t>
        </w:r>
        <w:r w:rsidR="00C17AFF" w:rsidRPr="009B37B2">
          <w:rPr>
            <w:noProof/>
            <w:webHidden/>
          </w:rPr>
          <w:tab/>
        </w:r>
        <w:r w:rsidR="00C17AFF" w:rsidRPr="009B37B2">
          <w:rPr>
            <w:noProof/>
            <w:webHidden/>
          </w:rPr>
          <w:tab/>
        </w:r>
        <w:r w:rsidR="00C17AFF" w:rsidRPr="009B37B2">
          <w:rPr>
            <w:noProof/>
            <w:webHidden/>
          </w:rPr>
          <w:fldChar w:fldCharType="begin"/>
        </w:r>
        <w:r w:rsidR="00C17AFF" w:rsidRPr="009B37B2">
          <w:rPr>
            <w:noProof/>
            <w:webHidden/>
          </w:rPr>
          <w:instrText xml:space="preserve"> PAGEREF _Toc39559432 \h </w:instrText>
        </w:r>
        <w:r w:rsidR="00C17AFF" w:rsidRPr="009B37B2">
          <w:rPr>
            <w:noProof/>
            <w:webHidden/>
          </w:rPr>
        </w:r>
        <w:r w:rsidR="00C17AFF" w:rsidRPr="009B37B2">
          <w:rPr>
            <w:noProof/>
            <w:webHidden/>
          </w:rPr>
          <w:fldChar w:fldCharType="separate"/>
        </w:r>
        <w:r w:rsidR="000773D4" w:rsidRPr="009B37B2">
          <w:rPr>
            <w:noProof/>
            <w:webHidden/>
          </w:rPr>
          <w:t>9</w:t>
        </w:r>
        <w:r w:rsidR="00C17AFF" w:rsidRPr="009B37B2">
          <w:rPr>
            <w:noProof/>
            <w:webHidden/>
          </w:rPr>
          <w:fldChar w:fldCharType="end"/>
        </w:r>
      </w:hyperlink>
    </w:p>
    <w:p w14:paraId="10D9B77C" w14:textId="28310D91" w:rsidR="00E07909" w:rsidRPr="009B37B2" w:rsidRDefault="00C17AFF" w:rsidP="00BC190D">
      <w:pPr>
        <w:pStyle w:val="TOC1"/>
        <w:spacing w:before="160"/>
      </w:pPr>
      <w:r w:rsidRPr="009B37B2">
        <w:fldChar w:fldCharType="end"/>
      </w:r>
      <w:r w:rsidR="00E07909" w:rsidRPr="009B37B2">
        <w:br w:type="page"/>
      </w:r>
    </w:p>
    <w:p w14:paraId="4120A526" w14:textId="77777777" w:rsidR="00E07909" w:rsidRPr="009B37B2" w:rsidRDefault="00E07909" w:rsidP="001362DF">
      <w:pPr>
        <w:pStyle w:val="Heading1"/>
        <w:tabs>
          <w:tab w:val="clear" w:pos="567"/>
          <w:tab w:val="clear" w:pos="1134"/>
          <w:tab w:val="clear" w:pos="1701"/>
          <w:tab w:val="clear" w:pos="2268"/>
          <w:tab w:val="clear" w:pos="2835"/>
        </w:tabs>
        <w:ind w:left="0" w:firstLine="0"/>
      </w:pPr>
      <w:bookmarkStart w:id="21" w:name="_Toc37930304"/>
      <w:bookmarkStart w:id="22" w:name="_Toc39559425"/>
      <w:r w:rsidRPr="009B37B2">
        <w:lastRenderedPageBreak/>
        <w:t>1</w:t>
      </w:r>
      <w:r w:rsidRPr="009B37B2">
        <w:tab/>
        <w:t>Introduction</w:t>
      </w:r>
      <w:bookmarkEnd w:id="21"/>
      <w:bookmarkEnd w:id="22"/>
    </w:p>
    <w:p w14:paraId="1C6C89F2" w14:textId="4CCA668A" w:rsidR="00E07909" w:rsidRPr="009B37B2" w:rsidRDefault="00E07909" w:rsidP="001362DF">
      <w:pPr>
        <w:tabs>
          <w:tab w:val="clear" w:pos="567"/>
          <w:tab w:val="clear" w:pos="1134"/>
          <w:tab w:val="clear" w:pos="1701"/>
          <w:tab w:val="clear" w:pos="2268"/>
          <w:tab w:val="clear" w:pos="2835"/>
        </w:tabs>
      </w:pPr>
      <w:r w:rsidRPr="009B37B2">
        <w:t>1.1</w:t>
      </w:r>
      <w:r w:rsidRPr="009B37B2">
        <w:tab/>
      </w:r>
      <w:r w:rsidR="00253FE2" w:rsidRPr="009B37B2">
        <w:t>Les TIC sont devenu</w:t>
      </w:r>
      <w:r w:rsidR="008804A3" w:rsidRPr="009B37B2">
        <w:t>e</w:t>
      </w:r>
      <w:r w:rsidR="00253FE2" w:rsidRPr="009B37B2">
        <w:t>s des outils indispensables à notre société</w:t>
      </w:r>
      <w:r w:rsidR="0032470B" w:rsidRPr="009B37B2">
        <w:t xml:space="preserve"> et </w:t>
      </w:r>
      <w:r w:rsidR="00CE325A" w:rsidRPr="009B37B2">
        <w:t>sont omniprésentes dans tous les domaines du quotidien et de la vie professionnelle</w:t>
      </w:r>
      <w:r w:rsidR="00A54667" w:rsidRPr="009B37B2">
        <w:t xml:space="preserve">. </w:t>
      </w:r>
      <w:r w:rsidR="00253FE2" w:rsidRPr="009B37B2">
        <w:t xml:space="preserve">Tous les secteurs d'activité </w:t>
      </w:r>
      <w:r w:rsidR="00496FB1" w:rsidRPr="009B37B2">
        <w:t xml:space="preserve">les </w:t>
      </w:r>
      <w:r w:rsidR="00253FE2" w:rsidRPr="009B37B2">
        <w:t xml:space="preserve">utilisent. </w:t>
      </w:r>
      <w:r w:rsidR="00CE325A" w:rsidRPr="009B37B2">
        <w:t>Cette tendance à l</w:t>
      </w:r>
      <w:r w:rsidR="00A54667" w:rsidRPr="009B37B2">
        <w:t>'</w:t>
      </w:r>
      <w:r w:rsidR="00CE325A" w:rsidRPr="009B37B2">
        <w:t>interdépendance</w:t>
      </w:r>
      <w:r w:rsidR="00F00D96" w:rsidRPr="009B37B2">
        <w:t xml:space="preserve"> </w:t>
      </w:r>
      <w:r w:rsidR="00EB4460" w:rsidRPr="009B37B2">
        <w:t>croissante</w:t>
      </w:r>
      <w:r w:rsidR="00F00D96" w:rsidRPr="009B37B2">
        <w:t xml:space="preserve"> </w:t>
      </w:r>
      <w:r w:rsidR="00253FE2" w:rsidRPr="009B37B2">
        <w:t xml:space="preserve">entre les TIC et plusieurs autres </w:t>
      </w:r>
      <w:r w:rsidR="00EB4460" w:rsidRPr="009B37B2">
        <w:t>secteurs verticaux</w:t>
      </w:r>
      <w:r w:rsidRPr="009B37B2">
        <w:t>/</w:t>
      </w:r>
      <w:r w:rsidR="00253FE2" w:rsidRPr="009B37B2">
        <w:t>secteurs</w:t>
      </w:r>
      <w:r w:rsidR="00EB4460" w:rsidRPr="009B37B2">
        <w:t xml:space="preserve"> d'activité</w:t>
      </w:r>
      <w:r w:rsidR="00CE325A" w:rsidRPr="009B37B2">
        <w:t xml:space="preserve"> se manifeste</w:t>
      </w:r>
      <w:r w:rsidR="00F00D96" w:rsidRPr="009B37B2">
        <w:t xml:space="preserve"> </w:t>
      </w:r>
      <w:r w:rsidR="00253FE2" w:rsidRPr="009B37B2">
        <w:t xml:space="preserve">aussi dans le programme de travail, </w:t>
      </w:r>
      <w:r w:rsidR="009F24BD" w:rsidRPr="009B37B2">
        <w:t>qui</w:t>
      </w:r>
      <w:r w:rsidR="00CE325A" w:rsidRPr="009B37B2">
        <w:t xml:space="preserve"> comprend </w:t>
      </w:r>
      <w:r w:rsidR="00253FE2" w:rsidRPr="009B37B2">
        <w:t xml:space="preserve">de nouvelles activités </w:t>
      </w:r>
      <w:r w:rsidR="00A54667" w:rsidRPr="009B37B2">
        <w:t>–</w:t>
      </w:r>
      <w:r w:rsidR="00CE325A" w:rsidRPr="009B37B2">
        <w:t xml:space="preserve"> </w:t>
      </w:r>
      <w:r w:rsidR="00253FE2" w:rsidRPr="009B37B2">
        <w:t>inclusion financière numérique,</w:t>
      </w:r>
      <w:r w:rsidR="00F00D96" w:rsidRPr="009B37B2">
        <w:t xml:space="preserve"> </w:t>
      </w:r>
      <w:r w:rsidR="00253FE2" w:rsidRPr="009B37B2">
        <w:t>systèmes de tra</w:t>
      </w:r>
      <w:r w:rsidR="00DA53D1" w:rsidRPr="009B37B2">
        <w:t>nsport</w:t>
      </w:r>
      <w:r w:rsidR="00253FE2" w:rsidRPr="009B37B2">
        <w:t xml:space="preserve"> intelligents,</w:t>
      </w:r>
      <w:r w:rsidR="00F00D96" w:rsidRPr="009B37B2">
        <w:t xml:space="preserve"> </w:t>
      </w:r>
      <w:r w:rsidR="00253FE2" w:rsidRPr="009B37B2">
        <w:t>villes intelligentes,</w:t>
      </w:r>
      <w:r w:rsidR="00F00D96" w:rsidRPr="009B37B2">
        <w:t xml:space="preserve"> </w:t>
      </w:r>
      <w:r w:rsidR="00DA53D1" w:rsidRPr="009B37B2">
        <w:t>réseaux intelligents</w:t>
      </w:r>
      <w:r w:rsidRPr="009B37B2">
        <w:t>,</w:t>
      </w:r>
      <w:r w:rsidR="00F00D96" w:rsidRPr="009B37B2">
        <w:t xml:space="preserve"> </w:t>
      </w:r>
      <w:r w:rsidRPr="009B37B2">
        <w:t>technologies</w:t>
      </w:r>
      <w:r w:rsidR="00790D5B" w:rsidRPr="009B37B2">
        <w:t xml:space="preserve"> des registres distribué</w:t>
      </w:r>
      <w:r w:rsidR="00DA53D1" w:rsidRPr="009B37B2">
        <w:t>s</w:t>
      </w:r>
      <w:r w:rsidRPr="009B37B2">
        <w:t>, intelligence</w:t>
      </w:r>
      <w:r w:rsidR="00DA53D1" w:rsidRPr="009B37B2">
        <w:t xml:space="preserve"> artificielle</w:t>
      </w:r>
      <w:r w:rsidR="00CE325A" w:rsidRPr="009B37B2">
        <w:t>/</w:t>
      </w:r>
      <w:r w:rsidR="00DA53D1" w:rsidRPr="009B37B2">
        <w:t>apprentissage automatique</w:t>
      </w:r>
      <w:r w:rsidR="00F00D96" w:rsidRPr="009B37B2">
        <w:t xml:space="preserve"> </w:t>
      </w:r>
      <w:r w:rsidR="00DA53D1" w:rsidRPr="009B37B2">
        <w:t>et</w:t>
      </w:r>
      <w:r w:rsidRPr="009B37B2">
        <w:t xml:space="preserve"> </w:t>
      </w:r>
      <w:r w:rsidR="00DA53D1" w:rsidRPr="009B37B2">
        <w:t>informatique quantique</w:t>
      </w:r>
      <w:r w:rsidR="00BC190D">
        <w:t xml:space="preserve"> –</w:t>
      </w:r>
      <w:r w:rsidR="00CE325A" w:rsidRPr="009B37B2">
        <w:t>, qui se traduisent par une augmentation du nombre</w:t>
      </w:r>
      <w:r w:rsidR="00F00D96" w:rsidRPr="009B37B2">
        <w:t xml:space="preserve"> </w:t>
      </w:r>
      <w:r w:rsidR="006B2334" w:rsidRPr="009B37B2">
        <w:t>de M</w:t>
      </w:r>
      <w:r w:rsidR="00DA53D1" w:rsidRPr="009B37B2">
        <w:t xml:space="preserve">embres du Secteur </w:t>
      </w:r>
      <w:r w:rsidR="006B2334" w:rsidRPr="009B37B2">
        <w:t>de l'</w:t>
      </w:r>
      <w:r w:rsidR="00DA53D1" w:rsidRPr="009B37B2">
        <w:t>UIT-T</w:t>
      </w:r>
      <w:r w:rsidR="00A54667" w:rsidRPr="009B37B2">
        <w:t>.</w:t>
      </w:r>
    </w:p>
    <w:p w14:paraId="0AF4D0B3" w14:textId="6B0464E1" w:rsidR="00E07909" w:rsidRPr="009B37B2" w:rsidRDefault="000A6A1A" w:rsidP="001362DF">
      <w:pPr>
        <w:tabs>
          <w:tab w:val="clear" w:pos="567"/>
          <w:tab w:val="clear" w:pos="1134"/>
          <w:tab w:val="clear" w:pos="1701"/>
          <w:tab w:val="clear" w:pos="2268"/>
          <w:tab w:val="clear" w:pos="2835"/>
        </w:tabs>
      </w:pPr>
      <w:r w:rsidRPr="009B37B2">
        <w:t>1.2</w:t>
      </w:r>
      <w:r w:rsidRPr="009B37B2">
        <w:tab/>
        <w:t>E</w:t>
      </w:r>
      <w:r w:rsidR="00E07909" w:rsidRPr="009B37B2">
        <w:t>n 2019,</w:t>
      </w:r>
      <w:r w:rsidR="00F00D96" w:rsidRPr="009B37B2">
        <w:t xml:space="preserve"> </w:t>
      </w:r>
      <w:r w:rsidRPr="009B37B2">
        <w:t xml:space="preserve">34 nouveaux Associés </w:t>
      </w:r>
      <w:r w:rsidR="00E07909" w:rsidRPr="009B37B2">
        <w:t>(</w:t>
      </w:r>
      <w:r w:rsidRPr="009B37B2">
        <w:t>augmentation nette de 27 Associés</w:t>
      </w:r>
      <w:r w:rsidR="00E07909" w:rsidRPr="009B37B2">
        <w:t xml:space="preserve">) </w:t>
      </w:r>
      <w:r w:rsidRPr="009B37B2">
        <w:t>et</w:t>
      </w:r>
      <w:r w:rsidR="00F00D96" w:rsidRPr="009B37B2">
        <w:t xml:space="preserve"> </w:t>
      </w:r>
      <w:r w:rsidR="00E07909" w:rsidRPr="009B37B2">
        <w:t>20</w:t>
      </w:r>
      <w:r w:rsidRPr="009B37B2">
        <w:t xml:space="preserve"> nouveaux</w:t>
      </w:r>
      <w:r w:rsidR="00E07909" w:rsidRPr="009B37B2">
        <w:t xml:space="preserve"> </w:t>
      </w:r>
      <w:r w:rsidRPr="009B37B2">
        <w:t xml:space="preserve">Membres </w:t>
      </w:r>
      <w:r w:rsidR="00F723B4" w:rsidRPr="009B37B2">
        <w:t xml:space="preserve">de Secteur </w:t>
      </w:r>
      <w:r w:rsidR="00E07909" w:rsidRPr="009B37B2">
        <w:t>(</w:t>
      </w:r>
      <w:r w:rsidRPr="009B37B2">
        <w:t>a</w:t>
      </w:r>
      <w:r w:rsidR="00FB1171" w:rsidRPr="009B37B2">
        <w:t>ugmentation nette de 11 M</w:t>
      </w:r>
      <w:r w:rsidRPr="009B37B2">
        <w:t>embres</w:t>
      </w:r>
      <w:r w:rsidR="00E07909" w:rsidRPr="009B37B2">
        <w:t>)</w:t>
      </w:r>
      <w:r w:rsidR="00CE325A" w:rsidRPr="009B37B2">
        <w:t xml:space="preserve"> ont rejoint l'UIT-T</w:t>
      </w:r>
      <w:r w:rsidR="00E07909" w:rsidRPr="009B37B2">
        <w:t xml:space="preserve">. </w:t>
      </w:r>
      <w:r w:rsidRPr="009B37B2">
        <w:t>E</w:t>
      </w:r>
      <w:r w:rsidR="00E07909" w:rsidRPr="009B37B2">
        <w:t xml:space="preserve">n 2018, </w:t>
      </w:r>
      <w:r w:rsidR="00F723B4" w:rsidRPr="009B37B2">
        <w:t>l'UIT-T</w:t>
      </w:r>
      <w:r w:rsidR="00CE325A" w:rsidRPr="009B37B2">
        <w:t xml:space="preserve"> comptait </w:t>
      </w:r>
      <w:r w:rsidRPr="009B37B2">
        <w:t>31 nouveaux Associés</w:t>
      </w:r>
      <w:r w:rsidR="00E07909" w:rsidRPr="009B37B2">
        <w:t xml:space="preserve"> (</w:t>
      </w:r>
      <w:r w:rsidRPr="009B37B2">
        <w:t>augmentation nette de 20 Associés</w:t>
      </w:r>
      <w:r w:rsidR="00E07909" w:rsidRPr="009B37B2">
        <w:t xml:space="preserve">) </w:t>
      </w:r>
      <w:r w:rsidRPr="009B37B2">
        <w:t>et</w:t>
      </w:r>
      <w:r w:rsidR="00F00D96" w:rsidRPr="009B37B2">
        <w:t xml:space="preserve"> </w:t>
      </w:r>
      <w:r w:rsidR="00E07909" w:rsidRPr="009B37B2">
        <w:t xml:space="preserve">14 </w:t>
      </w:r>
      <w:r w:rsidRPr="009B37B2">
        <w:t xml:space="preserve">nouveaux Membres </w:t>
      </w:r>
      <w:r w:rsidR="00F723B4" w:rsidRPr="009B37B2">
        <w:t xml:space="preserve">de Secteur </w:t>
      </w:r>
      <w:r w:rsidR="00E07909" w:rsidRPr="009B37B2">
        <w:t>(</w:t>
      </w:r>
      <w:r w:rsidRPr="009B37B2">
        <w:t>augmentation nette égale à</w:t>
      </w:r>
      <w:r w:rsidR="00E07909" w:rsidRPr="009B37B2">
        <w:t xml:space="preserve"> 0). </w:t>
      </w:r>
      <w:r w:rsidR="008F4B04" w:rsidRPr="009B37B2">
        <w:t xml:space="preserve">Entre 2017 et 2019, les </w:t>
      </w:r>
      <w:r w:rsidR="0007231E" w:rsidRPr="009B37B2">
        <w:t>recettes</w:t>
      </w:r>
      <w:r w:rsidR="008F4B04" w:rsidRPr="009B37B2">
        <w:t xml:space="preserve"> </w:t>
      </w:r>
      <w:r w:rsidR="0007231E" w:rsidRPr="009B37B2">
        <w:t xml:space="preserve">provenant des contributions des Membres du Secteur </w:t>
      </w:r>
      <w:r w:rsidR="008B4CD4" w:rsidRPr="009B37B2">
        <w:t>de l'</w:t>
      </w:r>
      <w:r w:rsidR="0007231E" w:rsidRPr="009B37B2">
        <w:t xml:space="preserve">UIT-T et des Associés de l'UIT-T </w:t>
      </w:r>
      <w:r w:rsidR="008F4B04" w:rsidRPr="009B37B2">
        <w:t xml:space="preserve">ont augmenté </w:t>
      </w:r>
      <w:r w:rsidR="0007231E" w:rsidRPr="009B37B2">
        <w:t xml:space="preserve">respectivement </w:t>
      </w:r>
      <w:r w:rsidR="008F4B04" w:rsidRPr="009B37B2">
        <w:t>d'environ</w:t>
      </w:r>
      <w:r w:rsidR="00496FB1" w:rsidRPr="009B37B2">
        <w:t xml:space="preserve"> 200 000 </w:t>
      </w:r>
      <w:r w:rsidR="0007231E" w:rsidRPr="009B37B2">
        <w:t xml:space="preserve">CHF et </w:t>
      </w:r>
      <w:r w:rsidR="00496FB1" w:rsidRPr="009B37B2">
        <w:t>450 000 </w:t>
      </w:r>
      <w:r w:rsidR="008F4B04" w:rsidRPr="009B37B2">
        <w:t>CHF</w:t>
      </w:r>
      <w:r w:rsidR="00E07909" w:rsidRPr="009B37B2">
        <w:t>.</w:t>
      </w:r>
    </w:p>
    <w:p w14:paraId="6CF716F3" w14:textId="1858CC85" w:rsidR="00E07909" w:rsidRPr="009B37B2" w:rsidRDefault="00E07909" w:rsidP="001362DF">
      <w:pPr>
        <w:tabs>
          <w:tab w:val="clear" w:pos="567"/>
          <w:tab w:val="clear" w:pos="1134"/>
          <w:tab w:val="clear" w:pos="1701"/>
          <w:tab w:val="clear" w:pos="2268"/>
          <w:tab w:val="clear" w:pos="2835"/>
        </w:tabs>
      </w:pPr>
      <w:r w:rsidRPr="009B37B2">
        <w:t>1.3</w:t>
      </w:r>
      <w:r w:rsidRPr="009B37B2">
        <w:tab/>
      </w:r>
      <w:r w:rsidR="00E851E4" w:rsidRPr="009B37B2">
        <w:t>Du fait de l</w:t>
      </w:r>
      <w:r w:rsidR="00A54667" w:rsidRPr="009B37B2">
        <w:t>'</w:t>
      </w:r>
      <w:r w:rsidR="00E851E4" w:rsidRPr="009B37B2">
        <w:t>accroissement du nombre de Membres de</w:t>
      </w:r>
      <w:r w:rsidR="00C26281" w:rsidRPr="009B37B2">
        <w:t xml:space="preserve"> l'UIT-T</w:t>
      </w:r>
      <w:r w:rsidR="00E851E4" w:rsidRPr="009B37B2">
        <w:t>,</w:t>
      </w:r>
      <w:r w:rsidR="00C26281" w:rsidRPr="009B37B2">
        <w:t xml:space="preserve"> le nombre de demandes de services et d'appui aux différentes activités de l'UIT-T présentées au TSB continue</w:t>
      </w:r>
      <w:r w:rsidR="00E851E4" w:rsidRPr="009B37B2">
        <w:t xml:space="preserve"> d</w:t>
      </w:r>
      <w:r w:rsidR="00A54667" w:rsidRPr="009B37B2">
        <w:t>'</w:t>
      </w:r>
      <w:r w:rsidR="00E851E4" w:rsidRPr="009B37B2">
        <w:t>augmenter de manière significative. P</w:t>
      </w:r>
      <w:r w:rsidR="00D62CC2" w:rsidRPr="009B37B2">
        <w:t>ar exemple</w:t>
      </w:r>
      <w:r w:rsidRPr="009B37B2">
        <w:t xml:space="preserve">, </w:t>
      </w:r>
      <w:r w:rsidR="00D62CC2" w:rsidRPr="009B37B2">
        <w:t>le nombre de réunions électroniques organisées par le personnel du TSB a</w:t>
      </w:r>
      <w:r w:rsidR="00E851E4" w:rsidRPr="009B37B2">
        <w:t xml:space="preserve"> pratiquement </w:t>
      </w:r>
      <w:r w:rsidR="00D62CC2" w:rsidRPr="009B37B2">
        <w:t>doublé ces deux dernières années,</w:t>
      </w:r>
      <w:r w:rsidR="00F00D96" w:rsidRPr="009B37B2">
        <w:t xml:space="preserve"> </w:t>
      </w:r>
      <w:r w:rsidR="00BC190D">
        <w:t>passant d'environ 1 100 en </w:t>
      </w:r>
      <w:r w:rsidR="00D62CC2" w:rsidRPr="009B37B2">
        <w:t xml:space="preserve">2017 à </w:t>
      </w:r>
      <w:r w:rsidR="00E851E4" w:rsidRPr="009B37B2">
        <w:t xml:space="preserve">près de </w:t>
      </w:r>
      <w:r w:rsidR="00D62CC2" w:rsidRPr="009B37B2">
        <w:t>1 900 en 2019</w:t>
      </w:r>
      <w:r w:rsidRPr="009B37B2">
        <w:t xml:space="preserve">. </w:t>
      </w:r>
      <w:r w:rsidR="00E851E4" w:rsidRPr="009B37B2">
        <w:t>Le recours à des techniques modernes, tel</w:t>
      </w:r>
      <w:r w:rsidR="003B0174" w:rsidRPr="009B37B2">
        <w:t>l</w:t>
      </w:r>
      <w:r w:rsidR="00E851E4" w:rsidRPr="009B37B2">
        <w:t>e</w:t>
      </w:r>
      <w:r w:rsidR="003B0174" w:rsidRPr="009B37B2">
        <w:t>s</w:t>
      </w:r>
      <w:r w:rsidR="00E851E4" w:rsidRPr="009B37B2">
        <w:t xml:space="preserve"> que </w:t>
      </w:r>
      <w:r w:rsidR="00D62CC2" w:rsidRPr="009B37B2">
        <w:t>l'apprentissage automatique,</w:t>
      </w:r>
      <w:r w:rsidR="00E851E4" w:rsidRPr="009B37B2">
        <w:t xml:space="preserve"> a permis au</w:t>
      </w:r>
      <w:r w:rsidR="00F00D96" w:rsidRPr="009B37B2">
        <w:t xml:space="preserve"> </w:t>
      </w:r>
      <w:r w:rsidR="00D62CC2" w:rsidRPr="009B37B2">
        <w:t>TSB</w:t>
      </w:r>
      <w:r w:rsidR="00E851E4" w:rsidRPr="009B37B2">
        <w:t xml:space="preserve"> d</w:t>
      </w:r>
      <w:r w:rsidR="00A54667" w:rsidRPr="009B37B2">
        <w:t>'</w:t>
      </w:r>
      <w:r w:rsidR="00E851E4" w:rsidRPr="009B37B2">
        <w:t xml:space="preserve">améliorer </w:t>
      </w:r>
      <w:r w:rsidR="00D62CC2" w:rsidRPr="009B37B2">
        <w:t xml:space="preserve">ses services existants et </w:t>
      </w:r>
      <w:r w:rsidR="00E851E4" w:rsidRPr="009B37B2">
        <w:t>d</w:t>
      </w:r>
      <w:r w:rsidR="00A54667" w:rsidRPr="009B37B2">
        <w:t>'</w:t>
      </w:r>
      <w:r w:rsidR="00E851E4" w:rsidRPr="009B37B2">
        <w:t>alléger une partie des tâches manuelles, toujours plus nombreuses, qui leur seront dévolues.</w:t>
      </w:r>
      <w:r w:rsidR="00F00D96" w:rsidRPr="009B37B2">
        <w:t xml:space="preserve"> </w:t>
      </w:r>
      <w:r w:rsidR="004F1F64" w:rsidRPr="009B37B2">
        <w:t xml:space="preserve">Des informations détaillées </w:t>
      </w:r>
      <w:r w:rsidR="00E851E4" w:rsidRPr="009B37B2">
        <w:t xml:space="preserve">sur cette question </w:t>
      </w:r>
      <w:r w:rsidR="004F1F64" w:rsidRPr="009B37B2">
        <w:t>sont</w:t>
      </w:r>
      <w:r w:rsidR="00E851E4" w:rsidRPr="009B37B2">
        <w:t xml:space="preserve"> fournies </w:t>
      </w:r>
      <w:r w:rsidR="004F1F64" w:rsidRPr="009B37B2">
        <w:t>dans le</w:t>
      </w:r>
      <w:r w:rsidR="00A96E6C" w:rsidRPr="009B37B2">
        <w:t xml:space="preserve"> document d'information du Conseil </w:t>
      </w:r>
      <w:r w:rsidR="00E851E4" w:rsidRPr="009B37B2">
        <w:t xml:space="preserve">à sa session </w:t>
      </w:r>
      <w:r w:rsidR="00A96E6C" w:rsidRPr="009B37B2">
        <w:t>de 2020</w:t>
      </w:r>
      <w:r w:rsidR="00E851E4" w:rsidRPr="009B37B2">
        <w:t>,</w:t>
      </w:r>
      <w:r w:rsidR="00A96E6C" w:rsidRPr="009B37B2">
        <w:t xml:space="preserve"> </w:t>
      </w:r>
      <w:r w:rsidR="00231559" w:rsidRPr="009B37B2">
        <w:t xml:space="preserve">intitulé "L'utilisation </w:t>
      </w:r>
      <w:r w:rsidR="00522FAC" w:rsidRPr="009B37B2">
        <w:t xml:space="preserve">massive </w:t>
      </w:r>
      <w:r w:rsidR="00231559" w:rsidRPr="009B37B2">
        <w:t>des TIC</w:t>
      </w:r>
      <w:r w:rsidRPr="009B37B2">
        <w:t xml:space="preserve"> </w:t>
      </w:r>
      <w:r w:rsidR="00231559" w:rsidRPr="009B37B2">
        <w:t xml:space="preserve">est à l'origine </w:t>
      </w:r>
      <w:r w:rsidR="004F1F64" w:rsidRPr="009B37B2">
        <w:t xml:space="preserve">de l'émergence de </w:t>
      </w:r>
      <w:r w:rsidR="00231559" w:rsidRPr="009B37B2">
        <w:t>nouvelles activités</w:t>
      </w:r>
      <w:r w:rsidR="004F1F64" w:rsidRPr="009B37B2">
        <w:t xml:space="preserve"> et </w:t>
      </w:r>
      <w:r w:rsidR="00231559" w:rsidRPr="009B37B2">
        <w:t>de nouvelles communautés</w:t>
      </w:r>
      <w:r w:rsidRPr="009B37B2">
        <w:t xml:space="preserve">, </w:t>
      </w:r>
      <w:r w:rsidR="00231559" w:rsidRPr="009B37B2">
        <w:t xml:space="preserve">d'une </w:t>
      </w:r>
      <w:r w:rsidR="003B0174" w:rsidRPr="009B37B2">
        <w:t xml:space="preserve">nette </w:t>
      </w:r>
      <w:r w:rsidR="00231559" w:rsidRPr="009B37B2">
        <w:t>augmentation du nombre de membres de l'UIT-T</w:t>
      </w:r>
      <w:r w:rsidRPr="009B37B2">
        <w:t>,</w:t>
      </w:r>
      <w:r w:rsidR="00F00D96" w:rsidRPr="009B37B2">
        <w:t xml:space="preserve"> </w:t>
      </w:r>
      <w:r w:rsidR="00E851E4" w:rsidRPr="009B37B2">
        <w:t xml:space="preserve">de la mise au point </w:t>
      </w:r>
      <w:r w:rsidR="004F1F64" w:rsidRPr="009B37B2">
        <w:t>de</w:t>
      </w:r>
      <w:r w:rsidR="00231559" w:rsidRPr="009B37B2">
        <w:t xml:space="preserve"> nouveaux outils des TIC et </w:t>
      </w:r>
      <w:r w:rsidR="00E851E4" w:rsidRPr="009B37B2">
        <w:t>de l</w:t>
      </w:r>
      <w:r w:rsidR="00A54667" w:rsidRPr="009B37B2">
        <w:t>'</w:t>
      </w:r>
      <w:r w:rsidR="00E851E4" w:rsidRPr="009B37B2">
        <w:t xml:space="preserve">organisation </w:t>
      </w:r>
      <w:r w:rsidR="00231559" w:rsidRPr="009B37B2">
        <w:t>d'un plus grand nombre de réunions"</w:t>
      </w:r>
      <w:r w:rsidRPr="009B37B2">
        <w:t>.</w:t>
      </w:r>
    </w:p>
    <w:p w14:paraId="5E3863C2" w14:textId="05DBE05E" w:rsidR="00E07909" w:rsidRPr="009B37B2" w:rsidRDefault="00E07909" w:rsidP="001362DF">
      <w:pPr>
        <w:tabs>
          <w:tab w:val="clear" w:pos="567"/>
          <w:tab w:val="clear" w:pos="1134"/>
          <w:tab w:val="clear" w:pos="1701"/>
          <w:tab w:val="clear" w:pos="2268"/>
          <w:tab w:val="clear" w:pos="2835"/>
        </w:tabs>
      </w:pPr>
      <w:r w:rsidRPr="009B37B2">
        <w:t>1.4</w:t>
      </w:r>
      <w:r w:rsidRPr="009B37B2">
        <w:tab/>
      </w:r>
      <w:r w:rsidR="00CB4BDD" w:rsidRPr="009B37B2">
        <w:t xml:space="preserve">Aux termes de plusieurs </w:t>
      </w:r>
      <w:r w:rsidR="00E851E4" w:rsidRPr="009B37B2">
        <w:t>R</w:t>
      </w:r>
      <w:r w:rsidR="00CB4BDD" w:rsidRPr="009B37B2">
        <w:t>ésolutions de la Conférence de plénipotentiaires de 2018 et de l'AMNT-16, le TSB est chargé d'exécuter de nouvelles tâches</w:t>
      </w:r>
      <w:r w:rsidRPr="009B37B2">
        <w:t xml:space="preserve">. </w:t>
      </w:r>
      <w:r w:rsidR="00E851E4" w:rsidRPr="009B37B2">
        <w:t>Ainsi</w:t>
      </w:r>
      <w:r w:rsidRPr="009B37B2">
        <w:t xml:space="preserve">, </w:t>
      </w:r>
      <w:r w:rsidR="00511C66" w:rsidRPr="009B37B2">
        <w:t xml:space="preserve">le nombre de demandes </w:t>
      </w:r>
      <w:r w:rsidR="00C0691F" w:rsidRPr="009B37B2">
        <w:t>d'indicatifs internationaux partagés</w:t>
      </w:r>
      <w:r w:rsidR="00D70370" w:rsidRPr="009B37B2">
        <w:t xml:space="preserve"> </w:t>
      </w:r>
      <w:r w:rsidR="00511C66" w:rsidRPr="009B37B2">
        <w:t>a augmenté de manière significative</w:t>
      </w:r>
      <w:r w:rsidR="00D254D8" w:rsidRPr="009B37B2">
        <w:t xml:space="preserve">, </w:t>
      </w:r>
      <w:r w:rsidR="00E851E4" w:rsidRPr="009B37B2">
        <w:t>en raison des besoins des</w:t>
      </w:r>
      <w:r w:rsidR="00BC190D">
        <w:t> </w:t>
      </w:r>
      <w:r w:rsidR="00C0691F" w:rsidRPr="009B37B2">
        <w:t>secteurs</w:t>
      </w:r>
      <w:r w:rsidR="00E851E4" w:rsidRPr="009B37B2">
        <w:t xml:space="preserve"> en matière d</w:t>
      </w:r>
      <w:r w:rsidR="00A54667" w:rsidRPr="009B37B2">
        <w:t>'</w:t>
      </w:r>
      <w:r w:rsidR="00E851E4" w:rsidRPr="009B37B2">
        <w:t>identifiants</w:t>
      </w:r>
      <w:r w:rsidR="00F00D96" w:rsidRPr="009B37B2">
        <w:t xml:space="preserve"> </w:t>
      </w:r>
      <w:r w:rsidR="00C0691F" w:rsidRPr="009B37B2">
        <w:t>IoT/M2M</w:t>
      </w:r>
      <w:r w:rsidR="00E851E4" w:rsidRPr="009B37B2">
        <w:t xml:space="preserve">. </w:t>
      </w:r>
      <w:r w:rsidR="00677237" w:rsidRPr="009B37B2">
        <w:t xml:space="preserve">La charge de travail du personnel du TSB </w:t>
      </w:r>
      <w:r w:rsidR="00E851E4" w:rsidRPr="009B37B2">
        <w:t>s</w:t>
      </w:r>
      <w:r w:rsidR="00A54667" w:rsidRPr="009B37B2">
        <w:t>'</w:t>
      </w:r>
      <w:r w:rsidR="00E851E4" w:rsidRPr="009B37B2">
        <w:t>est considérablement accrue</w:t>
      </w:r>
      <w:r w:rsidR="00F00D96" w:rsidRPr="009B37B2">
        <w:t>,</w:t>
      </w:r>
      <w:r w:rsidR="00E851E4" w:rsidRPr="009B37B2">
        <w:t xml:space="preserve"> tandis</w:t>
      </w:r>
      <w:r w:rsidR="00F00D96" w:rsidRPr="009B37B2">
        <w:t xml:space="preserve"> </w:t>
      </w:r>
      <w:r w:rsidR="00677237" w:rsidRPr="009B37B2">
        <w:t xml:space="preserve">que le nombre de postes au sein du Secteur, </w:t>
      </w:r>
      <w:r w:rsidR="00E851E4" w:rsidRPr="009B37B2">
        <w:t>qui s</w:t>
      </w:r>
      <w:r w:rsidR="00A54667" w:rsidRPr="009B37B2">
        <w:t>'</w:t>
      </w:r>
      <w:r w:rsidR="00E851E4" w:rsidRPr="009B37B2">
        <w:t>élève</w:t>
      </w:r>
      <w:r w:rsidR="00F00D96" w:rsidRPr="009B37B2">
        <w:t xml:space="preserve"> </w:t>
      </w:r>
      <w:r w:rsidR="00BC190D">
        <w:t>à environ </w:t>
      </w:r>
      <w:r w:rsidR="00677237" w:rsidRPr="009B37B2">
        <w:t>65, est resté constant ces deux dernières décennies</w:t>
      </w:r>
      <w:r w:rsidRPr="009B37B2">
        <w:t xml:space="preserve">. </w:t>
      </w:r>
      <w:r w:rsidR="00E851E4" w:rsidRPr="009B37B2">
        <w:t xml:space="preserve">Cette </w:t>
      </w:r>
      <w:r w:rsidR="00820999" w:rsidRPr="009B37B2">
        <w:t xml:space="preserve">charge de travail </w:t>
      </w:r>
      <w:r w:rsidR="00E851E4" w:rsidRPr="009B37B2">
        <w:t xml:space="preserve">sans cesse plus importante </w:t>
      </w:r>
      <w:r w:rsidR="00AC0FC1" w:rsidRPr="009B37B2">
        <w:t xml:space="preserve">à laquelle le personnel </w:t>
      </w:r>
      <w:r w:rsidR="00C13333" w:rsidRPr="009B37B2">
        <w:t>est confronté</w:t>
      </w:r>
      <w:r w:rsidR="00E851E4" w:rsidRPr="009B37B2">
        <w:t xml:space="preserve"> se traduit par </w:t>
      </w:r>
      <w:r w:rsidR="00B46A5F" w:rsidRPr="009B37B2">
        <w:t xml:space="preserve">une </w:t>
      </w:r>
      <w:r w:rsidR="007548D6" w:rsidRPr="009B37B2">
        <w:t>hausse</w:t>
      </w:r>
      <w:r w:rsidR="00B46A5F" w:rsidRPr="009B37B2">
        <w:t xml:space="preserve"> du nombre</w:t>
      </w:r>
      <w:r w:rsidR="00E851E4" w:rsidRPr="009B37B2">
        <w:t xml:space="preserve"> d</w:t>
      </w:r>
      <w:r w:rsidR="00A54667" w:rsidRPr="009B37B2">
        <w:t>'</w:t>
      </w:r>
      <w:r w:rsidR="00E851E4" w:rsidRPr="009B37B2">
        <w:t>arrêts maladie</w:t>
      </w:r>
      <w:r w:rsidR="00F00D96" w:rsidRPr="009B37B2">
        <w:t xml:space="preserve"> </w:t>
      </w:r>
      <w:r w:rsidR="00B46A5F" w:rsidRPr="009B37B2">
        <w:t>liés au stress</w:t>
      </w:r>
      <w:r w:rsidRPr="009B37B2">
        <w:t xml:space="preserve">, </w:t>
      </w:r>
      <w:r w:rsidR="00B46A5F" w:rsidRPr="009B37B2">
        <w:t xml:space="preserve">ce qui </w:t>
      </w:r>
      <w:r w:rsidR="00083CA9" w:rsidRPr="009B37B2">
        <w:t>alourdit</w:t>
      </w:r>
      <w:r w:rsidR="00F00D96" w:rsidRPr="009B37B2">
        <w:t xml:space="preserve"> </w:t>
      </w:r>
      <w:r w:rsidR="00083CA9" w:rsidRPr="009B37B2">
        <w:t>la charge de travail des autres collègues</w:t>
      </w:r>
      <w:r w:rsidR="00F00D96" w:rsidRPr="009B37B2">
        <w:t xml:space="preserve"> </w:t>
      </w:r>
      <w:r w:rsidR="00E851E4" w:rsidRPr="009B37B2">
        <w:t>et entraîne une augmentation</w:t>
      </w:r>
      <w:r w:rsidR="00F00D96" w:rsidRPr="009B37B2">
        <w:t xml:space="preserve"> </w:t>
      </w:r>
      <w:r w:rsidR="00083CA9" w:rsidRPr="009B37B2">
        <w:t xml:space="preserve">encore plus </w:t>
      </w:r>
      <w:r w:rsidR="00EC04F7" w:rsidRPr="009B37B2">
        <w:t>forte</w:t>
      </w:r>
      <w:r w:rsidR="00083CA9" w:rsidRPr="009B37B2">
        <w:t xml:space="preserve"> </w:t>
      </w:r>
      <w:r w:rsidR="0089755E" w:rsidRPr="009B37B2">
        <w:t>du nombre</w:t>
      </w:r>
      <w:r w:rsidR="00E851E4" w:rsidRPr="009B37B2">
        <w:t xml:space="preserve"> d</w:t>
      </w:r>
      <w:r w:rsidR="00A54667" w:rsidRPr="009B37B2">
        <w:t>'</w:t>
      </w:r>
      <w:r w:rsidR="00E851E4" w:rsidRPr="009B37B2">
        <w:t xml:space="preserve">arrêts </w:t>
      </w:r>
      <w:r w:rsidR="00083CA9" w:rsidRPr="009B37B2">
        <w:t>maladie liés au stress</w:t>
      </w:r>
      <w:r w:rsidRPr="009B37B2">
        <w:t>.</w:t>
      </w:r>
    </w:p>
    <w:p w14:paraId="3457F081" w14:textId="68620B2B" w:rsidR="00E07909" w:rsidRPr="009B37B2" w:rsidRDefault="00E07909" w:rsidP="001362DF">
      <w:pPr>
        <w:pStyle w:val="Heading1"/>
        <w:tabs>
          <w:tab w:val="clear" w:pos="567"/>
          <w:tab w:val="clear" w:pos="1134"/>
          <w:tab w:val="clear" w:pos="1701"/>
          <w:tab w:val="clear" w:pos="2268"/>
          <w:tab w:val="clear" w:pos="2835"/>
        </w:tabs>
        <w:ind w:left="0" w:firstLine="0"/>
      </w:pPr>
      <w:bookmarkStart w:id="23" w:name="_Toc37930305"/>
      <w:bookmarkStart w:id="24" w:name="_Toc39559426"/>
      <w:r w:rsidRPr="009B37B2">
        <w:t>2</w:t>
      </w:r>
      <w:r w:rsidRPr="009B37B2">
        <w:tab/>
      </w:r>
      <w:bookmarkStart w:id="25" w:name="_Toc312148142"/>
      <w:bookmarkStart w:id="26" w:name="_Toc462664277"/>
      <w:bookmarkStart w:id="27" w:name="_Toc480527869"/>
      <w:bookmarkStart w:id="28" w:name="_Toc18509779"/>
      <w:bookmarkEnd w:id="23"/>
      <w:r w:rsidR="00B229D3" w:rsidRPr="009B37B2">
        <w:t>Services et outils de l'UIT</w:t>
      </w:r>
      <w:bookmarkEnd w:id="24"/>
    </w:p>
    <w:p w14:paraId="2CB25556" w14:textId="50FDE43F" w:rsidR="00E07909" w:rsidRPr="009B37B2" w:rsidRDefault="00E07909" w:rsidP="001362DF">
      <w:pPr>
        <w:tabs>
          <w:tab w:val="clear" w:pos="567"/>
          <w:tab w:val="clear" w:pos="1134"/>
          <w:tab w:val="clear" w:pos="1701"/>
          <w:tab w:val="clear" w:pos="2268"/>
          <w:tab w:val="clear" w:pos="2835"/>
        </w:tabs>
      </w:pPr>
      <w:r w:rsidRPr="009B37B2">
        <w:t>2.1</w:t>
      </w:r>
      <w:r w:rsidRPr="009B37B2">
        <w:tab/>
      </w:r>
      <w:r w:rsidR="00B229D3" w:rsidRPr="009B37B2">
        <w:t>Ces dernières années</w:t>
      </w:r>
      <w:r w:rsidRPr="009B37B2">
        <w:t xml:space="preserve">, </w:t>
      </w:r>
      <w:r w:rsidR="00B229D3" w:rsidRPr="009B37B2">
        <w:t xml:space="preserve">le </w:t>
      </w:r>
      <w:r w:rsidRPr="009B37B2">
        <w:t xml:space="preserve">TSB </w:t>
      </w:r>
      <w:r w:rsidR="00B229D3" w:rsidRPr="009B37B2">
        <w:t>a</w:t>
      </w:r>
      <w:r w:rsidR="00E851E4" w:rsidRPr="009B37B2">
        <w:t xml:space="preserve"> connu </w:t>
      </w:r>
      <w:r w:rsidR="00B229D3" w:rsidRPr="009B37B2">
        <w:t xml:space="preserve">à une </w:t>
      </w:r>
      <w:r w:rsidR="00E851E4" w:rsidRPr="009B37B2">
        <w:t xml:space="preserve">nette </w:t>
      </w:r>
      <w:r w:rsidR="00B229D3" w:rsidRPr="009B37B2">
        <w:t>augmentation</w:t>
      </w:r>
      <w:r w:rsidR="00F00D96" w:rsidRPr="009B37B2">
        <w:t xml:space="preserve"> </w:t>
      </w:r>
      <w:r w:rsidR="00B229D3" w:rsidRPr="009B37B2">
        <w:t xml:space="preserve">du nombre de demandes </w:t>
      </w:r>
      <w:r w:rsidR="005B6884" w:rsidRPr="009B37B2">
        <w:t xml:space="preserve">de services et d'appui </w:t>
      </w:r>
      <w:r w:rsidR="00B229D3" w:rsidRPr="009B37B2">
        <w:t>concernant les activités du Secteur</w:t>
      </w:r>
      <w:r w:rsidRPr="009B37B2">
        <w:t xml:space="preserve">. </w:t>
      </w:r>
      <w:r w:rsidR="00B229D3" w:rsidRPr="009B37B2">
        <w:t xml:space="preserve">Les progrès </w:t>
      </w:r>
      <w:r w:rsidR="00E851E4" w:rsidRPr="009B37B2">
        <w:t xml:space="preserve">enregistrés dans le domaine </w:t>
      </w:r>
      <w:r w:rsidR="00B229D3" w:rsidRPr="009B37B2">
        <w:t xml:space="preserve">des TIC ont été </w:t>
      </w:r>
      <w:r w:rsidR="00E851E4" w:rsidRPr="009B37B2">
        <w:t>si spectaculaires ces dix dernières années que ces technologies</w:t>
      </w:r>
      <w:r w:rsidR="00F00D96" w:rsidRPr="009B37B2">
        <w:t xml:space="preserve"> </w:t>
      </w:r>
      <w:r w:rsidR="00240618" w:rsidRPr="009B37B2">
        <w:t>jouent</w:t>
      </w:r>
      <w:r w:rsidR="00E851E4" w:rsidRPr="009B37B2">
        <w:t xml:space="preserve"> à présent </w:t>
      </w:r>
      <w:r w:rsidR="00240618" w:rsidRPr="009B37B2">
        <w:t>un rôle crucial</w:t>
      </w:r>
      <w:r w:rsidR="00236198" w:rsidRPr="009B37B2">
        <w:t xml:space="preserve"> d</w:t>
      </w:r>
      <w:r w:rsidR="0082161C" w:rsidRPr="009B37B2">
        <w:t xml:space="preserve">ans des </w:t>
      </w:r>
      <w:r w:rsidR="008F5D57" w:rsidRPr="009B37B2">
        <w:t>domaines</w:t>
      </w:r>
      <w:r w:rsidR="0082161C" w:rsidRPr="009B37B2">
        <w:t xml:space="preserve"> clés </w:t>
      </w:r>
      <w:r w:rsidR="00240618" w:rsidRPr="009B37B2">
        <w:t>tels que</w:t>
      </w:r>
      <w:r w:rsidR="00D60DDB" w:rsidRPr="009B37B2">
        <w:t xml:space="preserve"> l'</w:t>
      </w:r>
      <w:r w:rsidRPr="009B37B2">
        <w:t>automati</w:t>
      </w:r>
      <w:r w:rsidR="00D152A3" w:rsidRPr="009B37B2">
        <w:t>sati</w:t>
      </w:r>
      <w:r w:rsidRPr="009B37B2">
        <w:t xml:space="preserve">on </w:t>
      </w:r>
      <w:r w:rsidR="00D152A3" w:rsidRPr="009B37B2">
        <w:t>des tâches</w:t>
      </w:r>
      <w:r w:rsidRPr="009B37B2">
        <w:t xml:space="preserve">, </w:t>
      </w:r>
      <w:r w:rsidR="00E851E4" w:rsidRPr="009B37B2">
        <w:t>les processus décisionnels</w:t>
      </w:r>
      <w:r w:rsidR="00F00D96" w:rsidRPr="009B37B2">
        <w:t xml:space="preserve"> </w:t>
      </w:r>
      <w:r w:rsidR="00D152A3" w:rsidRPr="009B37B2">
        <w:t>approfondi</w:t>
      </w:r>
      <w:r w:rsidR="00E851E4" w:rsidRPr="009B37B2">
        <w:t>s</w:t>
      </w:r>
      <w:r w:rsidR="00F00D96" w:rsidRPr="009B37B2">
        <w:t xml:space="preserve"> </w:t>
      </w:r>
      <w:r w:rsidR="00D60DDB" w:rsidRPr="009B37B2">
        <w:t>ainsi que l'</w:t>
      </w:r>
      <w:r w:rsidR="00D152A3" w:rsidRPr="009B37B2">
        <w:t xml:space="preserve">enregistrement et </w:t>
      </w:r>
      <w:r w:rsidR="00D60DDB" w:rsidRPr="009B37B2">
        <w:t xml:space="preserve">le </w:t>
      </w:r>
      <w:r w:rsidR="00D152A3" w:rsidRPr="009B37B2">
        <w:t xml:space="preserve">suivi des informations de manière sécurisée et fiable, comme l'analyse statistique et </w:t>
      </w:r>
      <w:r w:rsidR="00747892" w:rsidRPr="009B37B2">
        <w:t>la pertinence sémantique</w:t>
      </w:r>
      <w:r w:rsidRPr="009B37B2">
        <w:t xml:space="preserve"> </w:t>
      </w:r>
      <w:r w:rsidR="00D152A3" w:rsidRPr="009B37B2">
        <w:t xml:space="preserve">des activités de l'UIT-T </w:t>
      </w:r>
      <w:r w:rsidR="00747892" w:rsidRPr="009B37B2">
        <w:t>dans</w:t>
      </w:r>
      <w:r w:rsidR="00E851E4" w:rsidRPr="009B37B2">
        <w:t xml:space="preserve"> le contexte des </w:t>
      </w:r>
      <w:r w:rsidR="00747892" w:rsidRPr="009B37B2">
        <w:t>ODD</w:t>
      </w:r>
      <w:r w:rsidRPr="009B37B2">
        <w:t xml:space="preserve">. </w:t>
      </w:r>
      <w:r w:rsidR="00E851E4" w:rsidRPr="009B37B2">
        <w:t>Grâce à ces techniques modernes,</w:t>
      </w:r>
      <w:r w:rsidR="00D152A3" w:rsidRPr="009B37B2">
        <w:t xml:space="preserve"> le TSB peut répondre aux demandes</w:t>
      </w:r>
      <w:r w:rsidR="00E851E4" w:rsidRPr="009B37B2">
        <w:t xml:space="preserve"> toujours plus </w:t>
      </w:r>
      <w:r w:rsidR="00E851E4" w:rsidRPr="009B37B2">
        <w:lastRenderedPageBreak/>
        <w:t xml:space="preserve">nombreuses </w:t>
      </w:r>
      <w:r w:rsidR="00D152A3" w:rsidRPr="009B37B2">
        <w:t>du Secteur, maintenir et mettre à jour ses services existants</w:t>
      </w:r>
      <w:r w:rsidR="00E851E4" w:rsidRPr="009B37B2">
        <w:t xml:space="preserve"> </w:t>
      </w:r>
      <w:r w:rsidR="00D152A3" w:rsidRPr="009B37B2">
        <w:t xml:space="preserve">et atténuer les problèmes liés à une partie </w:t>
      </w:r>
      <w:r w:rsidR="00E851E4" w:rsidRPr="009B37B2">
        <w:t>des tâches manuelles qu</w:t>
      </w:r>
      <w:r w:rsidR="00A54667" w:rsidRPr="009B37B2">
        <w:t>'</w:t>
      </w:r>
      <w:r w:rsidR="00E851E4" w:rsidRPr="009B37B2">
        <w:t>ils peuvent être amenés à traiter</w:t>
      </w:r>
      <w:r w:rsidR="00A54667" w:rsidRPr="009B37B2">
        <w:t>.</w:t>
      </w:r>
    </w:p>
    <w:p w14:paraId="5080A13A" w14:textId="26682F03" w:rsidR="00E07909" w:rsidRPr="009B37B2" w:rsidRDefault="00E07909" w:rsidP="001362DF">
      <w:pPr>
        <w:tabs>
          <w:tab w:val="clear" w:pos="567"/>
          <w:tab w:val="clear" w:pos="1134"/>
          <w:tab w:val="clear" w:pos="1701"/>
          <w:tab w:val="clear" w:pos="2268"/>
          <w:tab w:val="clear" w:pos="2835"/>
        </w:tabs>
      </w:pPr>
      <w:r w:rsidRPr="009B37B2">
        <w:t>2.2</w:t>
      </w:r>
      <w:r w:rsidRPr="009B37B2">
        <w:tab/>
      </w:r>
      <w:r w:rsidR="007326BC" w:rsidRPr="009B37B2">
        <w:t>Depuis le début de la période d'études</w:t>
      </w:r>
      <w:r w:rsidRPr="009B37B2">
        <w:t xml:space="preserve"> 2017-2020, </w:t>
      </w:r>
      <w:r w:rsidR="007326BC" w:rsidRPr="009B37B2">
        <w:t>et parallèlement aux services traditionnels</w:t>
      </w:r>
      <w:r w:rsidR="0068453C" w:rsidRPr="009B37B2">
        <w:t xml:space="preserve"> qui sous-tendent </w:t>
      </w:r>
      <w:r w:rsidR="001973B6" w:rsidRPr="009B37B2">
        <w:t>les activités et l</w:t>
      </w:r>
      <w:r w:rsidR="007326BC" w:rsidRPr="009B37B2">
        <w:t xml:space="preserve">es publications du </w:t>
      </w:r>
      <w:r w:rsidR="0068453C" w:rsidRPr="009B37B2">
        <w:t>p</w:t>
      </w:r>
      <w:r w:rsidR="007326BC" w:rsidRPr="009B37B2">
        <w:t>rogramme de travail de l'UIT-T</w:t>
      </w:r>
      <w:r w:rsidRPr="009B37B2">
        <w:t xml:space="preserve">, </w:t>
      </w:r>
      <w:r w:rsidR="007326BC" w:rsidRPr="009B37B2">
        <w:t>le</w:t>
      </w:r>
      <w:r w:rsidRPr="009B37B2">
        <w:t xml:space="preserve"> TSB </w:t>
      </w:r>
      <w:r w:rsidR="007326BC" w:rsidRPr="009B37B2">
        <w:t xml:space="preserve">a créé les services suivants pour s'adapter </w:t>
      </w:r>
      <w:r w:rsidR="0068453C" w:rsidRPr="009B37B2">
        <w:t>à l</w:t>
      </w:r>
      <w:r w:rsidR="00A54667" w:rsidRPr="009B37B2">
        <w:t>'</w:t>
      </w:r>
      <w:r w:rsidR="0068453C" w:rsidRPr="009B37B2">
        <w:t xml:space="preserve">évolution constante </w:t>
      </w:r>
      <w:r w:rsidR="007326BC" w:rsidRPr="009B37B2">
        <w:t xml:space="preserve">du </w:t>
      </w:r>
      <w:proofErr w:type="gramStart"/>
      <w:r w:rsidR="007326BC" w:rsidRPr="009B37B2">
        <w:t>Secteur</w:t>
      </w:r>
      <w:r w:rsidRPr="009B37B2">
        <w:t>:</w:t>
      </w:r>
      <w:proofErr w:type="gramEnd"/>
    </w:p>
    <w:p w14:paraId="71B617DE" w14:textId="392E8B7C" w:rsidR="00E07909" w:rsidRPr="00BC190D" w:rsidRDefault="00E07909" w:rsidP="001362DF">
      <w:pPr>
        <w:pStyle w:val="enumlev1"/>
        <w:tabs>
          <w:tab w:val="clear" w:pos="567"/>
          <w:tab w:val="clear" w:pos="1134"/>
          <w:tab w:val="clear" w:pos="1701"/>
          <w:tab w:val="clear" w:pos="2268"/>
          <w:tab w:val="clear" w:pos="2835"/>
        </w:tabs>
        <w:ind w:left="0" w:firstLine="0"/>
        <w:rPr>
          <w:b/>
          <w:bCs/>
        </w:rPr>
      </w:pPr>
      <w:r w:rsidRPr="00BC190D">
        <w:rPr>
          <w:b/>
          <w:bCs/>
        </w:rPr>
        <w:t>•</w:t>
      </w:r>
      <w:r w:rsidRPr="00BC190D">
        <w:rPr>
          <w:b/>
          <w:bCs/>
        </w:rPr>
        <w:tab/>
      </w:r>
      <w:r w:rsidR="00D60A39" w:rsidRPr="00BC190D">
        <w:rPr>
          <w:b/>
          <w:bCs/>
        </w:rPr>
        <w:t xml:space="preserve">Outil de mise en </w:t>
      </w:r>
      <w:r w:rsidR="00A53FF1" w:rsidRPr="00BC190D">
        <w:rPr>
          <w:b/>
          <w:bCs/>
        </w:rPr>
        <w:t xml:space="preserve">correspondance </w:t>
      </w:r>
      <w:r w:rsidR="00B476CC" w:rsidRPr="00BC190D">
        <w:rPr>
          <w:b/>
          <w:bCs/>
        </w:rPr>
        <w:t>avec les</w:t>
      </w:r>
      <w:r w:rsidR="00D60A39" w:rsidRPr="00BC190D">
        <w:rPr>
          <w:b/>
          <w:bCs/>
        </w:rPr>
        <w:t xml:space="preserve"> ODD</w:t>
      </w:r>
      <w:r w:rsidR="0068453C" w:rsidRPr="00BC190D">
        <w:rPr>
          <w:b/>
          <w:bCs/>
        </w:rPr>
        <w:t xml:space="preserve"> reposant sur l</w:t>
      </w:r>
      <w:r w:rsidR="00A54667" w:rsidRPr="00BC190D">
        <w:rPr>
          <w:b/>
          <w:bCs/>
        </w:rPr>
        <w:t>'</w:t>
      </w:r>
      <w:r w:rsidR="0068453C" w:rsidRPr="00BC190D">
        <w:rPr>
          <w:b/>
          <w:bCs/>
        </w:rPr>
        <w:t>intelligence artificielle</w:t>
      </w:r>
    </w:p>
    <w:p w14:paraId="71BE8BC4" w14:textId="41FF9FC7" w:rsidR="00E07909" w:rsidRPr="009B37B2" w:rsidRDefault="001B34A4" w:rsidP="001362DF">
      <w:pPr>
        <w:pStyle w:val="enumlev1"/>
        <w:tabs>
          <w:tab w:val="clear" w:pos="567"/>
          <w:tab w:val="clear" w:pos="1134"/>
          <w:tab w:val="clear" w:pos="1701"/>
          <w:tab w:val="clear" w:pos="2268"/>
          <w:tab w:val="clear" w:pos="2835"/>
        </w:tabs>
        <w:ind w:left="709" w:hanging="709"/>
        <w:rPr>
          <w:b/>
          <w:bCs/>
        </w:rPr>
      </w:pPr>
      <w:r>
        <w:tab/>
      </w:r>
      <w:r w:rsidR="00C432F1" w:rsidRPr="009B37B2">
        <w:t>Application du TSB</w:t>
      </w:r>
      <w:r w:rsidR="0068453C" w:rsidRPr="009B37B2">
        <w:t xml:space="preserve"> qui utilise </w:t>
      </w:r>
      <w:r w:rsidR="00F26D92" w:rsidRPr="009B37B2">
        <w:t>l'intelligence artificielle (AI</w:t>
      </w:r>
      <w:r w:rsidR="00C432F1" w:rsidRPr="009B37B2">
        <w:t xml:space="preserve">) pour fournir </w:t>
      </w:r>
      <w:r w:rsidR="00C2162A" w:rsidRPr="009B37B2">
        <w:t>des</w:t>
      </w:r>
      <w:r w:rsidR="00C432F1" w:rsidRPr="009B37B2">
        <w:t xml:space="preserve"> analyse</w:t>
      </w:r>
      <w:r w:rsidR="00C2162A" w:rsidRPr="009B37B2">
        <w:t>s</w:t>
      </w:r>
      <w:r w:rsidR="00C432F1" w:rsidRPr="009B37B2">
        <w:t xml:space="preserve"> statistique</w:t>
      </w:r>
      <w:r w:rsidR="00C2162A" w:rsidRPr="009B37B2">
        <w:t>s</w:t>
      </w:r>
      <w:r w:rsidR="00C432F1" w:rsidRPr="009B37B2">
        <w:t xml:space="preserve"> sur</w:t>
      </w:r>
      <w:r w:rsidR="0068453C" w:rsidRPr="009B37B2">
        <w:t xml:space="preserve"> l</w:t>
      </w:r>
      <w:r w:rsidR="00A54667" w:rsidRPr="009B37B2">
        <w:t>'</w:t>
      </w:r>
      <w:r w:rsidR="0068453C" w:rsidRPr="009B37B2">
        <w:t xml:space="preserve">adéquation </w:t>
      </w:r>
      <w:r w:rsidR="00C432F1" w:rsidRPr="009B37B2">
        <w:t>des activités de l'UIT-T (</w:t>
      </w:r>
      <w:r w:rsidR="0068453C" w:rsidRPr="009B37B2">
        <w:t xml:space="preserve">par exemple </w:t>
      </w:r>
      <w:r w:rsidR="00C432F1" w:rsidRPr="009B37B2">
        <w:t>les recomma</w:t>
      </w:r>
      <w:r w:rsidR="00E07909" w:rsidRPr="009B37B2">
        <w:t xml:space="preserve">ndations, </w:t>
      </w:r>
      <w:r w:rsidR="00C432F1" w:rsidRPr="009B37B2">
        <w:t>les spécifications techniques</w:t>
      </w:r>
      <w:r w:rsidR="00E07909" w:rsidRPr="009B37B2">
        <w:t>, etc.)</w:t>
      </w:r>
      <w:r w:rsidR="0068453C" w:rsidRPr="009B37B2">
        <w:t xml:space="preserve"> au regard des </w:t>
      </w:r>
      <w:r w:rsidR="00C432F1" w:rsidRPr="009B37B2">
        <w:t>ODD</w:t>
      </w:r>
      <w:r w:rsidR="0068453C" w:rsidRPr="009B37B2">
        <w:t xml:space="preserve"> fixés par les </w:t>
      </w:r>
      <w:r w:rsidR="00C432F1" w:rsidRPr="009B37B2">
        <w:t>Nations Unies</w:t>
      </w:r>
      <w:r w:rsidR="00F44A52" w:rsidRPr="009B37B2">
        <w:t>,</w:t>
      </w:r>
      <w:r w:rsidR="00E07909" w:rsidRPr="009B37B2">
        <w:t xml:space="preserve"> </w:t>
      </w:r>
      <w:r w:rsidR="00C432F1" w:rsidRPr="009B37B2">
        <w:t>et</w:t>
      </w:r>
      <w:r w:rsidR="00E07909" w:rsidRPr="009B37B2">
        <w:t xml:space="preserve"> </w:t>
      </w:r>
      <w:r w:rsidR="00C2162A" w:rsidRPr="009B37B2">
        <w:t xml:space="preserve">pour </w:t>
      </w:r>
      <w:r w:rsidR="00CD13C9" w:rsidRPr="009B37B2">
        <w:t xml:space="preserve">mettre en </w:t>
      </w:r>
      <w:r w:rsidR="00A53FF1" w:rsidRPr="009B37B2">
        <w:t>correspondance</w:t>
      </w:r>
      <w:r w:rsidR="00E07909" w:rsidRPr="009B37B2">
        <w:t xml:space="preserve"> </w:t>
      </w:r>
      <w:r w:rsidR="00CD13C9" w:rsidRPr="009B37B2">
        <w:t>ces activités</w:t>
      </w:r>
      <w:r w:rsidR="00E07909" w:rsidRPr="009B37B2">
        <w:t xml:space="preserve"> </w:t>
      </w:r>
      <w:r w:rsidR="00CD13C9" w:rsidRPr="009B37B2">
        <w:t>à partir</w:t>
      </w:r>
      <w:r w:rsidR="00E07909" w:rsidRPr="009B37B2">
        <w:t xml:space="preserve"> </w:t>
      </w:r>
      <w:r w:rsidR="00CD13C9" w:rsidRPr="009B37B2">
        <w:t>d'un</w:t>
      </w:r>
      <w:r w:rsidR="00E07909" w:rsidRPr="009B37B2">
        <w:t xml:space="preserve"> </w:t>
      </w:r>
      <w:r w:rsidR="00CD13C9" w:rsidRPr="009B37B2">
        <w:t>large éventail de sources de données</w:t>
      </w:r>
      <w:r w:rsidR="00E07909" w:rsidRPr="009B37B2">
        <w:t xml:space="preserve"> (</w:t>
      </w:r>
      <w:r w:rsidR="00C432F1" w:rsidRPr="009B37B2">
        <w:t>sites web</w:t>
      </w:r>
      <w:r w:rsidR="00E07909" w:rsidRPr="009B37B2">
        <w:t xml:space="preserve">, </w:t>
      </w:r>
      <w:r w:rsidR="00C432F1" w:rsidRPr="009B37B2">
        <w:t>bases de données</w:t>
      </w:r>
      <w:r w:rsidR="00E07909" w:rsidRPr="009B37B2">
        <w:t xml:space="preserve">, etc.) </w:t>
      </w:r>
      <w:r w:rsidR="00CD13C9" w:rsidRPr="009B37B2">
        <w:t>avec</w:t>
      </w:r>
      <w:r w:rsidR="0068453C" w:rsidRPr="009B37B2">
        <w:t xml:space="preserve"> certains </w:t>
      </w:r>
      <w:r w:rsidR="00C432F1" w:rsidRPr="009B37B2">
        <w:t xml:space="preserve">ODD des Nations Unies </w:t>
      </w:r>
      <w:r w:rsidR="0068453C" w:rsidRPr="009B37B2">
        <w:t xml:space="preserve">sur la base de </w:t>
      </w:r>
      <w:r w:rsidR="00CD13C9" w:rsidRPr="009B37B2">
        <w:t>la pertinence sémantique</w:t>
      </w:r>
      <w:r w:rsidR="00E07909" w:rsidRPr="009B37B2">
        <w:t>.</w:t>
      </w:r>
    </w:p>
    <w:p w14:paraId="3604E29A" w14:textId="1BD794A8" w:rsidR="00E07909" w:rsidRPr="009B37B2" w:rsidRDefault="00E07909" w:rsidP="001362DF">
      <w:pPr>
        <w:pStyle w:val="enumlev1"/>
        <w:tabs>
          <w:tab w:val="clear" w:pos="567"/>
          <w:tab w:val="clear" w:pos="1134"/>
          <w:tab w:val="clear" w:pos="1701"/>
          <w:tab w:val="clear" w:pos="2268"/>
          <w:tab w:val="clear" w:pos="2835"/>
        </w:tabs>
        <w:ind w:left="709" w:hanging="709"/>
        <w:rPr>
          <w:b/>
          <w:bCs/>
        </w:rPr>
      </w:pPr>
      <w:r w:rsidRPr="009B37B2">
        <w:t>•</w:t>
      </w:r>
      <w:r w:rsidRPr="009B37B2">
        <w:tab/>
      </w:r>
      <w:hyperlink r:id="rId13" w:history="1">
        <w:proofErr w:type="spellStart"/>
        <w:r w:rsidRPr="009B37B2">
          <w:rPr>
            <w:rStyle w:val="Hyperlink"/>
            <w:b/>
            <w:bCs/>
          </w:rPr>
          <w:t>MyWorkspace</w:t>
        </w:r>
        <w:proofErr w:type="spellEnd"/>
      </w:hyperlink>
      <w:r w:rsidRPr="009B37B2">
        <w:t xml:space="preserve"> – </w:t>
      </w:r>
      <w:r w:rsidR="00AF0A47" w:rsidRPr="009B37B2">
        <w:t>Guichet unique</w:t>
      </w:r>
      <w:r w:rsidR="0068453C" w:rsidRPr="009B37B2">
        <w:t xml:space="preserve"> qui facilite </w:t>
      </w:r>
      <w:r w:rsidR="00AF0A47" w:rsidRPr="009B37B2">
        <w:t>l'accès à un large éventail d'applications</w:t>
      </w:r>
      <w:r w:rsidR="00C2281D" w:rsidRPr="009B37B2">
        <w:t>,</w:t>
      </w:r>
      <w:r w:rsidRPr="009B37B2">
        <w:t xml:space="preserve"> </w:t>
      </w:r>
      <w:r w:rsidR="00C2281D" w:rsidRPr="009B37B2">
        <w:t xml:space="preserve">par </w:t>
      </w:r>
      <w:proofErr w:type="gramStart"/>
      <w:r w:rsidR="00C2281D" w:rsidRPr="009B37B2">
        <w:t>exemple:</w:t>
      </w:r>
      <w:proofErr w:type="gramEnd"/>
    </w:p>
    <w:p w14:paraId="74760648" w14:textId="63F84701" w:rsidR="00E07909" w:rsidRPr="009B37B2" w:rsidRDefault="00E07909" w:rsidP="001362DF">
      <w:pPr>
        <w:pStyle w:val="enumlev2"/>
        <w:tabs>
          <w:tab w:val="clear" w:pos="567"/>
          <w:tab w:val="clear" w:pos="1134"/>
          <w:tab w:val="clear" w:pos="1701"/>
          <w:tab w:val="clear" w:pos="2268"/>
          <w:tab w:val="clear" w:pos="2835"/>
        </w:tabs>
        <w:ind w:left="1276"/>
        <w:rPr>
          <w:b/>
          <w:bCs/>
        </w:rPr>
      </w:pPr>
      <w:r w:rsidRPr="009B37B2">
        <w:t>–</w:t>
      </w:r>
      <w:r w:rsidRPr="009B37B2">
        <w:tab/>
      </w:r>
      <w:r w:rsidR="00823D60" w:rsidRPr="009B37B2">
        <w:rPr>
          <w:u w:val="single"/>
        </w:rPr>
        <w:t xml:space="preserve">Outil de participation à </w:t>
      </w:r>
      <w:proofErr w:type="gramStart"/>
      <w:r w:rsidR="00823D60" w:rsidRPr="009B37B2">
        <w:rPr>
          <w:u w:val="single"/>
        </w:rPr>
        <w:t>distance</w:t>
      </w:r>
      <w:r w:rsidRPr="00BC190D">
        <w:t>:</w:t>
      </w:r>
      <w:proofErr w:type="gramEnd"/>
      <w:r w:rsidRPr="00BC190D">
        <w:t xml:space="preserve"> </w:t>
      </w:r>
      <w:r w:rsidR="00823D60" w:rsidRPr="009B37B2">
        <w:t xml:space="preserve">création d'un environnement sécurisé </w:t>
      </w:r>
      <w:r w:rsidR="000B325D" w:rsidRPr="009B37B2">
        <w:t>pour la tenue de</w:t>
      </w:r>
      <w:r w:rsidR="00823D60" w:rsidRPr="009B37B2">
        <w:t xml:space="preserve"> réunions électroniques dans </w:t>
      </w:r>
      <w:r w:rsidR="00A416C6" w:rsidRPr="009B37B2">
        <w:t>des conditions</w:t>
      </w:r>
      <w:r w:rsidR="0068453C" w:rsidRPr="009B37B2">
        <w:t xml:space="preserve"> analogues </w:t>
      </w:r>
      <w:r w:rsidR="00A416C6" w:rsidRPr="009B37B2">
        <w:t>à celles dans lesquelles se déroulent les</w:t>
      </w:r>
      <w:r w:rsidR="00823D60" w:rsidRPr="009B37B2">
        <w:t xml:space="preserve"> réunions traditionnelles ordinaires</w:t>
      </w:r>
      <w:r w:rsidR="009B3503" w:rsidRPr="009B37B2">
        <w:t>.</w:t>
      </w:r>
    </w:p>
    <w:p w14:paraId="6EDBFE46" w14:textId="55152702" w:rsidR="00E07909" w:rsidRPr="009B37B2" w:rsidRDefault="00E07909" w:rsidP="001362DF">
      <w:pPr>
        <w:pStyle w:val="enumlev2"/>
        <w:tabs>
          <w:tab w:val="clear" w:pos="567"/>
          <w:tab w:val="clear" w:pos="1134"/>
          <w:tab w:val="clear" w:pos="1701"/>
          <w:tab w:val="clear" w:pos="2268"/>
          <w:tab w:val="clear" w:pos="2835"/>
        </w:tabs>
        <w:ind w:left="1276"/>
        <w:rPr>
          <w:b/>
          <w:bCs/>
        </w:rPr>
      </w:pPr>
      <w:r w:rsidRPr="009B37B2">
        <w:t>–</w:t>
      </w:r>
      <w:r w:rsidRPr="009B37B2">
        <w:tab/>
      </w:r>
      <w:r w:rsidR="00C216C9" w:rsidRPr="009B37B2">
        <w:rPr>
          <w:u w:val="single"/>
        </w:rPr>
        <w:t xml:space="preserve">Traduction automatique de </w:t>
      </w:r>
      <w:proofErr w:type="gramStart"/>
      <w:r w:rsidR="00C216C9" w:rsidRPr="009B37B2">
        <w:rPr>
          <w:u w:val="single"/>
        </w:rPr>
        <w:t>documents</w:t>
      </w:r>
      <w:r w:rsidRPr="00BC190D">
        <w:t>:</w:t>
      </w:r>
      <w:proofErr w:type="gramEnd"/>
      <w:r w:rsidRPr="009B37B2">
        <w:t xml:space="preserve"> </w:t>
      </w:r>
      <w:r w:rsidR="00C07955" w:rsidRPr="009B37B2">
        <w:t xml:space="preserve">utilisation des </w:t>
      </w:r>
      <w:r w:rsidR="007A099C" w:rsidRPr="009B37B2">
        <w:t>capacités</w:t>
      </w:r>
      <w:r w:rsidR="00C07955" w:rsidRPr="009B37B2">
        <w:t xml:space="preserve"> </w:t>
      </w:r>
      <w:r w:rsidR="007A099C" w:rsidRPr="009B37B2">
        <w:t>de</w:t>
      </w:r>
      <w:r w:rsidR="00C07955" w:rsidRPr="009B37B2">
        <w:t xml:space="preserve"> l'apprentissage automatique pour</w:t>
      </w:r>
      <w:r w:rsidRPr="009B37B2">
        <w:t xml:space="preserve"> </w:t>
      </w:r>
      <w:r w:rsidR="00790800" w:rsidRPr="009B37B2">
        <w:t xml:space="preserve">rendre possible la traduction </w:t>
      </w:r>
      <w:r w:rsidR="00C07955" w:rsidRPr="009B37B2">
        <w:t>en ligne de</w:t>
      </w:r>
      <w:r w:rsidR="00335745" w:rsidRPr="009B37B2">
        <w:t>s</w:t>
      </w:r>
      <w:r w:rsidR="00C07955" w:rsidRPr="009B37B2">
        <w:t xml:space="preserve"> fichiers</w:t>
      </w:r>
      <w:r w:rsidRPr="009B37B2">
        <w:t xml:space="preserve"> </w:t>
      </w:r>
      <w:r w:rsidR="0068453C" w:rsidRPr="009B37B2">
        <w:t xml:space="preserve">au format </w:t>
      </w:r>
      <w:r w:rsidRPr="009B37B2">
        <w:t xml:space="preserve">docx </w:t>
      </w:r>
      <w:r w:rsidR="00C07955" w:rsidRPr="009B37B2">
        <w:t xml:space="preserve">dans l'une des langues officielles </w:t>
      </w:r>
      <w:r w:rsidR="0068453C" w:rsidRPr="009B37B2">
        <w:t>de l</w:t>
      </w:r>
      <w:r w:rsidR="00A54667" w:rsidRPr="009B37B2">
        <w:t>'</w:t>
      </w:r>
      <w:r w:rsidR="0068453C" w:rsidRPr="009B37B2">
        <w:t>ONU</w:t>
      </w:r>
      <w:r w:rsidR="00F00D96" w:rsidRPr="009B37B2">
        <w:t>.</w:t>
      </w:r>
    </w:p>
    <w:p w14:paraId="08B6C908" w14:textId="25802BE7" w:rsidR="00E07909" w:rsidRPr="009B37B2" w:rsidRDefault="00E07909" w:rsidP="001362DF">
      <w:pPr>
        <w:pStyle w:val="enumlev2"/>
        <w:tabs>
          <w:tab w:val="clear" w:pos="567"/>
          <w:tab w:val="clear" w:pos="1134"/>
          <w:tab w:val="clear" w:pos="1701"/>
          <w:tab w:val="clear" w:pos="2268"/>
          <w:tab w:val="clear" w:pos="2835"/>
        </w:tabs>
        <w:ind w:left="1276"/>
        <w:rPr>
          <w:b/>
          <w:bCs/>
        </w:rPr>
      </w:pPr>
      <w:r w:rsidRPr="009B37B2">
        <w:t>–</w:t>
      </w:r>
      <w:r w:rsidRPr="009B37B2">
        <w:tab/>
      </w:r>
      <w:r w:rsidR="002123D7" w:rsidRPr="009B37B2">
        <w:rPr>
          <w:u w:val="single"/>
        </w:rPr>
        <w:t xml:space="preserve">Calendrier des </w:t>
      </w:r>
      <w:proofErr w:type="gramStart"/>
      <w:r w:rsidR="00D141FA" w:rsidRPr="009B37B2">
        <w:rPr>
          <w:u w:val="single"/>
        </w:rPr>
        <w:t>manifestations</w:t>
      </w:r>
      <w:r w:rsidRPr="00BC190D">
        <w:t>:</w:t>
      </w:r>
      <w:proofErr w:type="gramEnd"/>
      <w:r w:rsidRPr="009B37B2">
        <w:t xml:space="preserve"> </w:t>
      </w:r>
      <w:r w:rsidR="002123D7" w:rsidRPr="009B37B2">
        <w:t xml:space="preserve">affichage des </w:t>
      </w:r>
      <w:r w:rsidR="00D141FA" w:rsidRPr="009B37B2">
        <w:t>manifestations</w:t>
      </w:r>
      <w:r w:rsidR="002123D7" w:rsidRPr="009B37B2">
        <w:t xml:space="preserve"> à venir et accès direct</w:t>
      </w:r>
      <w:r w:rsidR="00373A44" w:rsidRPr="009B37B2">
        <w:t>.</w:t>
      </w:r>
    </w:p>
    <w:p w14:paraId="674AE649" w14:textId="616D0C7F" w:rsidR="00E07909" w:rsidRPr="009B37B2" w:rsidRDefault="00E07909" w:rsidP="001362DF">
      <w:pPr>
        <w:pStyle w:val="enumlev2"/>
        <w:tabs>
          <w:tab w:val="clear" w:pos="567"/>
          <w:tab w:val="clear" w:pos="1134"/>
          <w:tab w:val="clear" w:pos="1701"/>
          <w:tab w:val="clear" w:pos="2268"/>
          <w:tab w:val="clear" w:pos="2835"/>
        </w:tabs>
        <w:ind w:left="1276"/>
        <w:rPr>
          <w:b/>
          <w:bCs/>
        </w:rPr>
      </w:pPr>
      <w:r w:rsidRPr="009B37B2">
        <w:t>–</w:t>
      </w:r>
      <w:r w:rsidRPr="009B37B2">
        <w:tab/>
      </w:r>
      <w:r w:rsidR="002123D7" w:rsidRPr="009B37B2">
        <w:rPr>
          <w:u w:val="single"/>
        </w:rPr>
        <w:t>Plate</w:t>
      </w:r>
      <w:r w:rsidR="0068453C" w:rsidRPr="009B37B2">
        <w:rPr>
          <w:u w:val="single"/>
        </w:rPr>
        <w:t>-</w:t>
      </w:r>
      <w:r w:rsidR="002123D7" w:rsidRPr="009B37B2">
        <w:rPr>
          <w:u w:val="single"/>
        </w:rPr>
        <w:t xml:space="preserve">forme </w:t>
      </w:r>
      <w:proofErr w:type="gramStart"/>
      <w:r w:rsidR="002123D7" w:rsidRPr="009B37B2">
        <w:rPr>
          <w:u w:val="single"/>
        </w:rPr>
        <w:t>communautaire</w:t>
      </w:r>
      <w:r w:rsidRPr="00BC190D">
        <w:t>:</w:t>
      </w:r>
      <w:proofErr w:type="gramEnd"/>
      <w:r w:rsidRPr="009B37B2">
        <w:t xml:space="preserve"> </w:t>
      </w:r>
      <w:r w:rsidR="002123D7" w:rsidRPr="009B37B2">
        <w:t>amélioration des</w:t>
      </w:r>
      <w:r w:rsidR="0068453C" w:rsidRPr="009B37B2">
        <w:t xml:space="preserve"> contacts en réseau </w:t>
      </w:r>
      <w:r w:rsidR="00B274B5" w:rsidRPr="009B37B2">
        <w:t>entre les</w:t>
      </w:r>
      <w:r w:rsidR="002123D7" w:rsidRPr="009B37B2">
        <w:t xml:space="preserve"> </w:t>
      </w:r>
      <w:r w:rsidR="0068453C" w:rsidRPr="009B37B2">
        <w:t>M</w:t>
      </w:r>
      <w:r w:rsidR="002123D7" w:rsidRPr="009B37B2">
        <w:t>embres de l'UIT-T</w:t>
      </w:r>
      <w:r w:rsidR="00373A44" w:rsidRPr="009B37B2">
        <w:t>.</w:t>
      </w:r>
    </w:p>
    <w:p w14:paraId="3F716911" w14:textId="48262389" w:rsidR="00E07909" w:rsidRPr="009B37B2" w:rsidRDefault="00E07909" w:rsidP="001362DF">
      <w:pPr>
        <w:pStyle w:val="enumlev2"/>
        <w:tabs>
          <w:tab w:val="clear" w:pos="567"/>
          <w:tab w:val="clear" w:pos="1134"/>
          <w:tab w:val="clear" w:pos="1701"/>
          <w:tab w:val="clear" w:pos="2268"/>
          <w:tab w:val="clear" w:pos="2835"/>
        </w:tabs>
        <w:ind w:left="1276"/>
        <w:rPr>
          <w:b/>
          <w:bCs/>
        </w:rPr>
      </w:pPr>
      <w:r w:rsidRPr="009B37B2">
        <w:t>–</w:t>
      </w:r>
      <w:r w:rsidRPr="009B37B2">
        <w:tab/>
      </w:r>
      <w:r w:rsidR="00967161" w:rsidRPr="009B37B2">
        <w:rPr>
          <w:u w:val="single"/>
        </w:rPr>
        <w:t>Cloud de l'UIT-</w:t>
      </w:r>
      <w:proofErr w:type="gramStart"/>
      <w:r w:rsidR="00967161" w:rsidRPr="009B37B2">
        <w:rPr>
          <w:u w:val="single"/>
        </w:rPr>
        <w:t>T</w:t>
      </w:r>
      <w:r w:rsidRPr="00BC190D">
        <w:t>:</w:t>
      </w:r>
      <w:proofErr w:type="gramEnd"/>
      <w:r w:rsidRPr="009B37B2">
        <w:t xml:space="preserve"> </w:t>
      </w:r>
      <w:r w:rsidR="00C94D11" w:rsidRPr="009B37B2">
        <w:t>offr</w:t>
      </w:r>
      <w:r w:rsidR="0068453C" w:rsidRPr="009B37B2">
        <w:t xml:space="preserve">e </w:t>
      </w:r>
      <w:r w:rsidR="00C94D11" w:rsidRPr="009B37B2">
        <w:t xml:space="preserve">aux </w:t>
      </w:r>
      <w:r w:rsidR="0068453C" w:rsidRPr="009B37B2">
        <w:t>M</w:t>
      </w:r>
      <w:r w:rsidR="00C94D11" w:rsidRPr="009B37B2">
        <w:t>embres de l'UIT-T un espace de stockage personnel et</w:t>
      </w:r>
      <w:r w:rsidR="0068453C" w:rsidRPr="009B37B2">
        <w:t xml:space="preserve"> des possibilités de partage </w:t>
      </w:r>
      <w:r w:rsidR="00C94D11" w:rsidRPr="009B37B2">
        <w:t>des fichiers.</w:t>
      </w:r>
    </w:p>
    <w:p w14:paraId="7CD89640" w14:textId="52D2489B" w:rsidR="00E07909" w:rsidRPr="009B37B2" w:rsidRDefault="00E07909" w:rsidP="001362DF">
      <w:pPr>
        <w:pStyle w:val="enumlev2"/>
        <w:tabs>
          <w:tab w:val="clear" w:pos="567"/>
          <w:tab w:val="clear" w:pos="1134"/>
          <w:tab w:val="clear" w:pos="1701"/>
          <w:tab w:val="clear" w:pos="2268"/>
          <w:tab w:val="clear" w:pos="2835"/>
        </w:tabs>
        <w:ind w:left="1276"/>
        <w:rPr>
          <w:b/>
          <w:bCs/>
        </w:rPr>
      </w:pPr>
      <w:r w:rsidRPr="009B37B2">
        <w:t>–</w:t>
      </w:r>
      <w:r w:rsidRPr="009B37B2">
        <w:tab/>
      </w:r>
      <w:r w:rsidR="00967161" w:rsidRPr="009B37B2">
        <w:rPr>
          <w:u w:val="single"/>
        </w:rPr>
        <w:t xml:space="preserve">Application </w:t>
      </w:r>
      <w:r w:rsidR="0082600A" w:rsidRPr="009B37B2">
        <w:rPr>
          <w:u w:val="single"/>
        </w:rPr>
        <w:t>"</w:t>
      </w:r>
      <w:proofErr w:type="spellStart"/>
      <w:r w:rsidR="0082600A" w:rsidRPr="009B37B2">
        <w:rPr>
          <w:u w:val="single"/>
        </w:rPr>
        <w:t>My</w:t>
      </w:r>
      <w:proofErr w:type="spellEnd"/>
      <w:r w:rsidR="00F92D62" w:rsidRPr="009B37B2">
        <w:rPr>
          <w:u w:val="single"/>
        </w:rPr>
        <w:t xml:space="preserve"> </w:t>
      </w:r>
      <w:r w:rsidR="0082600A" w:rsidRPr="009B37B2">
        <w:rPr>
          <w:u w:val="single"/>
        </w:rPr>
        <w:t>Events</w:t>
      </w:r>
      <w:proofErr w:type="gramStart"/>
      <w:r w:rsidR="0082600A" w:rsidRPr="009B37B2">
        <w:rPr>
          <w:u w:val="single"/>
        </w:rPr>
        <w:t>"</w:t>
      </w:r>
      <w:r w:rsidRPr="00BC190D">
        <w:t>:</w:t>
      </w:r>
      <w:proofErr w:type="gramEnd"/>
      <w:r w:rsidRPr="009B37B2">
        <w:t xml:space="preserve"> </w:t>
      </w:r>
      <w:r w:rsidR="00967161" w:rsidRPr="009B37B2">
        <w:t>permet</w:t>
      </w:r>
      <w:r w:rsidR="0068453C" w:rsidRPr="009B37B2">
        <w:t xml:space="preserve"> </w:t>
      </w:r>
      <w:r w:rsidR="00967161" w:rsidRPr="009B37B2">
        <w:t>un accès en temps réel à l'ordre du jour des réunions</w:t>
      </w:r>
      <w:r w:rsidR="00C94D11" w:rsidRPr="009B37B2">
        <w:t>.</w:t>
      </w:r>
    </w:p>
    <w:p w14:paraId="1C0916BB" w14:textId="2896C3C3" w:rsidR="00E07909" w:rsidRPr="009B37B2" w:rsidRDefault="00E07909" w:rsidP="001362DF">
      <w:pPr>
        <w:pStyle w:val="enumlev1"/>
        <w:tabs>
          <w:tab w:val="clear" w:pos="567"/>
          <w:tab w:val="clear" w:pos="1134"/>
          <w:tab w:val="clear" w:pos="1701"/>
          <w:tab w:val="clear" w:pos="2268"/>
          <w:tab w:val="clear" w:pos="2835"/>
        </w:tabs>
        <w:ind w:left="709" w:hanging="709"/>
      </w:pPr>
      <w:r w:rsidRPr="009B37B2">
        <w:t>•</w:t>
      </w:r>
      <w:r w:rsidRPr="009B37B2">
        <w:tab/>
      </w:r>
      <w:hyperlink r:id="rId14" w:tgtFrame="_blank" w:history="1">
        <w:proofErr w:type="spellStart"/>
        <w:r w:rsidRPr="009B37B2">
          <w:rPr>
            <w:rStyle w:val="Hyperlink"/>
            <w:b/>
            <w:bCs/>
          </w:rPr>
          <w:t>ITUSearch</w:t>
        </w:r>
        <w:proofErr w:type="spellEnd"/>
      </w:hyperlink>
      <w:r w:rsidRPr="009B37B2">
        <w:rPr>
          <w:b/>
          <w:bCs/>
        </w:rPr>
        <w:t> </w:t>
      </w:r>
      <w:r w:rsidR="004F49E3" w:rsidRPr="009B37B2">
        <w:t>–</w:t>
      </w:r>
      <w:r w:rsidRPr="009B37B2">
        <w:t> </w:t>
      </w:r>
      <w:r w:rsidR="004F49E3" w:rsidRPr="009B37B2">
        <w:t xml:space="preserve">Moteur de </w:t>
      </w:r>
      <w:r w:rsidR="00B41A80" w:rsidRPr="009B37B2">
        <w:t>recherche</w:t>
      </w:r>
      <w:r w:rsidR="004F49E3" w:rsidRPr="009B37B2">
        <w:t xml:space="preserve"> permettant d'accéder à toutes les ressources numériques de l'UIT, y compris les publications, les documents de réunion, les publications sur les réseaux sociaux et les webinaires</w:t>
      </w:r>
      <w:r w:rsidR="00C94D11" w:rsidRPr="009B37B2">
        <w:t>.</w:t>
      </w:r>
    </w:p>
    <w:p w14:paraId="23B9B29E" w14:textId="1EC8DE86" w:rsidR="00E07909" w:rsidRPr="009B37B2" w:rsidRDefault="00E07909" w:rsidP="001362DF">
      <w:pPr>
        <w:pStyle w:val="enumlev1"/>
        <w:tabs>
          <w:tab w:val="clear" w:pos="567"/>
          <w:tab w:val="clear" w:pos="1134"/>
          <w:tab w:val="clear" w:pos="1701"/>
          <w:tab w:val="clear" w:pos="2268"/>
          <w:tab w:val="clear" w:pos="2835"/>
        </w:tabs>
        <w:ind w:left="709" w:hanging="709"/>
      </w:pPr>
      <w:r w:rsidRPr="009B37B2">
        <w:t>•</w:t>
      </w:r>
      <w:r w:rsidRPr="009B37B2">
        <w:tab/>
      </w:r>
      <w:hyperlink r:id="rId15" w:anchor="?topic=0&amp;workgroup=1&amp;searchValue=&amp;page=1&amp;sort=Revelance" w:tgtFrame="_blank" w:history="1">
        <w:r w:rsidR="00F72BAB" w:rsidRPr="009B37B2">
          <w:rPr>
            <w:rStyle w:val="Hyperlink"/>
            <w:b/>
            <w:bCs/>
          </w:rPr>
          <w:t>Panorama des normes TIC</w:t>
        </w:r>
      </w:hyperlink>
      <w:r w:rsidRPr="009B37B2">
        <w:t> </w:t>
      </w:r>
      <w:r w:rsidR="00F00D96" w:rsidRPr="009B37B2">
        <w:t>–</w:t>
      </w:r>
      <w:r w:rsidRPr="009B37B2">
        <w:t> </w:t>
      </w:r>
      <w:r w:rsidR="00A80662" w:rsidRPr="009B37B2">
        <w:t xml:space="preserve">Outil en ligne utilisé par les experts pour </w:t>
      </w:r>
      <w:r w:rsidR="00170AB0" w:rsidRPr="009B37B2">
        <w:t xml:space="preserve">classer les normes dans leur domaine </w:t>
      </w:r>
      <w:r w:rsidR="0068453C" w:rsidRPr="009B37B2">
        <w:t xml:space="preserve">de spécialisation </w:t>
      </w:r>
      <w:r w:rsidR="00170AB0" w:rsidRPr="009B37B2">
        <w:t>respectif</w:t>
      </w:r>
      <w:r w:rsidRPr="009B37B2">
        <w:t>.</w:t>
      </w:r>
    </w:p>
    <w:p w14:paraId="26061118" w14:textId="20117C4D" w:rsidR="00E07909" w:rsidRPr="009B37B2" w:rsidRDefault="00E07909" w:rsidP="001362DF">
      <w:pPr>
        <w:pStyle w:val="enumlev1"/>
        <w:tabs>
          <w:tab w:val="clear" w:pos="567"/>
          <w:tab w:val="clear" w:pos="1134"/>
          <w:tab w:val="clear" w:pos="1701"/>
          <w:tab w:val="clear" w:pos="2268"/>
          <w:tab w:val="clear" w:pos="2835"/>
        </w:tabs>
        <w:ind w:left="709" w:hanging="709"/>
      </w:pPr>
      <w:r w:rsidRPr="009B37B2">
        <w:t>•</w:t>
      </w:r>
      <w:r w:rsidRPr="009B37B2">
        <w:tab/>
      </w:r>
      <w:r w:rsidR="00036357" w:rsidRPr="009B37B2">
        <w:rPr>
          <w:b/>
          <w:bCs/>
        </w:rPr>
        <w:t xml:space="preserve">Tableau de bord des </w:t>
      </w:r>
      <w:r w:rsidR="005D5AE4" w:rsidRPr="009B37B2">
        <w:rPr>
          <w:b/>
          <w:bCs/>
        </w:rPr>
        <w:t>manifestations</w:t>
      </w:r>
      <w:r w:rsidR="00036357" w:rsidRPr="009B37B2">
        <w:rPr>
          <w:b/>
          <w:bCs/>
        </w:rPr>
        <w:t xml:space="preserve"> de l'UIT-T</w:t>
      </w:r>
      <w:r w:rsidRPr="009B37B2">
        <w:t> </w:t>
      </w:r>
      <w:r w:rsidR="00036357" w:rsidRPr="009B37B2">
        <w:t>–</w:t>
      </w:r>
      <w:r w:rsidRPr="009B37B2">
        <w:t> </w:t>
      </w:r>
      <w:r w:rsidR="00036357" w:rsidRPr="009B37B2">
        <w:t>Outil de gestion des processus opérationnels</w:t>
      </w:r>
      <w:r w:rsidR="0068453C" w:rsidRPr="009B37B2">
        <w:t xml:space="preserve"> à l</w:t>
      </w:r>
      <w:r w:rsidR="00A54667" w:rsidRPr="009B37B2">
        <w:t>'</w:t>
      </w:r>
      <w:r w:rsidR="0068453C" w:rsidRPr="009B37B2">
        <w:t xml:space="preserve">intention de </w:t>
      </w:r>
      <w:r w:rsidR="0015265A" w:rsidRPr="009B37B2">
        <w:t xml:space="preserve">l'équipe du TSB responsable des </w:t>
      </w:r>
      <w:r w:rsidR="005D5AE4" w:rsidRPr="009B37B2">
        <w:t>manifestations</w:t>
      </w:r>
      <w:r w:rsidR="0068453C" w:rsidRPr="009B37B2">
        <w:t>, qui vise à</w:t>
      </w:r>
      <w:r w:rsidR="0015265A" w:rsidRPr="009B37B2">
        <w:t xml:space="preserve"> faciliter l'organisation </w:t>
      </w:r>
      <w:r w:rsidR="005D5AE4" w:rsidRPr="009B37B2">
        <w:t>de</w:t>
      </w:r>
      <w:r w:rsidR="001F2609" w:rsidRPr="009B37B2">
        <w:t>s</w:t>
      </w:r>
      <w:r w:rsidR="005D5AE4" w:rsidRPr="009B37B2">
        <w:t xml:space="preserve"> manifestations</w:t>
      </w:r>
      <w:r w:rsidRPr="009B37B2">
        <w:t>.</w:t>
      </w:r>
    </w:p>
    <w:p w14:paraId="51CA9A50" w14:textId="4293141A" w:rsidR="00E07909" w:rsidRPr="009B37B2" w:rsidRDefault="00E07909" w:rsidP="001362DF">
      <w:pPr>
        <w:tabs>
          <w:tab w:val="clear" w:pos="567"/>
          <w:tab w:val="clear" w:pos="1134"/>
          <w:tab w:val="clear" w:pos="1701"/>
          <w:tab w:val="clear" w:pos="2268"/>
          <w:tab w:val="clear" w:pos="2835"/>
        </w:tabs>
      </w:pPr>
      <w:r w:rsidRPr="009B37B2">
        <w:t>2.3</w:t>
      </w:r>
      <w:r w:rsidRPr="009B37B2">
        <w:tab/>
      </w:r>
      <w:r w:rsidR="005D5AE4" w:rsidRPr="009B37B2">
        <w:t>Les</w:t>
      </w:r>
      <w:r w:rsidRPr="009B37B2">
        <w:t xml:space="preserve"> applications </w:t>
      </w:r>
      <w:r w:rsidR="005D5AE4" w:rsidRPr="009B37B2">
        <w:t>du TSB ont joué un rôle important</w:t>
      </w:r>
      <w:r w:rsidR="0068453C" w:rsidRPr="009B37B2">
        <w:t xml:space="preserve"> dans l</w:t>
      </w:r>
      <w:r w:rsidR="00A54667" w:rsidRPr="009B37B2">
        <w:t>'</w:t>
      </w:r>
      <w:r w:rsidR="0068453C" w:rsidRPr="009B37B2">
        <w:t xml:space="preserve">accès </w:t>
      </w:r>
      <w:r w:rsidR="005D5AE4" w:rsidRPr="009B37B2">
        <w:t xml:space="preserve">aux services et </w:t>
      </w:r>
      <w:r w:rsidR="0068453C" w:rsidRPr="009B37B2">
        <w:t>l</w:t>
      </w:r>
      <w:r w:rsidR="005D5AE4" w:rsidRPr="009B37B2">
        <w:t>'organisation de</w:t>
      </w:r>
      <w:r w:rsidR="00C2281D" w:rsidRPr="009B37B2">
        <w:t>s</w:t>
      </w:r>
      <w:r w:rsidR="005D5AE4" w:rsidRPr="009B37B2">
        <w:t xml:space="preserve"> manifestations</w:t>
      </w:r>
      <w:r w:rsidRPr="009B37B2">
        <w:t xml:space="preserve">. </w:t>
      </w:r>
      <w:r w:rsidR="00D94FCF" w:rsidRPr="009B37B2">
        <w:t>L'organisation de</w:t>
      </w:r>
      <w:r w:rsidR="005D5AE4" w:rsidRPr="009B37B2">
        <w:t xml:space="preserve"> réunions électroniques </w:t>
      </w:r>
      <w:r w:rsidR="00FA3E6A" w:rsidRPr="009B37B2">
        <w:t>à l'aide des</w:t>
      </w:r>
      <w:r w:rsidR="005D5AE4" w:rsidRPr="009B37B2">
        <w:t xml:space="preserve"> outils de participation à distance du TSB </w:t>
      </w:r>
      <w:r w:rsidR="0068453C" w:rsidRPr="009B37B2">
        <w:t>s</w:t>
      </w:r>
      <w:r w:rsidR="00A54667" w:rsidRPr="009B37B2">
        <w:t>'</w:t>
      </w:r>
      <w:r w:rsidR="0068453C" w:rsidRPr="009B37B2">
        <w:t>est traduite par un accès accru</w:t>
      </w:r>
      <w:r w:rsidR="00F00D96" w:rsidRPr="009B37B2">
        <w:t xml:space="preserve"> </w:t>
      </w:r>
      <w:r w:rsidR="005D5AE4" w:rsidRPr="009B37B2">
        <w:t>aux réunions et aux manifestations</w:t>
      </w:r>
      <w:r w:rsidRPr="009B37B2">
        <w:t>.</w:t>
      </w:r>
      <w:r w:rsidR="0068453C" w:rsidRPr="009B37B2">
        <w:t xml:space="preserve"> Dans l</w:t>
      </w:r>
      <w:r w:rsidR="00A54667" w:rsidRPr="009B37B2">
        <w:t>'</w:t>
      </w:r>
      <w:r w:rsidR="0068453C" w:rsidRPr="009B37B2">
        <w:t xml:space="preserve">ensemble, </w:t>
      </w:r>
      <w:r w:rsidR="005D5AE4" w:rsidRPr="009B37B2">
        <w:t>le nombre de réunions électroniques organisées a</w:t>
      </w:r>
      <w:r w:rsidR="0068453C" w:rsidRPr="009B37B2">
        <w:t xml:space="preserve"> pratiquement </w:t>
      </w:r>
      <w:r w:rsidR="005D5AE4" w:rsidRPr="009B37B2">
        <w:t>doublé ces deux dernières années,</w:t>
      </w:r>
      <w:r w:rsidR="00F00D96" w:rsidRPr="009B37B2">
        <w:t xml:space="preserve"> </w:t>
      </w:r>
      <w:r w:rsidR="005D5AE4" w:rsidRPr="009B37B2">
        <w:t>passant d'environ 1 100 e</w:t>
      </w:r>
      <w:r w:rsidRPr="009B37B2">
        <w:t xml:space="preserve">n 2017 </w:t>
      </w:r>
      <w:r w:rsidR="005D5AE4" w:rsidRPr="009B37B2">
        <w:t xml:space="preserve">à </w:t>
      </w:r>
      <w:r w:rsidR="0068453C" w:rsidRPr="009B37B2">
        <w:t>près de</w:t>
      </w:r>
      <w:r w:rsidR="00F00D96" w:rsidRPr="009B37B2">
        <w:t xml:space="preserve"> </w:t>
      </w:r>
      <w:r w:rsidR="005D5AE4" w:rsidRPr="009B37B2">
        <w:t>1 900 e</w:t>
      </w:r>
      <w:r w:rsidRPr="009B37B2">
        <w:t>n 2019 (</w:t>
      </w:r>
      <w:r w:rsidR="005D5AE4" w:rsidRPr="009B37B2">
        <w:t>le</w:t>
      </w:r>
      <w:r w:rsidRPr="009B37B2">
        <w:t xml:space="preserve"> </w:t>
      </w:r>
      <w:r w:rsidR="005D5AE4" w:rsidRPr="009B37B2">
        <w:t>nombre</w:t>
      </w:r>
      <w:r w:rsidRPr="009B37B2">
        <w:t xml:space="preserve"> </w:t>
      </w:r>
      <w:r w:rsidR="005D5AE4" w:rsidRPr="009B37B2">
        <w:t>de</w:t>
      </w:r>
      <w:r w:rsidRPr="009B37B2">
        <w:t xml:space="preserve"> participants/</w:t>
      </w:r>
      <w:r w:rsidR="005D5AE4" w:rsidRPr="009B37B2">
        <w:t xml:space="preserve">d'utilisateurs a </w:t>
      </w:r>
      <w:r w:rsidR="0068453C" w:rsidRPr="009B37B2">
        <w:t xml:space="preserve">lui </w:t>
      </w:r>
      <w:r w:rsidR="005D5AE4" w:rsidRPr="009B37B2">
        <w:t>aussi augmenté entre</w:t>
      </w:r>
      <w:r w:rsidRPr="009B37B2">
        <w:t xml:space="preserve"> 2017 </w:t>
      </w:r>
      <w:r w:rsidR="005D5AE4" w:rsidRPr="009B37B2">
        <w:t>et</w:t>
      </w:r>
      <w:r w:rsidRPr="009B37B2">
        <w:t xml:space="preserve"> 2018). </w:t>
      </w:r>
      <w:r w:rsidR="00876BB4" w:rsidRPr="009B37B2">
        <w:t xml:space="preserve">Le nombre d'utilisateurs de </w:t>
      </w:r>
      <w:proofErr w:type="spellStart"/>
      <w:r w:rsidRPr="009B37B2">
        <w:t>MyWorkspace</w:t>
      </w:r>
      <w:proofErr w:type="spellEnd"/>
      <w:r w:rsidRPr="009B37B2">
        <w:t xml:space="preserve"> </w:t>
      </w:r>
      <w:r w:rsidR="00876BB4" w:rsidRPr="009B37B2">
        <w:t xml:space="preserve">a </w:t>
      </w:r>
      <w:r w:rsidR="00A96C58" w:rsidRPr="009B37B2">
        <w:t>également</w:t>
      </w:r>
      <w:r w:rsidR="00876BB4" w:rsidRPr="009B37B2">
        <w:t xml:space="preserve"> </w:t>
      </w:r>
      <w:r w:rsidR="0068453C" w:rsidRPr="009B37B2">
        <w:t xml:space="preserve">connu une forte augmentation, </w:t>
      </w:r>
      <w:r w:rsidR="00876BB4" w:rsidRPr="009B37B2">
        <w:t xml:space="preserve">passant de </w:t>
      </w:r>
      <w:r w:rsidRPr="009B37B2">
        <w:t xml:space="preserve">100 </w:t>
      </w:r>
      <w:r w:rsidR="00876BB4" w:rsidRPr="009B37B2">
        <w:t>utilisateurs</w:t>
      </w:r>
      <w:r w:rsidRPr="009B37B2">
        <w:t xml:space="preserve"> </w:t>
      </w:r>
      <w:r w:rsidR="00876BB4" w:rsidRPr="009B37B2">
        <w:t>en janvier</w:t>
      </w:r>
      <w:r w:rsidR="0001436B" w:rsidRPr="009B37B2">
        <w:t> </w:t>
      </w:r>
      <w:r w:rsidRPr="009B37B2">
        <w:t xml:space="preserve">2018 </w:t>
      </w:r>
      <w:r w:rsidR="00876BB4" w:rsidRPr="009B37B2">
        <w:t xml:space="preserve">à près de 2 700 </w:t>
      </w:r>
      <w:r w:rsidR="00C2281D" w:rsidRPr="009B37B2">
        <w:t xml:space="preserve">utilisateurs </w:t>
      </w:r>
      <w:r w:rsidR="00876BB4" w:rsidRPr="009B37B2">
        <w:t>en mars</w:t>
      </w:r>
      <w:r w:rsidRPr="009B37B2">
        <w:t xml:space="preserve"> 2020, </w:t>
      </w:r>
      <w:r w:rsidR="00876BB4" w:rsidRPr="009B37B2">
        <w:t>et devrait</w:t>
      </w:r>
      <w:r w:rsidR="0068453C" w:rsidRPr="009B37B2">
        <w:t xml:space="preserve"> encore s</w:t>
      </w:r>
      <w:r w:rsidR="00A54667" w:rsidRPr="009B37B2">
        <w:t>'</w:t>
      </w:r>
      <w:r w:rsidR="0068453C" w:rsidRPr="009B37B2">
        <w:t xml:space="preserve">accroître </w:t>
      </w:r>
      <w:r w:rsidR="00424380" w:rsidRPr="009B37B2">
        <w:lastRenderedPageBreak/>
        <w:t xml:space="preserve">d'ici à la fin de </w:t>
      </w:r>
      <w:r w:rsidR="00FA3E6A" w:rsidRPr="009B37B2">
        <w:t xml:space="preserve">la </w:t>
      </w:r>
      <w:r w:rsidR="00876BB4" w:rsidRPr="009B37B2">
        <w:t>période d'études</w:t>
      </w:r>
      <w:r w:rsidR="00FA3E6A" w:rsidRPr="009B37B2">
        <w:t xml:space="preserve"> actuelle</w:t>
      </w:r>
      <w:r w:rsidRPr="009B37B2">
        <w:t xml:space="preserve">. </w:t>
      </w:r>
      <w:r w:rsidR="00876BB4" w:rsidRPr="009B37B2">
        <w:t>D'autres outils</w:t>
      </w:r>
      <w:r w:rsidRPr="009B37B2">
        <w:t xml:space="preserve"> </w:t>
      </w:r>
      <w:r w:rsidR="00876BB4" w:rsidRPr="009B37B2">
        <w:t xml:space="preserve">du </w:t>
      </w:r>
      <w:r w:rsidRPr="009B37B2">
        <w:t>TSB,</w:t>
      </w:r>
      <w:r w:rsidR="0068453C" w:rsidRPr="009B37B2">
        <w:t xml:space="preserve"> par exemple </w:t>
      </w:r>
      <w:r w:rsidR="00876BB4" w:rsidRPr="009B37B2">
        <w:t>l'outil de traduction automatique de documents</w:t>
      </w:r>
      <w:r w:rsidRPr="009B37B2">
        <w:t xml:space="preserve">, </w:t>
      </w:r>
      <w:r w:rsidR="00876BB4" w:rsidRPr="009B37B2">
        <w:t>sont à l'origine de la hausse du nombre de participants à des manifestations</w:t>
      </w:r>
      <w:r w:rsidRPr="009B37B2">
        <w:t xml:space="preserve"> </w:t>
      </w:r>
      <w:r w:rsidR="00876BB4" w:rsidRPr="009B37B2">
        <w:t>telles que</w:t>
      </w:r>
      <w:r w:rsidRPr="009B37B2">
        <w:t xml:space="preserve"> </w:t>
      </w:r>
      <w:r w:rsidR="00876BB4" w:rsidRPr="009B37B2">
        <w:t xml:space="preserve">les </w:t>
      </w:r>
      <w:r w:rsidR="00876BB4" w:rsidRPr="009B37B2">
        <w:rPr>
          <w:i/>
        </w:rPr>
        <w:t>sessions de formation sur la réduction de l'écart en matière de normalisation</w:t>
      </w:r>
      <w:r w:rsidRPr="009B37B2">
        <w:rPr>
          <w:i/>
          <w:iCs/>
        </w:rPr>
        <w:t xml:space="preserve"> </w:t>
      </w:r>
      <w:r w:rsidR="00876BB4" w:rsidRPr="009B37B2">
        <w:t>(</w:t>
      </w:r>
      <w:r w:rsidRPr="009B37B2">
        <w:t>348</w:t>
      </w:r>
      <w:r w:rsidR="00F00D96" w:rsidRPr="009B37B2">
        <w:t> </w:t>
      </w:r>
      <w:r w:rsidR="0068453C" w:rsidRPr="009B37B2">
        <w:t xml:space="preserve">participants </w:t>
      </w:r>
      <w:r w:rsidR="00876BB4" w:rsidRPr="009B37B2">
        <w:t>e</w:t>
      </w:r>
      <w:r w:rsidRPr="009B37B2">
        <w:t>n 2019</w:t>
      </w:r>
      <w:r w:rsidR="0068453C" w:rsidRPr="009B37B2">
        <w:t xml:space="preserve"> contre 113 en 2017</w:t>
      </w:r>
      <w:r w:rsidRPr="009B37B2">
        <w:t>)</w:t>
      </w:r>
      <w:r w:rsidRPr="009B37B2">
        <w:rPr>
          <w:i/>
          <w:iCs/>
        </w:rPr>
        <w:t>.</w:t>
      </w:r>
    </w:p>
    <w:p w14:paraId="648ECBAC" w14:textId="11FF84A1" w:rsidR="00E07909" w:rsidRPr="009B37B2" w:rsidRDefault="00203BE2" w:rsidP="001362DF">
      <w:pPr>
        <w:tabs>
          <w:tab w:val="clear" w:pos="567"/>
          <w:tab w:val="clear" w:pos="1134"/>
          <w:tab w:val="clear" w:pos="1701"/>
          <w:tab w:val="clear" w:pos="2268"/>
          <w:tab w:val="clear" w:pos="2835"/>
        </w:tabs>
      </w:pPr>
      <w:r w:rsidRPr="009B37B2">
        <w:t xml:space="preserve">L'outil de participation à distance du TSB, </w:t>
      </w:r>
      <w:proofErr w:type="spellStart"/>
      <w:r w:rsidR="00E07909" w:rsidRPr="009B37B2">
        <w:t>BigBlueButton</w:t>
      </w:r>
      <w:proofErr w:type="spellEnd"/>
      <w:r w:rsidR="00E07909" w:rsidRPr="009B37B2">
        <w:t xml:space="preserve"> (BBB)</w:t>
      </w:r>
      <w:r w:rsidR="00BA5562" w:rsidRPr="009B37B2">
        <w:t>,</w:t>
      </w:r>
      <w:r w:rsidR="00E07909" w:rsidRPr="009B37B2">
        <w:t xml:space="preserve"> </w:t>
      </w:r>
      <w:r w:rsidRPr="009B37B2">
        <w:t>est déjà conforme</w:t>
      </w:r>
      <w:r w:rsidR="00E07909" w:rsidRPr="009B37B2">
        <w:t xml:space="preserve"> </w:t>
      </w:r>
      <w:r w:rsidRPr="009B37B2">
        <w:t xml:space="preserve">aux </w:t>
      </w:r>
      <w:r w:rsidR="00401920" w:rsidRPr="009B37B2">
        <w:rPr>
          <w:color w:val="000000"/>
        </w:rPr>
        <w:t>Directives</w:t>
      </w:r>
      <w:r w:rsidR="0001436B" w:rsidRPr="009B37B2">
        <w:rPr>
          <w:color w:val="000000"/>
        </w:rPr>
        <w:t> </w:t>
      </w:r>
      <w:r w:rsidR="00401920" w:rsidRPr="009B37B2">
        <w:rPr>
          <w:color w:val="000000"/>
        </w:rPr>
        <w:t>2.0 d</w:t>
      </w:r>
      <w:r w:rsidR="00A54667" w:rsidRPr="009B37B2">
        <w:rPr>
          <w:color w:val="000000"/>
        </w:rPr>
        <w:t>'</w:t>
      </w:r>
      <w:r w:rsidR="00401920" w:rsidRPr="009B37B2">
        <w:rPr>
          <w:color w:val="000000"/>
        </w:rPr>
        <w:t>accessibilité du contenu web</w:t>
      </w:r>
      <w:r w:rsidR="00F00D96" w:rsidRPr="009B37B2">
        <w:rPr>
          <w:color w:val="000000"/>
        </w:rPr>
        <w:t xml:space="preserve"> </w:t>
      </w:r>
      <w:r w:rsidRPr="009B37B2">
        <w:t>(WCAG)</w:t>
      </w:r>
      <w:r w:rsidR="00F00D96" w:rsidRPr="009B37B2">
        <w:t>,</w:t>
      </w:r>
      <w:r w:rsidRPr="009B37B2">
        <w:t xml:space="preserve"> niveau AA</w:t>
      </w:r>
      <w:r w:rsidR="00E07909" w:rsidRPr="009B37B2">
        <w:t xml:space="preserve">. </w:t>
      </w:r>
      <w:r w:rsidR="00D93E83" w:rsidRPr="009B37B2">
        <w:t xml:space="preserve">Des </w:t>
      </w:r>
      <w:r w:rsidR="00AD441B" w:rsidRPr="009B37B2">
        <w:t>améliorations</w:t>
      </w:r>
      <w:r w:rsidR="00D93E83" w:rsidRPr="009B37B2">
        <w:t xml:space="preserve"> sont</w:t>
      </w:r>
      <w:r w:rsidR="0068453C" w:rsidRPr="009B37B2">
        <w:t xml:space="preserve"> apportées actuellement, </w:t>
      </w:r>
      <w:r w:rsidR="00D93E83" w:rsidRPr="009B37B2">
        <w:t>pour que d'autres applications et plate</w:t>
      </w:r>
      <w:r w:rsidR="00DD1814" w:rsidRPr="009B37B2">
        <w:t>s</w:t>
      </w:r>
      <w:r w:rsidR="0068453C" w:rsidRPr="009B37B2">
        <w:t>-</w:t>
      </w:r>
      <w:r w:rsidR="00D93E83" w:rsidRPr="009B37B2">
        <w:t xml:space="preserve">formes </w:t>
      </w:r>
      <w:r w:rsidR="00F00D96" w:rsidRPr="009B37B2">
        <w:t>–</w:t>
      </w:r>
      <w:r w:rsidR="0068453C" w:rsidRPr="009B37B2">
        <w:t xml:space="preserve"> </w:t>
      </w:r>
      <w:proofErr w:type="spellStart"/>
      <w:r w:rsidR="00E07909" w:rsidRPr="009B37B2">
        <w:t>MyWorkSpace</w:t>
      </w:r>
      <w:proofErr w:type="spellEnd"/>
      <w:r w:rsidR="00E07909" w:rsidRPr="009B37B2">
        <w:t xml:space="preserve">, </w:t>
      </w:r>
      <w:r w:rsidR="00F72BAB" w:rsidRPr="009B37B2">
        <w:t>ITU</w:t>
      </w:r>
      <w:r w:rsidR="0001436B" w:rsidRPr="009B37B2">
        <w:t> </w:t>
      </w:r>
      <w:proofErr w:type="spellStart"/>
      <w:r w:rsidR="00BA5562" w:rsidRPr="009B37B2">
        <w:t>Search</w:t>
      </w:r>
      <w:proofErr w:type="spellEnd"/>
      <w:r w:rsidR="00BA5562" w:rsidRPr="009B37B2">
        <w:t>, ITU</w:t>
      </w:r>
      <w:r w:rsidR="00F00D96" w:rsidRPr="009B37B2">
        <w:noBreakHyphen/>
      </w:r>
      <w:r w:rsidR="00E07909" w:rsidRPr="009B37B2">
        <w:t xml:space="preserve">Translate, </w:t>
      </w:r>
      <w:r w:rsidR="00BA5562" w:rsidRPr="009B37B2">
        <w:t>le Panorama des normes TIC</w:t>
      </w:r>
      <w:r w:rsidR="00E07909" w:rsidRPr="009B37B2">
        <w:t xml:space="preserve"> </w:t>
      </w:r>
      <w:r w:rsidR="00D93E83" w:rsidRPr="009B37B2">
        <w:t>et les sites web de l'UIT-T</w:t>
      </w:r>
      <w:r w:rsidR="0068453C" w:rsidRPr="009B37B2">
        <w:t>, par exemple</w:t>
      </w:r>
      <w:r w:rsidR="00E07909" w:rsidRPr="009B37B2">
        <w:t xml:space="preserve"> </w:t>
      </w:r>
      <w:r w:rsidR="00D93E83" w:rsidRPr="009B37B2">
        <w:t xml:space="preserve">soient </w:t>
      </w:r>
      <w:r w:rsidR="0068453C" w:rsidRPr="009B37B2">
        <w:t xml:space="preserve">elles </w:t>
      </w:r>
      <w:r w:rsidR="00D93E83" w:rsidRPr="009B37B2">
        <w:t>aussi conformes aux</w:t>
      </w:r>
      <w:r w:rsidR="0068453C" w:rsidRPr="009B37B2">
        <w:t xml:space="preserve"> Directives </w:t>
      </w:r>
      <w:r w:rsidR="00D93E83" w:rsidRPr="009B37B2">
        <w:t>WCAG</w:t>
      </w:r>
      <w:r w:rsidR="00E07909" w:rsidRPr="009B37B2">
        <w:t xml:space="preserve"> 2.0</w:t>
      </w:r>
      <w:r w:rsidR="0068453C" w:rsidRPr="009B37B2">
        <w:t>, niveau</w:t>
      </w:r>
      <w:r w:rsidR="00E07909" w:rsidRPr="009B37B2">
        <w:t xml:space="preserve"> AA.</w:t>
      </w:r>
    </w:p>
    <w:p w14:paraId="552872CE" w14:textId="7488B211" w:rsidR="00E07909" w:rsidRPr="009B37B2" w:rsidRDefault="00F72BAB" w:rsidP="001362DF">
      <w:pPr>
        <w:tabs>
          <w:tab w:val="clear" w:pos="567"/>
          <w:tab w:val="clear" w:pos="1134"/>
          <w:tab w:val="clear" w:pos="1701"/>
          <w:tab w:val="clear" w:pos="2268"/>
          <w:tab w:val="clear" w:pos="2835"/>
        </w:tabs>
      </w:pPr>
      <w:r w:rsidRPr="009B37B2">
        <w:t>2.4</w:t>
      </w:r>
      <w:r w:rsidRPr="009B37B2">
        <w:tab/>
        <w:t xml:space="preserve">Il est important </w:t>
      </w:r>
      <w:r w:rsidR="0068453C" w:rsidRPr="009B37B2">
        <w:t xml:space="preserve">que </w:t>
      </w:r>
      <w:r w:rsidRPr="009B37B2">
        <w:t>le TSB</w:t>
      </w:r>
      <w:r w:rsidR="00F00D96" w:rsidRPr="009B37B2">
        <w:t xml:space="preserve"> </w:t>
      </w:r>
      <w:r w:rsidR="00AD441B" w:rsidRPr="009B37B2">
        <w:t>assure</w:t>
      </w:r>
      <w:r w:rsidR="00F00D96" w:rsidRPr="009B37B2">
        <w:t xml:space="preserve"> </w:t>
      </w:r>
      <w:r w:rsidR="00AD441B" w:rsidRPr="009B37B2">
        <w:t>le fonctionnement</w:t>
      </w:r>
      <w:r w:rsidRPr="009B37B2">
        <w:t xml:space="preserve"> </w:t>
      </w:r>
      <w:r w:rsidR="00AD441B" w:rsidRPr="009B37B2">
        <w:t>de</w:t>
      </w:r>
      <w:r w:rsidRPr="009B37B2">
        <w:t xml:space="preserve"> ses outils et services</w:t>
      </w:r>
      <w:r w:rsidR="00E07909" w:rsidRPr="009B37B2">
        <w:t xml:space="preserve"> </w:t>
      </w:r>
      <w:r w:rsidR="00AD441B" w:rsidRPr="009B37B2">
        <w:t>et</w:t>
      </w:r>
      <w:r w:rsidR="00F00D96" w:rsidRPr="009B37B2">
        <w:t xml:space="preserve"> </w:t>
      </w:r>
      <w:r w:rsidR="00AD441B" w:rsidRPr="009B37B2">
        <w:t>les améliore</w:t>
      </w:r>
      <w:r w:rsidR="00F00D96" w:rsidRPr="009B37B2">
        <w:t xml:space="preserve"> </w:t>
      </w:r>
      <w:r w:rsidRPr="009B37B2">
        <w:t xml:space="preserve">pour répondre aux </w:t>
      </w:r>
      <w:r w:rsidR="00F91329" w:rsidRPr="009B37B2">
        <w:t>besoins</w:t>
      </w:r>
      <w:r w:rsidRPr="009B37B2">
        <w:t xml:space="preserve"> du Secteur</w:t>
      </w:r>
      <w:r w:rsidR="00E07909" w:rsidRPr="009B37B2">
        <w:t xml:space="preserve">. </w:t>
      </w:r>
      <w:r w:rsidRPr="009B37B2">
        <w:t>Par conséquent</w:t>
      </w:r>
      <w:r w:rsidR="00E07909" w:rsidRPr="009B37B2">
        <w:t xml:space="preserve">, </w:t>
      </w:r>
      <w:r w:rsidRPr="009B37B2">
        <w:t>le</w:t>
      </w:r>
      <w:r w:rsidR="00E07909" w:rsidRPr="009B37B2">
        <w:t xml:space="preserve"> Bureau </w:t>
      </w:r>
      <w:r w:rsidR="00737A85" w:rsidRPr="009B37B2">
        <w:t>demande</w:t>
      </w:r>
      <w:r w:rsidR="0068453C" w:rsidRPr="009B37B2">
        <w:t xml:space="preserve"> qu</w:t>
      </w:r>
      <w:r w:rsidR="00A54667" w:rsidRPr="009B37B2">
        <w:t>'</w:t>
      </w:r>
      <w:r w:rsidR="0068453C" w:rsidRPr="009B37B2">
        <w:t xml:space="preserve">il soit fait appel à </w:t>
      </w:r>
      <w:r w:rsidR="001D7D65">
        <w:t xml:space="preserve">un </w:t>
      </w:r>
      <w:r w:rsidR="00B13E8D" w:rsidRPr="009B37B2">
        <w:rPr>
          <w:b/>
        </w:rPr>
        <w:t xml:space="preserve">fonctionnaire </w:t>
      </w:r>
      <w:r w:rsidR="00CE325A" w:rsidRPr="009B37B2">
        <w:rPr>
          <w:b/>
        </w:rPr>
        <w:t xml:space="preserve">de grade </w:t>
      </w:r>
      <w:r w:rsidR="00E07909" w:rsidRPr="009B37B2">
        <w:rPr>
          <w:b/>
          <w:bCs/>
        </w:rPr>
        <w:t>P</w:t>
      </w:r>
      <w:r w:rsidR="000F7279" w:rsidRPr="009B37B2">
        <w:rPr>
          <w:b/>
          <w:bCs/>
        </w:rPr>
        <w:t>1</w:t>
      </w:r>
      <w:r w:rsidR="000F7279" w:rsidRPr="009B37B2">
        <w:t> et</w:t>
      </w:r>
      <w:r w:rsidR="0068453C" w:rsidRPr="009B37B2">
        <w:t xml:space="preserve"> à un </w:t>
      </w:r>
      <w:r w:rsidR="0068453C" w:rsidRPr="009B37B2">
        <w:rPr>
          <w:b/>
          <w:bCs/>
        </w:rPr>
        <w:t xml:space="preserve">fonctionnaire </w:t>
      </w:r>
      <w:r w:rsidR="00CE325A" w:rsidRPr="009B37B2">
        <w:rPr>
          <w:b/>
        </w:rPr>
        <w:t xml:space="preserve">de grade </w:t>
      </w:r>
      <w:r w:rsidR="00E07909" w:rsidRPr="009B37B2">
        <w:rPr>
          <w:b/>
          <w:bCs/>
        </w:rPr>
        <w:t>P</w:t>
      </w:r>
      <w:r w:rsidR="000F7279" w:rsidRPr="009B37B2">
        <w:rPr>
          <w:b/>
          <w:bCs/>
        </w:rPr>
        <w:t>2</w:t>
      </w:r>
      <w:r w:rsidR="000F7279" w:rsidRPr="009B37B2">
        <w:t> pour</w:t>
      </w:r>
      <w:r w:rsidR="0068453C" w:rsidRPr="009B37B2">
        <w:t xml:space="preserve"> fournir </w:t>
      </w:r>
      <w:r w:rsidRPr="009B37B2">
        <w:t>les outils et services susmentionnés</w:t>
      </w:r>
      <w:r w:rsidR="00E07909" w:rsidRPr="009B37B2">
        <w:t xml:space="preserve"> </w:t>
      </w:r>
      <w:r w:rsidRPr="009B37B2">
        <w:t>et les innover, les mettre à jour et les améliorer</w:t>
      </w:r>
      <w:r w:rsidR="0068453C" w:rsidRPr="009B37B2">
        <w:t xml:space="preserve"> en permanence, en vue d</w:t>
      </w:r>
      <w:r w:rsidR="00A54667" w:rsidRPr="009B37B2">
        <w:t>'</w:t>
      </w:r>
      <w:r w:rsidR="0068453C" w:rsidRPr="009B37B2">
        <w:t>optimiser l</w:t>
      </w:r>
      <w:r w:rsidR="00A54667" w:rsidRPr="009B37B2">
        <w:t>'</w:t>
      </w:r>
      <w:r w:rsidR="0068453C" w:rsidRPr="009B37B2">
        <w:t>appui apporté</w:t>
      </w:r>
      <w:r w:rsidR="00F00D96" w:rsidRPr="009B37B2">
        <w:t xml:space="preserve"> </w:t>
      </w:r>
      <w:r w:rsidR="00737A85" w:rsidRPr="009B37B2">
        <w:t xml:space="preserve">aux </w:t>
      </w:r>
      <w:r w:rsidR="0068453C" w:rsidRPr="009B37B2">
        <w:t>M</w:t>
      </w:r>
      <w:r w:rsidR="00737A85" w:rsidRPr="009B37B2">
        <w:t>embres et aux activités de l'UIT</w:t>
      </w:r>
      <w:r w:rsidR="00E07909" w:rsidRPr="009B37B2">
        <w:t>-T.</w:t>
      </w:r>
    </w:p>
    <w:p w14:paraId="5346F499" w14:textId="39C21C7C" w:rsidR="00E07909" w:rsidRPr="009B37B2" w:rsidRDefault="00E07909" w:rsidP="001362DF">
      <w:pPr>
        <w:pStyle w:val="Heading1"/>
        <w:tabs>
          <w:tab w:val="clear" w:pos="567"/>
          <w:tab w:val="clear" w:pos="1134"/>
          <w:tab w:val="clear" w:pos="1701"/>
          <w:tab w:val="clear" w:pos="2268"/>
          <w:tab w:val="clear" w:pos="2835"/>
        </w:tabs>
        <w:ind w:left="709" w:hanging="709"/>
      </w:pPr>
      <w:bookmarkStart w:id="29" w:name="_Toc39559427"/>
      <w:bookmarkEnd w:id="25"/>
      <w:bookmarkEnd w:id="26"/>
      <w:bookmarkEnd w:id="27"/>
      <w:bookmarkEnd w:id="28"/>
      <w:r w:rsidRPr="009B37B2">
        <w:t>3</w:t>
      </w:r>
      <w:r w:rsidRPr="009B37B2">
        <w:tab/>
      </w:r>
      <w:r w:rsidR="000F7279" w:rsidRPr="009B37B2">
        <w:t>Demande de ressources supplémentaires pour les activités des commissions d'études</w:t>
      </w:r>
      <w:bookmarkEnd w:id="29"/>
    </w:p>
    <w:p w14:paraId="5AD3DDB6" w14:textId="72BB5412" w:rsidR="00E07909" w:rsidRPr="009B37B2" w:rsidRDefault="00E07909" w:rsidP="00691AF7">
      <w:pPr>
        <w:pStyle w:val="Heading2"/>
        <w:tabs>
          <w:tab w:val="clear" w:pos="567"/>
          <w:tab w:val="clear" w:pos="1134"/>
          <w:tab w:val="clear" w:pos="1701"/>
          <w:tab w:val="clear" w:pos="2268"/>
          <w:tab w:val="clear" w:pos="2835"/>
        </w:tabs>
        <w:spacing w:before="240"/>
        <w:ind w:left="709" w:hanging="709"/>
      </w:pPr>
      <w:bookmarkStart w:id="30" w:name="_Toc39559428"/>
      <w:r w:rsidRPr="009B37B2">
        <w:t>3.1</w:t>
      </w:r>
      <w:r w:rsidRPr="009B37B2">
        <w:tab/>
      </w:r>
      <w:r w:rsidR="00462B60" w:rsidRPr="009B37B2">
        <w:t>Des villes du monde entier utilisent les</w:t>
      </w:r>
      <w:r w:rsidRPr="009B37B2">
        <w:t xml:space="preserve"> </w:t>
      </w:r>
      <w:r w:rsidR="00462B60" w:rsidRPr="009B37B2">
        <w:t xml:space="preserve">indicateurs fondamentaux de performance </w:t>
      </w:r>
      <w:r w:rsidR="0068453C" w:rsidRPr="009B37B2">
        <w:t>(IFP)</w:t>
      </w:r>
      <w:r w:rsidR="0001436B" w:rsidRPr="009B37B2">
        <w:t xml:space="preserve"> </w:t>
      </w:r>
      <w:r w:rsidR="00462B60" w:rsidRPr="009B37B2">
        <w:t xml:space="preserve">de l'UIT </w:t>
      </w:r>
      <w:r w:rsidR="00957863" w:rsidRPr="009B37B2">
        <w:t>relatifs aux</w:t>
      </w:r>
      <w:r w:rsidR="00462B60" w:rsidRPr="009B37B2">
        <w:t xml:space="preserve"> villes intelligentes et durables</w:t>
      </w:r>
      <w:bookmarkEnd w:id="30"/>
    </w:p>
    <w:p w14:paraId="65F4B957" w14:textId="50765ECF" w:rsidR="00E07909" w:rsidRPr="009B37B2" w:rsidRDefault="00E07909" w:rsidP="001362DF">
      <w:pPr>
        <w:tabs>
          <w:tab w:val="clear" w:pos="567"/>
          <w:tab w:val="clear" w:pos="1134"/>
          <w:tab w:val="clear" w:pos="1701"/>
          <w:tab w:val="clear" w:pos="2268"/>
          <w:tab w:val="clear" w:pos="2835"/>
        </w:tabs>
      </w:pPr>
      <w:r w:rsidRPr="009B37B2">
        <w:t>3.1.1</w:t>
      </w:r>
      <w:r w:rsidRPr="009B37B2">
        <w:tab/>
      </w:r>
      <w:r w:rsidR="00355923" w:rsidRPr="009B37B2">
        <w:t>Plus</w:t>
      </w:r>
      <w:r w:rsidRPr="009B37B2">
        <w:t xml:space="preserve"> de 100 villes du monde entier mesurent les progrès qu'elles ont accomplis </w:t>
      </w:r>
      <w:r w:rsidR="008D7794" w:rsidRPr="009B37B2">
        <w:t>dans la réalisation de leur objectif</w:t>
      </w:r>
      <w:r w:rsidR="00F00D96" w:rsidRPr="009B37B2">
        <w:t>,</w:t>
      </w:r>
      <w:r w:rsidR="00C2281D" w:rsidRPr="009B37B2">
        <w:t xml:space="preserve"> qui est </w:t>
      </w:r>
      <w:r w:rsidR="008D7794" w:rsidRPr="009B37B2">
        <w:t>de devenir des villes et des communautés intelligentes et durables</w:t>
      </w:r>
      <w:r w:rsidR="00C2281D" w:rsidRPr="009B37B2">
        <w:t>,</w:t>
      </w:r>
      <w:r w:rsidR="00F00D96" w:rsidRPr="009B37B2">
        <w:t xml:space="preserve"> </w:t>
      </w:r>
      <w:r w:rsidRPr="009B37B2">
        <w:t xml:space="preserve">au moyen des "indicateurs fondamentaux de performance </w:t>
      </w:r>
      <w:r w:rsidR="00957863" w:rsidRPr="009B37B2">
        <w:t>relatifs aux</w:t>
      </w:r>
      <w:r w:rsidRPr="009B37B2">
        <w:t xml:space="preserve"> vil</w:t>
      </w:r>
      <w:r w:rsidR="00A51233" w:rsidRPr="009B37B2">
        <w:t>les intelligentes et durables"</w:t>
      </w:r>
      <w:r w:rsidR="00C2281D" w:rsidRPr="009B37B2">
        <w:t xml:space="preserve"> </w:t>
      </w:r>
      <w:r w:rsidRPr="009B37B2">
        <w:t>repos</w:t>
      </w:r>
      <w:r w:rsidR="00C2281D" w:rsidRPr="009B37B2">
        <w:t>a</w:t>
      </w:r>
      <w:r w:rsidRPr="009B37B2">
        <w:t>nt sur les normes de l'UIT. Les études de cas de l'UIT ont permis d'évaluer les progrès réalisés dans le cadre des projets de ville intelligente mis en œuvre à Dubaï</w:t>
      </w:r>
      <w:r w:rsidR="0067554A" w:rsidRPr="009B37B2">
        <w:t xml:space="preserve"> (É</w:t>
      </w:r>
      <w:r w:rsidR="00A51233" w:rsidRPr="009B37B2">
        <w:t>mirats</w:t>
      </w:r>
      <w:r w:rsidR="00F00D96" w:rsidRPr="009B37B2">
        <w:t> </w:t>
      </w:r>
      <w:r w:rsidR="00A51233" w:rsidRPr="009B37B2">
        <w:t xml:space="preserve">arabes unis), Singapour, </w:t>
      </w:r>
      <w:r w:rsidRPr="009B37B2">
        <w:t xml:space="preserve">Moscou </w:t>
      </w:r>
      <w:r w:rsidR="00A51233" w:rsidRPr="009B37B2">
        <w:t>(Fédération de Russie), Ålesund (Norvège), Bizerte</w:t>
      </w:r>
      <w:r w:rsidR="0001436B" w:rsidRPr="009B37B2">
        <w:t> </w:t>
      </w:r>
      <w:r w:rsidR="00A51233" w:rsidRPr="009B37B2">
        <w:t xml:space="preserve">(Tunisie), Riyad (Arabie saoudite) et Pully (Suisse) </w:t>
      </w:r>
      <w:r w:rsidRPr="009B37B2">
        <w:t>à l'aide des indicateurs fondamentaux de performance.</w:t>
      </w:r>
    </w:p>
    <w:p w14:paraId="2D290E3E" w14:textId="799E7EC2" w:rsidR="00E07909" w:rsidRPr="009B37B2" w:rsidRDefault="00E07909" w:rsidP="001362DF">
      <w:pPr>
        <w:tabs>
          <w:tab w:val="clear" w:pos="567"/>
          <w:tab w:val="clear" w:pos="1134"/>
          <w:tab w:val="clear" w:pos="1701"/>
          <w:tab w:val="clear" w:pos="2268"/>
          <w:tab w:val="clear" w:pos="2835"/>
        </w:tabs>
      </w:pPr>
      <w:r w:rsidRPr="009B37B2">
        <w:t>3.1.2</w:t>
      </w:r>
      <w:r w:rsidRPr="009B37B2">
        <w:tab/>
      </w:r>
      <w:r w:rsidR="00563066" w:rsidRPr="009B37B2">
        <w:t>Les indicateurs fondamentaux de performance de l'UIT</w:t>
      </w:r>
      <w:r w:rsidRPr="009B37B2">
        <w:t xml:space="preserve"> </w:t>
      </w:r>
      <w:r w:rsidR="00563066" w:rsidRPr="009B37B2">
        <w:t>sont</w:t>
      </w:r>
      <w:r w:rsidR="0068453C" w:rsidRPr="009B37B2">
        <w:t xml:space="preserve"> également mis en avant </w:t>
      </w:r>
      <w:r w:rsidR="00563066" w:rsidRPr="009B37B2">
        <w:t>dans le cadre de l'initiative "</w:t>
      </w:r>
      <w:hyperlink r:id="rId16" w:history="1">
        <w:r w:rsidR="00563066" w:rsidRPr="009B37B2">
          <w:rPr>
            <w:rStyle w:val="Hyperlink"/>
          </w:rPr>
          <w:t>Tous unis pour des villes intelligentes et durables (U4SSC)</w:t>
        </w:r>
      </w:hyperlink>
      <w:r w:rsidR="00563066" w:rsidRPr="009B37B2">
        <w:t>"</w:t>
      </w:r>
      <w:r w:rsidRPr="009B37B2">
        <w:t xml:space="preserve">. </w:t>
      </w:r>
      <w:r w:rsidR="00563066" w:rsidRPr="009B37B2">
        <w:t xml:space="preserve">Cette initiative, soutenue par 16 organismes des Nations Unies, </w:t>
      </w:r>
      <w:r w:rsidR="00563066" w:rsidRPr="009B37B2">
        <w:rPr>
          <w:bCs/>
        </w:rPr>
        <w:t>préconise l'adoption de politiques publiques garantissant le rôle essentiel des TIC, et plus particulièrement des normes relatives à ces technologies, dans la transition vers des villes intelligentes</w:t>
      </w:r>
      <w:r w:rsidRPr="009B37B2">
        <w:rPr>
          <w:bCs/>
        </w:rPr>
        <w:t>.</w:t>
      </w:r>
      <w:r w:rsidR="0068453C" w:rsidRPr="009B37B2">
        <w:rPr>
          <w:bCs/>
        </w:rPr>
        <w:t xml:space="preserve"> Une série </w:t>
      </w:r>
      <w:r w:rsidR="000325FC" w:rsidRPr="009B37B2">
        <w:rPr>
          <w:bCs/>
        </w:rPr>
        <w:t>de "fiches d'infor</w:t>
      </w:r>
      <w:r w:rsidR="00F33C23" w:rsidRPr="009B37B2">
        <w:rPr>
          <w:bCs/>
        </w:rPr>
        <w:t>mation" sur les villes</w:t>
      </w:r>
      <w:r w:rsidR="0022043B" w:rsidRPr="009B37B2">
        <w:rPr>
          <w:bCs/>
        </w:rPr>
        <w:t>,</w:t>
      </w:r>
      <w:r w:rsidR="00F33C23" w:rsidRPr="009B37B2">
        <w:rPr>
          <w:bCs/>
        </w:rPr>
        <w:t xml:space="preserve"> élaboré</w:t>
      </w:r>
      <w:r w:rsidR="006E6BD2" w:rsidRPr="009B37B2">
        <w:rPr>
          <w:bCs/>
        </w:rPr>
        <w:t>es</w:t>
      </w:r>
      <w:r w:rsidR="0022043B" w:rsidRPr="009B37B2">
        <w:rPr>
          <w:bCs/>
        </w:rPr>
        <w:t xml:space="preserve"> au titre </w:t>
      </w:r>
      <w:r w:rsidR="000325FC" w:rsidRPr="009B37B2">
        <w:rPr>
          <w:bCs/>
        </w:rPr>
        <w:t xml:space="preserve">de l'initiative </w:t>
      </w:r>
      <w:r w:rsidRPr="009B37B2">
        <w:t>U4SSC</w:t>
      </w:r>
      <w:r w:rsidR="0022043B" w:rsidRPr="009B37B2">
        <w:t>,</w:t>
      </w:r>
      <w:r w:rsidRPr="009B37B2">
        <w:t xml:space="preserve"> </w:t>
      </w:r>
      <w:r w:rsidR="006E6BD2" w:rsidRPr="009B37B2">
        <w:t>ont</w:t>
      </w:r>
      <w:r w:rsidR="00F33C23" w:rsidRPr="009B37B2">
        <w:t xml:space="preserve"> été présenté</w:t>
      </w:r>
      <w:r w:rsidR="006E6BD2" w:rsidRPr="009B37B2">
        <w:t>es</w:t>
      </w:r>
      <w:r w:rsidRPr="009B37B2">
        <w:t xml:space="preserve"> </w:t>
      </w:r>
      <w:r w:rsidR="000325FC" w:rsidRPr="009B37B2">
        <w:t xml:space="preserve">lors de la </w:t>
      </w:r>
      <w:r w:rsidR="001564EC" w:rsidRPr="009B37B2">
        <w:t>9ème S</w:t>
      </w:r>
      <w:r w:rsidR="000325FC" w:rsidRPr="009B37B2">
        <w:t>emaine "Normes vertes" de l'UIT</w:t>
      </w:r>
      <w:r w:rsidRPr="009B37B2">
        <w:t xml:space="preserve">. </w:t>
      </w:r>
      <w:r w:rsidR="0022043B" w:rsidRPr="009B37B2">
        <w:t xml:space="preserve">Ces </w:t>
      </w:r>
      <w:r w:rsidR="000325FC" w:rsidRPr="009B37B2">
        <w:t xml:space="preserve">fiches d'information portent sur la relation entre les initiatives </w:t>
      </w:r>
      <w:r w:rsidR="00F76686" w:rsidRPr="009B37B2">
        <w:t>relatives aux</w:t>
      </w:r>
      <w:r w:rsidR="000325FC" w:rsidRPr="009B37B2">
        <w:t xml:space="preserve"> villes intelligentes et les Objectifs de développement durable</w:t>
      </w:r>
      <w:r w:rsidR="0022043B" w:rsidRPr="009B37B2">
        <w:t xml:space="preserve"> et</w:t>
      </w:r>
      <w:r w:rsidR="00F00D96" w:rsidRPr="009B37B2">
        <w:t xml:space="preserve"> </w:t>
      </w:r>
      <w:r w:rsidR="00886D3C" w:rsidRPr="009B37B2">
        <w:t>donn</w:t>
      </w:r>
      <w:r w:rsidR="0022043B" w:rsidRPr="009B37B2">
        <w:t>e</w:t>
      </w:r>
      <w:r w:rsidR="00886D3C" w:rsidRPr="009B37B2">
        <w:t>nt</w:t>
      </w:r>
      <w:r w:rsidR="000325FC" w:rsidRPr="009B37B2">
        <w:t xml:space="preserve"> un aperçu</w:t>
      </w:r>
      <w:r w:rsidR="0022043B" w:rsidRPr="009B37B2">
        <w:t xml:space="preserve"> de l</w:t>
      </w:r>
      <w:r w:rsidR="00A54667" w:rsidRPr="009B37B2">
        <w:t>'</w:t>
      </w:r>
      <w:r w:rsidR="0022043B" w:rsidRPr="009B37B2">
        <w:t xml:space="preserve">expérience acquise par les </w:t>
      </w:r>
      <w:r w:rsidR="000325FC" w:rsidRPr="009B37B2">
        <w:t>villes à cet égard</w:t>
      </w:r>
      <w:r w:rsidRPr="009B37B2">
        <w:t>.</w:t>
      </w:r>
    </w:p>
    <w:p w14:paraId="372BE2F9" w14:textId="37D21CB8" w:rsidR="00E07909" w:rsidRPr="009B37B2" w:rsidRDefault="00E75F0E" w:rsidP="001362DF">
      <w:pPr>
        <w:tabs>
          <w:tab w:val="clear" w:pos="567"/>
          <w:tab w:val="clear" w:pos="1134"/>
          <w:tab w:val="clear" w:pos="1701"/>
          <w:tab w:val="clear" w:pos="2268"/>
          <w:tab w:val="clear" w:pos="2835"/>
        </w:tabs>
      </w:pPr>
      <w:r w:rsidRPr="009B37B2">
        <w:t>3.1.3</w:t>
      </w:r>
      <w:r w:rsidRPr="009B37B2">
        <w:tab/>
      </w:r>
      <w:r w:rsidR="00402AF2" w:rsidRPr="009B37B2">
        <w:t>Aux termes de l</w:t>
      </w:r>
      <w:r w:rsidR="003F45BE" w:rsidRPr="009B37B2">
        <w:t>a</w:t>
      </w:r>
      <w:r w:rsidRPr="009B37B2">
        <w:t xml:space="preserve"> Résolution 98 de l'AMNT "Renforcer la normalisation de l'Internet des objets ainsi que des villes et communautés intelligentes pour le développement à l'échelle mondiale</w:t>
      </w:r>
      <w:r w:rsidR="00402AF2" w:rsidRPr="009B37B2">
        <w:t xml:space="preserve">", </w:t>
      </w:r>
      <w:r w:rsidRPr="009B37B2">
        <w:t xml:space="preserve">le Directeur du TSB </w:t>
      </w:r>
      <w:r w:rsidR="00402AF2" w:rsidRPr="009B37B2">
        <w:t xml:space="preserve">est chargé </w:t>
      </w:r>
      <w:r w:rsidRPr="009B37B2">
        <w:t>"de continuer d'appuyer l'initiative</w:t>
      </w:r>
      <w:r w:rsidR="00F00D96" w:rsidRPr="009B37B2">
        <w:t xml:space="preserve"> </w:t>
      </w:r>
      <w:r w:rsidRPr="009B37B2">
        <w:t>"Tous unis pour des villes intelligentes et durables" (U4SSC) lancée en mai 2016 par l'UIT, en collaboration avec la Commission économique des Nations Unies pour l'Europe</w:t>
      </w:r>
      <w:r w:rsidR="00834B48" w:rsidRPr="009B37B2">
        <w:t xml:space="preserve"> </w:t>
      </w:r>
      <w:r w:rsidR="004E5ADF" w:rsidRPr="009B37B2">
        <w:t>[…]</w:t>
      </w:r>
      <w:r w:rsidR="00834B48" w:rsidRPr="009B37B2">
        <w:t>"</w:t>
      </w:r>
      <w:r w:rsidRPr="009B37B2">
        <w:t>.</w:t>
      </w:r>
    </w:p>
    <w:p w14:paraId="21800E0A" w14:textId="317C2AA4" w:rsidR="00E75F0E" w:rsidRPr="009B37B2" w:rsidRDefault="00E75F0E" w:rsidP="001362DF">
      <w:pPr>
        <w:tabs>
          <w:tab w:val="clear" w:pos="567"/>
          <w:tab w:val="clear" w:pos="1134"/>
          <w:tab w:val="clear" w:pos="1701"/>
          <w:tab w:val="clear" w:pos="2268"/>
          <w:tab w:val="clear" w:pos="2835"/>
        </w:tabs>
      </w:pPr>
      <w:r w:rsidRPr="009B37B2">
        <w:t>3.1.4</w:t>
      </w:r>
      <w:r w:rsidRPr="009B37B2">
        <w:tab/>
      </w:r>
      <w:r w:rsidR="00831706" w:rsidRPr="009B37B2">
        <w:t>Des</w:t>
      </w:r>
      <w:r w:rsidRPr="009B37B2">
        <w:t xml:space="preserve"> res</w:t>
      </w:r>
      <w:r w:rsidR="00831706" w:rsidRPr="009B37B2">
        <w:t>s</w:t>
      </w:r>
      <w:r w:rsidRPr="009B37B2">
        <w:t xml:space="preserve">ources </w:t>
      </w:r>
      <w:r w:rsidR="00831706" w:rsidRPr="009B37B2">
        <w:t xml:space="preserve">supplémentaires sont nécessaires pour </w:t>
      </w:r>
      <w:r w:rsidR="00656DA8" w:rsidRPr="009B37B2">
        <w:t>gérer le</w:t>
      </w:r>
      <w:r w:rsidR="002C044B" w:rsidRPr="009B37B2">
        <w:t xml:space="preserve"> nombre croissant de</w:t>
      </w:r>
      <w:r w:rsidR="00831706" w:rsidRPr="009B37B2">
        <w:t xml:space="preserve"> demandes </w:t>
      </w:r>
      <w:r w:rsidR="0076767F" w:rsidRPr="009B37B2">
        <w:t>de</w:t>
      </w:r>
      <w:r w:rsidR="00F54A90" w:rsidRPr="009B37B2">
        <w:t xml:space="preserve"> mise en œuvre des </w:t>
      </w:r>
      <w:r w:rsidR="00656DA8" w:rsidRPr="009B37B2">
        <w:t xml:space="preserve">normes </w:t>
      </w:r>
      <w:r w:rsidR="002C044B" w:rsidRPr="009B37B2">
        <w:t xml:space="preserve">UIT-T </w:t>
      </w:r>
      <w:r w:rsidR="00CB4209" w:rsidRPr="009B37B2">
        <w:t>relatives aux</w:t>
      </w:r>
      <w:r w:rsidR="002C044B" w:rsidRPr="009B37B2">
        <w:t xml:space="preserve"> </w:t>
      </w:r>
      <w:r w:rsidR="00F54A90" w:rsidRPr="009B37B2">
        <w:t xml:space="preserve">indicateurs fondamentaux de </w:t>
      </w:r>
      <w:r w:rsidR="00F54A90" w:rsidRPr="009B37B2">
        <w:lastRenderedPageBreak/>
        <w:t xml:space="preserve">performance </w:t>
      </w:r>
      <w:r w:rsidR="004A0C10" w:rsidRPr="009B37B2">
        <w:t>à l'appui</w:t>
      </w:r>
      <w:r w:rsidR="00F54A90" w:rsidRPr="009B37B2">
        <w:t xml:space="preserve"> de</w:t>
      </w:r>
      <w:r w:rsidRPr="009B37B2">
        <w:t xml:space="preserve"> </w:t>
      </w:r>
      <w:r w:rsidR="00F54A90" w:rsidRPr="009B37B2">
        <w:t xml:space="preserve">l'initiative </w:t>
      </w:r>
      <w:r w:rsidRPr="009B37B2">
        <w:t>U4SSC</w:t>
      </w:r>
      <w:r w:rsidR="00CB4209" w:rsidRPr="009B37B2">
        <w:t xml:space="preserve"> dans d'autres villes</w:t>
      </w:r>
      <w:r w:rsidRPr="009B37B2">
        <w:t>,</w:t>
      </w:r>
      <w:r w:rsidR="00F00D96" w:rsidRPr="009B37B2">
        <w:t xml:space="preserve"> </w:t>
      </w:r>
      <w:r w:rsidR="00831706" w:rsidRPr="009B37B2">
        <w:t>fournir un appui administratif</w:t>
      </w:r>
      <w:r w:rsidR="0022043B" w:rsidRPr="009B37B2">
        <w:t xml:space="preserve"> approprié </w:t>
      </w:r>
      <w:r w:rsidR="00831706" w:rsidRPr="009B37B2">
        <w:t xml:space="preserve">à l'initiative </w:t>
      </w:r>
      <w:r w:rsidRPr="009B37B2">
        <w:t>U4SSC</w:t>
      </w:r>
      <w:r w:rsidR="0022043B" w:rsidRPr="009B37B2">
        <w:t xml:space="preserve"> </w:t>
      </w:r>
      <w:r w:rsidR="00831706" w:rsidRPr="009B37B2">
        <w:t>et</w:t>
      </w:r>
      <w:r w:rsidR="00F00D96" w:rsidRPr="009B37B2">
        <w:t xml:space="preserve"> </w:t>
      </w:r>
      <w:r w:rsidR="00831706" w:rsidRPr="009B37B2">
        <w:t xml:space="preserve">communiquer </w:t>
      </w:r>
      <w:r w:rsidR="00A33551" w:rsidRPr="009B37B2">
        <w:t xml:space="preserve">les enseignements tirés et les nouvelles exigences </w:t>
      </w:r>
      <w:r w:rsidR="0022043B" w:rsidRPr="009B37B2">
        <w:t xml:space="preserve">définies </w:t>
      </w:r>
      <w:r w:rsidR="00831706" w:rsidRPr="009B37B2">
        <w:t xml:space="preserve">aux commissions d'études </w:t>
      </w:r>
      <w:r w:rsidR="0022043B" w:rsidRPr="009B37B2">
        <w:t xml:space="preserve">concernées </w:t>
      </w:r>
      <w:r w:rsidR="00831706" w:rsidRPr="009B37B2">
        <w:t>de l'UIT-T</w:t>
      </w:r>
      <w:r w:rsidR="00F00D96" w:rsidRPr="009B37B2">
        <w:t>.</w:t>
      </w:r>
    </w:p>
    <w:p w14:paraId="08107835" w14:textId="7B512398" w:rsidR="00E75F0E" w:rsidRPr="009B37B2" w:rsidRDefault="00E75F0E" w:rsidP="001362DF">
      <w:pPr>
        <w:tabs>
          <w:tab w:val="clear" w:pos="567"/>
          <w:tab w:val="clear" w:pos="1134"/>
          <w:tab w:val="clear" w:pos="1701"/>
          <w:tab w:val="clear" w:pos="2268"/>
          <w:tab w:val="clear" w:pos="2835"/>
        </w:tabs>
      </w:pPr>
      <w:r w:rsidRPr="009B37B2">
        <w:t>3.1.5</w:t>
      </w:r>
      <w:r w:rsidRPr="009B37B2">
        <w:tab/>
      </w:r>
      <w:r w:rsidR="002C345A" w:rsidRPr="009B37B2">
        <w:t xml:space="preserve">Nous </w:t>
      </w:r>
      <w:r w:rsidR="00CB4209" w:rsidRPr="009B37B2">
        <w:t>demandons</w:t>
      </w:r>
      <w:r w:rsidR="0022043B" w:rsidRPr="009B37B2">
        <w:t xml:space="preserve"> qu</w:t>
      </w:r>
      <w:r w:rsidR="00A54667" w:rsidRPr="009B37B2">
        <w:t>'</w:t>
      </w:r>
      <w:r w:rsidR="0022043B" w:rsidRPr="009B37B2">
        <w:t>il soit fait appel à</w:t>
      </w:r>
      <w:r w:rsidR="00CB4209" w:rsidRPr="009B37B2">
        <w:t xml:space="preserve"> un</w:t>
      </w:r>
      <w:r w:rsidR="002C345A" w:rsidRPr="009B37B2">
        <w:t xml:space="preserve"> </w:t>
      </w:r>
      <w:r w:rsidR="002C345A" w:rsidRPr="009B37B2">
        <w:rPr>
          <w:b/>
        </w:rPr>
        <w:t xml:space="preserve">fonctionnaire </w:t>
      </w:r>
      <w:r w:rsidR="0022043B" w:rsidRPr="009B37B2">
        <w:t>supplémentaire</w:t>
      </w:r>
      <w:r w:rsidR="0022043B" w:rsidRPr="009B37B2">
        <w:rPr>
          <w:b/>
        </w:rPr>
        <w:t xml:space="preserve"> </w:t>
      </w:r>
      <w:r w:rsidR="00CE325A" w:rsidRPr="009B37B2">
        <w:rPr>
          <w:b/>
        </w:rPr>
        <w:t xml:space="preserve">de grade </w:t>
      </w:r>
      <w:r w:rsidR="002C345A" w:rsidRPr="009B37B2">
        <w:rPr>
          <w:b/>
        </w:rPr>
        <w:t>P2</w:t>
      </w:r>
      <w:r w:rsidR="002C345A" w:rsidRPr="009B37B2">
        <w:t xml:space="preserve"> pour appuyer les activités liées aux indicateurs fondamentaux de performance de l'UIT </w:t>
      </w:r>
      <w:r w:rsidR="00957863" w:rsidRPr="009B37B2">
        <w:t>relatifs aux</w:t>
      </w:r>
      <w:r w:rsidR="002C345A" w:rsidRPr="009B37B2">
        <w:t xml:space="preserve"> villes intelligentes et durable</w:t>
      </w:r>
      <w:r w:rsidR="009F1891" w:rsidRPr="009B37B2">
        <w:t>s</w:t>
      </w:r>
      <w:r w:rsidR="0022043B" w:rsidRPr="009B37B2">
        <w:t xml:space="preserve"> et à</w:t>
      </w:r>
      <w:r w:rsidR="002C345A" w:rsidRPr="009B37B2">
        <w:t xml:space="preserve"> l'initiative </w:t>
      </w:r>
      <w:r w:rsidRPr="009B37B2">
        <w:t>U4SSC.</w:t>
      </w:r>
    </w:p>
    <w:p w14:paraId="42607A5A" w14:textId="05E6D5B1" w:rsidR="00E07909" w:rsidRPr="009B37B2" w:rsidRDefault="00E75F0E" w:rsidP="001362DF">
      <w:pPr>
        <w:pStyle w:val="Heading2"/>
        <w:tabs>
          <w:tab w:val="clear" w:pos="567"/>
          <w:tab w:val="clear" w:pos="1134"/>
          <w:tab w:val="clear" w:pos="1701"/>
          <w:tab w:val="clear" w:pos="2268"/>
          <w:tab w:val="clear" w:pos="2835"/>
        </w:tabs>
        <w:ind w:left="709" w:hanging="709"/>
      </w:pPr>
      <w:bookmarkStart w:id="31" w:name="_Toc39559429"/>
      <w:r w:rsidRPr="009B37B2">
        <w:t>3.2</w:t>
      </w:r>
      <w:r w:rsidRPr="009B37B2">
        <w:tab/>
      </w:r>
      <w:r w:rsidR="0022043B" w:rsidRPr="009B37B2">
        <w:t>R</w:t>
      </w:r>
      <w:r w:rsidR="009D7400" w:rsidRPr="009B37B2">
        <w:t>essources internationales de numérotage (INR</w:t>
      </w:r>
      <w:proofErr w:type="gramStart"/>
      <w:r w:rsidRPr="009B37B2">
        <w:t>)</w:t>
      </w:r>
      <w:r w:rsidR="00F00D96" w:rsidRPr="009B37B2">
        <w:t>:</w:t>
      </w:r>
      <w:proofErr w:type="gramEnd"/>
      <w:r w:rsidR="0022043B" w:rsidRPr="009B37B2">
        <w:t xml:space="preserve"> la cheville ouvrière</w:t>
      </w:r>
      <w:r w:rsidR="00F00D96" w:rsidRPr="009B37B2">
        <w:t xml:space="preserve"> </w:t>
      </w:r>
      <w:r w:rsidR="009D7400" w:rsidRPr="009B37B2">
        <w:t>des réseaux de communication</w:t>
      </w:r>
      <w:bookmarkEnd w:id="31"/>
    </w:p>
    <w:p w14:paraId="0DB37FB8" w14:textId="49C34C1B" w:rsidR="00E07909" w:rsidRPr="009B37B2" w:rsidRDefault="00E75F0E" w:rsidP="001362DF">
      <w:pPr>
        <w:tabs>
          <w:tab w:val="clear" w:pos="567"/>
          <w:tab w:val="clear" w:pos="1134"/>
          <w:tab w:val="clear" w:pos="1701"/>
          <w:tab w:val="clear" w:pos="2268"/>
          <w:tab w:val="clear" w:pos="2835"/>
        </w:tabs>
      </w:pPr>
      <w:r w:rsidRPr="009B37B2">
        <w:t>3.2.1</w:t>
      </w:r>
      <w:r w:rsidRPr="009B37B2">
        <w:tab/>
        <w:t xml:space="preserve">L'UIT attribue, directement ou indirectement, environ </w:t>
      </w:r>
      <w:r w:rsidR="009D7400" w:rsidRPr="009B37B2">
        <w:t>vingt</w:t>
      </w:r>
      <w:r w:rsidRPr="009B37B2">
        <w:t xml:space="preserve"> types de ressources internationales de numérotage (INR). La Recommandation UIT-T E.195 propose la constitution et décrit les fonctions et les responsabilités</w:t>
      </w:r>
      <w:r w:rsidR="0022043B" w:rsidRPr="009B37B2">
        <w:t>, au sein</w:t>
      </w:r>
      <w:r w:rsidR="00F00D96" w:rsidRPr="009B37B2">
        <w:t xml:space="preserve"> </w:t>
      </w:r>
      <w:r w:rsidR="0022043B" w:rsidRPr="009B37B2">
        <w:t>du TSB,</w:t>
      </w:r>
      <w:r w:rsidR="00F00D96" w:rsidRPr="009B37B2">
        <w:t xml:space="preserve"> </w:t>
      </w:r>
      <w:r w:rsidRPr="009B37B2">
        <w:t xml:space="preserve">d'un groupe centralisé d'administration du numérotage </w:t>
      </w:r>
      <w:r w:rsidR="0022043B" w:rsidRPr="009B37B2">
        <w:t>(</w:t>
      </w:r>
      <w:r w:rsidRPr="009B37B2">
        <w:t>groupe NAG de l'UIT-T</w:t>
      </w:r>
      <w:r w:rsidR="0022043B" w:rsidRPr="009B37B2">
        <w:t>)</w:t>
      </w:r>
      <w:r w:rsidR="001D7D65">
        <w:t>.</w:t>
      </w:r>
      <w:r w:rsidR="00F00D96" w:rsidRPr="009B37B2">
        <w:t xml:space="preserve"> </w:t>
      </w:r>
      <w:r w:rsidRPr="009B37B2">
        <w:t>Elle fournit des procédures recommandées qui ont pour objet d'assurer que toutes les demandes de ressources sont traitées de manière impartiale, homogène, cohérente et efficace.</w:t>
      </w:r>
    </w:p>
    <w:p w14:paraId="2C40D446" w14:textId="2DACB176" w:rsidR="00E75F0E" w:rsidRPr="009B37B2" w:rsidRDefault="00E75F0E" w:rsidP="001362DF">
      <w:pPr>
        <w:tabs>
          <w:tab w:val="clear" w:pos="567"/>
          <w:tab w:val="clear" w:pos="1134"/>
          <w:tab w:val="clear" w:pos="1701"/>
          <w:tab w:val="clear" w:pos="2268"/>
          <w:tab w:val="clear" w:pos="2835"/>
        </w:tabs>
      </w:pPr>
      <w:r w:rsidRPr="009B37B2">
        <w:t>3.2.2</w:t>
      </w:r>
      <w:r w:rsidRPr="009B37B2">
        <w:tab/>
      </w:r>
      <w:r w:rsidR="0022043B" w:rsidRPr="009B37B2">
        <w:t>L</w:t>
      </w:r>
      <w:r w:rsidR="00370DD5" w:rsidRPr="009B37B2">
        <w:t xml:space="preserve">es notifications concernant les mises à jour des plans </w:t>
      </w:r>
      <w:r w:rsidR="0022043B" w:rsidRPr="009B37B2">
        <w:t xml:space="preserve">nationaux </w:t>
      </w:r>
      <w:r w:rsidR="00370DD5" w:rsidRPr="009B37B2">
        <w:t>de numérotage/d'identification</w:t>
      </w:r>
      <w:r w:rsidR="00F00D96" w:rsidRPr="009B37B2">
        <w:t xml:space="preserve"> </w:t>
      </w:r>
      <w:r w:rsidR="00C2281D" w:rsidRPr="009B37B2">
        <w:t xml:space="preserve">et </w:t>
      </w:r>
      <w:r w:rsidR="00830C57" w:rsidRPr="009B37B2">
        <w:t xml:space="preserve">les </w:t>
      </w:r>
      <w:r w:rsidR="00370DD5" w:rsidRPr="009B37B2">
        <w:t>attribution</w:t>
      </w:r>
      <w:r w:rsidR="00830C57" w:rsidRPr="009B37B2">
        <w:t>s</w:t>
      </w:r>
      <w:r w:rsidR="00370DD5" w:rsidRPr="009B37B2">
        <w:t xml:space="preserve"> ou le</w:t>
      </w:r>
      <w:r w:rsidR="00830C57" w:rsidRPr="009B37B2">
        <w:t>s</w:t>
      </w:r>
      <w:r w:rsidR="00370DD5" w:rsidRPr="009B37B2">
        <w:t xml:space="preserve"> retrait</w:t>
      </w:r>
      <w:r w:rsidR="00830C57" w:rsidRPr="009B37B2">
        <w:t>s</w:t>
      </w:r>
      <w:r w:rsidR="00370DD5" w:rsidRPr="009B37B2">
        <w:t xml:space="preserve"> de ressources nationales de numérotage/d'identification sont </w:t>
      </w:r>
      <w:r w:rsidR="00830C57" w:rsidRPr="009B37B2">
        <w:t xml:space="preserve">reçus et </w:t>
      </w:r>
      <w:r w:rsidR="00370DD5" w:rsidRPr="009B37B2">
        <w:t xml:space="preserve">publiés dans le </w:t>
      </w:r>
      <w:hyperlink r:id="rId17" w:history="1">
        <w:r w:rsidR="00830C57" w:rsidRPr="009B37B2">
          <w:rPr>
            <w:rStyle w:val="Hyperlink"/>
          </w:rPr>
          <w:t>Bulletin d'exploitation de l'UIT</w:t>
        </w:r>
      </w:hyperlink>
      <w:r w:rsidR="00370DD5" w:rsidRPr="009B37B2">
        <w:t>, lequel paraît deux fois par mois dans les six langues officielles de l'Union</w:t>
      </w:r>
      <w:r w:rsidR="003A300A" w:rsidRPr="009B37B2">
        <w:t>. Une vingtaine d'annexes sur les numéros et</w:t>
      </w:r>
      <w:r w:rsidR="00F00D96" w:rsidRPr="009B37B2">
        <w:t xml:space="preserve"> </w:t>
      </w:r>
      <w:r w:rsidR="00DC0CD3" w:rsidRPr="009B37B2">
        <w:t>indicatifs</w:t>
      </w:r>
      <w:r w:rsidR="003A300A" w:rsidRPr="009B37B2">
        <w:t xml:space="preserve"> attribués sont </w:t>
      </w:r>
      <w:r w:rsidR="00780BF0" w:rsidRPr="009B37B2">
        <w:t>tenues à jour conformément aux r</w:t>
      </w:r>
      <w:r w:rsidR="003A300A" w:rsidRPr="009B37B2">
        <w:t xml:space="preserve">ecommandations </w:t>
      </w:r>
      <w:proofErr w:type="gramStart"/>
      <w:r w:rsidR="003A300A" w:rsidRPr="009B37B2">
        <w:t>suivantes:</w:t>
      </w:r>
      <w:proofErr w:type="gramEnd"/>
    </w:p>
    <w:p w14:paraId="4E1C538D" w14:textId="0CD7B449" w:rsidR="00E75F0E" w:rsidRPr="009B37B2" w:rsidRDefault="00E75F0E" w:rsidP="001362DF">
      <w:pPr>
        <w:pStyle w:val="enumlev1"/>
        <w:tabs>
          <w:tab w:val="clear" w:pos="567"/>
          <w:tab w:val="clear" w:pos="1134"/>
          <w:tab w:val="clear" w:pos="1701"/>
          <w:tab w:val="clear" w:pos="2268"/>
          <w:tab w:val="clear" w:pos="2835"/>
        </w:tabs>
        <w:ind w:left="709" w:hanging="709"/>
      </w:pPr>
      <w:r w:rsidRPr="009B37B2">
        <w:t>–</w:t>
      </w:r>
      <w:r w:rsidRPr="009B37B2">
        <w:tab/>
      </w:r>
      <w:r w:rsidR="00780BF0" w:rsidRPr="009B37B2">
        <w:t xml:space="preserve">Recommandation </w:t>
      </w:r>
      <w:r w:rsidRPr="009B37B2">
        <w:t>UIT-T E.164 "</w:t>
      </w:r>
      <w:r w:rsidR="00432CC2" w:rsidRPr="009B37B2">
        <w:t>Plan de numérotage des télécommunications publiques internationales</w:t>
      </w:r>
      <w:r w:rsidRPr="009B37B2">
        <w:t>"</w:t>
      </w:r>
    </w:p>
    <w:p w14:paraId="2FBE250F" w14:textId="3BEE32D0" w:rsidR="00E75F0E" w:rsidRPr="009B37B2" w:rsidRDefault="00E75F0E" w:rsidP="001362DF">
      <w:pPr>
        <w:pStyle w:val="enumlev1"/>
        <w:tabs>
          <w:tab w:val="clear" w:pos="567"/>
          <w:tab w:val="clear" w:pos="1134"/>
          <w:tab w:val="clear" w:pos="1701"/>
          <w:tab w:val="clear" w:pos="2268"/>
          <w:tab w:val="clear" w:pos="2835"/>
        </w:tabs>
        <w:ind w:left="709" w:hanging="709"/>
      </w:pPr>
      <w:r w:rsidRPr="009B37B2">
        <w:t>–</w:t>
      </w:r>
      <w:r w:rsidRPr="009B37B2">
        <w:tab/>
      </w:r>
      <w:r w:rsidR="00780BF0" w:rsidRPr="009B37B2">
        <w:t xml:space="preserve">Recommandation </w:t>
      </w:r>
      <w:r w:rsidRPr="009B37B2">
        <w:t>UIT-T E.118 "</w:t>
      </w:r>
      <w:r w:rsidR="00432CC2" w:rsidRPr="009B37B2">
        <w:t>Carte internationale de facturation des télécommunications</w:t>
      </w:r>
      <w:r w:rsidRPr="009B37B2">
        <w:t>"</w:t>
      </w:r>
    </w:p>
    <w:p w14:paraId="2CA08C50" w14:textId="7BE316A9" w:rsidR="00E75F0E" w:rsidRPr="009B37B2" w:rsidRDefault="00E75F0E" w:rsidP="001362DF">
      <w:pPr>
        <w:pStyle w:val="enumlev1"/>
        <w:tabs>
          <w:tab w:val="clear" w:pos="567"/>
          <w:tab w:val="clear" w:pos="1134"/>
          <w:tab w:val="clear" w:pos="1701"/>
          <w:tab w:val="clear" w:pos="2268"/>
          <w:tab w:val="clear" w:pos="2835"/>
        </w:tabs>
        <w:ind w:left="709" w:hanging="709"/>
      </w:pPr>
      <w:r w:rsidRPr="009B37B2">
        <w:t>–</w:t>
      </w:r>
      <w:r w:rsidRPr="009B37B2">
        <w:tab/>
      </w:r>
      <w:r w:rsidR="00780BF0" w:rsidRPr="009B37B2">
        <w:t xml:space="preserve">Recommandation </w:t>
      </w:r>
      <w:r w:rsidRPr="009B37B2">
        <w:t>UIT-T E.212 "</w:t>
      </w:r>
      <w:r w:rsidR="00432CC2" w:rsidRPr="009B37B2">
        <w:t>Plan d'identification international pour les réseaux publics et les abonnements</w:t>
      </w:r>
      <w:r w:rsidRPr="009B37B2">
        <w:t>"</w:t>
      </w:r>
    </w:p>
    <w:p w14:paraId="2633A711" w14:textId="5A56EF73" w:rsidR="00E75F0E" w:rsidRPr="009B37B2" w:rsidRDefault="00E75F0E" w:rsidP="001362DF">
      <w:pPr>
        <w:pStyle w:val="enumlev1"/>
        <w:tabs>
          <w:tab w:val="clear" w:pos="567"/>
          <w:tab w:val="clear" w:pos="1134"/>
          <w:tab w:val="clear" w:pos="1701"/>
          <w:tab w:val="clear" w:pos="2268"/>
          <w:tab w:val="clear" w:pos="2835"/>
        </w:tabs>
        <w:ind w:left="709" w:hanging="709"/>
      </w:pPr>
      <w:r w:rsidRPr="009B37B2">
        <w:t>–</w:t>
      </w:r>
      <w:r w:rsidRPr="009B37B2">
        <w:tab/>
      </w:r>
      <w:r w:rsidR="00780BF0" w:rsidRPr="009B37B2">
        <w:t xml:space="preserve">Recommandation </w:t>
      </w:r>
      <w:r w:rsidRPr="009B37B2">
        <w:t>UIT-T E.218 "</w:t>
      </w:r>
      <w:r w:rsidR="00432CC2" w:rsidRPr="009B37B2">
        <w:rPr>
          <w:rFonts w:ascii="Times New Roman" w:eastAsia="SimSun" w:hAnsi="Times New Roman"/>
        </w:rPr>
        <w:t xml:space="preserve"> </w:t>
      </w:r>
      <w:r w:rsidR="00432CC2" w:rsidRPr="009B37B2">
        <w:t>Gestion de l'attribution des indicatifs de pays pour le service mobile de radiocommunication de Terre à ressource</w:t>
      </w:r>
      <w:r w:rsidR="001843FA" w:rsidRPr="009B37B2">
        <w:t>s</w:t>
      </w:r>
      <w:r w:rsidR="00432CC2" w:rsidRPr="009B37B2">
        <w:t xml:space="preserve"> partagée</w:t>
      </w:r>
      <w:r w:rsidR="001843FA" w:rsidRPr="009B37B2">
        <w:t>s</w:t>
      </w:r>
      <w:r w:rsidRPr="009B37B2">
        <w:t>"</w:t>
      </w:r>
    </w:p>
    <w:p w14:paraId="269CEE06" w14:textId="28FE6C7E" w:rsidR="00E75F0E" w:rsidRPr="009B37B2" w:rsidRDefault="00E75F0E" w:rsidP="001362DF">
      <w:pPr>
        <w:pStyle w:val="enumlev1"/>
        <w:tabs>
          <w:tab w:val="clear" w:pos="567"/>
          <w:tab w:val="clear" w:pos="1134"/>
          <w:tab w:val="clear" w:pos="1701"/>
          <w:tab w:val="clear" w:pos="2268"/>
          <w:tab w:val="clear" w:pos="2835"/>
        </w:tabs>
        <w:ind w:left="709" w:hanging="709"/>
      </w:pPr>
      <w:r w:rsidRPr="009B37B2">
        <w:t>–</w:t>
      </w:r>
      <w:r w:rsidRPr="009B37B2">
        <w:tab/>
      </w:r>
      <w:r w:rsidR="00780BF0" w:rsidRPr="009B37B2">
        <w:t xml:space="preserve">Recommandation </w:t>
      </w:r>
      <w:r w:rsidRPr="009B37B2">
        <w:t>UIT-T Q.708 "</w:t>
      </w:r>
      <w:r w:rsidR="00432CC2" w:rsidRPr="009B37B2">
        <w:t>Procédures d'attribution de codes de points sémaphores internationaux</w:t>
      </w:r>
      <w:r w:rsidRPr="009B37B2">
        <w:t>".</w:t>
      </w:r>
    </w:p>
    <w:p w14:paraId="6DC29840" w14:textId="6307F284" w:rsidR="000C0FBB" w:rsidRPr="009B37B2" w:rsidRDefault="00E75F0E" w:rsidP="001362DF">
      <w:pPr>
        <w:tabs>
          <w:tab w:val="clear" w:pos="567"/>
          <w:tab w:val="clear" w:pos="1134"/>
          <w:tab w:val="clear" w:pos="1701"/>
          <w:tab w:val="clear" w:pos="2268"/>
          <w:tab w:val="clear" w:pos="2835"/>
        </w:tabs>
      </w:pPr>
      <w:r w:rsidRPr="009B37B2">
        <w:t>3.2.3</w:t>
      </w:r>
      <w:r w:rsidRPr="009B37B2">
        <w:tab/>
      </w:r>
      <w:r w:rsidR="000C0FBB" w:rsidRPr="009B37B2">
        <w:t>La Recommandation UIT-T E.156 "Lignes directrices sur la suite à donner par l'UIT-T lorsqu'une utilisation abusive des ressources de numérotage E.164 lui est signalée" est en cours de révision</w:t>
      </w:r>
      <w:r w:rsidR="0025502C" w:rsidRPr="009B37B2">
        <w:t>,</w:t>
      </w:r>
      <w:r w:rsidR="000C0FBB" w:rsidRPr="009B37B2">
        <w:t xml:space="preserve"> afin d'y faire figurer de nouveaux cas d'utilisation abusive et d'envisager des moyens plus efficaces pour lutter contre ces utilisations.</w:t>
      </w:r>
    </w:p>
    <w:p w14:paraId="3FFDBAE1" w14:textId="4EB554E1" w:rsidR="000C0FBB" w:rsidRPr="009B37B2" w:rsidRDefault="000C0FBB" w:rsidP="001362DF">
      <w:pPr>
        <w:tabs>
          <w:tab w:val="clear" w:pos="567"/>
          <w:tab w:val="clear" w:pos="1134"/>
          <w:tab w:val="clear" w:pos="1701"/>
          <w:tab w:val="clear" w:pos="2268"/>
          <w:tab w:val="clear" w:pos="2835"/>
        </w:tabs>
      </w:pPr>
      <w:r w:rsidRPr="009B37B2">
        <w:t>3.2.4</w:t>
      </w:r>
      <w:r w:rsidRPr="009B37B2">
        <w:tab/>
      </w:r>
      <w:r w:rsidR="00585FD1" w:rsidRPr="009B37B2">
        <w:t>Un</w:t>
      </w:r>
      <w:r w:rsidRPr="009B37B2">
        <w:t xml:space="preserve"> prototype </w:t>
      </w:r>
      <w:r w:rsidR="00585FD1" w:rsidRPr="009B37B2">
        <w:t xml:space="preserve">de nouveau répertoire sur les plans de numérotage nationaux a été élaboré et est disponible à l'adresse </w:t>
      </w:r>
      <w:proofErr w:type="gramStart"/>
      <w:r w:rsidR="00585FD1" w:rsidRPr="009B37B2">
        <w:t>suivante</w:t>
      </w:r>
      <w:r w:rsidRPr="009B37B2">
        <w:t>:</w:t>
      </w:r>
      <w:proofErr w:type="gramEnd"/>
      <w:r w:rsidRPr="009B37B2">
        <w:t xml:space="preserve"> </w:t>
      </w:r>
      <w:hyperlink r:id="rId18" w:history="1">
        <w:r w:rsidRPr="009B37B2">
          <w:rPr>
            <w:rStyle w:val="Hyperlink"/>
          </w:rPr>
          <w:t>https://www.itu.int/net4/itu-t/nnp</w:t>
        </w:r>
      </w:hyperlink>
      <w:r w:rsidRPr="009B37B2">
        <w:t>.</w:t>
      </w:r>
      <w:r w:rsidR="0022043B" w:rsidRPr="009B37B2">
        <w:t xml:space="preserve"> Sa création fait </w:t>
      </w:r>
      <w:r w:rsidR="00585FD1" w:rsidRPr="009B37B2">
        <w:t>suite</w:t>
      </w:r>
      <w:r w:rsidRPr="009B37B2">
        <w:t xml:space="preserve"> </w:t>
      </w:r>
      <w:r w:rsidR="00585FD1" w:rsidRPr="009B37B2">
        <w:t>à la Résolution</w:t>
      </w:r>
      <w:r w:rsidRPr="009B37B2">
        <w:t xml:space="preserve"> 91 (Hammamet, 2016) </w:t>
      </w:r>
      <w:r w:rsidR="00585FD1" w:rsidRPr="009B37B2">
        <w:t>de l'AMNT</w:t>
      </w:r>
      <w:r w:rsidRPr="009B37B2">
        <w:t xml:space="preserve"> </w:t>
      </w:r>
      <w:r w:rsidR="00585FD1" w:rsidRPr="009B37B2">
        <w:t>intitulée "</w:t>
      </w:r>
      <w:r w:rsidRPr="009B37B2">
        <w:t>Améliorer l'accès à un répertoire électronique d'informations sur les plans de numérotage publiés par le Secteur de la normalisation des télécommunications de l'UIT</w:t>
      </w:r>
      <w:r w:rsidR="00585FD1" w:rsidRPr="009B37B2">
        <w:t>"</w:t>
      </w:r>
      <w:r w:rsidRPr="009B37B2">
        <w:t>.</w:t>
      </w:r>
    </w:p>
    <w:p w14:paraId="7DD511EE" w14:textId="30790F9C" w:rsidR="009762E9" w:rsidRPr="009B37B2" w:rsidRDefault="009762E9" w:rsidP="00691AF7">
      <w:pPr>
        <w:tabs>
          <w:tab w:val="clear" w:pos="567"/>
          <w:tab w:val="clear" w:pos="1134"/>
          <w:tab w:val="clear" w:pos="1701"/>
          <w:tab w:val="clear" w:pos="2268"/>
          <w:tab w:val="clear" w:pos="2835"/>
        </w:tabs>
      </w:pPr>
      <w:r w:rsidRPr="009B37B2">
        <w:t>3.2.5</w:t>
      </w:r>
      <w:r w:rsidRPr="009B37B2">
        <w:tab/>
      </w:r>
      <w:r w:rsidR="0022043B" w:rsidRPr="009B37B2">
        <w:t xml:space="preserve">Étant donné que de plus en plus </w:t>
      </w:r>
      <w:r w:rsidR="006427CF" w:rsidRPr="009B37B2">
        <w:t>d'entreprises demand</w:t>
      </w:r>
      <w:r w:rsidR="0022043B" w:rsidRPr="009B37B2">
        <w:t>e</w:t>
      </w:r>
      <w:r w:rsidR="006427CF" w:rsidRPr="009B37B2">
        <w:t xml:space="preserve">nt des indicatifs partagés </w:t>
      </w:r>
      <w:r w:rsidRPr="009B37B2">
        <w:t xml:space="preserve">(E.212 </w:t>
      </w:r>
      <w:r w:rsidR="006427CF" w:rsidRPr="009B37B2">
        <w:t>et</w:t>
      </w:r>
      <w:r w:rsidR="001D7D65">
        <w:t> </w:t>
      </w:r>
      <w:r w:rsidRPr="009B37B2">
        <w:t xml:space="preserve">E.164), </w:t>
      </w:r>
      <w:r w:rsidR="006427CF" w:rsidRPr="009B37B2">
        <w:t>la charge de travail de l'</w:t>
      </w:r>
      <w:r w:rsidR="00DD1814" w:rsidRPr="009B37B2">
        <w:t>Équipe</w:t>
      </w:r>
      <w:r w:rsidR="006427CF" w:rsidRPr="009B37B2">
        <w:t xml:space="preserve"> de coordination du numérotage</w:t>
      </w:r>
      <w:r w:rsidRPr="009B37B2">
        <w:t xml:space="preserve"> (NCT) </w:t>
      </w:r>
      <w:r w:rsidR="006427CF" w:rsidRPr="009B37B2">
        <w:t xml:space="preserve">a </w:t>
      </w:r>
      <w:r w:rsidR="0022043B" w:rsidRPr="009B37B2">
        <w:t xml:space="preserve">sensiblement </w:t>
      </w:r>
      <w:r w:rsidR="006427CF" w:rsidRPr="009B37B2">
        <w:t>augmenté</w:t>
      </w:r>
      <w:r w:rsidR="00F00D96" w:rsidRPr="009B37B2">
        <w:t>.</w:t>
      </w:r>
      <w:r w:rsidRPr="009B37B2">
        <w:t xml:space="preserve"> </w:t>
      </w:r>
      <w:r w:rsidR="001B3F57" w:rsidRPr="009B37B2">
        <w:t>L'</w:t>
      </w:r>
      <w:r w:rsidR="00DD1814" w:rsidRPr="009B37B2">
        <w:t>Équipe</w:t>
      </w:r>
      <w:r w:rsidRPr="009B37B2">
        <w:t xml:space="preserve"> NCT</w:t>
      </w:r>
      <w:r w:rsidR="0022043B" w:rsidRPr="009B37B2">
        <w:t xml:space="preserve"> bénéficie de l</w:t>
      </w:r>
      <w:r w:rsidR="00A54667" w:rsidRPr="009B37B2">
        <w:t>'</w:t>
      </w:r>
      <w:r w:rsidR="0022043B" w:rsidRPr="009B37B2">
        <w:t xml:space="preserve">appui du </w:t>
      </w:r>
      <w:r w:rsidR="001B3F57" w:rsidRPr="009B37B2">
        <w:t>TSB</w:t>
      </w:r>
      <w:r w:rsidR="0022043B" w:rsidRPr="009B37B2">
        <w:t xml:space="preserve">. Ainsi, </w:t>
      </w:r>
      <w:r w:rsidR="001B3F57" w:rsidRPr="009B37B2">
        <w:t>le Conseiller de la CE</w:t>
      </w:r>
      <w:r w:rsidR="005F3635" w:rsidRPr="009B37B2">
        <w:t xml:space="preserve"> </w:t>
      </w:r>
      <w:r w:rsidR="001B3F57" w:rsidRPr="009B37B2">
        <w:t>2 dispense des conseils techniques et le</w:t>
      </w:r>
      <w:r w:rsidRPr="009B37B2">
        <w:t xml:space="preserve"> TSB </w:t>
      </w:r>
      <w:r w:rsidR="001B3F57" w:rsidRPr="009B37B2">
        <w:t>gère</w:t>
      </w:r>
      <w:r w:rsidRPr="009B37B2">
        <w:t xml:space="preserve"> </w:t>
      </w:r>
      <w:r w:rsidR="004546A6" w:rsidRPr="009B37B2">
        <w:t xml:space="preserve">le déroulement des opérations, </w:t>
      </w:r>
      <w:r w:rsidR="001B3F57" w:rsidRPr="009B37B2">
        <w:t>de la demande à l'attribution</w:t>
      </w:r>
      <w:r w:rsidR="004546A6" w:rsidRPr="009B37B2">
        <w:t>,</w:t>
      </w:r>
      <w:r w:rsidR="001B3F57" w:rsidRPr="009B37B2">
        <w:t xml:space="preserve"> </w:t>
      </w:r>
      <w:r w:rsidR="004546A6" w:rsidRPr="009B37B2">
        <w:lastRenderedPageBreak/>
        <w:t>en respectant</w:t>
      </w:r>
      <w:r w:rsidR="001B3F57" w:rsidRPr="009B37B2">
        <w:t xml:space="preserve"> les délais fixés par les </w:t>
      </w:r>
      <w:r w:rsidR="00C2281D" w:rsidRPr="009B37B2">
        <w:t>R</w:t>
      </w:r>
      <w:r w:rsidR="001B3F57" w:rsidRPr="009B37B2">
        <w:t xml:space="preserve">ecommandations UIT-T </w:t>
      </w:r>
      <w:r w:rsidR="004546A6" w:rsidRPr="009B37B2">
        <w:t xml:space="preserve">pertinentes </w:t>
      </w:r>
      <w:r w:rsidR="001B3F57" w:rsidRPr="009B37B2">
        <w:t>en vigueur</w:t>
      </w:r>
      <w:r w:rsidRPr="009B37B2">
        <w:t xml:space="preserve">. </w:t>
      </w:r>
      <w:r w:rsidR="004546A6" w:rsidRPr="009B37B2">
        <w:t>L'</w:t>
      </w:r>
      <w:r w:rsidRPr="009B37B2">
        <w:t>Annex</w:t>
      </w:r>
      <w:r w:rsidR="004546A6" w:rsidRPr="009B37B2">
        <w:t>e</w:t>
      </w:r>
      <w:r w:rsidRPr="009B37B2">
        <w:t xml:space="preserve"> 5 </w:t>
      </w:r>
      <w:r w:rsidR="004546A6" w:rsidRPr="009B37B2">
        <w:t>montre</w:t>
      </w:r>
      <w:r w:rsidR="0022043B" w:rsidRPr="009B37B2">
        <w:t xml:space="preserve"> que de plus en plus </w:t>
      </w:r>
      <w:r w:rsidR="004546A6" w:rsidRPr="009B37B2">
        <w:t>d'entreprises demand</w:t>
      </w:r>
      <w:r w:rsidR="0022043B" w:rsidRPr="009B37B2">
        <w:t>e</w:t>
      </w:r>
      <w:r w:rsidR="004546A6" w:rsidRPr="009B37B2">
        <w:t xml:space="preserve">nt des </w:t>
      </w:r>
      <w:r w:rsidR="0022043B" w:rsidRPr="009B37B2">
        <w:t xml:space="preserve">ressources </w:t>
      </w:r>
      <w:r w:rsidR="004546A6" w:rsidRPr="009B37B2">
        <w:t>INR</w:t>
      </w:r>
      <w:r w:rsidRPr="009B37B2">
        <w:t>.</w:t>
      </w:r>
    </w:p>
    <w:p w14:paraId="721DCE85" w14:textId="5D4D511F" w:rsidR="009762E9" w:rsidRPr="009B37B2" w:rsidRDefault="009762E9" w:rsidP="001362DF">
      <w:pPr>
        <w:tabs>
          <w:tab w:val="clear" w:pos="567"/>
          <w:tab w:val="clear" w:pos="1134"/>
          <w:tab w:val="clear" w:pos="1701"/>
          <w:tab w:val="clear" w:pos="2268"/>
          <w:tab w:val="clear" w:pos="2835"/>
        </w:tabs>
      </w:pPr>
      <w:r w:rsidRPr="009B37B2">
        <w:t>3.2.6</w:t>
      </w:r>
      <w:r w:rsidRPr="009B37B2">
        <w:tab/>
      </w:r>
      <w:r w:rsidR="00AF1D1C" w:rsidRPr="009B37B2">
        <w:t xml:space="preserve">Le </w:t>
      </w:r>
      <w:r w:rsidR="00B452D6" w:rsidRPr="009B37B2">
        <w:t>TSB</w:t>
      </w:r>
      <w:r w:rsidR="0022043B" w:rsidRPr="009B37B2">
        <w:t xml:space="preserve"> a été confronté</w:t>
      </w:r>
      <w:r w:rsidR="00F00D96" w:rsidRPr="009B37B2">
        <w:t xml:space="preserve"> </w:t>
      </w:r>
      <w:r w:rsidR="0022043B" w:rsidRPr="009B37B2">
        <w:t>à une forte augmentation des</w:t>
      </w:r>
      <w:r w:rsidR="00F00D96" w:rsidRPr="009B37B2">
        <w:t xml:space="preserve"> </w:t>
      </w:r>
      <w:r w:rsidR="00B452D6" w:rsidRPr="009B37B2">
        <w:t>ressources</w:t>
      </w:r>
      <w:r w:rsidR="00AF1D1C" w:rsidRPr="009B37B2">
        <w:t xml:space="preserve"> </w:t>
      </w:r>
      <w:r w:rsidR="0022043B" w:rsidRPr="009B37B2">
        <w:t xml:space="preserve">nécessaires </w:t>
      </w:r>
      <w:r w:rsidR="00760ED7" w:rsidRPr="009B37B2">
        <w:t>pour répondre</w:t>
      </w:r>
      <w:r w:rsidR="0022043B" w:rsidRPr="009B37B2">
        <w:t xml:space="preserve"> rapidement </w:t>
      </w:r>
      <w:r w:rsidR="00760ED7" w:rsidRPr="009B37B2">
        <w:t xml:space="preserve">aux demandes de </w:t>
      </w:r>
      <w:r w:rsidRPr="009B37B2">
        <w:t xml:space="preserve">notification </w:t>
      </w:r>
      <w:r w:rsidR="00760ED7" w:rsidRPr="009B37B2">
        <w:t xml:space="preserve">présentées par les États </w:t>
      </w:r>
      <w:r w:rsidR="0022043B" w:rsidRPr="009B37B2">
        <w:t>M</w:t>
      </w:r>
      <w:r w:rsidR="00760ED7" w:rsidRPr="009B37B2">
        <w:t>embres</w:t>
      </w:r>
      <w:r w:rsidRPr="009B37B2">
        <w:t xml:space="preserve">, </w:t>
      </w:r>
      <w:r w:rsidR="00A43EE2" w:rsidRPr="009B37B2">
        <w:t>publier le Bulletin</w:t>
      </w:r>
      <w:r w:rsidR="005F3635" w:rsidRPr="009B37B2">
        <w:t> </w:t>
      </w:r>
      <w:r w:rsidR="00A43EE2" w:rsidRPr="009B37B2">
        <w:t xml:space="preserve">d'exploitation </w:t>
      </w:r>
      <w:r w:rsidR="00B452D6" w:rsidRPr="009B37B2">
        <w:t>dans six langues toutes les deux semaines</w:t>
      </w:r>
      <w:r w:rsidRPr="009B37B2">
        <w:t xml:space="preserve">, </w:t>
      </w:r>
      <w:r w:rsidR="00B452D6" w:rsidRPr="009B37B2">
        <w:t xml:space="preserve">mettre en œuvre la Résolution 91 de l'AMNT sur </w:t>
      </w:r>
      <w:r w:rsidR="00A43EE2" w:rsidRPr="009B37B2">
        <w:t xml:space="preserve">les plans de numérotage </w:t>
      </w:r>
      <w:proofErr w:type="gramStart"/>
      <w:r w:rsidR="00A43EE2" w:rsidRPr="009B37B2">
        <w:t>nationaux</w:t>
      </w:r>
      <w:r w:rsidR="0022043B" w:rsidRPr="009B37B2">
        <w:t>(</w:t>
      </w:r>
      <w:proofErr w:type="gramEnd"/>
      <w:r w:rsidR="0022043B" w:rsidRPr="009B37B2">
        <w:t>NNP)</w:t>
      </w:r>
      <w:r w:rsidR="00A43EE2" w:rsidRPr="009B37B2">
        <w:t xml:space="preserve"> et </w:t>
      </w:r>
      <w:r w:rsidR="000D4A86" w:rsidRPr="009B37B2">
        <w:t xml:space="preserve">gérer les nouvelles demandes des entreprises </w:t>
      </w:r>
      <w:r w:rsidR="00CC796F" w:rsidRPr="009B37B2">
        <w:t>par l'intermédiaire de</w:t>
      </w:r>
      <w:r w:rsidR="000D4A86" w:rsidRPr="009B37B2">
        <w:t xml:space="preserve"> l'</w:t>
      </w:r>
      <w:r w:rsidR="00DD1814" w:rsidRPr="009B37B2">
        <w:t>Équipe</w:t>
      </w:r>
      <w:r w:rsidR="000D4A86" w:rsidRPr="009B37B2">
        <w:t xml:space="preserve"> </w:t>
      </w:r>
      <w:r w:rsidRPr="009B37B2">
        <w:t>NCT.</w:t>
      </w:r>
    </w:p>
    <w:p w14:paraId="7C88B647" w14:textId="149ADFB9" w:rsidR="009762E9" w:rsidRPr="009B37B2" w:rsidRDefault="009762E9" w:rsidP="001362DF">
      <w:pPr>
        <w:tabs>
          <w:tab w:val="clear" w:pos="567"/>
          <w:tab w:val="clear" w:pos="1134"/>
          <w:tab w:val="clear" w:pos="1701"/>
          <w:tab w:val="clear" w:pos="2268"/>
          <w:tab w:val="clear" w:pos="2835"/>
        </w:tabs>
      </w:pPr>
      <w:r w:rsidRPr="009B37B2">
        <w:t>3.2.7</w:t>
      </w:r>
      <w:r w:rsidRPr="009B37B2">
        <w:tab/>
      </w:r>
      <w:r w:rsidR="000D4A86" w:rsidRPr="009B37B2">
        <w:t xml:space="preserve">Nous </w:t>
      </w:r>
      <w:r w:rsidR="00F96FBF" w:rsidRPr="009B37B2">
        <w:t xml:space="preserve">demandons </w:t>
      </w:r>
      <w:r w:rsidR="0022043B" w:rsidRPr="009B37B2">
        <w:t>qu</w:t>
      </w:r>
      <w:r w:rsidR="00A54667" w:rsidRPr="009B37B2">
        <w:t>'</w:t>
      </w:r>
      <w:r w:rsidR="0022043B" w:rsidRPr="009B37B2">
        <w:t xml:space="preserve">il soit fait appel à </w:t>
      </w:r>
      <w:r w:rsidR="000D4A86" w:rsidRPr="009B37B2">
        <w:t xml:space="preserve">un fonctionnaire </w:t>
      </w:r>
      <w:r w:rsidR="0022043B" w:rsidRPr="009B37B2">
        <w:t xml:space="preserve">supplémentaire </w:t>
      </w:r>
      <w:r w:rsidR="00CE325A" w:rsidRPr="009B37B2">
        <w:t xml:space="preserve">de grade </w:t>
      </w:r>
      <w:r w:rsidRPr="009B37B2">
        <w:rPr>
          <w:b/>
          <w:bCs/>
        </w:rPr>
        <w:t>P2</w:t>
      </w:r>
      <w:r w:rsidRPr="009B37B2">
        <w:t xml:space="preserve"> </w:t>
      </w:r>
      <w:r w:rsidR="000D4A86" w:rsidRPr="009B37B2">
        <w:t>pour</w:t>
      </w:r>
      <w:r w:rsidR="0022043B" w:rsidRPr="009B37B2">
        <w:t xml:space="preserve"> répondre à l</w:t>
      </w:r>
      <w:r w:rsidR="00A54667" w:rsidRPr="009B37B2">
        <w:t>'</w:t>
      </w:r>
      <w:r w:rsidR="0022043B" w:rsidRPr="009B37B2">
        <w:t xml:space="preserve">augmentation du nombre </w:t>
      </w:r>
      <w:r w:rsidR="000D4A86" w:rsidRPr="009B37B2">
        <w:t>d'activités liées au numérotage</w:t>
      </w:r>
      <w:r w:rsidRPr="009B37B2">
        <w:t>.</w:t>
      </w:r>
    </w:p>
    <w:p w14:paraId="749993BF" w14:textId="4E631236" w:rsidR="00E75F0E" w:rsidRPr="009B37B2" w:rsidRDefault="009762E9" w:rsidP="001362DF">
      <w:pPr>
        <w:pStyle w:val="Heading2"/>
        <w:tabs>
          <w:tab w:val="clear" w:pos="567"/>
          <w:tab w:val="clear" w:pos="1134"/>
          <w:tab w:val="clear" w:pos="1701"/>
          <w:tab w:val="clear" w:pos="2268"/>
          <w:tab w:val="clear" w:pos="2835"/>
        </w:tabs>
        <w:ind w:left="709" w:hanging="709"/>
      </w:pPr>
      <w:bookmarkStart w:id="32" w:name="_Toc39559430"/>
      <w:r w:rsidRPr="009B37B2">
        <w:t>3.3</w:t>
      </w:r>
      <w:r w:rsidRPr="009B37B2">
        <w:tab/>
      </w:r>
      <w:r w:rsidR="005F0A28" w:rsidRPr="009B37B2">
        <w:t>Les services financiers numériqu</w:t>
      </w:r>
      <w:r w:rsidR="005407AA" w:rsidRPr="009B37B2">
        <w:t>es peuvent</w:t>
      </w:r>
      <w:r w:rsidR="0022043B" w:rsidRPr="009B37B2">
        <w:t xml:space="preserve"> permettre à </w:t>
      </w:r>
      <w:r w:rsidR="005407AA" w:rsidRPr="009B37B2">
        <w:t>deux</w:t>
      </w:r>
      <w:r w:rsidR="005F0A28" w:rsidRPr="009B37B2">
        <w:t> milliards de personnes</w:t>
      </w:r>
      <w:r w:rsidR="0022043B" w:rsidRPr="009B37B2">
        <w:t xml:space="preserve"> ne possédant pas de compte bancaire d</w:t>
      </w:r>
      <w:r w:rsidR="00A54667" w:rsidRPr="009B37B2">
        <w:t>'</w:t>
      </w:r>
      <w:r w:rsidR="0022043B" w:rsidRPr="009B37B2">
        <w:t>accéder à la vie économique</w:t>
      </w:r>
      <w:bookmarkEnd w:id="32"/>
    </w:p>
    <w:p w14:paraId="2A12949F" w14:textId="122DCEEA" w:rsidR="009762E9" w:rsidRPr="009B37B2" w:rsidRDefault="009762E9" w:rsidP="001362DF">
      <w:pPr>
        <w:tabs>
          <w:tab w:val="clear" w:pos="567"/>
          <w:tab w:val="clear" w:pos="1134"/>
          <w:tab w:val="clear" w:pos="1701"/>
          <w:tab w:val="clear" w:pos="2268"/>
          <w:tab w:val="clear" w:pos="2835"/>
        </w:tabs>
      </w:pPr>
      <w:r w:rsidRPr="009B37B2">
        <w:t>3.3.1</w:t>
      </w:r>
      <w:r w:rsidRPr="009B37B2">
        <w:tab/>
      </w:r>
      <w:r w:rsidR="0022043B" w:rsidRPr="009B37B2">
        <w:t xml:space="preserve">Actuellement, près de </w:t>
      </w:r>
      <w:r w:rsidR="00E2490D" w:rsidRPr="009B37B2">
        <w:t>deux milliards de personnes dans le monde ne disposent pas d'un compte bancaire</w:t>
      </w:r>
      <w:r w:rsidR="00FF2E87" w:rsidRPr="009B37B2">
        <w:t>, mais l</w:t>
      </w:r>
      <w:r w:rsidR="00E2490D" w:rsidRPr="009B37B2">
        <w:t>es trois quarts d'entre elles possèdent un téléphone mobile</w:t>
      </w:r>
      <w:r w:rsidRPr="009B37B2">
        <w:t>.</w:t>
      </w:r>
      <w:r w:rsidR="0022043B" w:rsidRPr="009B37B2">
        <w:t xml:space="preserve"> Il s</w:t>
      </w:r>
      <w:r w:rsidR="00A54667" w:rsidRPr="009B37B2">
        <w:t>'</w:t>
      </w:r>
      <w:r w:rsidR="0022043B" w:rsidRPr="009B37B2">
        <w:t>agit là d</w:t>
      </w:r>
      <w:r w:rsidR="00A54667" w:rsidRPr="009B37B2">
        <w:t>'</w:t>
      </w:r>
      <w:r w:rsidR="0022043B" w:rsidRPr="009B37B2">
        <w:t>une occasion exceptionnelle de leur permettre d</w:t>
      </w:r>
      <w:r w:rsidR="00A54667" w:rsidRPr="009B37B2">
        <w:t>'</w:t>
      </w:r>
      <w:r w:rsidR="0022043B" w:rsidRPr="009B37B2">
        <w:t>accéder à la vie économique</w:t>
      </w:r>
      <w:r w:rsidR="00F00D96" w:rsidRPr="009B37B2">
        <w:t xml:space="preserve"> </w:t>
      </w:r>
      <w:r w:rsidR="0022043B" w:rsidRPr="009B37B2">
        <w:t>et d</w:t>
      </w:r>
      <w:r w:rsidR="00A54667" w:rsidRPr="009B37B2">
        <w:t>'</w:t>
      </w:r>
      <w:r w:rsidR="0022043B" w:rsidRPr="009B37B2">
        <w:t>améliorer leur quotidien,</w:t>
      </w:r>
      <w:r w:rsidR="00E2490D" w:rsidRPr="009B37B2">
        <w:t xml:space="preserve"> en utilisant le téléphone mobile comme compte bancaire</w:t>
      </w:r>
      <w:r w:rsidRPr="009B37B2">
        <w:t>.</w:t>
      </w:r>
    </w:p>
    <w:p w14:paraId="25DC6E88" w14:textId="57B96663" w:rsidR="009762E9" w:rsidRPr="009B37B2" w:rsidRDefault="009762E9" w:rsidP="001362DF">
      <w:pPr>
        <w:tabs>
          <w:tab w:val="clear" w:pos="567"/>
          <w:tab w:val="clear" w:pos="1134"/>
          <w:tab w:val="clear" w:pos="1701"/>
          <w:tab w:val="clear" w:pos="2268"/>
          <w:tab w:val="clear" w:pos="2835"/>
        </w:tabs>
      </w:pPr>
      <w:r w:rsidRPr="009B37B2">
        <w:t>3.3.2</w:t>
      </w:r>
      <w:r w:rsidRPr="009B37B2">
        <w:tab/>
      </w:r>
      <w:r w:rsidR="0022043B" w:rsidRPr="009B37B2">
        <w:t>L</w:t>
      </w:r>
      <w:r w:rsidR="0032239D" w:rsidRPr="009B37B2">
        <w:t>es services financiers numériques</w:t>
      </w:r>
      <w:r w:rsidR="0022043B" w:rsidRPr="009B37B2">
        <w:t xml:space="preserve"> ont été </w:t>
      </w:r>
      <w:r w:rsidR="009E0099" w:rsidRPr="009B37B2">
        <w:t>utilisés pour la première fois</w:t>
      </w:r>
      <w:r w:rsidRPr="009B37B2">
        <w:t xml:space="preserve"> </w:t>
      </w:r>
      <w:r w:rsidR="0022043B" w:rsidRPr="009B37B2">
        <w:t>il y a environ quinze</w:t>
      </w:r>
      <w:r w:rsidR="0001436B" w:rsidRPr="009B37B2">
        <w:t> </w:t>
      </w:r>
      <w:r w:rsidR="0022043B" w:rsidRPr="009B37B2">
        <w:t xml:space="preserve">ans </w:t>
      </w:r>
      <w:r w:rsidR="009E0099" w:rsidRPr="009B37B2">
        <w:t>dans les</w:t>
      </w:r>
      <w:r w:rsidRPr="009B37B2">
        <w:t xml:space="preserve"> </w:t>
      </w:r>
      <w:r w:rsidR="009E0099" w:rsidRPr="009B37B2">
        <w:t>pays en développement</w:t>
      </w:r>
      <w:r w:rsidRPr="009B37B2">
        <w:t>,</w:t>
      </w:r>
      <w:r w:rsidR="0022043B" w:rsidRPr="009B37B2">
        <w:t xml:space="preserve"> dans un premier temps </w:t>
      </w:r>
      <w:r w:rsidR="009E0099" w:rsidRPr="009B37B2">
        <w:t>aux Philippines</w:t>
      </w:r>
      <w:r w:rsidR="0022043B" w:rsidRPr="009B37B2">
        <w:t>, puis</w:t>
      </w:r>
      <w:r w:rsidRPr="009B37B2">
        <w:t xml:space="preserve"> </w:t>
      </w:r>
      <w:r w:rsidR="005F3635" w:rsidRPr="009B37B2">
        <w:t>–</w:t>
      </w:r>
      <w:r w:rsidR="0022043B" w:rsidRPr="009B37B2">
        <w:t xml:space="preserve"> et c</w:t>
      </w:r>
      <w:r w:rsidR="00A54667" w:rsidRPr="009B37B2">
        <w:t>'</w:t>
      </w:r>
      <w:r w:rsidR="0022043B" w:rsidRPr="009B37B2">
        <w:t>est là l</w:t>
      </w:r>
      <w:r w:rsidR="00A54667" w:rsidRPr="009B37B2">
        <w:t>'</w:t>
      </w:r>
      <w:r w:rsidR="0022043B" w:rsidRPr="009B37B2">
        <w:t>exemple</w:t>
      </w:r>
      <w:r w:rsidR="00F00D96" w:rsidRPr="009B37B2">
        <w:t xml:space="preserve"> </w:t>
      </w:r>
      <w:r w:rsidR="009E0099" w:rsidRPr="009B37B2">
        <w:t>le plus connu</w:t>
      </w:r>
      <w:r w:rsidR="005F3635" w:rsidRPr="009B37B2">
        <w:t xml:space="preserve"> –</w:t>
      </w:r>
      <w:r w:rsidR="00F00D96" w:rsidRPr="009B37B2">
        <w:t xml:space="preserve"> </w:t>
      </w:r>
      <w:r w:rsidR="009E0099" w:rsidRPr="009B37B2">
        <w:t>au</w:t>
      </w:r>
      <w:r w:rsidRPr="009B37B2">
        <w:t xml:space="preserve"> Kenya</w:t>
      </w:r>
      <w:r w:rsidR="0022043B" w:rsidRPr="009B37B2">
        <w:t>,</w:t>
      </w:r>
      <w:r w:rsidRPr="009B37B2">
        <w:t xml:space="preserve"> </w:t>
      </w:r>
      <w:r w:rsidR="009E0099" w:rsidRPr="009B37B2">
        <w:t>avec</w:t>
      </w:r>
      <w:r w:rsidRPr="009B37B2">
        <w:t xml:space="preserve"> </w:t>
      </w:r>
      <w:r w:rsidR="0022043B" w:rsidRPr="009B37B2">
        <w:t xml:space="preserve">le service </w:t>
      </w:r>
      <w:r w:rsidRPr="009B37B2">
        <w:t xml:space="preserve">M-PESA. </w:t>
      </w:r>
      <w:r w:rsidR="000B168C" w:rsidRPr="009B37B2">
        <w:t>Cependant</w:t>
      </w:r>
      <w:r w:rsidRPr="009B37B2">
        <w:t xml:space="preserve">, </w:t>
      </w:r>
      <w:r w:rsidR="009535CF" w:rsidRPr="009B37B2">
        <w:t>l'utilisation des services financiers numériques dans les pays en développement du monde entier</w:t>
      </w:r>
      <w:r w:rsidR="0022043B" w:rsidRPr="009B37B2">
        <w:t xml:space="preserve"> ces douze dernières années</w:t>
      </w:r>
      <w:r w:rsidR="00F00D96" w:rsidRPr="009B37B2">
        <w:t xml:space="preserve"> </w:t>
      </w:r>
      <w:proofErr w:type="gramStart"/>
      <w:r w:rsidR="009535CF" w:rsidRPr="009B37B2">
        <w:t>n'a</w:t>
      </w:r>
      <w:proofErr w:type="gramEnd"/>
      <w:r w:rsidR="009535CF" w:rsidRPr="009B37B2">
        <w:t xml:space="preserve"> pas (encore) </w:t>
      </w:r>
      <w:r w:rsidR="0022043B" w:rsidRPr="009B37B2">
        <w:t>rencontré</w:t>
      </w:r>
      <w:r w:rsidR="00F00D96" w:rsidRPr="009B37B2">
        <w:t xml:space="preserve"> </w:t>
      </w:r>
      <w:r w:rsidR="0022043B" w:rsidRPr="009B37B2">
        <w:t>le succès</w:t>
      </w:r>
      <w:r w:rsidR="00F00D96" w:rsidRPr="009B37B2">
        <w:t xml:space="preserve"> </w:t>
      </w:r>
      <w:r w:rsidR="00A63875" w:rsidRPr="009B37B2">
        <w:t>escompté</w:t>
      </w:r>
      <w:r w:rsidR="00F00D96" w:rsidRPr="009B37B2">
        <w:t>.</w:t>
      </w:r>
      <w:r w:rsidRPr="009B37B2">
        <w:t xml:space="preserve"> </w:t>
      </w:r>
      <w:r w:rsidR="00A63875" w:rsidRPr="009B37B2">
        <w:t>Certains pays en développement</w:t>
      </w:r>
      <w:r w:rsidR="0022043B" w:rsidRPr="009B37B2">
        <w:t xml:space="preserve"> réussissent</w:t>
      </w:r>
      <w:r w:rsidR="00F00D96" w:rsidRPr="009B37B2">
        <w:t xml:space="preserve"> </w:t>
      </w:r>
      <w:r w:rsidR="00A63875" w:rsidRPr="009B37B2">
        <w:t>mieux que d'autres à</w:t>
      </w:r>
      <w:r w:rsidR="0022043B" w:rsidRPr="009B37B2">
        <w:t xml:space="preserve"> mettre en place </w:t>
      </w:r>
      <w:r w:rsidR="00A63875" w:rsidRPr="009B37B2">
        <w:t>des infrastructures et une</w:t>
      </w:r>
      <w:r w:rsidRPr="009B37B2">
        <w:t xml:space="preserve"> culture</w:t>
      </w:r>
      <w:r w:rsidR="00A63875" w:rsidRPr="009B37B2">
        <w:t xml:space="preserve"> des services </w:t>
      </w:r>
      <w:r w:rsidR="00D26A9A" w:rsidRPr="009B37B2">
        <w:t>financiers numériques</w:t>
      </w:r>
      <w:r w:rsidRPr="009B37B2">
        <w:t>.</w:t>
      </w:r>
      <w:r w:rsidR="0022043B" w:rsidRPr="009B37B2">
        <w:t xml:space="preserve"> Comment </w:t>
      </w:r>
      <w:proofErr w:type="gramStart"/>
      <w:r w:rsidR="0022043B" w:rsidRPr="009B37B2">
        <w:t>l</w:t>
      </w:r>
      <w:r w:rsidR="00A54667" w:rsidRPr="009B37B2">
        <w:t>'</w:t>
      </w:r>
      <w:r w:rsidR="0022043B" w:rsidRPr="009B37B2">
        <w:t>expliquer</w:t>
      </w:r>
      <w:r w:rsidRPr="009B37B2">
        <w:t>?</w:t>
      </w:r>
      <w:proofErr w:type="gramEnd"/>
      <w:r w:rsidR="0022043B" w:rsidRPr="009B37B2">
        <w:t xml:space="preserve"> Quelle est la solution</w:t>
      </w:r>
      <w:r w:rsidR="00ED39A6" w:rsidRPr="009B37B2">
        <w:t xml:space="preserve"> pour que les </w:t>
      </w:r>
      <w:r w:rsidR="002061BE" w:rsidRPr="009B37B2">
        <w:t xml:space="preserve">services </w:t>
      </w:r>
      <w:r w:rsidR="00B44E5C" w:rsidRPr="009B37B2">
        <w:t>financiers numériques</w:t>
      </w:r>
      <w:r w:rsidR="002061BE" w:rsidRPr="009B37B2">
        <w:t xml:space="preserve"> </w:t>
      </w:r>
      <w:r w:rsidR="00ED39A6" w:rsidRPr="009B37B2">
        <w:t xml:space="preserve">fonctionnent </w:t>
      </w:r>
      <w:r w:rsidR="002061BE" w:rsidRPr="009B37B2">
        <w:t xml:space="preserve">dans les pays en </w:t>
      </w:r>
      <w:proofErr w:type="gramStart"/>
      <w:r w:rsidR="002061BE" w:rsidRPr="009B37B2">
        <w:t>développement</w:t>
      </w:r>
      <w:r w:rsidRPr="009B37B2">
        <w:t>?</w:t>
      </w:r>
      <w:proofErr w:type="gramEnd"/>
    </w:p>
    <w:p w14:paraId="3F797D50" w14:textId="2806394C" w:rsidR="00E75F0E" w:rsidRPr="009B37B2" w:rsidRDefault="009762E9" w:rsidP="001362DF">
      <w:pPr>
        <w:tabs>
          <w:tab w:val="clear" w:pos="567"/>
          <w:tab w:val="clear" w:pos="1134"/>
          <w:tab w:val="clear" w:pos="1701"/>
          <w:tab w:val="clear" w:pos="2268"/>
          <w:tab w:val="clear" w:pos="2835"/>
        </w:tabs>
      </w:pPr>
      <w:r w:rsidRPr="009B37B2">
        <w:t>3.3.3</w:t>
      </w:r>
      <w:r w:rsidRPr="009B37B2">
        <w:tab/>
      </w:r>
      <w:r w:rsidR="00101AFF" w:rsidRPr="009B37B2">
        <w:t>L'UIT</w:t>
      </w:r>
      <w:r w:rsidRPr="009B37B2">
        <w:t xml:space="preserve">, </w:t>
      </w:r>
      <w:r w:rsidR="00101AFF" w:rsidRPr="009B37B2">
        <w:t>avec le soutien de la Fondation</w:t>
      </w:r>
      <w:r w:rsidRPr="009B37B2">
        <w:t xml:space="preserve"> Bill </w:t>
      </w:r>
      <w:r w:rsidR="00101AFF" w:rsidRPr="009B37B2">
        <w:t>&amp;</w:t>
      </w:r>
      <w:r w:rsidRPr="009B37B2">
        <w:t xml:space="preserve"> Melinda Gates,</w:t>
      </w:r>
      <w:r w:rsidR="00ED39A6" w:rsidRPr="009B37B2">
        <w:t xml:space="preserve"> s</w:t>
      </w:r>
      <w:r w:rsidR="00A54667" w:rsidRPr="009B37B2">
        <w:t>'</w:t>
      </w:r>
      <w:r w:rsidR="00ED39A6" w:rsidRPr="009B37B2">
        <w:t xml:space="preserve">efforce </w:t>
      </w:r>
      <w:r w:rsidR="00101AFF" w:rsidRPr="009B37B2">
        <w:t xml:space="preserve">de répondre à </w:t>
      </w:r>
      <w:r w:rsidR="00ED39A6" w:rsidRPr="009B37B2">
        <w:t>cette question</w:t>
      </w:r>
      <w:r w:rsidR="00F00D96" w:rsidRPr="009B37B2">
        <w:t xml:space="preserve">. </w:t>
      </w:r>
      <w:r w:rsidR="00F311F3" w:rsidRPr="009B37B2">
        <w:t>Aux termes de la</w:t>
      </w:r>
      <w:r w:rsidRPr="009B37B2">
        <w:t xml:space="preserve"> Résolution 89 </w:t>
      </w:r>
      <w:r w:rsidR="00F311F3" w:rsidRPr="009B37B2">
        <w:t>(Hammamet, 2016) de l'AMNT,</w:t>
      </w:r>
      <w:r w:rsidRPr="009B37B2">
        <w:t xml:space="preserve"> le Directeur du Bureau de la normalisation des télécommunications, en collaboration avec les Directeurs des autres Bureaux</w:t>
      </w:r>
      <w:r w:rsidR="00F311F3" w:rsidRPr="009B37B2">
        <w:t xml:space="preserve">, est </w:t>
      </w:r>
      <w:proofErr w:type="gramStart"/>
      <w:r w:rsidR="00F311F3" w:rsidRPr="009B37B2">
        <w:t>chargé</w:t>
      </w:r>
      <w:r w:rsidRPr="009B37B2">
        <w:t>:</w:t>
      </w:r>
      <w:proofErr w:type="gramEnd"/>
    </w:p>
    <w:p w14:paraId="71AFD603" w14:textId="0F60F919" w:rsidR="009762E9" w:rsidRPr="00042F7A" w:rsidRDefault="00B401B9" w:rsidP="001362DF">
      <w:pPr>
        <w:tabs>
          <w:tab w:val="clear" w:pos="567"/>
          <w:tab w:val="clear" w:pos="1134"/>
          <w:tab w:val="clear" w:pos="1701"/>
          <w:tab w:val="clear" w:pos="2268"/>
          <w:tab w:val="clear" w:pos="2835"/>
        </w:tabs>
        <w:ind w:left="709"/>
        <w:rPr>
          <w:iCs/>
        </w:rPr>
      </w:pPr>
      <w:r w:rsidRPr="009B37B2">
        <w:rPr>
          <w:iCs/>
        </w:rPr>
        <w:t>"</w:t>
      </w:r>
      <w:proofErr w:type="gramStart"/>
      <w:r w:rsidR="00EF5096" w:rsidRPr="009B37B2">
        <w:t>2</w:t>
      </w:r>
      <w:r w:rsidR="001362DF">
        <w:t xml:space="preserve">  </w:t>
      </w:r>
      <w:r w:rsidR="009762E9" w:rsidRPr="009B37B2">
        <w:t>d'appuyer</w:t>
      </w:r>
      <w:proofErr w:type="gramEnd"/>
      <w:r w:rsidR="009762E9" w:rsidRPr="009B37B2">
        <w:t xml:space="preserve"> l'élaboration de rapports et de bonnes pratiques sur l'inclusion financière numérique</w:t>
      </w:r>
      <w:r w:rsidR="00292D1C" w:rsidRPr="009B37B2">
        <w:t xml:space="preserve"> […]</w:t>
      </w:r>
      <w:r w:rsidR="009762E9" w:rsidRPr="009B37B2">
        <w:t>;</w:t>
      </w:r>
    </w:p>
    <w:p w14:paraId="01B22994" w14:textId="1640F473" w:rsidR="009762E9" w:rsidRPr="009B37B2" w:rsidRDefault="00EF5096" w:rsidP="001362DF">
      <w:pPr>
        <w:tabs>
          <w:tab w:val="clear" w:pos="567"/>
          <w:tab w:val="clear" w:pos="1134"/>
          <w:tab w:val="clear" w:pos="1701"/>
          <w:tab w:val="clear" w:pos="2268"/>
          <w:tab w:val="clear" w:pos="2835"/>
        </w:tabs>
        <w:ind w:left="709"/>
      </w:pPr>
      <w:proofErr w:type="gramStart"/>
      <w:r w:rsidRPr="009B37B2">
        <w:t>3</w:t>
      </w:r>
      <w:r w:rsidR="001362DF">
        <w:t xml:space="preserve">  </w:t>
      </w:r>
      <w:r w:rsidR="009762E9" w:rsidRPr="009B37B2">
        <w:t>de</w:t>
      </w:r>
      <w:proofErr w:type="gramEnd"/>
      <w:r w:rsidR="009762E9" w:rsidRPr="009B37B2">
        <w:t xml:space="preserv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14:paraId="70CAE6B8" w14:textId="54EE9460" w:rsidR="009762E9" w:rsidRPr="009B37B2" w:rsidRDefault="00EF5096" w:rsidP="001362DF">
      <w:pPr>
        <w:tabs>
          <w:tab w:val="clear" w:pos="567"/>
          <w:tab w:val="clear" w:pos="1134"/>
          <w:tab w:val="clear" w:pos="1701"/>
          <w:tab w:val="clear" w:pos="2268"/>
          <w:tab w:val="clear" w:pos="2835"/>
        </w:tabs>
        <w:ind w:left="709"/>
        <w:rPr>
          <w:iCs/>
        </w:rPr>
      </w:pPr>
      <w:r w:rsidRPr="009B37B2">
        <w:t>4</w:t>
      </w:r>
      <w:r w:rsidR="001362DF">
        <w:t xml:space="preserve">  </w:t>
      </w:r>
      <w:r w:rsidR="009762E9" w:rsidRPr="009B37B2">
        <w:t xml:space="preserve">d'organiser des ateliers et des séminaires à l'intention des membres de l'UIT, en collaboration avec d'autres organismes de normalisation et institutions responsables au premier chef de l'élaboration et de la mise en </w:t>
      </w:r>
      <w:r w:rsidR="00154B4D" w:rsidRPr="009B37B2">
        <w:t>œuvre</w:t>
      </w:r>
      <w:r w:rsidR="009762E9" w:rsidRPr="009B37B2">
        <w:t xml:space="preserve"> de normes sur les services financiers et du renforcement des capacités en la matière, afin de les sensibiliser à cette question et d'identifier les besoins particuliers des régulateurs ainsi que les problèmes particuliers auxquels ceux-ci sont confrontés pour promouvoir </w:t>
      </w:r>
      <w:r w:rsidR="00B401B9" w:rsidRPr="009B37B2">
        <w:t>l'inclusion financière."</w:t>
      </w:r>
    </w:p>
    <w:p w14:paraId="6F98CAB2" w14:textId="6172361F" w:rsidR="009762E9" w:rsidRPr="009B37B2" w:rsidRDefault="00E2363A" w:rsidP="00691AF7">
      <w:pPr>
        <w:keepNext/>
        <w:keepLines/>
        <w:tabs>
          <w:tab w:val="clear" w:pos="567"/>
          <w:tab w:val="clear" w:pos="1134"/>
          <w:tab w:val="clear" w:pos="1701"/>
          <w:tab w:val="clear" w:pos="2268"/>
          <w:tab w:val="clear" w:pos="2835"/>
        </w:tabs>
      </w:pPr>
      <w:r w:rsidRPr="009B37B2">
        <w:lastRenderedPageBreak/>
        <w:t>3.3.4</w:t>
      </w:r>
      <w:r w:rsidRPr="009B37B2">
        <w:tab/>
      </w:r>
      <w:r w:rsidR="00ED39A6" w:rsidRPr="009B37B2">
        <w:t xml:space="preserve">Conformément à </w:t>
      </w:r>
      <w:r w:rsidRPr="009B37B2">
        <w:t>l</w:t>
      </w:r>
      <w:r w:rsidR="009762E9" w:rsidRPr="009B37B2">
        <w:t xml:space="preserve">a Résolution 204 de la </w:t>
      </w:r>
      <w:r w:rsidRPr="009B37B2">
        <w:t xml:space="preserve">Conférence de plénipotentiaires, </w:t>
      </w:r>
      <w:r w:rsidR="009762E9" w:rsidRPr="009B37B2">
        <w:t>le</w:t>
      </w:r>
      <w:r w:rsidR="00ED39A6" w:rsidRPr="009B37B2">
        <w:t>s</w:t>
      </w:r>
      <w:r w:rsidR="009762E9" w:rsidRPr="009B37B2">
        <w:t xml:space="preserve"> Directeur</w:t>
      </w:r>
      <w:r w:rsidR="00ED39A6" w:rsidRPr="009B37B2">
        <w:t>s</w:t>
      </w:r>
      <w:r w:rsidR="001D7D65">
        <w:t xml:space="preserve"> du </w:t>
      </w:r>
      <w:r w:rsidR="00154B4D" w:rsidRPr="009B37B2">
        <w:t>TSB et</w:t>
      </w:r>
      <w:r w:rsidR="00F00D96" w:rsidRPr="009B37B2">
        <w:t xml:space="preserve"> </w:t>
      </w:r>
      <w:r w:rsidR="009762E9" w:rsidRPr="009B37B2">
        <w:t xml:space="preserve">du </w:t>
      </w:r>
      <w:r w:rsidR="00154B4D" w:rsidRPr="009B37B2">
        <w:t>BDT</w:t>
      </w:r>
      <w:r w:rsidRPr="009B37B2">
        <w:t xml:space="preserve"> sont </w:t>
      </w:r>
      <w:proofErr w:type="gramStart"/>
      <w:r w:rsidRPr="009B37B2">
        <w:t>chargés</w:t>
      </w:r>
      <w:r w:rsidR="009762E9" w:rsidRPr="009B37B2">
        <w:t>:</w:t>
      </w:r>
      <w:proofErr w:type="gramEnd"/>
    </w:p>
    <w:p w14:paraId="7F6B423C" w14:textId="0A39E0CA" w:rsidR="009762E9" w:rsidRPr="009B37B2" w:rsidRDefault="00B401B9" w:rsidP="00691AF7">
      <w:pPr>
        <w:keepNext/>
        <w:keepLines/>
        <w:tabs>
          <w:tab w:val="clear" w:pos="567"/>
          <w:tab w:val="clear" w:pos="1134"/>
          <w:tab w:val="clear" w:pos="1701"/>
          <w:tab w:val="clear" w:pos="2268"/>
          <w:tab w:val="clear" w:pos="2835"/>
        </w:tabs>
        <w:ind w:left="709"/>
      </w:pPr>
      <w:r w:rsidRPr="009B37B2">
        <w:rPr>
          <w:iCs/>
        </w:rPr>
        <w:t>"</w:t>
      </w:r>
      <w:proofErr w:type="gramStart"/>
      <w:r w:rsidR="00EF5096" w:rsidRPr="009B37B2">
        <w:t>2</w:t>
      </w:r>
      <w:r w:rsidR="001362DF">
        <w:t xml:space="preserve">  </w:t>
      </w:r>
      <w:r w:rsidR="009762E9" w:rsidRPr="009B37B2">
        <w:t>d'appuyer</w:t>
      </w:r>
      <w:proofErr w:type="gramEnd"/>
      <w:r w:rsidR="009762E9" w:rsidRPr="009B37B2">
        <w:t xml:space="preserve"> l'élaboration de rapports, d'études et de bonnes pratiques sur l'inclusion financière numérique</w:t>
      </w:r>
      <w:r w:rsidR="00F12191" w:rsidRPr="009B37B2">
        <w:t xml:space="preserve"> […]</w:t>
      </w:r>
      <w:r w:rsidR="009762E9" w:rsidRPr="009B37B2">
        <w:t>;</w:t>
      </w:r>
    </w:p>
    <w:p w14:paraId="03CF61B8" w14:textId="407C5C45" w:rsidR="009762E9" w:rsidRPr="009B37B2" w:rsidRDefault="00EF5096" w:rsidP="001362DF">
      <w:pPr>
        <w:tabs>
          <w:tab w:val="clear" w:pos="567"/>
          <w:tab w:val="clear" w:pos="1134"/>
          <w:tab w:val="clear" w:pos="1701"/>
          <w:tab w:val="clear" w:pos="2268"/>
          <w:tab w:val="clear" w:pos="2835"/>
        </w:tabs>
        <w:ind w:left="709"/>
      </w:pPr>
      <w:r w:rsidRPr="009B37B2">
        <w:t>3</w:t>
      </w:r>
      <w:proofErr w:type="gramStart"/>
      <w:r w:rsidR="009762E9" w:rsidRPr="009B37B2">
        <w:tab/>
      </w:r>
      <w:r w:rsidR="001362DF">
        <w:t xml:space="preserve">  </w:t>
      </w:r>
      <w:r w:rsidR="009762E9" w:rsidRPr="009B37B2">
        <w:t>d'appuyer</w:t>
      </w:r>
      <w:proofErr w:type="gramEnd"/>
      <w:r w:rsidR="009762E9" w:rsidRPr="009B37B2">
        <w:t xml:space="preserve"> la mise en place de structures pertinentes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14:paraId="0FA7D81B" w14:textId="747D8B96" w:rsidR="009762E9" w:rsidRPr="009B37B2" w:rsidRDefault="00EF5096" w:rsidP="001362DF">
      <w:pPr>
        <w:tabs>
          <w:tab w:val="clear" w:pos="567"/>
          <w:tab w:val="clear" w:pos="1134"/>
          <w:tab w:val="clear" w:pos="1701"/>
          <w:tab w:val="clear" w:pos="2268"/>
          <w:tab w:val="clear" w:pos="2835"/>
        </w:tabs>
        <w:ind w:left="709"/>
      </w:pPr>
      <w:proofErr w:type="gramStart"/>
      <w:r w:rsidRPr="009B37B2">
        <w:t>4</w:t>
      </w:r>
      <w:r w:rsidR="001362DF">
        <w:t xml:space="preserve">  </w:t>
      </w:r>
      <w:r w:rsidR="009762E9" w:rsidRPr="009B37B2">
        <w:t>de</w:t>
      </w:r>
      <w:proofErr w:type="gramEnd"/>
      <w:r w:rsidR="009762E9" w:rsidRPr="009B37B2">
        <w:t xml:space="preserve"> continuer d'organiser des ateliers et des séminaires à l'intention des membres de l'UIT, en collaboration avec les autres organismes de normalisation et institutions concernés, afin de les sensibiliser à cette question et de déterminer les besoins particuliers des régulateurs ainsi que les problèmes spécifiques que ceux-ci rencontrent lorsqu'il s'agit de promouvoir l'inclusion financière</w:t>
      </w:r>
      <w:r w:rsidR="00042F7A">
        <w:t>.</w:t>
      </w:r>
      <w:r w:rsidR="00B401B9" w:rsidRPr="009B37B2">
        <w:t>"</w:t>
      </w:r>
    </w:p>
    <w:p w14:paraId="7B49DC2B" w14:textId="63CEC56D" w:rsidR="003F45BE" w:rsidRPr="009B37B2" w:rsidRDefault="003F45BE" w:rsidP="001362DF">
      <w:pPr>
        <w:tabs>
          <w:tab w:val="clear" w:pos="567"/>
          <w:tab w:val="clear" w:pos="1134"/>
          <w:tab w:val="clear" w:pos="1701"/>
          <w:tab w:val="clear" w:pos="2268"/>
          <w:tab w:val="clear" w:pos="2835"/>
        </w:tabs>
      </w:pPr>
      <w:r w:rsidRPr="009B37B2">
        <w:t>3.3.5</w:t>
      </w:r>
      <w:r w:rsidRPr="009B37B2">
        <w:tab/>
      </w:r>
      <w:r w:rsidR="00463167" w:rsidRPr="009B37B2">
        <w:t>La Fondation</w:t>
      </w:r>
      <w:r w:rsidRPr="009B37B2">
        <w:t xml:space="preserve"> Bill </w:t>
      </w:r>
      <w:r w:rsidR="00463167" w:rsidRPr="009B37B2">
        <w:t>&amp;</w:t>
      </w:r>
      <w:r w:rsidRPr="009B37B2">
        <w:t xml:space="preserve"> Melinda Gates </w:t>
      </w:r>
      <w:r w:rsidR="000248DD" w:rsidRPr="009B37B2">
        <w:t>finance depuis trois ans</w:t>
      </w:r>
      <w:r w:rsidR="007961DF" w:rsidRPr="009B37B2">
        <w:t xml:space="preserve"> les activités actuelles d'un fonctionnaire </w:t>
      </w:r>
      <w:r w:rsidR="00CE325A" w:rsidRPr="009B37B2">
        <w:t xml:space="preserve">de grade </w:t>
      </w:r>
      <w:r w:rsidR="007961DF" w:rsidRPr="009B37B2">
        <w:t>P2</w:t>
      </w:r>
      <w:r w:rsidRPr="009B37B2">
        <w:t xml:space="preserve"> </w:t>
      </w:r>
      <w:r w:rsidR="00006DC5" w:rsidRPr="009B37B2">
        <w:t>et d'un</w:t>
      </w:r>
      <w:r w:rsidR="00ED39A6" w:rsidRPr="009B37B2">
        <w:t xml:space="preserve"> fonctionnaire </w:t>
      </w:r>
      <w:r w:rsidR="00CE325A" w:rsidRPr="009B37B2">
        <w:t xml:space="preserve">de grade </w:t>
      </w:r>
      <w:r w:rsidR="00006DC5" w:rsidRPr="009B37B2">
        <w:t>P4</w:t>
      </w:r>
      <w:r w:rsidRPr="009B37B2">
        <w:t xml:space="preserve">. </w:t>
      </w:r>
      <w:r w:rsidR="00463167" w:rsidRPr="009B37B2">
        <w:t>Ce financement prendra fin en</w:t>
      </w:r>
      <w:r w:rsidRPr="009B37B2">
        <w:t xml:space="preserve"> </w:t>
      </w:r>
      <w:r w:rsidR="008B2B93" w:rsidRPr="009B37B2">
        <w:t>juin</w:t>
      </w:r>
      <w:r w:rsidR="0001436B" w:rsidRPr="009B37B2">
        <w:t> </w:t>
      </w:r>
      <w:r w:rsidRPr="009B37B2">
        <w:t>2020.</w:t>
      </w:r>
    </w:p>
    <w:p w14:paraId="5B904AF1" w14:textId="3E904F62" w:rsidR="003F45BE" w:rsidRPr="009B37B2" w:rsidRDefault="003F45BE" w:rsidP="001362DF">
      <w:pPr>
        <w:tabs>
          <w:tab w:val="clear" w:pos="567"/>
          <w:tab w:val="clear" w:pos="1134"/>
          <w:tab w:val="clear" w:pos="1701"/>
          <w:tab w:val="clear" w:pos="2268"/>
          <w:tab w:val="clear" w:pos="2835"/>
        </w:tabs>
      </w:pPr>
      <w:r w:rsidRPr="009B37B2">
        <w:t>3.3.6</w:t>
      </w:r>
      <w:r w:rsidRPr="009B37B2">
        <w:tab/>
      </w:r>
      <w:r w:rsidR="00463167" w:rsidRPr="009B37B2">
        <w:t xml:space="preserve">Nous </w:t>
      </w:r>
      <w:r w:rsidR="008B2B93" w:rsidRPr="009B37B2">
        <w:t xml:space="preserve">demandons </w:t>
      </w:r>
      <w:r w:rsidR="00ED39A6" w:rsidRPr="009B37B2">
        <w:t>qu</w:t>
      </w:r>
      <w:r w:rsidR="00A54667" w:rsidRPr="009B37B2">
        <w:t>'</w:t>
      </w:r>
      <w:r w:rsidR="00ED39A6" w:rsidRPr="009B37B2">
        <w:t xml:space="preserve">il soit fait appel à </w:t>
      </w:r>
      <w:r w:rsidR="008B2B93" w:rsidRPr="009B37B2">
        <w:t>un</w:t>
      </w:r>
      <w:r w:rsidR="00463167" w:rsidRPr="009B37B2">
        <w:t xml:space="preserve"> </w:t>
      </w:r>
      <w:r w:rsidR="00463167" w:rsidRPr="009B37B2">
        <w:rPr>
          <w:b/>
        </w:rPr>
        <w:t xml:space="preserve">fonctionnaire </w:t>
      </w:r>
      <w:r w:rsidR="00ED39A6" w:rsidRPr="009B37B2">
        <w:rPr>
          <w:bCs/>
        </w:rPr>
        <w:t xml:space="preserve">supplémentaire </w:t>
      </w:r>
      <w:r w:rsidR="00CE325A" w:rsidRPr="009B37B2">
        <w:rPr>
          <w:b/>
        </w:rPr>
        <w:t xml:space="preserve">de grade </w:t>
      </w:r>
      <w:r w:rsidRPr="009B37B2">
        <w:rPr>
          <w:b/>
          <w:bCs/>
        </w:rPr>
        <w:t xml:space="preserve">P4 </w:t>
      </w:r>
      <w:r w:rsidR="00463167" w:rsidRPr="009B37B2">
        <w:t xml:space="preserve">et </w:t>
      </w:r>
      <w:r w:rsidR="00ED39A6" w:rsidRPr="009B37B2">
        <w:t xml:space="preserve">à </w:t>
      </w:r>
      <w:r w:rsidR="00463167" w:rsidRPr="009B37B2">
        <w:t xml:space="preserve">un </w:t>
      </w:r>
      <w:r w:rsidR="00463167" w:rsidRPr="009B37B2">
        <w:rPr>
          <w:b/>
        </w:rPr>
        <w:t xml:space="preserve">fonctionnaire </w:t>
      </w:r>
      <w:r w:rsidR="00CE325A" w:rsidRPr="009B37B2">
        <w:rPr>
          <w:b/>
        </w:rPr>
        <w:t xml:space="preserve">de grade </w:t>
      </w:r>
      <w:r w:rsidRPr="009B37B2">
        <w:rPr>
          <w:b/>
          <w:bCs/>
        </w:rPr>
        <w:t>G6</w:t>
      </w:r>
      <w:r w:rsidR="007961DF" w:rsidRPr="009B37B2">
        <w:rPr>
          <w:bCs/>
        </w:rPr>
        <w:t>,</w:t>
      </w:r>
      <w:r w:rsidRPr="009B37B2">
        <w:rPr>
          <w:b/>
          <w:bCs/>
        </w:rPr>
        <w:t xml:space="preserve"> </w:t>
      </w:r>
      <w:r w:rsidR="007961DF" w:rsidRPr="009B37B2">
        <w:t xml:space="preserve">afin de donner suite aux </w:t>
      </w:r>
      <w:r w:rsidRPr="009B37B2">
        <w:t xml:space="preserve">instructions </w:t>
      </w:r>
      <w:r w:rsidR="00990D74" w:rsidRPr="009B37B2">
        <w:t>énoncées</w:t>
      </w:r>
      <w:r w:rsidR="007961DF" w:rsidRPr="009B37B2">
        <w:t xml:space="preserve"> dans la Résolution</w:t>
      </w:r>
      <w:r w:rsidRPr="009B37B2">
        <w:t xml:space="preserve"> 204 </w:t>
      </w:r>
      <w:r w:rsidR="007961DF" w:rsidRPr="009B37B2">
        <w:t>de la Conférence de plénipotentiaires et la</w:t>
      </w:r>
      <w:r w:rsidRPr="009B37B2">
        <w:t xml:space="preserve"> </w:t>
      </w:r>
      <w:r w:rsidR="007961DF" w:rsidRPr="009B37B2">
        <w:t>Résolution</w:t>
      </w:r>
      <w:r w:rsidRPr="009B37B2">
        <w:t xml:space="preserve"> 89 </w:t>
      </w:r>
      <w:r w:rsidR="007961DF" w:rsidRPr="009B37B2">
        <w:t>de l'AMNT</w:t>
      </w:r>
      <w:r w:rsidR="00ED39A6" w:rsidRPr="009B37B2">
        <w:t xml:space="preserve">, pour </w:t>
      </w:r>
      <w:r w:rsidR="00990D74" w:rsidRPr="009B37B2">
        <w:t>appuyer l</w:t>
      </w:r>
      <w:r w:rsidR="007961DF" w:rsidRPr="009B37B2">
        <w:t>es activités en faveur de l'inclusion financière</w:t>
      </w:r>
      <w:r w:rsidRPr="009B37B2">
        <w:t>.</w:t>
      </w:r>
    </w:p>
    <w:p w14:paraId="6DBF316C" w14:textId="3DD68672" w:rsidR="00E75F0E" w:rsidRPr="009B37B2" w:rsidRDefault="003F45BE" w:rsidP="001362DF">
      <w:pPr>
        <w:pStyle w:val="Heading2"/>
        <w:tabs>
          <w:tab w:val="clear" w:pos="567"/>
          <w:tab w:val="clear" w:pos="1134"/>
          <w:tab w:val="clear" w:pos="1701"/>
          <w:tab w:val="clear" w:pos="2268"/>
          <w:tab w:val="clear" w:pos="2835"/>
        </w:tabs>
        <w:ind w:left="709" w:hanging="709"/>
      </w:pPr>
      <w:bookmarkStart w:id="33" w:name="_Toc39559431"/>
      <w:r w:rsidRPr="009B37B2">
        <w:t>3.4</w:t>
      </w:r>
      <w:r w:rsidRPr="009B37B2">
        <w:tab/>
      </w:r>
      <w:r w:rsidR="00AB4231" w:rsidRPr="00691AF7">
        <w:rPr>
          <w:spacing w:val="-4"/>
        </w:rPr>
        <w:t>Spécialiste</w:t>
      </w:r>
      <w:r w:rsidR="00F00D96" w:rsidRPr="00691AF7">
        <w:rPr>
          <w:spacing w:val="-4"/>
        </w:rPr>
        <w:t xml:space="preserve"> </w:t>
      </w:r>
      <w:r w:rsidR="00834BBE" w:rsidRPr="00691AF7">
        <w:rPr>
          <w:spacing w:val="-4"/>
        </w:rPr>
        <w:t>de l'apprentissage automatique</w:t>
      </w:r>
      <w:r w:rsidR="00ED39A6" w:rsidRPr="00691AF7">
        <w:rPr>
          <w:spacing w:val="-4"/>
        </w:rPr>
        <w:t xml:space="preserve"> appliqué aux </w:t>
      </w:r>
      <w:r w:rsidR="00834BBE" w:rsidRPr="00691AF7">
        <w:rPr>
          <w:spacing w:val="-4"/>
        </w:rPr>
        <w:t xml:space="preserve">infrastructures et </w:t>
      </w:r>
      <w:r w:rsidR="00ED39A6" w:rsidRPr="00691AF7">
        <w:rPr>
          <w:spacing w:val="-4"/>
        </w:rPr>
        <w:t>aux</w:t>
      </w:r>
      <w:r w:rsidR="00F00D96" w:rsidRPr="00691AF7">
        <w:rPr>
          <w:spacing w:val="-4"/>
        </w:rPr>
        <w:t xml:space="preserve"> </w:t>
      </w:r>
      <w:r w:rsidR="00834BBE" w:rsidRPr="00691AF7">
        <w:rPr>
          <w:spacing w:val="-4"/>
        </w:rPr>
        <w:t>services</w:t>
      </w:r>
      <w:r w:rsidR="00F00D96" w:rsidRPr="00691AF7">
        <w:rPr>
          <w:spacing w:val="-4"/>
        </w:rPr>
        <w:t xml:space="preserve"> </w:t>
      </w:r>
      <w:r w:rsidR="00834BBE" w:rsidRPr="00691AF7">
        <w:rPr>
          <w:spacing w:val="-4"/>
        </w:rPr>
        <w:t>TIC</w:t>
      </w:r>
      <w:bookmarkEnd w:id="33"/>
    </w:p>
    <w:p w14:paraId="0FA745CD" w14:textId="4CA890FC" w:rsidR="009762E9" w:rsidRPr="009B37B2" w:rsidRDefault="003F45BE" w:rsidP="001362DF">
      <w:pPr>
        <w:tabs>
          <w:tab w:val="clear" w:pos="567"/>
          <w:tab w:val="clear" w:pos="1134"/>
          <w:tab w:val="clear" w:pos="1701"/>
          <w:tab w:val="clear" w:pos="2268"/>
          <w:tab w:val="clear" w:pos="2835"/>
        </w:tabs>
      </w:pPr>
      <w:r w:rsidRPr="009B37B2">
        <w:rPr>
          <w:bCs/>
        </w:rPr>
        <w:t>3.4.1</w:t>
      </w:r>
      <w:r w:rsidRPr="009B37B2">
        <w:rPr>
          <w:bCs/>
        </w:rPr>
        <w:tab/>
      </w:r>
      <w:r w:rsidR="00D060DE" w:rsidRPr="009B37B2">
        <w:rPr>
          <w:bCs/>
        </w:rPr>
        <w:t>L'intelligence artificielle (</w:t>
      </w:r>
      <w:r w:rsidR="00F260F4" w:rsidRPr="009B37B2">
        <w:rPr>
          <w:bCs/>
        </w:rPr>
        <w:t>AI</w:t>
      </w:r>
      <w:r w:rsidRPr="009B37B2">
        <w:rPr>
          <w:bCs/>
        </w:rPr>
        <w:t>) sera la principale technologie de demain et aura une influence sur tous les aspects de not</w:t>
      </w:r>
      <w:r w:rsidR="00D060DE" w:rsidRPr="009B37B2">
        <w:rPr>
          <w:bCs/>
        </w:rPr>
        <w:t>re société. En particulier,</w:t>
      </w:r>
      <w:r w:rsidR="00F260F4" w:rsidRPr="009B37B2">
        <w:rPr>
          <w:bCs/>
        </w:rPr>
        <w:t xml:space="preserve"> l'AI</w:t>
      </w:r>
      <w:r w:rsidRPr="009B37B2">
        <w:rPr>
          <w:bCs/>
        </w:rPr>
        <w:t xml:space="preserve"> et l'apprentissage automatique </w:t>
      </w:r>
      <w:r w:rsidR="00ED39A6" w:rsidRPr="009B37B2">
        <w:rPr>
          <w:bCs/>
        </w:rPr>
        <w:t xml:space="preserve">(ML) </w:t>
      </w:r>
      <w:r w:rsidRPr="009B37B2">
        <w:rPr>
          <w:bCs/>
        </w:rPr>
        <w:t>détermineront</w:t>
      </w:r>
      <w:r w:rsidR="00ED39A6" w:rsidRPr="009B37B2">
        <w:rPr>
          <w:bCs/>
        </w:rPr>
        <w:t xml:space="preserve"> la façon dont </w:t>
      </w:r>
      <w:r w:rsidRPr="009B37B2">
        <w:rPr>
          <w:bCs/>
        </w:rPr>
        <w:t>les réseaux de communication</w:t>
      </w:r>
      <w:r w:rsidR="00D060DE" w:rsidRPr="009B37B2">
        <w:rPr>
          <w:bCs/>
        </w:rPr>
        <w:t xml:space="preserve"> </w:t>
      </w:r>
      <w:r w:rsidRPr="009B37B2">
        <w:rPr>
          <w:bCs/>
        </w:rPr>
        <w:t>seront exploités</w:t>
      </w:r>
      <w:r w:rsidR="00D060DE" w:rsidRPr="009B37B2">
        <w:rPr>
          <w:bCs/>
        </w:rPr>
        <w:t xml:space="preserve"> et</w:t>
      </w:r>
      <w:r w:rsidR="00ED39A6" w:rsidRPr="009B37B2">
        <w:rPr>
          <w:bCs/>
        </w:rPr>
        <w:t xml:space="preserve"> dont </w:t>
      </w:r>
      <w:r w:rsidR="00D060DE" w:rsidRPr="009B37B2">
        <w:rPr>
          <w:bCs/>
        </w:rPr>
        <w:t>les services</w:t>
      </w:r>
      <w:r w:rsidR="00F00D96" w:rsidRPr="009B37B2">
        <w:rPr>
          <w:bCs/>
        </w:rPr>
        <w:t xml:space="preserve"> </w:t>
      </w:r>
      <w:r w:rsidR="00D060DE" w:rsidRPr="009B37B2">
        <w:rPr>
          <w:bCs/>
        </w:rPr>
        <w:t xml:space="preserve">TIC </w:t>
      </w:r>
      <w:r w:rsidR="00611CB3" w:rsidRPr="009B37B2">
        <w:rPr>
          <w:bCs/>
        </w:rPr>
        <w:t>répondront aux exigences des utilisateurs</w:t>
      </w:r>
      <w:r w:rsidRPr="009B37B2">
        <w:rPr>
          <w:bCs/>
        </w:rPr>
        <w:t>.</w:t>
      </w:r>
      <w:r w:rsidR="00ED39A6" w:rsidRPr="009B37B2">
        <w:rPr>
          <w:bCs/>
        </w:rPr>
        <w:t xml:space="preserve"> Bon nombre d</w:t>
      </w:r>
      <w:r w:rsidR="00A54667" w:rsidRPr="009B37B2">
        <w:rPr>
          <w:bCs/>
        </w:rPr>
        <w:t>'</w:t>
      </w:r>
      <w:r w:rsidR="00ED39A6" w:rsidRPr="009B37B2">
        <w:rPr>
          <w:bCs/>
        </w:rPr>
        <w:t>entreprises</w:t>
      </w:r>
      <w:r w:rsidR="00F00D96" w:rsidRPr="009B37B2">
        <w:rPr>
          <w:bCs/>
        </w:rPr>
        <w:t xml:space="preserve"> </w:t>
      </w:r>
      <w:r w:rsidRPr="009B37B2">
        <w:rPr>
          <w:bCs/>
        </w:rPr>
        <w:t xml:space="preserve">du secteur des TIC </w:t>
      </w:r>
      <w:r w:rsidR="00ED39A6" w:rsidRPr="009B37B2">
        <w:rPr>
          <w:bCs/>
        </w:rPr>
        <w:t>réfléchissent actuellement à la manière d</w:t>
      </w:r>
      <w:r w:rsidR="00A54667" w:rsidRPr="009B37B2">
        <w:rPr>
          <w:bCs/>
        </w:rPr>
        <w:t>'</w:t>
      </w:r>
      <w:r w:rsidRPr="009B37B2">
        <w:rPr>
          <w:bCs/>
        </w:rPr>
        <w:t>utiliser au mieux</w:t>
      </w:r>
      <w:r w:rsidR="00E66337" w:rsidRPr="009B37B2">
        <w:rPr>
          <w:bCs/>
        </w:rPr>
        <w:t xml:space="preserve"> l'AI</w:t>
      </w:r>
      <w:r w:rsidR="002D468C" w:rsidRPr="009B37B2">
        <w:rPr>
          <w:bCs/>
        </w:rPr>
        <w:t xml:space="preserve"> et l'apprentissage automatique</w:t>
      </w:r>
      <w:r w:rsidRPr="009B37B2">
        <w:rPr>
          <w:bCs/>
        </w:rPr>
        <w:t>.</w:t>
      </w:r>
    </w:p>
    <w:p w14:paraId="28F2048E" w14:textId="199484AF" w:rsidR="003F45BE" w:rsidRPr="007D4A76" w:rsidRDefault="003F45BE" w:rsidP="001362DF">
      <w:pPr>
        <w:tabs>
          <w:tab w:val="clear" w:pos="567"/>
          <w:tab w:val="clear" w:pos="1134"/>
          <w:tab w:val="clear" w:pos="1701"/>
          <w:tab w:val="clear" w:pos="2268"/>
          <w:tab w:val="clear" w:pos="2835"/>
        </w:tabs>
      </w:pPr>
      <w:r w:rsidRPr="007D4A76">
        <w:t>3.4.2</w:t>
      </w:r>
      <w:r w:rsidRPr="007D4A76">
        <w:tab/>
        <w:t>L'UIT est à l'avant-garde de</w:t>
      </w:r>
      <w:r w:rsidR="00ED39A6" w:rsidRPr="007D4A76">
        <w:t>s</w:t>
      </w:r>
      <w:r w:rsidR="00F00D96" w:rsidRPr="007D4A76">
        <w:t xml:space="preserve"> </w:t>
      </w:r>
      <w:r w:rsidRPr="007D4A76">
        <w:t xml:space="preserve">efforts </w:t>
      </w:r>
      <w:r w:rsidR="00ED39A6" w:rsidRPr="007D4A76">
        <w:t>déployés pour déterminer la meilleure manière</w:t>
      </w:r>
      <w:r w:rsidR="00F00D96" w:rsidRPr="007D4A76">
        <w:t xml:space="preserve"> </w:t>
      </w:r>
      <w:r w:rsidR="00ED39A6" w:rsidRPr="007D4A76">
        <w:t>d</w:t>
      </w:r>
      <w:r w:rsidR="00A54667" w:rsidRPr="007D4A76">
        <w:t>'</w:t>
      </w:r>
      <w:r w:rsidR="00366831" w:rsidRPr="007D4A76">
        <w:t>appliquer</w:t>
      </w:r>
      <w:r w:rsidR="00F00D96" w:rsidRPr="007D4A76">
        <w:t xml:space="preserve"> </w:t>
      </w:r>
      <w:r w:rsidR="00366831" w:rsidRPr="007D4A76">
        <w:t>l'</w:t>
      </w:r>
      <w:r w:rsidR="00F260F4" w:rsidRPr="007D4A76">
        <w:t>AI</w:t>
      </w:r>
      <w:r w:rsidRPr="007D4A76">
        <w:t xml:space="preserve"> et l'apprentissage automatique dans les </w:t>
      </w:r>
      <w:r w:rsidR="00366831" w:rsidRPr="007D4A76">
        <w:t>envir</w:t>
      </w:r>
      <w:r w:rsidR="001D7D65" w:rsidRPr="007D4A76">
        <w:t>onnements des réseaux futurs, y </w:t>
      </w:r>
      <w:r w:rsidR="00366831" w:rsidRPr="007D4A76">
        <w:t xml:space="preserve">compris </w:t>
      </w:r>
      <w:r w:rsidR="00ED39A6" w:rsidRPr="007D4A76">
        <w:t>l</w:t>
      </w:r>
      <w:r w:rsidRPr="007D4A76">
        <w:t>es réseaux 5G</w:t>
      </w:r>
      <w:r w:rsidR="00366831" w:rsidRPr="007D4A76">
        <w:t xml:space="preserve"> et </w:t>
      </w:r>
      <w:r w:rsidR="00ED39A6" w:rsidRPr="007D4A76">
        <w:t>l</w:t>
      </w:r>
      <w:r w:rsidR="00366831" w:rsidRPr="007D4A76">
        <w:t>es réseaux industriels privés</w:t>
      </w:r>
      <w:r w:rsidRPr="007D4A76">
        <w:t>, et a déjà approuvé quatre spécifications, qui font partie d'un kit pratique visant à mettre en</w:t>
      </w:r>
      <w:r w:rsidR="00ED39A6" w:rsidRPr="007D4A76">
        <w:t xml:space="preserve"> place </w:t>
      </w:r>
      <w:r w:rsidRPr="007D4A76">
        <w:t>l'apprentissage automatique dans les réseaux de communication</w:t>
      </w:r>
      <w:r w:rsidR="00366831" w:rsidRPr="007D4A76">
        <w:t>:</w:t>
      </w:r>
      <w:r w:rsidR="00F00D96" w:rsidRPr="007D4A76">
        <w:t xml:space="preserve"> </w:t>
      </w:r>
      <w:r w:rsidR="00366831" w:rsidRPr="007D4A76">
        <w:t>cas d'utilisation (Supplé</w:t>
      </w:r>
      <w:r w:rsidRPr="007D4A76">
        <w:t>ment 55</w:t>
      </w:r>
      <w:r w:rsidR="00ED39A6" w:rsidRPr="007D4A76">
        <w:t xml:space="preserve"> aux Recommandations de la </w:t>
      </w:r>
      <w:r w:rsidR="00366831" w:rsidRPr="007D4A76">
        <w:t>série UIT</w:t>
      </w:r>
      <w:r w:rsidRPr="007D4A76">
        <w:t>-T Y.3170</w:t>
      </w:r>
      <w:r w:rsidR="00386284" w:rsidRPr="007D4A76">
        <w:t>),</w:t>
      </w:r>
      <w:r w:rsidR="00F00D96" w:rsidRPr="007D4A76">
        <w:t xml:space="preserve"> </w:t>
      </w:r>
      <w:r w:rsidR="00366831" w:rsidRPr="007D4A76">
        <w:t>cadre architectural (Recommandation UIT</w:t>
      </w:r>
      <w:r w:rsidRPr="007D4A76">
        <w:t>-T Y.3172),</w:t>
      </w:r>
      <w:r w:rsidR="00F00D96" w:rsidRPr="007D4A76">
        <w:t xml:space="preserve"> </w:t>
      </w:r>
      <w:r w:rsidR="00366831" w:rsidRPr="007D4A76">
        <w:t>é</w:t>
      </w:r>
      <w:r w:rsidR="00C6628B" w:rsidRPr="007D4A76">
        <w:t xml:space="preserve">valuation du </w:t>
      </w:r>
      <w:r w:rsidR="00366831" w:rsidRPr="007D4A76">
        <w:t>niveau d'</w:t>
      </w:r>
      <w:r w:rsidRPr="007D4A76">
        <w:t xml:space="preserve">intelligence </w:t>
      </w:r>
      <w:r w:rsidR="00366831" w:rsidRPr="007D4A76">
        <w:t>des réseaux (Recommandation UIT-T Y.3173)</w:t>
      </w:r>
      <w:r w:rsidRPr="007D4A76">
        <w:t xml:space="preserve"> </w:t>
      </w:r>
      <w:r w:rsidR="00366831" w:rsidRPr="007D4A76">
        <w:t>et</w:t>
      </w:r>
      <w:r w:rsidR="00F00D96" w:rsidRPr="007D4A76">
        <w:t xml:space="preserve"> </w:t>
      </w:r>
      <w:r w:rsidR="00366831" w:rsidRPr="007D4A76">
        <w:t>traitement des données (Recommandation UIT</w:t>
      </w:r>
      <w:r w:rsidR="007D4A76">
        <w:t>-T Y.3174</w:t>
      </w:r>
      <w:r w:rsidRPr="007D4A76">
        <w:t>).</w:t>
      </w:r>
    </w:p>
    <w:p w14:paraId="2CAEED93" w14:textId="01499C95" w:rsidR="003F45BE" w:rsidRPr="009B37B2" w:rsidRDefault="003F45BE" w:rsidP="001362DF">
      <w:pPr>
        <w:tabs>
          <w:tab w:val="clear" w:pos="567"/>
          <w:tab w:val="clear" w:pos="1134"/>
          <w:tab w:val="clear" w:pos="1701"/>
          <w:tab w:val="clear" w:pos="2268"/>
          <w:tab w:val="clear" w:pos="2835"/>
        </w:tabs>
      </w:pPr>
      <w:r w:rsidRPr="007D4A76">
        <w:t>3.4.3</w:t>
      </w:r>
      <w:r w:rsidRPr="007D4A76">
        <w:tab/>
      </w:r>
      <w:bookmarkStart w:id="34" w:name="lt_pId174"/>
      <w:r w:rsidR="00F23A7D" w:rsidRPr="007D4A76">
        <w:t>D</w:t>
      </w:r>
      <w:r w:rsidR="00366831" w:rsidRPr="007D4A76">
        <w:t>'autres normes sont en cours d'élaboration</w:t>
      </w:r>
      <w:r w:rsidR="00ED39A6" w:rsidRPr="007D4A76">
        <w:t>, à savoir</w:t>
      </w:r>
      <w:r w:rsidR="00F00D96" w:rsidRPr="007D4A76">
        <w:t>:</w:t>
      </w:r>
      <w:bookmarkEnd w:id="34"/>
      <w:r w:rsidR="00F00D96" w:rsidRPr="007D4A76">
        <w:t xml:space="preserve"> </w:t>
      </w:r>
      <w:bookmarkStart w:id="35" w:name="lt_pId175"/>
      <w:r w:rsidR="00F23A7D" w:rsidRPr="007D4A76">
        <w:t>norme prenant en charge</w:t>
      </w:r>
      <w:r w:rsidR="00F23A7D" w:rsidRPr="009B37B2">
        <w:t xml:space="preserve"> l'interopérabilité des</w:t>
      </w:r>
      <w:r w:rsidR="00F00D96" w:rsidRPr="009B37B2">
        <w:t xml:space="preserve"> </w:t>
      </w:r>
      <w:r w:rsidR="005A38C3" w:rsidRPr="009B37B2">
        <w:t>marché</w:t>
      </w:r>
      <w:r w:rsidR="00ED39A6" w:rsidRPr="009B37B2">
        <w:t>s</w:t>
      </w:r>
      <w:r w:rsidR="00F23A7D" w:rsidRPr="009B37B2">
        <w:t xml:space="preserve"> </w:t>
      </w:r>
      <w:r w:rsidR="005A38C3" w:rsidRPr="009B37B2">
        <w:t>de l'apprentissage automatique</w:t>
      </w:r>
      <w:r w:rsidR="00ED39A6" w:rsidRPr="009B37B2">
        <w:t xml:space="preserve"> (marchés </w:t>
      </w:r>
      <w:r w:rsidR="00E921AD" w:rsidRPr="009B37B2">
        <w:t>qui hébergent</w:t>
      </w:r>
      <w:r w:rsidR="00607E2D" w:rsidRPr="009B37B2">
        <w:t xml:space="preserve"> </w:t>
      </w:r>
      <w:r w:rsidR="002F0B7F" w:rsidRPr="009B37B2">
        <w:t>des</w:t>
      </w:r>
      <w:r w:rsidRPr="009B37B2">
        <w:t xml:space="preserve"> </w:t>
      </w:r>
      <w:r w:rsidR="00D0247F" w:rsidRPr="009B37B2">
        <w:t>référentiels de</w:t>
      </w:r>
      <w:r w:rsidRPr="009B37B2">
        <w:t xml:space="preserve"> </w:t>
      </w:r>
      <w:r w:rsidR="00381CC2" w:rsidRPr="009B37B2">
        <w:t>modèles d'apprentissage automatique</w:t>
      </w:r>
      <w:r w:rsidR="00ED39A6" w:rsidRPr="009B37B2">
        <w:t>)</w:t>
      </w:r>
      <w:r w:rsidRPr="009B37B2">
        <w:t>;</w:t>
      </w:r>
      <w:bookmarkEnd w:id="35"/>
      <w:r w:rsidR="00F00D96" w:rsidRPr="009B37B2">
        <w:t xml:space="preserve"> </w:t>
      </w:r>
      <w:bookmarkStart w:id="36" w:name="lt_pId176"/>
      <w:r w:rsidR="00381CC2" w:rsidRPr="009B37B2">
        <w:t xml:space="preserve">norme décrivant les </w:t>
      </w:r>
      <w:r w:rsidR="00A34E7F" w:rsidRPr="009B37B2">
        <w:t xml:space="preserve">"bacs à sable </w:t>
      </w:r>
      <w:r w:rsidR="00C6628B" w:rsidRPr="009B37B2">
        <w:t>pour</w:t>
      </w:r>
      <w:r w:rsidR="00255D1F" w:rsidRPr="009B37B2">
        <w:t xml:space="preserve"> l</w:t>
      </w:r>
      <w:r w:rsidR="00A34E7F" w:rsidRPr="009B37B2">
        <w:t>'apprentissage automatique"</w:t>
      </w:r>
      <w:r w:rsidRPr="009B37B2">
        <w:t xml:space="preserve"> (</w:t>
      </w:r>
      <w:r w:rsidR="00A34E7F" w:rsidRPr="009B37B2">
        <w:t xml:space="preserve">les "bacs à sable" </w:t>
      </w:r>
      <w:r w:rsidR="00255D1F" w:rsidRPr="009B37B2">
        <w:t>(</w:t>
      </w:r>
      <w:proofErr w:type="spellStart"/>
      <w:r w:rsidR="00255D1F" w:rsidRPr="009B37B2">
        <w:rPr>
          <w:i/>
        </w:rPr>
        <w:t>sandboxes</w:t>
      </w:r>
      <w:proofErr w:type="spellEnd"/>
      <w:r w:rsidR="00255D1F" w:rsidRPr="009B37B2">
        <w:t>) fournissent des environnements isolés</w:t>
      </w:r>
      <w:r w:rsidRPr="009B37B2">
        <w:t xml:space="preserve"> </w:t>
      </w:r>
      <w:r w:rsidR="00371233" w:rsidRPr="009B37B2">
        <w:t>qui hébergent</w:t>
      </w:r>
      <w:r w:rsidR="00255D1F" w:rsidRPr="009B37B2">
        <w:t xml:space="preserve"> des pipelines</w:t>
      </w:r>
      <w:r w:rsidRPr="009B37B2">
        <w:t xml:space="preserve"> </w:t>
      </w:r>
      <w:r w:rsidR="00255D1F" w:rsidRPr="009B37B2">
        <w:t xml:space="preserve">d'apprentissage automatique </w:t>
      </w:r>
      <w:r w:rsidR="002B25EA" w:rsidRPr="009B37B2">
        <w:t>distincts</w:t>
      </w:r>
      <w:r w:rsidR="00F00D96" w:rsidRPr="009B37B2">
        <w:t xml:space="preserve"> </w:t>
      </w:r>
      <w:r w:rsidR="00255D1F" w:rsidRPr="009B37B2">
        <w:t>pour</w:t>
      </w:r>
      <w:r w:rsidRPr="009B37B2">
        <w:t xml:space="preserve"> </w:t>
      </w:r>
      <w:r w:rsidR="002B25EA" w:rsidRPr="009B37B2">
        <w:t>entraîner</w:t>
      </w:r>
      <w:r w:rsidRPr="009B37B2">
        <w:t>, test</w:t>
      </w:r>
      <w:r w:rsidR="00A34E7F" w:rsidRPr="009B37B2">
        <w:t>er</w:t>
      </w:r>
      <w:r w:rsidRPr="009B37B2">
        <w:t xml:space="preserve"> </w:t>
      </w:r>
      <w:r w:rsidR="00A34E7F" w:rsidRPr="009B37B2">
        <w:t>et évaluer des</w:t>
      </w:r>
      <w:r w:rsidRPr="009B37B2">
        <w:t xml:space="preserve"> </w:t>
      </w:r>
      <w:r w:rsidR="00377134" w:rsidRPr="009B37B2">
        <w:t xml:space="preserve">applications d'apprentissage automatique avant de les déployer </w:t>
      </w:r>
      <w:r w:rsidR="00C6628B" w:rsidRPr="009B37B2">
        <w:t>dans</w:t>
      </w:r>
      <w:r w:rsidR="00377134" w:rsidRPr="009B37B2">
        <w:t xml:space="preserve"> un réseau </w:t>
      </w:r>
      <w:r w:rsidR="00C6628B" w:rsidRPr="009B37B2">
        <w:lastRenderedPageBreak/>
        <w:t>opérationnel</w:t>
      </w:r>
      <w:r w:rsidRPr="009B37B2">
        <w:t>);</w:t>
      </w:r>
      <w:bookmarkEnd w:id="36"/>
      <w:r w:rsidRPr="009B37B2">
        <w:t xml:space="preserve"> </w:t>
      </w:r>
      <w:bookmarkStart w:id="37" w:name="lt_pId177"/>
      <w:r w:rsidR="00C6628B" w:rsidRPr="009B37B2">
        <w:t>et une norme sur</w:t>
      </w:r>
      <w:r w:rsidRPr="009B37B2">
        <w:t xml:space="preserve"> </w:t>
      </w:r>
      <w:r w:rsidR="00C6628B" w:rsidRPr="009B37B2">
        <w:t xml:space="preserve">"l'orchestration des fonctions de l'apprentissage automatique" pour </w:t>
      </w:r>
      <w:r w:rsidR="001038AC" w:rsidRPr="009B37B2">
        <w:t>aider à gérer les réseaux</w:t>
      </w:r>
      <w:r w:rsidRPr="009B37B2">
        <w:t>.</w:t>
      </w:r>
      <w:bookmarkEnd w:id="37"/>
    </w:p>
    <w:p w14:paraId="3152AE9A" w14:textId="6C7EA71C" w:rsidR="009762E9" w:rsidRPr="009B37B2" w:rsidRDefault="003F45BE" w:rsidP="001362DF">
      <w:pPr>
        <w:tabs>
          <w:tab w:val="clear" w:pos="567"/>
          <w:tab w:val="clear" w:pos="1134"/>
          <w:tab w:val="clear" w:pos="1701"/>
          <w:tab w:val="clear" w:pos="2268"/>
          <w:tab w:val="clear" w:pos="2835"/>
        </w:tabs>
      </w:pPr>
      <w:r w:rsidRPr="009B37B2">
        <w:t>3.4.4</w:t>
      </w:r>
      <w:r w:rsidRPr="009B37B2">
        <w:tab/>
      </w:r>
      <w:bookmarkStart w:id="38" w:name="lt_pId179"/>
      <w:r w:rsidR="001038AC" w:rsidRPr="009B37B2">
        <w:t xml:space="preserve">Pour résoudre </w:t>
      </w:r>
      <w:r w:rsidR="002B25EA" w:rsidRPr="009B37B2">
        <w:t>certains</w:t>
      </w:r>
      <w:r w:rsidR="00F00D96" w:rsidRPr="009B37B2">
        <w:t xml:space="preserve"> </w:t>
      </w:r>
      <w:r w:rsidR="001038AC" w:rsidRPr="009B37B2">
        <w:t>problèmes</w:t>
      </w:r>
      <w:r w:rsidR="00F00D96" w:rsidRPr="009B37B2">
        <w:t xml:space="preserve"> </w:t>
      </w:r>
      <w:r w:rsidR="001B2EAA" w:rsidRPr="009B37B2">
        <w:t>concernant</w:t>
      </w:r>
      <w:r w:rsidR="001038AC" w:rsidRPr="009B37B2">
        <w:t xml:space="preserve"> la 5G</w:t>
      </w:r>
      <w:r w:rsidR="00F00D96" w:rsidRPr="009B37B2">
        <w:t xml:space="preserve"> </w:t>
      </w:r>
      <w:r w:rsidR="001B2EAA" w:rsidRPr="009B37B2">
        <w:t>à</w:t>
      </w:r>
      <w:r w:rsidR="002B25EA" w:rsidRPr="009B37B2">
        <w:t xml:space="preserve"> l</w:t>
      </w:r>
      <w:r w:rsidR="00A54667" w:rsidRPr="009B37B2">
        <w:t>'</w:t>
      </w:r>
      <w:r w:rsidR="002B25EA" w:rsidRPr="009B37B2">
        <w:t>aide de</w:t>
      </w:r>
      <w:r w:rsidR="001038AC" w:rsidRPr="009B37B2">
        <w:t xml:space="preserve"> l'apprentissage automatique</w:t>
      </w:r>
      <w:r w:rsidRPr="009B37B2">
        <w:t xml:space="preserve">, </w:t>
      </w:r>
      <w:r w:rsidR="001038AC" w:rsidRPr="009B37B2">
        <w:t>l'UIT</w:t>
      </w:r>
      <w:r w:rsidR="001B2EAA" w:rsidRPr="009B37B2">
        <w:t xml:space="preserve"> organise aussi un</w:t>
      </w:r>
      <w:r w:rsidRPr="009B37B2">
        <w:t xml:space="preserve"> </w:t>
      </w:r>
      <w:r w:rsidR="001038AC" w:rsidRPr="009B37B2">
        <w:t>Concours de l'UIT sur l'AI/ML</w:t>
      </w:r>
      <w:r w:rsidRPr="009B37B2">
        <w:t xml:space="preserve"> </w:t>
      </w:r>
      <w:r w:rsidR="001B2EAA" w:rsidRPr="009B37B2">
        <w:t xml:space="preserve">à l'échelle mondiale sur le thème "Comment appliquer l'architecture de l'apprentissage automatique de l'UIT </w:t>
      </w:r>
      <w:r w:rsidR="002B25EA" w:rsidRPr="009B37B2">
        <w:t>aux</w:t>
      </w:r>
      <w:r w:rsidR="00F00D96" w:rsidRPr="009B37B2">
        <w:t xml:space="preserve"> </w:t>
      </w:r>
      <w:r w:rsidR="001B2EAA" w:rsidRPr="009B37B2">
        <w:t xml:space="preserve">réseaux </w:t>
      </w:r>
      <w:r w:rsidR="00AB4231" w:rsidRPr="009B37B2">
        <w:t>5G</w:t>
      </w:r>
      <w:r w:rsidRPr="009B37B2">
        <w:t>".</w:t>
      </w:r>
      <w:bookmarkEnd w:id="38"/>
      <w:r w:rsidRPr="009B37B2">
        <w:t xml:space="preserve"> </w:t>
      </w:r>
      <w:r w:rsidRPr="009B37B2">
        <w:rPr>
          <w:bCs/>
        </w:rPr>
        <w:t>Les participants seront capables de résoudre des problèmes du monde réel, au moyen de technologies normalisées</w:t>
      </w:r>
      <w:r w:rsidR="002B25EA" w:rsidRPr="009B37B2">
        <w:rPr>
          <w:bCs/>
        </w:rPr>
        <w:t xml:space="preserve"> conçues </w:t>
      </w:r>
      <w:r w:rsidRPr="009B37B2">
        <w:rPr>
          <w:bCs/>
        </w:rPr>
        <w:t xml:space="preserve">pour l'apprentissage automatique dans les réseaux 5G. Les équipes devront imaginer, créer, entraîner et déployer des modèles ML, </w:t>
      </w:r>
      <w:r w:rsidR="002B25EA" w:rsidRPr="009B37B2">
        <w:rPr>
          <w:bCs/>
        </w:rPr>
        <w:t>afin que les</w:t>
      </w:r>
      <w:r w:rsidR="00F00D96" w:rsidRPr="009B37B2">
        <w:rPr>
          <w:bCs/>
        </w:rPr>
        <w:t xml:space="preserve"> </w:t>
      </w:r>
      <w:r w:rsidRPr="009B37B2">
        <w:rPr>
          <w:bCs/>
        </w:rPr>
        <w:t xml:space="preserve">participants </w:t>
      </w:r>
      <w:r w:rsidR="002B25EA" w:rsidRPr="009B37B2">
        <w:rPr>
          <w:bCs/>
        </w:rPr>
        <w:t xml:space="preserve">puissent </w:t>
      </w:r>
      <w:r w:rsidRPr="009B37B2">
        <w:rPr>
          <w:bCs/>
        </w:rPr>
        <w:t>acquérir une expérience pratique en matière d'AI/ML dans des domaines présentant un intérêt pour la 5G.</w:t>
      </w:r>
    </w:p>
    <w:p w14:paraId="012CD984" w14:textId="43524DEF" w:rsidR="003F45BE" w:rsidRPr="009B37B2" w:rsidRDefault="003F45BE" w:rsidP="001362DF">
      <w:pPr>
        <w:tabs>
          <w:tab w:val="clear" w:pos="567"/>
          <w:tab w:val="clear" w:pos="1134"/>
          <w:tab w:val="clear" w:pos="1701"/>
          <w:tab w:val="clear" w:pos="2268"/>
          <w:tab w:val="clear" w:pos="2835"/>
        </w:tabs>
      </w:pPr>
      <w:r w:rsidRPr="009B37B2">
        <w:t>3.4.5</w:t>
      </w:r>
      <w:r w:rsidRPr="009B37B2">
        <w:tab/>
      </w:r>
      <w:bookmarkStart w:id="39" w:name="lt_pId183"/>
      <w:r w:rsidR="003A3DE0" w:rsidRPr="009B37B2">
        <w:t>Pour appuyer les travaux de l'UIT sur l'intelligence artificielle et l'apprentissage automatique</w:t>
      </w:r>
      <w:r w:rsidRPr="009B37B2">
        <w:t xml:space="preserve">, </w:t>
      </w:r>
      <w:r w:rsidR="00B033BC" w:rsidRPr="009B37B2">
        <w:t xml:space="preserve">nous </w:t>
      </w:r>
      <w:r w:rsidR="00AB4231" w:rsidRPr="009B37B2">
        <w:t xml:space="preserve">demandons </w:t>
      </w:r>
      <w:r w:rsidR="002B25EA" w:rsidRPr="009B37B2">
        <w:t>qu</w:t>
      </w:r>
      <w:r w:rsidR="00A54667" w:rsidRPr="009B37B2">
        <w:t>'</w:t>
      </w:r>
      <w:r w:rsidR="002B25EA" w:rsidRPr="009B37B2">
        <w:t xml:space="preserve">il soit fait appel à </w:t>
      </w:r>
      <w:r w:rsidR="00B033BC" w:rsidRPr="009B37B2">
        <w:rPr>
          <w:b/>
          <w:bCs/>
        </w:rPr>
        <w:t>un</w:t>
      </w:r>
      <w:r w:rsidRPr="009B37B2">
        <w:rPr>
          <w:b/>
          <w:bCs/>
        </w:rPr>
        <w:t xml:space="preserve"> </w:t>
      </w:r>
      <w:r w:rsidR="00B033BC" w:rsidRPr="009B37B2">
        <w:rPr>
          <w:b/>
          <w:bCs/>
        </w:rPr>
        <w:t xml:space="preserve">fonctionnaire </w:t>
      </w:r>
      <w:r w:rsidR="00CE325A" w:rsidRPr="009B37B2">
        <w:rPr>
          <w:b/>
          <w:bCs/>
        </w:rPr>
        <w:t xml:space="preserve">de grade </w:t>
      </w:r>
      <w:r w:rsidRPr="009B37B2">
        <w:rPr>
          <w:b/>
          <w:bCs/>
        </w:rPr>
        <w:t xml:space="preserve">P4 </w:t>
      </w:r>
      <w:r w:rsidR="00B033BC" w:rsidRPr="009B37B2">
        <w:t xml:space="preserve">pour un poste </w:t>
      </w:r>
      <w:r w:rsidR="00AB4231" w:rsidRPr="009B37B2">
        <w:t>de spécialiste</w:t>
      </w:r>
      <w:r w:rsidRPr="009B37B2">
        <w:t xml:space="preserve"> </w:t>
      </w:r>
      <w:r w:rsidR="00AB4231" w:rsidRPr="009B37B2">
        <w:t>de l</w:t>
      </w:r>
      <w:r w:rsidR="00B033BC" w:rsidRPr="009B37B2">
        <w:t xml:space="preserve">'application de l'apprentissage automatique </w:t>
      </w:r>
      <w:r w:rsidR="002B25EA" w:rsidRPr="009B37B2">
        <w:t>aux</w:t>
      </w:r>
      <w:r w:rsidR="00F00D96" w:rsidRPr="009B37B2">
        <w:t xml:space="preserve"> </w:t>
      </w:r>
      <w:r w:rsidR="00B033BC" w:rsidRPr="009B37B2">
        <w:t>réseaux de communication</w:t>
      </w:r>
      <w:r w:rsidRPr="009B37B2">
        <w:t>.</w:t>
      </w:r>
      <w:bookmarkEnd w:id="39"/>
    </w:p>
    <w:p w14:paraId="30A14D95" w14:textId="3E3AEDD9" w:rsidR="003F45BE" w:rsidRPr="009B37B2" w:rsidRDefault="003F45BE" w:rsidP="001362DF">
      <w:pPr>
        <w:pStyle w:val="Heading1"/>
        <w:tabs>
          <w:tab w:val="clear" w:pos="567"/>
          <w:tab w:val="clear" w:pos="1134"/>
          <w:tab w:val="clear" w:pos="1701"/>
          <w:tab w:val="clear" w:pos="2268"/>
          <w:tab w:val="clear" w:pos="2835"/>
        </w:tabs>
        <w:ind w:left="0" w:firstLine="0"/>
      </w:pPr>
      <w:bookmarkStart w:id="40" w:name="_Toc37930311"/>
      <w:bookmarkStart w:id="41" w:name="_Toc39559432"/>
      <w:r w:rsidRPr="009B37B2">
        <w:t>4</w:t>
      </w:r>
      <w:r w:rsidRPr="009B37B2">
        <w:tab/>
      </w:r>
      <w:bookmarkEnd w:id="40"/>
      <w:r w:rsidR="00D7517A" w:rsidRPr="009B37B2">
        <w:t>Résumé des ressources demandées</w:t>
      </w:r>
      <w:bookmarkEnd w:id="41"/>
    </w:p>
    <w:p w14:paraId="6264EC16" w14:textId="64B3243C" w:rsidR="009762E9" w:rsidRPr="009B37B2" w:rsidRDefault="003F45BE" w:rsidP="001362DF">
      <w:pPr>
        <w:tabs>
          <w:tab w:val="clear" w:pos="567"/>
          <w:tab w:val="clear" w:pos="1134"/>
          <w:tab w:val="clear" w:pos="1701"/>
          <w:tab w:val="clear" w:pos="2268"/>
          <w:tab w:val="clear" w:pos="2835"/>
        </w:tabs>
        <w:spacing w:after="240"/>
      </w:pPr>
      <w:r w:rsidRPr="001D7D65">
        <w:t>4.1</w:t>
      </w:r>
      <w:r w:rsidRPr="001D7D65">
        <w:tab/>
      </w:r>
      <w:bookmarkStart w:id="42" w:name="lt_pId187"/>
      <w:r w:rsidR="002B25EA" w:rsidRPr="001D7D65">
        <w:t xml:space="preserve">On trouvera dans </w:t>
      </w:r>
      <w:r w:rsidR="00ED73B2" w:rsidRPr="001D7D65">
        <w:t>le</w:t>
      </w:r>
      <w:r w:rsidR="002B25EA" w:rsidRPr="001D7D65">
        <w:t xml:space="preserve"> </w:t>
      </w:r>
      <w:r w:rsidR="00D7517A" w:rsidRPr="001D7D65">
        <w:t>tableau ci-dessous un résumé des coûts</w:t>
      </w:r>
      <w:r w:rsidR="00F00D96" w:rsidRPr="001D7D65">
        <w:t xml:space="preserve"> </w:t>
      </w:r>
      <w:r w:rsidR="002B25EA" w:rsidRPr="001D7D65">
        <w:t>afférents aux</w:t>
      </w:r>
      <w:r w:rsidR="00D7517A" w:rsidRPr="001D7D65">
        <w:t xml:space="preserve"> ressources supplémentaires </w:t>
      </w:r>
      <w:bookmarkEnd w:id="42"/>
      <w:r w:rsidR="002B25EA" w:rsidRPr="001D7D65">
        <w:t>demandées</w:t>
      </w:r>
      <w:r w:rsidR="0001436B" w:rsidRPr="001D7D65">
        <w:t>.</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2"/>
        <w:gridCol w:w="1559"/>
      </w:tblGrid>
      <w:tr w:rsidR="003F45BE" w:rsidRPr="009B37B2" w14:paraId="10349F68" w14:textId="77777777" w:rsidTr="00E81E2C">
        <w:trPr>
          <w:trHeight w:val="288"/>
          <w:jc w:val="center"/>
        </w:trPr>
        <w:tc>
          <w:tcPr>
            <w:tcW w:w="6532" w:type="dxa"/>
            <w:noWrap/>
            <w:tcMar>
              <w:top w:w="0" w:type="dxa"/>
              <w:left w:w="108" w:type="dxa"/>
              <w:bottom w:w="0" w:type="dxa"/>
              <w:right w:w="108" w:type="dxa"/>
            </w:tcMar>
            <w:vAlign w:val="center"/>
          </w:tcPr>
          <w:p w14:paraId="58B26F5A" w14:textId="72943638" w:rsidR="003F45BE" w:rsidRPr="009B37B2" w:rsidRDefault="00D7517A" w:rsidP="005A561C">
            <w:pPr>
              <w:pStyle w:val="Tablehead"/>
              <w:jc w:val="left"/>
            </w:pPr>
            <w:bookmarkStart w:id="43" w:name="lt_pId188"/>
            <w:r w:rsidRPr="009B37B2">
              <w:t xml:space="preserve">Activités des commissions </w:t>
            </w:r>
            <w:proofErr w:type="gramStart"/>
            <w:r w:rsidRPr="009B37B2">
              <w:t>d'études</w:t>
            </w:r>
            <w:r w:rsidR="003F45BE" w:rsidRPr="009B37B2">
              <w:t>:</w:t>
            </w:r>
            <w:bookmarkEnd w:id="43"/>
            <w:proofErr w:type="gramEnd"/>
          </w:p>
        </w:tc>
        <w:tc>
          <w:tcPr>
            <w:tcW w:w="1559" w:type="dxa"/>
            <w:noWrap/>
            <w:tcMar>
              <w:top w:w="0" w:type="dxa"/>
              <w:left w:w="108" w:type="dxa"/>
              <w:bottom w:w="0" w:type="dxa"/>
              <w:right w:w="108" w:type="dxa"/>
            </w:tcMar>
            <w:vAlign w:val="center"/>
          </w:tcPr>
          <w:p w14:paraId="5066BB84" w14:textId="2A899E43" w:rsidR="003F45BE" w:rsidRPr="009B37B2" w:rsidRDefault="00D7517A" w:rsidP="005A561C">
            <w:pPr>
              <w:pStyle w:val="Tablehead"/>
            </w:pPr>
            <w:r w:rsidRPr="009B37B2">
              <w:t>Coût annuel</w:t>
            </w:r>
          </w:p>
        </w:tc>
      </w:tr>
      <w:tr w:rsidR="003F45BE" w:rsidRPr="009B37B2" w14:paraId="16C4BF1B" w14:textId="77777777" w:rsidTr="00E81E2C">
        <w:trPr>
          <w:jc w:val="center"/>
        </w:trPr>
        <w:tc>
          <w:tcPr>
            <w:tcW w:w="6532" w:type="dxa"/>
            <w:tcMar>
              <w:top w:w="0" w:type="dxa"/>
              <w:left w:w="108" w:type="dxa"/>
              <w:bottom w:w="0" w:type="dxa"/>
              <w:right w:w="108" w:type="dxa"/>
            </w:tcMar>
            <w:vAlign w:val="center"/>
            <w:hideMark/>
          </w:tcPr>
          <w:p w14:paraId="4DD41433" w14:textId="62238A5A" w:rsidR="003F45BE" w:rsidRPr="009B37B2" w:rsidRDefault="003F45BE" w:rsidP="005A561C">
            <w:pPr>
              <w:pStyle w:val="Tabletext"/>
            </w:pPr>
            <w:bookmarkStart w:id="44" w:name="lt_pId190"/>
            <w:r w:rsidRPr="009B37B2">
              <w:t xml:space="preserve">1 P2, </w:t>
            </w:r>
            <w:r w:rsidR="009E7A2A" w:rsidRPr="009B37B2">
              <w:t xml:space="preserve">indicateurs fondamentaux de performance </w:t>
            </w:r>
            <w:r w:rsidR="00957863" w:rsidRPr="009B37B2">
              <w:t>relatifs aux</w:t>
            </w:r>
            <w:r w:rsidR="009E7A2A" w:rsidRPr="009B37B2">
              <w:t xml:space="preserve"> villes intelligentes </w:t>
            </w:r>
            <w:r w:rsidR="00E4116B" w:rsidRPr="009B37B2">
              <w:t xml:space="preserve">et durables </w:t>
            </w:r>
            <w:r w:rsidR="009E7A2A" w:rsidRPr="009B37B2">
              <w:t>et initiative</w:t>
            </w:r>
            <w:r w:rsidRPr="009B37B2">
              <w:t xml:space="preserve"> U4SSC</w:t>
            </w:r>
            <w:bookmarkEnd w:id="44"/>
          </w:p>
        </w:tc>
        <w:tc>
          <w:tcPr>
            <w:tcW w:w="1559" w:type="dxa"/>
            <w:noWrap/>
            <w:tcMar>
              <w:top w:w="0" w:type="dxa"/>
              <w:left w:w="108" w:type="dxa"/>
              <w:bottom w:w="0" w:type="dxa"/>
              <w:right w:w="108" w:type="dxa"/>
            </w:tcMar>
            <w:vAlign w:val="bottom"/>
            <w:hideMark/>
          </w:tcPr>
          <w:p w14:paraId="5C17C3F0" w14:textId="0C859E83" w:rsidR="003F45BE" w:rsidRPr="009B37B2" w:rsidRDefault="003F45BE" w:rsidP="005A561C">
            <w:pPr>
              <w:pStyle w:val="Tabletext"/>
              <w:jc w:val="center"/>
            </w:pPr>
            <w:r w:rsidRPr="009B37B2">
              <w:t>120</w:t>
            </w:r>
            <w:r w:rsidR="006F7D44" w:rsidRPr="009B37B2">
              <w:t> 000</w:t>
            </w:r>
          </w:p>
        </w:tc>
      </w:tr>
      <w:tr w:rsidR="003F45BE" w:rsidRPr="009B37B2" w14:paraId="34DF7A31" w14:textId="77777777" w:rsidTr="00E81E2C">
        <w:trPr>
          <w:jc w:val="center"/>
        </w:trPr>
        <w:tc>
          <w:tcPr>
            <w:tcW w:w="6532" w:type="dxa"/>
            <w:tcMar>
              <w:top w:w="0" w:type="dxa"/>
              <w:left w:w="108" w:type="dxa"/>
              <w:bottom w:w="0" w:type="dxa"/>
              <w:right w:w="108" w:type="dxa"/>
            </w:tcMar>
            <w:vAlign w:val="center"/>
          </w:tcPr>
          <w:p w14:paraId="14E43E63" w14:textId="76231FE5" w:rsidR="003F45BE" w:rsidRPr="009B37B2" w:rsidRDefault="003F45BE" w:rsidP="005A561C">
            <w:pPr>
              <w:pStyle w:val="Tabletext"/>
            </w:pPr>
            <w:bookmarkStart w:id="45" w:name="lt_pId192"/>
            <w:r w:rsidRPr="009B37B2">
              <w:t xml:space="preserve">1 P2, </w:t>
            </w:r>
            <w:bookmarkEnd w:id="45"/>
            <w:r w:rsidR="009E7A2A" w:rsidRPr="009B37B2">
              <w:t>ressources de numérotage</w:t>
            </w:r>
          </w:p>
        </w:tc>
        <w:tc>
          <w:tcPr>
            <w:tcW w:w="1559" w:type="dxa"/>
            <w:noWrap/>
            <w:tcMar>
              <w:top w:w="0" w:type="dxa"/>
              <w:left w:w="108" w:type="dxa"/>
              <w:bottom w:w="0" w:type="dxa"/>
              <w:right w:w="108" w:type="dxa"/>
            </w:tcMar>
            <w:vAlign w:val="bottom"/>
          </w:tcPr>
          <w:p w14:paraId="133A0BB2" w14:textId="1C7D33F7" w:rsidR="003F45BE" w:rsidRPr="009B37B2" w:rsidRDefault="003F45BE" w:rsidP="005A561C">
            <w:pPr>
              <w:pStyle w:val="Tabletext"/>
              <w:jc w:val="center"/>
            </w:pPr>
            <w:r w:rsidRPr="009B37B2">
              <w:t>120</w:t>
            </w:r>
            <w:r w:rsidR="006F7D44" w:rsidRPr="009B37B2">
              <w:t> 000</w:t>
            </w:r>
          </w:p>
        </w:tc>
      </w:tr>
      <w:tr w:rsidR="003F45BE" w:rsidRPr="009B37B2" w14:paraId="222750A7" w14:textId="77777777" w:rsidTr="00E81E2C">
        <w:trPr>
          <w:jc w:val="center"/>
        </w:trPr>
        <w:tc>
          <w:tcPr>
            <w:tcW w:w="6532" w:type="dxa"/>
            <w:tcMar>
              <w:top w:w="0" w:type="dxa"/>
              <w:left w:w="108" w:type="dxa"/>
              <w:bottom w:w="0" w:type="dxa"/>
              <w:right w:w="108" w:type="dxa"/>
            </w:tcMar>
            <w:vAlign w:val="center"/>
          </w:tcPr>
          <w:p w14:paraId="7C5F6B0F" w14:textId="5EDB28EB" w:rsidR="003F45BE" w:rsidRPr="009B37B2" w:rsidRDefault="003F45BE" w:rsidP="005A561C">
            <w:pPr>
              <w:pStyle w:val="Tabletext"/>
            </w:pPr>
            <w:bookmarkStart w:id="46" w:name="lt_pId194"/>
            <w:r w:rsidRPr="009B37B2">
              <w:t xml:space="preserve">1 P4, </w:t>
            </w:r>
            <w:bookmarkEnd w:id="46"/>
            <w:r w:rsidR="009E7A2A" w:rsidRPr="009B37B2">
              <w:t>inclusion financière</w:t>
            </w:r>
          </w:p>
        </w:tc>
        <w:tc>
          <w:tcPr>
            <w:tcW w:w="1559" w:type="dxa"/>
            <w:noWrap/>
            <w:tcMar>
              <w:top w:w="0" w:type="dxa"/>
              <w:left w:w="108" w:type="dxa"/>
              <w:bottom w:w="0" w:type="dxa"/>
              <w:right w:w="108" w:type="dxa"/>
            </w:tcMar>
            <w:vAlign w:val="bottom"/>
          </w:tcPr>
          <w:p w14:paraId="739B26AB" w14:textId="1245E647" w:rsidR="003F45BE" w:rsidRPr="009B37B2" w:rsidRDefault="003F45BE" w:rsidP="005A561C">
            <w:pPr>
              <w:pStyle w:val="Tabletext"/>
              <w:jc w:val="center"/>
            </w:pPr>
            <w:r w:rsidRPr="009B37B2">
              <w:t>150</w:t>
            </w:r>
            <w:r w:rsidR="006F7D44" w:rsidRPr="009B37B2">
              <w:t> 000</w:t>
            </w:r>
          </w:p>
        </w:tc>
      </w:tr>
      <w:tr w:rsidR="003F45BE" w:rsidRPr="009B37B2" w14:paraId="75C694D0" w14:textId="77777777" w:rsidTr="00E81E2C">
        <w:trPr>
          <w:jc w:val="center"/>
        </w:trPr>
        <w:tc>
          <w:tcPr>
            <w:tcW w:w="6532" w:type="dxa"/>
            <w:tcMar>
              <w:top w:w="0" w:type="dxa"/>
              <w:left w:w="108" w:type="dxa"/>
              <w:bottom w:w="0" w:type="dxa"/>
              <w:right w:w="108" w:type="dxa"/>
            </w:tcMar>
            <w:vAlign w:val="center"/>
          </w:tcPr>
          <w:p w14:paraId="594DEB1C" w14:textId="7F9424D7" w:rsidR="003F45BE" w:rsidRPr="009B37B2" w:rsidRDefault="003F45BE" w:rsidP="005A561C">
            <w:pPr>
              <w:pStyle w:val="Tabletext"/>
            </w:pPr>
            <w:bookmarkStart w:id="47" w:name="lt_pId196"/>
            <w:r w:rsidRPr="009B37B2">
              <w:t>1 G6, inclusion</w:t>
            </w:r>
            <w:bookmarkEnd w:id="47"/>
            <w:r w:rsidR="009E7A2A" w:rsidRPr="009B37B2">
              <w:t xml:space="preserve"> financière</w:t>
            </w:r>
          </w:p>
        </w:tc>
        <w:tc>
          <w:tcPr>
            <w:tcW w:w="1559" w:type="dxa"/>
            <w:noWrap/>
            <w:tcMar>
              <w:top w:w="0" w:type="dxa"/>
              <w:left w:w="108" w:type="dxa"/>
              <w:bottom w:w="0" w:type="dxa"/>
              <w:right w:w="108" w:type="dxa"/>
            </w:tcMar>
            <w:vAlign w:val="bottom"/>
          </w:tcPr>
          <w:p w14:paraId="1D418636" w14:textId="457B46A1" w:rsidR="003F45BE" w:rsidRPr="009B37B2" w:rsidRDefault="003F45BE" w:rsidP="005A561C">
            <w:pPr>
              <w:pStyle w:val="Tabletext"/>
              <w:jc w:val="center"/>
            </w:pPr>
            <w:r w:rsidRPr="009B37B2">
              <w:t>110</w:t>
            </w:r>
            <w:r w:rsidR="006F7D44" w:rsidRPr="009B37B2">
              <w:t> 000</w:t>
            </w:r>
          </w:p>
        </w:tc>
      </w:tr>
      <w:tr w:rsidR="003F45BE" w:rsidRPr="009B37B2" w14:paraId="64BC4417" w14:textId="77777777" w:rsidTr="00E81E2C">
        <w:trPr>
          <w:jc w:val="center"/>
        </w:trPr>
        <w:tc>
          <w:tcPr>
            <w:tcW w:w="6532" w:type="dxa"/>
            <w:tcMar>
              <w:top w:w="0" w:type="dxa"/>
              <w:left w:w="108" w:type="dxa"/>
              <w:bottom w:w="0" w:type="dxa"/>
              <w:right w:w="108" w:type="dxa"/>
            </w:tcMar>
            <w:vAlign w:val="center"/>
          </w:tcPr>
          <w:p w14:paraId="5E47EF8A" w14:textId="18D32954" w:rsidR="003F45BE" w:rsidRPr="009B37B2" w:rsidRDefault="003F45BE" w:rsidP="005A561C">
            <w:pPr>
              <w:pStyle w:val="Tabletext"/>
            </w:pPr>
            <w:bookmarkStart w:id="48" w:name="lt_pId198"/>
            <w:r w:rsidRPr="009B37B2">
              <w:t xml:space="preserve">1 P4, </w:t>
            </w:r>
            <w:r w:rsidR="00CA58EF" w:rsidRPr="009B37B2">
              <w:t>application</w:t>
            </w:r>
            <w:r w:rsidR="002B25EA" w:rsidRPr="009B37B2">
              <w:t>s</w:t>
            </w:r>
            <w:r w:rsidR="009E7A2A" w:rsidRPr="009B37B2">
              <w:t xml:space="preserve"> de l'apprentissage automatique </w:t>
            </w:r>
            <w:r w:rsidR="002B25EA" w:rsidRPr="009B37B2">
              <w:t>pour</w:t>
            </w:r>
            <w:r w:rsidR="00F00D96" w:rsidRPr="009B37B2">
              <w:t xml:space="preserve"> </w:t>
            </w:r>
            <w:r w:rsidR="009E7A2A" w:rsidRPr="009B37B2">
              <w:t>les infrastructures des TIC</w:t>
            </w:r>
            <w:bookmarkEnd w:id="48"/>
          </w:p>
        </w:tc>
        <w:tc>
          <w:tcPr>
            <w:tcW w:w="1559" w:type="dxa"/>
            <w:noWrap/>
            <w:tcMar>
              <w:top w:w="0" w:type="dxa"/>
              <w:left w:w="108" w:type="dxa"/>
              <w:bottom w:w="0" w:type="dxa"/>
              <w:right w:w="108" w:type="dxa"/>
            </w:tcMar>
            <w:vAlign w:val="bottom"/>
          </w:tcPr>
          <w:p w14:paraId="08BD6444" w14:textId="04C6FC87" w:rsidR="003F45BE" w:rsidRPr="009B37B2" w:rsidRDefault="003F45BE" w:rsidP="005A561C">
            <w:pPr>
              <w:pStyle w:val="Tabletext"/>
              <w:jc w:val="center"/>
            </w:pPr>
            <w:r w:rsidRPr="009B37B2">
              <w:t>150</w:t>
            </w:r>
            <w:r w:rsidR="006F7D44" w:rsidRPr="009B37B2">
              <w:t> 000</w:t>
            </w:r>
          </w:p>
        </w:tc>
      </w:tr>
      <w:tr w:rsidR="003F45BE" w:rsidRPr="009B37B2" w14:paraId="5C0E14BD" w14:textId="77777777" w:rsidTr="00E81E2C">
        <w:trPr>
          <w:jc w:val="center"/>
        </w:trPr>
        <w:tc>
          <w:tcPr>
            <w:tcW w:w="6532" w:type="dxa"/>
            <w:tcMar>
              <w:top w:w="0" w:type="dxa"/>
              <w:left w:w="108" w:type="dxa"/>
              <w:bottom w:w="0" w:type="dxa"/>
              <w:right w:w="108" w:type="dxa"/>
            </w:tcMar>
            <w:vAlign w:val="center"/>
          </w:tcPr>
          <w:p w14:paraId="258D19D2" w14:textId="63F9C5A3" w:rsidR="003F45BE" w:rsidRPr="009B37B2" w:rsidRDefault="009E7A2A" w:rsidP="005A561C">
            <w:pPr>
              <w:pStyle w:val="Tablehead"/>
              <w:jc w:val="left"/>
            </w:pPr>
            <w:bookmarkStart w:id="49" w:name="lt_pId200"/>
            <w:r w:rsidRPr="009B37B2">
              <w:t>Outils et</w:t>
            </w:r>
            <w:r w:rsidR="003F45BE" w:rsidRPr="009B37B2">
              <w:t xml:space="preserve"> applications</w:t>
            </w:r>
            <w:r w:rsidRPr="009B37B2">
              <w:t xml:space="preserve"> </w:t>
            </w:r>
            <w:proofErr w:type="gramStart"/>
            <w:r w:rsidR="00D70AD7" w:rsidRPr="009B37B2">
              <w:t>informatiques</w:t>
            </w:r>
            <w:r w:rsidR="003F45BE" w:rsidRPr="009B37B2">
              <w:t>:</w:t>
            </w:r>
            <w:bookmarkEnd w:id="49"/>
            <w:proofErr w:type="gramEnd"/>
          </w:p>
        </w:tc>
        <w:tc>
          <w:tcPr>
            <w:tcW w:w="1559" w:type="dxa"/>
            <w:noWrap/>
            <w:tcMar>
              <w:top w:w="0" w:type="dxa"/>
              <w:left w:w="108" w:type="dxa"/>
              <w:bottom w:w="0" w:type="dxa"/>
              <w:right w:w="108" w:type="dxa"/>
            </w:tcMar>
            <w:vAlign w:val="bottom"/>
          </w:tcPr>
          <w:p w14:paraId="3124639C" w14:textId="77777777" w:rsidR="003F45BE" w:rsidRPr="009B37B2" w:rsidRDefault="003F45BE" w:rsidP="005A561C">
            <w:pPr>
              <w:pStyle w:val="Tablehead"/>
            </w:pPr>
          </w:p>
        </w:tc>
      </w:tr>
      <w:tr w:rsidR="003F45BE" w:rsidRPr="009B37B2" w14:paraId="39A33D4C" w14:textId="77777777" w:rsidTr="00E81E2C">
        <w:trPr>
          <w:jc w:val="center"/>
        </w:trPr>
        <w:tc>
          <w:tcPr>
            <w:tcW w:w="6532" w:type="dxa"/>
            <w:tcMar>
              <w:top w:w="0" w:type="dxa"/>
              <w:left w:w="108" w:type="dxa"/>
              <w:bottom w:w="0" w:type="dxa"/>
              <w:right w:w="108" w:type="dxa"/>
            </w:tcMar>
            <w:vAlign w:val="center"/>
          </w:tcPr>
          <w:p w14:paraId="233E71ED" w14:textId="701EE8A3" w:rsidR="003F45BE" w:rsidRPr="009B37B2" w:rsidRDefault="003F45BE" w:rsidP="005A561C">
            <w:pPr>
              <w:pStyle w:val="Tabletext"/>
            </w:pPr>
            <w:bookmarkStart w:id="50" w:name="lt_pId201"/>
            <w:r w:rsidRPr="009B37B2">
              <w:t>1 P1</w:t>
            </w:r>
            <w:bookmarkEnd w:id="50"/>
          </w:p>
        </w:tc>
        <w:tc>
          <w:tcPr>
            <w:tcW w:w="1559" w:type="dxa"/>
            <w:noWrap/>
            <w:tcMar>
              <w:top w:w="0" w:type="dxa"/>
              <w:left w:w="108" w:type="dxa"/>
              <w:bottom w:w="0" w:type="dxa"/>
              <w:right w:w="108" w:type="dxa"/>
            </w:tcMar>
            <w:vAlign w:val="bottom"/>
          </w:tcPr>
          <w:p w14:paraId="2DA54DB7" w14:textId="5448A4B0" w:rsidR="003F45BE" w:rsidRPr="009B37B2" w:rsidRDefault="003F45BE" w:rsidP="005A561C">
            <w:pPr>
              <w:pStyle w:val="Tabletext"/>
              <w:jc w:val="center"/>
            </w:pPr>
            <w:r w:rsidRPr="009B37B2">
              <w:t>110</w:t>
            </w:r>
            <w:r w:rsidR="006F7D44" w:rsidRPr="009B37B2">
              <w:t> 000</w:t>
            </w:r>
          </w:p>
        </w:tc>
      </w:tr>
      <w:tr w:rsidR="003F45BE" w:rsidRPr="009B37B2" w14:paraId="2F5F12BA" w14:textId="77777777" w:rsidTr="00E81E2C">
        <w:trPr>
          <w:jc w:val="center"/>
        </w:trPr>
        <w:tc>
          <w:tcPr>
            <w:tcW w:w="6532" w:type="dxa"/>
            <w:tcMar>
              <w:top w:w="0" w:type="dxa"/>
              <w:left w:w="108" w:type="dxa"/>
              <w:bottom w:w="0" w:type="dxa"/>
              <w:right w:w="108" w:type="dxa"/>
            </w:tcMar>
            <w:vAlign w:val="center"/>
          </w:tcPr>
          <w:p w14:paraId="467361F4" w14:textId="4AD26AE3" w:rsidR="003F45BE" w:rsidRPr="009B37B2" w:rsidRDefault="003F45BE" w:rsidP="005A561C">
            <w:pPr>
              <w:pStyle w:val="Tabletext"/>
            </w:pPr>
            <w:bookmarkStart w:id="51" w:name="lt_pId203"/>
            <w:r w:rsidRPr="009B37B2">
              <w:t>1 P2</w:t>
            </w:r>
            <w:bookmarkEnd w:id="51"/>
          </w:p>
        </w:tc>
        <w:tc>
          <w:tcPr>
            <w:tcW w:w="1559" w:type="dxa"/>
            <w:noWrap/>
            <w:tcMar>
              <w:top w:w="0" w:type="dxa"/>
              <w:left w:w="108" w:type="dxa"/>
              <w:bottom w:w="0" w:type="dxa"/>
              <w:right w:w="108" w:type="dxa"/>
            </w:tcMar>
            <w:vAlign w:val="bottom"/>
          </w:tcPr>
          <w:p w14:paraId="5381A335" w14:textId="23103573" w:rsidR="003F45BE" w:rsidRPr="009B37B2" w:rsidRDefault="003F45BE" w:rsidP="005A561C">
            <w:pPr>
              <w:pStyle w:val="Tabletext"/>
              <w:jc w:val="center"/>
            </w:pPr>
            <w:r w:rsidRPr="009B37B2">
              <w:t>120</w:t>
            </w:r>
            <w:r w:rsidR="006F7D44" w:rsidRPr="009B37B2">
              <w:t> 000</w:t>
            </w:r>
          </w:p>
        </w:tc>
      </w:tr>
      <w:tr w:rsidR="003F45BE" w:rsidRPr="009B37B2" w14:paraId="32A09329" w14:textId="77777777" w:rsidTr="00E81E2C">
        <w:trPr>
          <w:trHeight w:val="288"/>
          <w:jc w:val="center"/>
        </w:trPr>
        <w:tc>
          <w:tcPr>
            <w:tcW w:w="6532" w:type="dxa"/>
            <w:shd w:val="clear" w:color="auto" w:fill="F2F2F2"/>
            <w:tcMar>
              <w:top w:w="0" w:type="dxa"/>
              <w:left w:w="108" w:type="dxa"/>
              <w:bottom w:w="0" w:type="dxa"/>
              <w:right w:w="108" w:type="dxa"/>
            </w:tcMar>
            <w:vAlign w:val="center"/>
            <w:hideMark/>
          </w:tcPr>
          <w:p w14:paraId="6D5E47AE" w14:textId="5FF495FD" w:rsidR="003F45BE" w:rsidRPr="009B37B2" w:rsidRDefault="003F45BE" w:rsidP="005A561C">
            <w:pPr>
              <w:pStyle w:val="Tablehead"/>
              <w:jc w:val="left"/>
            </w:pPr>
            <w:bookmarkStart w:id="52" w:name="lt_pId205"/>
            <w:r w:rsidRPr="009B37B2">
              <w:t>Total</w:t>
            </w:r>
            <w:bookmarkEnd w:id="52"/>
          </w:p>
        </w:tc>
        <w:tc>
          <w:tcPr>
            <w:tcW w:w="1559" w:type="dxa"/>
            <w:shd w:val="clear" w:color="auto" w:fill="F2F2F2"/>
            <w:noWrap/>
            <w:tcMar>
              <w:top w:w="0" w:type="dxa"/>
              <w:left w:w="108" w:type="dxa"/>
              <w:bottom w:w="0" w:type="dxa"/>
              <w:right w:w="108" w:type="dxa"/>
            </w:tcMar>
            <w:vAlign w:val="bottom"/>
            <w:hideMark/>
          </w:tcPr>
          <w:p w14:paraId="54F0BD72" w14:textId="2021AF6C" w:rsidR="003F45BE" w:rsidRPr="009B37B2" w:rsidRDefault="003F45BE" w:rsidP="005A561C">
            <w:pPr>
              <w:pStyle w:val="Tablehead"/>
            </w:pPr>
            <w:bookmarkStart w:id="53" w:name="lt_pId206"/>
            <w:r w:rsidRPr="009B37B2">
              <w:t>880</w:t>
            </w:r>
            <w:bookmarkEnd w:id="53"/>
            <w:r w:rsidR="006F7D44" w:rsidRPr="009B37B2">
              <w:t> 000</w:t>
            </w:r>
          </w:p>
        </w:tc>
      </w:tr>
    </w:tbl>
    <w:p w14:paraId="25ADF2F7" w14:textId="03E7B75B" w:rsidR="003F45BE" w:rsidRPr="009B37B2" w:rsidRDefault="003F45BE" w:rsidP="001362DF">
      <w:pPr>
        <w:tabs>
          <w:tab w:val="clear" w:pos="567"/>
          <w:tab w:val="clear" w:pos="1134"/>
          <w:tab w:val="clear" w:pos="1701"/>
          <w:tab w:val="clear" w:pos="2268"/>
          <w:tab w:val="clear" w:pos="2835"/>
        </w:tabs>
        <w:spacing w:before="240" w:after="120"/>
      </w:pPr>
      <w:bookmarkStart w:id="54" w:name="_Hlk38027531"/>
      <w:r w:rsidRPr="009B37B2">
        <w:t>4.2</w:t>
      </w:r>
      <w:r w:rsidRPr="009B37B2">
        <w:tab/>
      </w:r>
      <w:bookmarkStart w:id="55" w:name="lt_pId208"/>
      <w:r w:rsidR="00777E8D" w:rsidRPr="009B37B2">
        <w:t xml:space="preserve">Il est proposé de financer ces postes </w:t>
      </w:r>
      <w:r w:rsidR="002B25EA" w:rsidRPr="009B37B2">
        <w:t>en utilisant l</w:t>
      </w:r>
      <w:r w:rsidR="00A54667" w:rsidRPr="009B37B2">
        <w:t>'</w:t>
      </w:r>
      <w:r w:rsidR="00E43509" w:rsidRPr="009B37B2">
        <w:t>excédent</w:t>
      </w:r>
      <w:r w:rsidR="005F7DF4" w:rsidRPr="009B37B2">
        <w:t xml:space="preserve"> </w:t>
      </w:r>
      <w:r w:rsidR="002B25EA" w:rsidRPr="009B37B2">
        <w:t>de l</w:t>
      </w:r>
      <w:r w:rsidR="00A54667" w:rsidRPr="009B37B2">
        <w:t>'</w:t>
      </w:r>
      <w:r w:rsidR="002B25EA" w:rsidRPr="009B37B2">
        <w:t>exercice</w:t>
      </w:r>
      <w:r w:rsidR="00F00D96" w:rsidRPr="009B37B2">
        <w:t xml:space="preserve"> </w:t>
      </w:r>
      <w:r w:rsidRPr="009B37B2">
        <w:t xml:space="preserve">2020, </w:t>
      </w:r>
      <w:r w:rsidR="002B25EA" w:rsidRPr="009B37B2">
        <w:t>l</w:t>
      </w:r>
      <w:r w:rsidR="005F7DF4" w:rsidRPr="009B37B2">
        <w:t>e</w:t>
      </w:r>
      <w:r w:rsidR="00FA1A1A" w:rsidRPr="009B37B2">
        <w:t>s</w:t>
      </w:r>
      <w:r w:rsidRPr="009B37B2">
        <w:t xml:space="preserve"> contributions</w:t>
      </w:r>
      <w:r w:rsidR="005F7DF4" w:rsidRPr="009B37B2">
        <w:t xml:space="preserve"> volontaires</w:t>
      </w:r>
      <w:r w:rsidR="002B25EA" w:rsidRPr="009B37B2">
        <w:t xml:space="preserve"> et, en dernier recours,</w:t>
      </w:r>
      <w:r w:rsidR="00F00D96" w:rsidRPr="009B37B2">
        <w:t xml:space="preserve"> </w:t>
      </w:r>
      <w:r w:rsidR="001578B8" w:rsidRPr="009B37B2">
        <w:t>le</w:t>
      </w:r>
      <w:r w:rsidR="00FA1A1A" w:rsidRPr="009B37B2">
        <w:t xml:space="preserve"> </w:t>
      </w:r>
      <w:r w:rsidR="001578B8" w:rsidRPr="009B37B2">
        <w:t>F</w:t>
      </w:r>
      <w:r w:rsidR="005F7DF4" w:rsidRPr="009B37B2">
        <w:t xml:space="preserve">onds de réserve </w:t>
      </w:r>
      <w:r w:rsidR="00FA1A1A" w:rsidRPr="009B37B2">
        <w:t xml:space="preserve">ou </w:t>
      </w:r>
      <w:r w:rsidR="00D429F7" w:rsidRPr="009B37B2">
        <w:t>toute</w:t>
      </w:r>
      <w:r w:rsidR="005F7DF4" w:rsidRPr="009B37B2">
        <w:t xml:space="preserve"> combinaison de </w:t>
      </w:r>
      <w:bookmarkEnd w:id="55"/>
      <w:r w:rsidR="002B25EA" w:rsidRPr="009B37B2">
        <w:t>ces éléments</w:t>
      </w:r>
      <w:r w:rsidR="005F3635" w:rsidRPr="009B37B2">
        <w:t>.</w:t>
      </w:r>
    </w:p>
    <w:bookmarkEnd w:id="54"/>
    <w:p w14:paraId="078ED688" w14:textId="77777777" w:rsidR="003F45BE" w:rsidRPr="009B37B2" w:rsidRDefault="003F45BE" w:rsidP="005A561C">
      <w:pPr>
        <w:spacing w:before="360"/>
        <w:jc w:val="center"/>
      </w:pPr>
      <w:r w:rsidRPr="009B37B2">
        <w:t>______________</w:t>
      </w:r>
    </w:p>
    <w:sectPr w:rsidR="003F45BE" w:rsidRPr="009B37B2" w:rsidSect="005C3890">
      <w:headerReference w:type="even" r:id="rId19"/>
      <w:headerReference w:type="default" r:id="rId20"/>
      <w:footerReference w:type="even" r:id="rId21"/>
      <w:footerReference w:type="default" r:id="rId22"/>
      <w:footerReference w:type="first" r:id="rId2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152FF" w14:textId="77777777" w:rsidR="00ED39A6" w:rsidRDefault="00ED39A6">
      <w:r>
        <w:separator/>
      </w:r>
    </w:p>
  </w:endnote>
  <w:endnote w:type="continuationSeparator" w:id="0">
    <w:p w14:paraId="67DF207B" w14:textId="77777777" w:rsidR="00ED39A6" w:rsidRDefault="00ED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C7E5" w14:textId="52D82756" w:rsidR="00ED39A6" w:rsidRPr="00DD1814" w:rsidRDefault="00ED39A6">
    <w:pPr>
      <w:pStyle w:val="Footer"/>
      <w:rPr>
        <w:lang w:val="fr-CH"/>
      </w:rPr>
    </w:pPr>
    <w:r>
      <w:fldChar w:fldCharType="begin"/>
    </w:r>
    <w:r w:rsidRPr="00DD1814">
      <w:rPr>
        <w:lang w:val="fr-CH"/>
      </w:rPr>
      <w:instrText xml:space="preserve"> FILENAME \p \* MERGEFORMAT </w:instrText>
    </w:r>
    <w:r>
      <w:fldChar w:fldCharType="separate"/>
    </w:r>
    <w:r w:rsidR="000773D4">
      <w:rPr>
        <w:lang w:val="fr-CH"/>
      </w:rPr>
      <w:t>P:\FRA\SG\CONSEIL\C20\000\014F.docx</w:t>
    </w:r>
    <w:r>
      <w:fldChar w:fldCharType="end"/>
    </w:r>
    <w:r w:rsidRPr="00DD1814">
      <w:rPr>
        <w:lang w:val="fr-CH"/>
      </w:rPr>
      <w:tab/>
    </w:r>
    <w:r>
      <w:fldChar w:fldCharType="begin"/>
    </w:r>
    <w:r>
      <w:instrText xml:space="preserve"> savedate \@ dd.MM.yy </w:instrText>
    </w:r>
    <w:r>
      <w:fldChar w:fldCharType="separate"/>
    </w:r>
    <w:r w:rsidR="001362DF">
      <w:t>05.05.20</w:t>
    </w:r>
    <w:r>
      <w:fldChar w:fldCharType="end"/>
    </w:r>
    <w:r w:rsidRPr="00DD1814">
      <w:rPr>
        <w:lang w:val="fr-CH"/>
      </w:rPr>
      <w:tab/>
    </w:r>
    <w:r>
      <w:fldChar w:fldCharType="begin"/>
    </w:r>
    <w:r>
      <w:instrText xml:space="preserve"> printdate \@ dd.MM.yy </w:instrText>
    </w:r>
    <w:r>
      <w:fldChar w:fldCharType="separate"/>
    </w:r>
    <w:r w:rsidR="000773D4">
      <w:t>01.05.20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44D6D" w14:textId="268020CC" w:rsidR="00ED39A6" w:rsidRPr="00691AF7" w:rsidRDefault="00ED39A6">
    <w:pPr>
      <w:pStyle w:val="Footer"/>
      <w:rPr>
        <w:color w:val="BFBFBF" w:themeColor="background1" w:themeShade="BF"/>
        <w:lang w:val="fr-CH"/>
      </w:rPr>
    </w:pPr>
    <w:r w:rsidRPr="00691AF7">
      <w:rPr>
        <w:color w:val="BFBFBF" w:themeColor="background1" w:themeShade="BF"/>
      </w:rPr>
      <w:fldChar w:fldCharType="begin"/>
    </w:r>
    <w:r w:rsidRPr="00691AF7">
      <w:rPr>
        <w:color w:val="BFBFBF" w:themeColor="background1" w:themeShade="BF"/>
        <w:lang w:val="fr-CH"/>
      </w:rPr>
      <w:instrText xml:space="preserve"> FILENAME \p \* MERGEFORMAT </w:instrText>
    </w:r>
    <w:r w:rsidRPr="00691AF7">
      <w:rPr>
        <w:color w:val="BFBFBF" w:themeColor="background1" w:themeShade="BF"/>
      </w:rPr>
      <w:fldChar w:fldCharType="separate"/>
    </w:r>
    <w:r w:rsidR="000773D4" w:rsidRPr="00691AF7">
      <w:rPr>
        <w:color w:val="BFBFBF" w:themeColor="background1" w:themeShade="BF"/>
        <w:lang w:val="fr-CH"/>
      </w:rPr>
      <w:t>P:\FRA\SG\CONSEIL\C20\000\014F.docx</w:t>
    </w:r>
    <w:r w:rsidRPr="00691AF7">
      <w:rPr>
        <w:color w:val="BFBFBF" w:themeColor="background1" w:themeShade="BF"/>
      </w:rPr>
      <w:fldChar w:fldCharType="end"/>
    </w:r>
    <w:r w:rsidRPr="00691AF7">
      <w:rPr>
        <w:color w:val="BFBFBF" w:themeColor="background1" w:themeShade="BF"/>
        <w:lang w:val="fr-CH"/>
      </w:rPr>
      <w:t xml:space="preserve"> (467320)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8D19" w14:textId="1F140615" w:rsidR="00ED39A6" w:rsidRDefault="00ED39A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8A4FF" w14:textId="77777777" w:rsidR="00ED39A6" w:rsidRDefault="00ED39A6">
      <w:r>
        <w:t>____________________</w:t>
      </w:r>
    </w:p>
  </w:footnote>
  <w:footnote w:type="continuationSeparator" w:id="0">
    <w:p w14:paraId="16170D59" w14:textId="77777777" w:rsidR="00ED39A6" w:rsidRDefault="00ED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3B207" w14:textId="77777777" w:rsidR="00ED39A6" w:rsidRDefault="00ED39A6">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0281A238" w14:textId="77777777" w:rsidR="00ED39A6" w:rsidRDefault="00ED39A6">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BB5CD" w14:textId="638733EB" w:rsidR="00ED39A6" w:rsidRDefault="00ED39A6" w:rsidP="00475FB3">
    <w:pPr>
      <w:pStyle w:val="Header"/>
    </w:pPr>
    <w:r>
      <w:fldChar w:fldCharType="begin"/>
    </w:r>
    <w:r>
      <w:instrText>PAGE</w:instrText>
    </w:r>
    <w:r>
      <w:fldChar w:fldCharType="separate"/>
    </w:r>
    <w:r w:rsidR="00330D0C">
      <w:rPr>
        <w:noProof/>
      </w:rPr>
      <w:t>9</w:t>
    </w:r>
    <w:r>
      <w:rPr>
        <w:noProof/>
      </w:rPr>
      <w:fldChar w:fldCharType="end"/>
    </w:r>
  </w:p>
  <w:p w14:paraId="453A44C7" w14:textId="02B03FB6" w:rsidR="00ED39A6" w:rsidRDefault="00ED39A6" w:rsidP="00106B19">
    <w:pPr>
      <w:pStyle w:val="Header"/>
    </w:pPr>
    <w:r>
      <w:t>C20/14-F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D1A46"/>
    <w:multiLevelType w:val="hybridMultilevel"/>
    <w:tmpl w:val="6152F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5E6C13"/>
    <w:multiLevelType w:val="hybridMultilevel"/>
    <w:tmpl w:val="B1C20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F305E2-3317-4E6C-822F-D780E32E2FF5}"/>
    <w:docVar w:name="dgnword-eventsink" w:val="2047106710160"/>
  </w:docVars>
  <w:rsids>
    <w:rsidRoot w:val="000721A9"/>
    <w:rsid w:val="00006DC5"/>
    <w:rsid w:val="0001436B"/>
    <w:rsid w:val="000248DD"/>
    <w:rsid w:val="000325FC"/>
    <w:rsid w:val="00036357"/>
    <w:rsid w:val="00042F7A"/>
    <w:rsid w:val="00046943"/>
    <w:rsid w:val="000507D4"/>
    <w:rsid w:val="000721A9"/>
    <w:rsid w:val="0007231E"/>
    <w:rsid w:val="000773D4"/>
    <w:rsid w:val="00083CA9"/>
    <w:rsid w:val="000A6A1A"/>
    <w:rsid w:val="000B168C"/>
    <w:rsid w:val="000B325D"/>
    <w:rsid w:val="000C0FBB"/>
    <w:rsid w:val="000C6C55"/>
    <w:rsid w:val="000D0D0A"/>
    <w:rsid w:val="000D4A86"/>
    <w:rsid w:val="000E16D5"/>
    <w:rsid w:val="000F7279"/>
    <w:rsid w:val="00101AFF"/>
    <w:rsid w:val="00103163"/>
    <w:rsid w:val="001038AC"/>
    <w:rsid w:val="00106B19"/>
    <w:rsid w:val="00115D93"/>
    <w:rsid w:val="001247A8"/>
    <w:rsid w:val="00133679"/>
    <w:rsid w:val="001362DF"/>
    <w:rsid w:val="001378C0"/>
    <w:rsid w:val="0015265A"/>
    <w:rsid w:val="00154B4D"/>
    <w:rsid w:val="001564EC"/>
    <w:rsid w:val="001578B8"/>
    <w:rsid w:val="00170AB0"/>
    <w:rsid w:val="001843FA"/>
    <w:rsid w:val="0018694A"/>
    <w:rsid w:val="001973B6"/>
    <w:rsid w:val="001A3287"/>
    <w:rsid w:val="001A6508"/>
    <w:rsid w:val="001B2EAA"/>
    <w:rsid w:val="001B34A4"/>
    <w:rsid w:val="001B3F57"/>
    <w:rsid w:val="001D4C31"/>
    <w:rsid w:val="001D7D65"/>
    <w:rsid w:val="001E4D21"/>
    <w:rsid w:val="001F0CCF"/>
    <w:rsid w:val="001F2609"/>
    <w:rsid w:val="001F2EE3"/>
    <w:rsid w:val="00203BE2"/>
    <w:rsid w:val="00203DE5"/>
    <w:rsid w:val="002061BE"/>
    <w:rsid w:val="00206772"/>
    <w:rsid w:val="00207CD1"/>
    <w:rsid w:val="002123D7"/>
    <w:rsid w:val="0022043B"/>
    <w:rsid w:val="00231559"/>
    <w:rsid w:val="00236198"/>
    <w:rsid w:val="00240618"/>
    <w:rsid w:val="002477A2"/>
    <w:rsid w:val="00253FE2"/>
    <w:rsid w:val="0025502C"/>
    <w:rsid w:val="00255D1F"/>
    <w:rsid w:val="00263A51"/>
    <w:rsid w:val="00267E02"/>
    <w:rsid w:val="00277BF2"/>
    <w:rsid w:val="00290918"/>
    <w:rsid w:val="00292D1C"/>
    <w:rsid w:val="002A587B"/>
    <w:rsid w:val="002A5D44"/>
    <w:rsid w:val="002A7F26"/>
    <w:rsid w:val="002B25EA"/>
    <w:rsid w:val="002C044B"/>
    <w:rsid w:val="002C345A"/>
    <w:rsid w:val="002D468C"/>
    <w:rsid w:val="002E0BC4"/>
    <w:rsid w:val="002F0B7F"/>
    <w:rsid w:val="002F1B76"/>
    <w:rsid w:val="0032239D"/>
    <w:rsid w:val="0032470B"/>
    <w:rsid w:val="00330D0C"/>
    <w:rsid w:val="0033568E"/>
    <w:rsid w:val="00335745"/>
    <w:rsid w:val="003420B1"/>
    <w:rsid w:val="00355923"/>
    <w:rsid w:val="00355FF5"/>
    <w:rsid w:val="00356721"/>
    <w:rsid w:val="00361350"/>
    <w:rsid w:val="00366831"/>
    <w:rsid w:val="00370DD5"/>
    <w:rsid w:val="00371233"/>
    <w:rsid w:val="00373A44"/>
    <w:rsid w:val="00377134"/>
    <w:rsid w:val="00380AED"/>
    <w:rsid w:val="00381CC2"/>
    <w:rsid w:val="00386284"/>
    <w:rsid w:val="003901AD"/>
    <w:rsid w:val="003A300A"/>
    <w:rsid w:val="003A3DE0"/>
    <w:rsid w:val="003B0174"/>
    <w:rsid w:val="003C124A"/>
    <w:rsid w:val="003C3FAE"/>
    <w:rsid w:val="003D7163"/>
    <w:rsid w:val="003F45BE"/>
    <w:rsid w:val="003F581E"/>
    <w:rsid w:val="00401920"/>
    <w:rsid w:val="00402AF2"/>
    <w:rsid w:val="004038CB"/>
    <w:rsid w:val="0040546F"/>
    <w:rsid w:val="0042404A"/>
    <w:rsid w:val="00424380"/>
    <w:rsid w:val="00430FAC"/>
    <w:rsid w:val="00432CC2"/>
    <w:rsid w:val="0044618F"/>
    <w:rsid w:val="004546A6"/>
    <w:rsid w:val="00462B60"/>
    <w:rsid w:val="00463167"/>
    <w:rsid w:val="0046769A"/>
    <w:rsid w:val="00475FB3"/>
    <w:rsid w:val="00477082"/>
    <w:rsid w:val="00496FB1"/>
    <w:rsid w:val="004A0C10"/>
    <w:rsid w:val="004C37A9"/>
    <w:rsid w:val="004E5ADF"/>
    <w:rsid w:val="004F1F64"/>
    <w:rsid w:val="004F259E"/>
    <w:rsid w:val="004F49E3"/>
    <w:rsid w:val="00511C66"/>
    <w:rsid w:val="00511F1D"/>
    <w:rsid w:val="00520F36"/>
    <w:rsid w:val="00522FAC"/>
    <w:rsid w:val="00540615"/>
    <w:rsid w:val="005407AA"/>
    <w:rsid w:val="00540A6D"/>
    <w:rsid w:val="00563066"/>
    <w:rsid w:val="00563B49"/>
    <w:rsid w:val="00571EEA"/>
    <w:rsid w:val="00575417"/>
    <w:rsid w:val="005768E1"/>
    <w:rsid w:val="00585FD1"/>
    <w:rsid w:val="005A099B"/>
    <w:rsid w:val="005A38C3"/>
    <w:rsid w:val="005A561C"/>
    <w:rsid w:val="005B1938"/>
    <w:rsid w:val="005B6884"/>
    <w:rsid w:val="005C3890"/>
    <w:rsid w:val="005D5AE4"/>
    <w:rsid w:val="005F0A28"/>
    <w:rsid w:val="005F3635"/>
    <w:rsid w:val="005F7BFE"/>
    <w:rsid w:val="005F7DF4"/>
    <w:rsid w:val="00600017"/>
    <w:rsid w:val="00607E2D"/>
    <w:rsid w:val="00611CB3"/>
    <w:rsid w:val="0061539E"/>
    <w:rsid w:val="006235CA"/>
    <w:rsid w:val="006427CF"/>
    <w:rsid w:val="006515BF"/>
    <w:rsid w:val="00656DA8"/>
    <w:rsid w:val="006643AB"/>
    <w:rsid w:val="0067554A"/>
    <w:rsid w:val="00677237"/>
    <w:rsid w:val="0068453C"/>
    <w:rsid w:val="00691AF7"/>
    <w:rsid w:val="006B2334"/>
    <w:rsid w:val="006C0CEC"/>
    <w:rsid w:val="006C32D5"/>
    <w:rsid w:val="006D276E"/>
    <w:rsid w:val="006E32E4"/>
    <w:rsid w:val="006E6BD2"/>
    <w:rsid w:val="006F7D44"/>
    <w:rsid w:val="00703AD5"/>
    <w:rsid w:val="0071127E"/>
    <w:rsid w:val="007171AB"/>
    <w:rsid w:val="007210CD"/>
    <w:rsid w:val="00732045"/>
    <w:rsid w:val="007326BC"/>
    <w:rsid w:val="007369DB"/>
    <w:rsid w:val="00737A85"/>
    <w:rsid w:val="007469A3"/>
    <w:rsid w:val="00747892"/>
    <w:rsid w:val="007548D6"/>
    <w:rsid w:val="00760ED7"/>
    <w:rsid w:val="0076767F"/>
    <w:rsid w:val="00776589"/>
    <w:rsid w:val="00777E8D"/>
    <w:rsid w:val="00780BF0"/>
    <w:rsid w:val="00790800"/>
    <w:rsid w:val="00790D5B"/>
    <w:rsid w:val="007956C2"/>
    <w:rsid w:val="007961DF"/>
    <w:rsid w:val="007A099C"/>
    <w:rsid w:val="007A187E"/>
    <w:rsid w:val="007A277D"/>
    <w:rsid w:val="007A77F6"/>
    <w:rsid w:val="007C72C2"/>
    <w:rsid w:val="007D4436"/>
    <w:rsid w:val="007D4A76"/>
    <w:rsid w:val="007D5238"/>
    <w:rsid w:val="007F257A"/>
    <w:rsid w:val="007F3665"/>
    <w:rsid w:val="00800037"/>
    <w:rsid w:val="0081328B"/>
    <w:rsid w:val="0081691C"/>
    <w:rsid w:val="00820999"/>
    <w:rsid w:val="0082161C"/>
    <w:rsid w:val="00823D60"/>
    <w:rsid w:val="0082600A"/>
    <w:rsid w:val="00830C57"/>
    <w:rsid w:val="00831706"/>
    <w:rsid w:val="00834B48"/>
    <w:rsid w:val="00834BBE"/>
    <w:rsid w:val="008413C4"/>
    <w:rsid w:val="00861038"/>
    <w:rsid w:val="00861D73"/>
    <w:rsid w:val="008721CF"/>
    <w:rsid w:val="00876BB4"/>
    <w:rsid w:val="008804A3"/>
    <w:rsid w:val="00884660"/>
    <w:rsid w:val="00886D3C"/>
    <w:rsid w:val="0089755E"/>
    <w:rsid w:val="008A4E87"/>
    <w:rsid w:val="008A60C3"/>
    <w:rsid w:val="008B2B93"/>
    <w:rsid w:val="008B4CD4"/>
    <w:rsid w:val="008D76E6"/>
    <w:rsid w:val="008D7794"/>
    <w:rsid w:val="008F1287"/>
    <w:rsid w:val="008F4B04"/>
    <w:rsid w:val="008F5D57"/>
    <w:rsid w:val="00912684"/>
    <w:rsid w:val="0092392D"/>
    <w:rsid w:val="0093234A"/>
    <w:rsid w:val="009535CF"/>
    <w:rsid w:val="00957863"/>
    <w:rsid w:val="00961FE9"/>
    <w:rsid w:val="00967161"/>
    <w:rsid w:val="009762E9"/>
    <w:rsid w:val="00990D74"/>
    <w:rsid w:val="009B3503"/>
    <w:rsid w:val="009B37B2"/>
    <w:rsid w:val="009C307F"/>
    <w:rsid w:val="009C353C"/>
    <w:rsid w:val="009C38EF"/>
    <w:rsid w:val="009D7400"/>
    <w:rsid w:val="009E0099"/>
    <w:rsid w:val="009E5468"/>
    <w:rsid w:val="009E7A2A"/>
    <w:rsid w:val="009F1891"/>
    <w:rsid w:val="009F24BD"/>
    <w:rsid w:val="00A0364C"/>
    <w:rsid w:val="00A04F73"/>
    <w:rsid w:val="00A2113E"/>
    <w:rsid w:val="00A23A51"/>
    <w:rsid w:val="00A24607"/>
    <w:rsid w:val="00A25CD3"/>
    <w:rsid w:val="00A330B9"/>
    <w:rsid w:val="00A33551"/>
    <w:rsid w:val="00A34E7F"/>
    <w:rsid w:val="00A416C6"/>
    <w:rsid w:val="00A43EE2"/>
    <w:rsid w:val="00A51233"/>
    <w:rsid w:val="00A53FF1"/>
    <w:rsid w:val="00A54667"/>
    <w:rsid w:val="00A63875"/>
    <w:rsid w:val="00A80662"/>
    <w:rsid w:val="00A80D40"/>
    <w:rsid w:val="00A82767"/>
    <w:rsid w:val="00A95BE5"/>
    <w:rsid w:val="00A96C58"/>
    <w:rsid w:val="00A96E6C"/>
    <w:rsid w:val="00AA332F"/>
    <w:rsid w:val="00AA7BBB"/>
    <w:rsid w:val="00AB4231"/>
    <w:rsid w:val="00AB64A8"/>
    <w:rsid w:val="00AC0266"/>
    <w:rsid w:val="00AC0FC1"/>
    <w:rsid w:val="00AD24EC"/>
    <w:rsid w:val="00AD441B"/>
    <w:rsid w:val="00AF0A47"/>
    <w:rsid w:val="00AF1D1C"/>
    <w:rsid w:val="00B033BC"/>
    <w:rsid w:val="00B072E4"/>
    <w:rsid w:val="00B13E8D"/>
    <w:rsid w:val="00B229D3"/>
    <w:rsid w:val="00B274B5"/>
    <w:rsid w:val="00B309F9"/>
    <w:rsid w:val="00B32B60"/>
    <w:rsid w:val="00B401B9"/>
    <w:rsid w:val="00B41A80"/>
    <w:rsid w:val="00B44E5C"/>
    <w:rsid w:val="00B452D6"/>
    <w:rsid w:val="00B46A5F"/>
    <w:rsid w:val="00B476CC"/>
    <w:rsid w:val="00B61619"/>
    <w:rsid w:val="00B71646"/>
    <w:rsid w:val="00B93210"/>
    <w:rsid w:val="00BA5562"/>
    <w:rsid w:val="00BB4545"/>
    <w:rsid w:val="00BC190D"/>
    <w:rsid w:val="00BC42ED"/>
    <w:rsid w:val="00BD4810"/>
    <w:rsid w:val="00BD4838"/>
    <w:rsid w:val="00BD5873"/>
    <w:rsid w:val="00BE05E8"/>
    <w:rsid w:val="00C04BE3"/>
    <w:rsid w:val="00C0691F"/>
    <w:rsid w:val="00C07955"/>
    <w:rsid w:val="00C12E93"/>
    <w:rsid w:val="00C13333"/>
    <w:rsid w:val="00C17AFF"/>
    <w:rsid w:val="00C2162A"/>
    <w:rsid w:val="00C216C9"/>
    <w:rsid w:val="00C2281D"/>
    <w:rsid w:val="00C25D29"/>
    <w:rsid w:val="00C26281"/>
    <w:rsid w:val="00C27A7C"/>
    <w:rsid w:val="00C41FB8"/>
    <w:rsid w:val="00C432F1"/>
    <w:rsid w:val="00C46549"/>
    <w:rsid w:val="00C6628B"/>
    <w:rsid w:val="00C67A94"/>
    <w:rsid w:val="00C722B6"/>
    <w:rsid w:val="00C94D11"/>
    <w:rsid w:val="00CA08ED"/>
    <w:rsid w:val="00CA16A5"/>
    <w:rsid w:val="00CA58EF"/>
    <w:rsid w:val="00CB4209"/>
    <w:rsid w:val="00CB4BDD"/>
    <w:rsid w:val="00CC796F"/>
    <w:rsid w:val="00CD13C9"/>
    <w:rsid w:val="00CE325A"/>
    <w:rsid w:val="00CF183B"/>
    <w:rsid w:val="00D0247F"/>
    <w:rsid w:val="00D060DE"/>
    <w:rsid w:val="00D141FA"/>
    <w:rsid w:val="00D152A3"/>
    <w:rsid w:val="00D254D8"/>
    <w:rsid w:val="00D26A9A"/>
    <w:rsid w:val="00D375CD"/>
    <w:rsid w:val="00D429F7"/>
    <w:rsid w:val="00D53F54"/>
    <w:rsid w:val="00D553A2"/>
    <w:rsid w:val="00D60A39"/>
    <w:rsid w:val="00D60DDB"/>
    <w:rsid w:val="00D622CE"/>
    <w:rsid w:val="00D62CC2"/>
    <w:rsid w:val="00D70370"/>
    <w:rsid w:val="00D70AD7"/>
    <w:rsid w:val="00D7517A"/>
    <w:rsid w:val="00D774D3"/>
    <w:rsid w:val="00D904E8"/>
    <w:rsid w:val="00D93E83"/>
    <w:rsid w:val="00D94FCF"/>
    <w:rsid w:val="00DA08C3"/>
    <w:rsid w:val="00DA53D1"/>
    <w:rsid w:val="00DB5A3E"/>
    <w:rsid w:val="00DB6AA5"/>
    <w:rsid w:val="00DC0CD3"/>
    <w:rsid w:val="00DC22AA"/>
    <w:rsid w:val="00DD1814"/>
    <w:rsid w:val="00DE5CF8"/>
    <w:rsid w:val="00DF74DD"/>
    <w:rsid w:val="00E07909"/>
    <w:rsid w:val="00E2363A"/>
    <w:rsid w:val="00E2490D"/>
    <w:rsid w:val="00E25AD0"/>
    <w:rsid w:val="00E4116B"/>
    <w:rsid w:val="00E43509"/>
    <w:rsid w:val="00E52954"/>
    <w:rsid w:val="00E66337"/>
    <w:rsid w:val="00E75F0E"/>
    <w:rsid w:val="00E81E2C"/>
    <w:rsid w:val="00E851E4"/>
    <w:rsid w:val="00E921AD"/>
    <w:rsid w:val="00E948E5"/>
    <w:rsid w:val="00EB4460"/>
    <w:rsid w:val="00EB6350"/>
    <w:rsid w:val="00EC04F7"/>
    <w:rsid w:val="00ED39A6"/>
    <w:rsid w:val="00ED73B2"/>
    <w:rsid w:val="00EE50F2"/>
    <w:rsid w:val="00EF5096"/>
    <w:rsid w:val="00F00D96"/>
    <w:rsid w:val="00F05100"/>
    <w:rsid w:val="00F12191"/>
    <w:rsid w:val="00F13FC0"/>
    <w:rsid w:val="00F15B57"/>
    <w:rsid w:val="00F23A7D"/>
    <w:rsid w:val="00F260F4"/>
    <w:rsid w:val="00F26D92"/>
    <w:rsid w:val="00F311F3"/>
    <w:rsid w:val="00F33C23"/>
    <w:rsid w:val="00F36593"/>
    <w:rsid w:val="00F427DB"/>
    <w:rsid w:val="00F44A52"/>
    <w:rsid w:val="00F54A90"/>
    <w:rsid w:val="00F723B4"/>
    <w:rsid w:val="00F72BAB"/>
    <w:rsid w:val="00F76686"/>
    <w:rsid w:val="00F80AED"/>
    <w:rsid w:val="00F82C99"/>
    <w:rsid w:val="00F91329"/>
    <w:rsid w:val="00F92D62"/>
    <w:rsid w:val="00F96FBF"/>
    <w:rsid w:val="00FA1A1A"/>
    <w:rsid w:val="00FA3E6A"/>
    <w:rsid w:val="00FA5EB1"/>
    <w:rsid w:val="00FA7439"/>
    <w:rsid w:val="00FB1171"/>
    <w:rsid w:val="00FC4EC0"/>
    <w:rsid w:val="00FC7A8F"/>
    <w:rsid w:val="00FD5F35"/>
    <w:rsid w:val="00FF0181"/>
    <w:rsid w:val="00FF2E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D9AAE5E"/>
  <w15:docId w15:val="{AEE8A956-AC8C-4CBD-B3CE-975556B8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超?级链,Style 58,超????,하이퍼링크2,超链接1"/>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E07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yworkspace/" TargetMode="External"/><Relationship Id="rId18" Type="http://schemas.openxmlformats.org/officeDocument/2006/relationships/hyperlink" Target="https://www.itu.int/net4/itu-t/nn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tu.int/md/S20-CL-INF-0007" TargetMode="External"/><Relationship Id="rId17" Type="http://schemas.openxmlformats.org/officeDocument/2006/relationships/hyperlink" Target="https://www.itu.int/pub/T-SP-OB/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T/ssc/united/Pages/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net4/ITU-T/landscap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search"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E4DB3-2090-483F-8E55-7FA348219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D42A8-20B5-4E38-9C5A-4645AC50A1BD}">
  <ds:schemaRefs>
    <ds:schemaRef ds:uri="http://schemas.microsoft.com/sharepoint/v3/contenttype/forms"/>
  </ds:schemaRefs>
</ds:datastoreItem>
</file>

<file path=customXml/itemProps3.xml><?xml version="1.0" encoding="utf-8"?>
<ds:datastoreItem xmlns:ds="http://schemas.openxmlformats.org/officeDocument/2006/customXml" ds:itemID="{CBA6733E-8EB7-4502-ACBD-E4138293F6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736371-D3A5-4B67-96AA-FAB420E6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9</Pages>
  <Words>3647</Words>
  <Characters>22261</Characters>
  <Application>Microsoft Office Word</Application>
  <DocSecurity>4</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25857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Appui au TSB</dc:title>
  <dc:subject>Conseil 2020</dc:subject>
  <dc:creator>French</dc:creator>
  <cp:keywords>C2020, C20</cp:keywords>
  <dc:description/>
  <cp:lastModifiedBy>Brouard, Ricarda</cp:lastModifiedBy>
  <cp:revision>2</cp:revision>
  <cp:lastPrinted>2020-05-01T06:34:00Z</cp:lastPrinted>
  <dcterms:created xsi:type="dcterms:W3CDTF">2020-05-06T07:06:00Z</dcterms:created>
  <dcterms:modified xsi:type="dcterms:W3CDTF">2020-05-06T07:06:00Z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