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07A0D59" w14:textId="77777777" w:rsidTr="00464B6C">
        <w:trPr>
          <w:cantSplit/>
        </w:trPr>
        <w:tc>
          <w:tcPr>
            <w:tcW w:w="6911" w:type="dxa"/>
          </w:tcPr>
          <w:p w14:paraId="721EE975" w14:textId="236BBC73" w:rsidR="002A2188" w:rsidRPr="00813E5E" w:rsidRDefault="002A2188" w:rsidP="00533CCD">
            <w:pPr>
              <w:spacing w:before="360" w:after="48" w:line="240" w:lineRule="atLeast"/>
              <w:rPr>
                <w:position w:val="6"/>
              </w:rPr>
            </w:pPr>
            <w:bookmarkStart w:id="0" w:name="dc06"/>
            <w:bookmarkEnd w:id="0"/>
            <w:r w:rsidRPr="00E85629">
              <w:rPr>
                <w:b/>
                <w:bCs/>
                <w:position w:val="6"/>
                <w:sz w:val="30"/>
                <w:szCs w:val="30"/>
                <w:lang w:val="fr-CH"/>
              </w:rPr>
              <w:t xml:space="preserve">Council </w:t>
            </w:r>
            <w:r w:rsidR="001C003E" w:rsidRPr="00E85629">
              <w:rPr>
                <w:b/>
                <w:bCs/>
                <w:position w:val="6"/>
                <w:sz w:val="30"/>
                <w:szCs w:val="30"/>
                <w:lang w:val="fr-CH"/>
              </w:rPr>
              <w:t>20</w:t>
            </w:r>
            <w:r w:rsidR="001C003E">
              <w:rPr>
                <w:b/>
                <w:bCs/>
                <w:position w:val="6"/>
                <w:sz w:val="30"/>
                <w:szCs w:val="30"/>
                <w:lang w:val="fr-CH"/>
              </w:rPr>
              <w:t>20</w:t>
            </w:r>
            <w:r w:rsidRPr="00E85629">
              <w:rPr>
                <w:rFonts w:cs="Times"/>
                <w:b/>
                <w:position w:val="6"/>
                <w:sz w:val="26"/>
                <w:szCs w:val="26"/>
                <w:lang w:val="en-US"/>
              </w:rPr>
              <w:br/>
            </w:r>
            <w:r w:rsidRPr="00E85629">
              <w:rPr>
                <w:b/>
                <w:bCs/>
                <w:position w:val="6"/>
                <w:szCs w:val="24"/>
                <w:lang w:val="fr-CH"/>
              </w:rPr>
              <w:t xml:space="preserve">Geneva, </w:t>
            </w:r>
            <w:r w:rsidR="001C2A74">
              <w:rPr>
                <w:b/>
                <w:bCs/>
                <w:position w:val="6"/>
                <w:szCs w:val="24"/>
                <w:lang w:val="fr-CH"/>
              </w:rPr>
              <w:t>9</w:t>
            </w:r>
            <w:r w:rsidR="00533CCD">
              <w:rPr>
                <w:b/>
                <w:bCs/>
                <w:position w:val="6"/>
                <w:szCs w:val="24"/>
                <w:lang w:val="fr-CH"/>
              </w:rPr>
              <w:t>-</w:t>
            </w:r>
            <w:r w:rsidR="001C2A74">
              <w:rPr>
                <w:b/>
                <w:bCs/>
                <w:position w:val="6"/>
                <w:szCs w:val="24"/>
                <w:lang w:val="fr-CH"/>
              </w:rPr>
              <w:t>19</w:t>
            </w:r>
            <w:r w:rsidR="001C2A74" w:rsidRPr="00E85629">
              <w:rPr>
                <w:b/>
                <w:bCs/>
                <w:position w:val="6"/>
                <w:szCs w:val="24"/>
                <w:lang w:val="fr-CH"/>
              </w:rPr>
              <w:t xml:space="preserve"> </w:t>
            </w:r>
            <w:r w:rsidR="00533CCD">
              <w:rPr>
                <w:b/>
                <w:bCs/>
                <w:position w:val="6"/>
                <w:szCs w:val="24"/>
                <w:lang w:val="fr-CH"/>
              </w:rPr>
              <w:t>June</w:t>
            </w:r>
            <w:r w:rsidRPr="00E85629">
              <w:rPr>
                <w:b/>
                <w:bCs/>
                <w:position w:val="6"/>
                <w:szCs w:val="24"/>
                <w:lang w:val="fr-CH"/>
              </w:rPr>
              <w:t xml:space="preserve"> </w:t>
            </w:r>
            <w:r w:rsidR="001C2A74" w:rsidRPr="00E85629">
              <w:rPr>
                <w:b/>
                <w:bCs/>
                <w:position w:val="6"/>
                <w:szCs w:val="24"/>
                <w:lang w:val="fr-CH"/>
              </w:rPr>
              <w:t>20</w:t>
            </w:r>
            <w:r w:rsidR="001C2A74">
              <w:rPr>
                <w:b/>
                <w:bCs/>
                <w:position w:val="6"/>
                <w:szCs w:val="24"/>
                <w:lang w:val="fr-CH"/>
              </w:rPr>
              <w:t>20</w:t>
            </w:r>
          </w:p>
        </w:tc>
        <w:tc>
          <w:tcPr>
            <w:tcW w:w="3120" w:type="dxa"/>
          </w:tcPr>
          <w:p w14:paraId="26EF2C0F" w14:textId="2EB67ABB" w:rsidR="002A2188" w:rsidRPr="00813E5E" w:rsidRDefault="007300A9" w:rsidP="007300A9">
            <w:pPr>
              <w:spacing w:before="0" w:line="240" w:lineRule="atLeast"/>
            </w:pPr>
            <w:bookmarkStart w:id="1" w:name="ditulogo"/>
            <w:bookmarkEnd w:id="1"/>
            <w:r>
              <w:rPr>
                <w:noProof/>
                <w:lang w:eastAsia="zh-CN"/>
              </w:rPr>
              <w:drawing>
                <wp:inline distT="0" distB="0" distL="0" distR="0" wp14:anchorId="298F25F0" wp14:editId="73AF1F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F96408E" w14:textId="77777777" w:rsidTr="00464B6C">
        <w:trPr>
          <w:cantSplit/>
        </w:trPr>
        <w:tc>
          <w:tcPr>
            <w:tcW w:w="6911" w:type="dxa"/>
            <w:tcBorders>
              <w:bottom w:val="single" w:sz="12" w:space="0" w:color="auto"/>
            </w:tcBorders>
          </w:tcPr>
          <w:p w14:paraId="255ED744" w14:textId="77777777" w:rsidR="002A2188" w:rsidRPr="00813E5E" w:rsidRDefault="002A2188" w:rsidP="005332A7">
            <w:pPr>
              <w:spacing w:before="0" w:line="240" w:lineRule="atLeast"/>
              <w:rPr>
                <w:b/>
                <w:smallCaps/>
                <w:szCs w:val="24"/>
              </w:rPr>
            </w:pPr>
          </w:p>
        </w:tc>
        <w:tc>
          <w:tcPr>
            <w:tcW w:w="3120" w:type="dxa"/>
            <w:tcBorders>
              <w:bottom w:val="single" w:sz="12" w:space="0" w:color="auto"/>
            </w:tcBorders>
          </w:tcPr>
          <w:p w14:paraId="42750D91" w14:textId="77777777" w:rsidR="002A2188" w:rsidRPr="00813E5E" w:rsidRDefault="002A2188" w:rsidP="005332A7">
            <w:pPr>
              <w:spacing w:before="0" w:line="240" w:lineRule="atLeast"/>
              <w:rPr>
                <w:szCs w:val="24"/>
              </w:rPr>
            </w:pPr>
          </w:p>
        </w:tc>
      </w:tr>
      <w:tr w:rsidR="002A2188" w:rsidRPr="00813E5E" w14:paraId="39E5AC1A" w14:textId="77777777" w:rsidTr="00464B6C">
        <w:trPr>
          <w:cantSplit/>
        </w:trPr>
        <w:tc>
          <w:tcPr>
            <w:tcW w:w="6911" w:type="dxa"/>
            <w:tcBorders>
              <w:top w:val="single" w:sz="12" w:space="0" w:color="auto"/>
            </w:tcBorders>
          </w:tcPr>
          <w:p w14:paraId="623748FF" w14:textId="77777777" w:rsidR="002A2188" w:rsidRPr="00813E5E" w:rsidRDefault="002A2188" w:rsidP="005332A7">
            <w:pPr>
              <w:spacing w:before="0" w:line="240" w:lineRule="atLeast"/>
              <w:rPr>
                <w:b/>
                <w:smallCaps/>
                <w:szCs w:val="24"/>
              </w:rPr>
            </w:pPr>
          </w:p>
        </w:tc>
        <w:tc>
          <w:tcPr>
            <w:tcW w:w="3120" w:type="dxa"/>
            <w:tcBorders>
              <w:top w:val="single" w:sz="12" w:space="0" w:color="auto"/>
            </w:tcBorders>
          </w:tcPr>
          <w:p w14:paraId="7DF84E6D" w14:textId="77777777" w:rsidR="002A2188" w:rsidRPr="00813E5E" w:rsidRDefault="002A2188" w:rsidP="005332A7">
            <w:pPr>
              <w:spacing w:before="0" w:line="240" w:lineRule="atLeast"/>
              <w:rPr>
                <w:szCs w:val="24"/>
              </w:rPr>
            </w:pPr>
          </w:p>
        </w:tc>
      </w:tr>
      <w:tr w:rsidR="002A2188" w:rsidRPr="00813E5E" w14:paraId="1750694F" w14:textId="77777777" w:rsidTr="00464B6C">
        <w:trPr>
          <w:cantSplit/>
          <w:trHeight w:val="23"/>
        </w:trPr>
        <w:tc>
          <w:tcPr>
            <w:tcW w:w="6911" w:type="dxa"/>
            <w:vMerge w:val="restart"/>
          </w:tcPr>
          <w:p w14:paraId="3B0828B4" w14:textId="058C6501" w:rsidR="002A2188" w:rsidRPr="00E85629" w:rsidRDefault="00D04E39" w:rsidP="00533CCD">
            <w:pPr>
              <w:tabs>
                <w:tab w:val="left" w:pos="851"/>
              </w:tabs>
              <w:spacing w:before="0" w:line="240" w:lineRule="atLeast"/>
              <w:rPr>
                <w:b/>
              </w:rPr>
            </w:pPr>
            <w:bookmarkStart w:id="2" w:name="dmeeting" w:colFirst="0" w:colLast="0"/>
            <w:bookmarkStart w:id="3" w:name="dnum" w:colFirst="1" w:colLast="1"/>
            <w:r>
              <w:rPr>
                <w:b/>
              </w:rPr>
              <w:t xml:space="preserve">Agenda item: </w:t>
            </w:r>
            <w:r w:rsidR="007300A9">
              <w:rPr>
                <w:b/>
              </w:rPr>
              <w:t>PL 1.6</w:t>
            </w:r>
          </w:p>
        </w:tc>
        <w:tc>
          <w:tcPr>
            <w:tcW w:w="3120" w:type="dxa"/>
          </w:tcPr>
          <w:p w14:paraId="430E5144" w14:textId="7B412E67" w:rsidR="002A2188" w:rsidRPr="00E85629" w:rsidRDefault="002A2188" w:rsidP="00533CCD">
            <w:pPr>
              <w:tabs>
                <w:tab w:val="left" w:pos="851"/>
              </w:tabs>
              <w:spacing w:before="0" w:line="240" w:lineRule="atLeast"/>
              <w:rPr>
                <w:b/>
              </w:rPr>
            </w:pPr>
            <w:r>
              <w:rPr>
                <w:b/>
              </w:rPr>
              <w:t xml:space="preserve">Document </w:t>
            </w:r>
            <w:r w:rsidR="001C003E">
              <w:rPr>
                <w:b/>
              </w:rPr>
              <w:t>C20</w:t>
            </w:r>
            <w:r>
              <w:rPr>
                <w:b/>
              </w:rPr>
              <w:t>/</w:t>
            </w:r>
            <w:r w:rsidR="007300A9">
              <w:rPr>
                <w:b/>
              </w:rPr>
              <w:t>12</w:t>
            </w:r>
            <w:r>
              <w:rPr>
                <w:b/>
              </w:rPr>
              <w:t>-E</w:t>
            </w:r>
          </w:p>
        </w:tc>
      </w:tr>
      <w:tr w:rsidR="002A2188" w:rsidRPr="00813E5E" w14:paraId="4111A2CB" w14:textId="77777777" w:rsidTr="00464B6C">
        <w:trPr>
          <w:cantSplit/>
          <w:trHeight w:val="23"/>
        </w:trPr>
        <w:tc>
          <w:tcPr>
            <w:tcW w:w="6911" w:type="dxa"/>
            <w:vMerge/>
          </w:tcPr>
          <w:p w14:paraId="02E4B9BE" w14:textId="77777777" w:rsidR="002A2188" w:rsidRPr="00813E5E" w:rsidRDefault="002A2188" w:rsidP="005332A7">
            <w:pPr>
              <w:tabs>
                <w:tab w:val="left" w:pos="851"/>
              </w:tabs>
              <w:spacing w:before="0" w:line="240" w:lineRule="atLeast"/>
              <w:rPr>
                <w:b/>
              </w:rPr>
            </w:pPr>
            <w:bookmarkStart w:id="4" w:name="ddate" w:colFirst="1" w:colLast="1"/>
            <w:bookmarkEnd w:id="2"/>
            <w:bookmarkEnd w:id="3"/>
          </w:p>
        </w:tc>
        <w:tc>
          <w:tcPr>
            <w:tcW w:w="3120" w:type="dxa"/>
          </w:tcPr>
          <w:p w14:paraId="1BB670C9" w14:textId="02C7787D" w:rsidR="002A2188" w:rsidRPr="00E85629" w:rsidRDefault="007300A9" w:rsidP="00533CCD">
            <w:pPr>
              <w:tabs>
                <w:tab w:val="left" w:pos="993"/>
              </w:tabs>
              <w:spacing w:before="0"/>
              <w:rPr>
                <w:b/>
              </w:rPr>
            </w:pPr>
            <w:r>
              <w:rPr>
                <w:b/>
              </w:rPr>
              <w:t>3</w:t>
            </w:r>
            <w:r w:rsidR="00B42496">
              <w:rPr>
                <w:b/>
              </w:rPr>
              <w:t xml:space="preserve"> </w:t>
            </w:r>
            <w:r w:rsidR="00F27C7C">
              <w:rPr>
                <w:b/>
              </w:rPr>
              <w:t>March</w:t>
            </w:r>
            <w:r w:rsidR="002A2188">
              <w:rPr>
                <w:b/>
              </w:rPr>
              <w:t xml:space="preserve"> 20</w:t>
            </w:r>
            <w:r>
              <w:rPr>
                <w:b/>
              </w:rPr>
              <w:t>20</w:t>
            </w:r>
          </w:p>
        </w:tc>
      </w:tr>
      <w:tr w:rsidR="002A2188" w:rsidRPr="00813E5E" w14:paraId="181103E9" w14:textId="77777777" w:rsidTr="00464B6C">
        <w:trPr>
          <w:cantSplit/>
          <w:trHeight w:val="23"/>
        </w:trPr>
        <w:tc>
          <w:tcPr>
            <w:tcW w:w="6911" w:type="dxa"/>
            <w:vMerge/>
          </w:tcPr>
          <w:p w14:paraId="5C9F1312" w14:textId="77777777" w:rsidR="002A2188" w:rsidRPr="00813E5E" w:rsidRDefault="002A2188" w:rsidP="005332A7">
            <w:pPr>
              <w:tabs>
                <w:tab w:val="left" w:pos="851"/>
              </w:tabs>
              <w:spacing w:before="0" w:line="240" w:lineRule="atLeast"/>
              <w:rPr>
                <w:b/>
              </w:rPr>
            </w:pPr>
            <w:bookmarkStart w:id="5" w:name="dorlang" w:colFirst="1" w:colLast="1"/>
            <w:bookmarkEnd w:id="4"/>
          </w:p>
        </w:tc>
        <w:tc>
          <w:tcPr>
            <w:tcW w:w="3120" w:type="dxa"/>
          </w:tcPr>
          <w:p w14:paraId="5DAB84C3" w14:textId="77777777" w:rsidR="002A2188" w:rsidRPr="00E85629" w:rsidRDefault="002A2188" w:rsidP="005332A7">
            <w:pPr>
              <w:tabs>
                <w:tab w:val="left" w:pos="993"/>
              </w:tabs>
              <w:spacing w:before="0"/>
              <w:rPr>
                <w:b/>
              </w:rPr>
            </w:pPr>
            <w:r>
              <w:rPr>
                <w:b/>
              </w:rPr>
              <w:t>Original: English</w:t>
            </w:r>
          </w:p>
        </w:tc>
      </w:tr>
      <w:tr w:rsidR="002A2188" w:rsidRPr="00813E5E" w14:paraId="3EC5F389" w14:textId="77777777" w:rsidTr="00464B6C">
        <w:trPr>
          <w:cantSplit/>
        </w:trPr>
        <w:tc>
          <w:tcPr>
            <w:tcW w:w="10031" w:type="dxa"/>
            <w:gridSpan w:val="2"/>
          </w:tcPr>
          <w:p w14:paraId="5FCFB7AB" w14:textId="77777777" w:rsidR="002A2188" w:rsidRPr="00813E5E" w:rsidRDefault="005332A7" w:rsidP="00B42496">
            <w:pPr>
              <w:pStyle w:val="Source"/>
              <w:framePr w:hSpace="0" w:wrap="auto" w:hAnchor="text" w:yAlign="inline"/>
            </w:pPr>
            <w:bookmarkStart w:id="6" w:name="dsource" w:colFirst="0" w:colLast="0"/>
            <w:bookmarkEnd w:id="5"/>
            <w:r>
              <w:t xml:space="preserve">Chairman of the Council Working Group on </w:t>
            </w:r>
            <w:r>
              <w:br/>
              <w:t>the use of the six offic</w:t>
            </w:r>
            <w:r w:rsidR="00B42496">
              <w:t>ial languages of the Union (CWG-</w:t>
            </w:r>
            <w:r>
              <w:t>LANG)</w:t>
            </w:r>
          </w:p>
        </w:tc>
      </w:tr>
      <w:tr w:rsidR="002A2188" w:rsidRPr="00813E5E" w14:paraId="276BA41A" w14:textId="77777777" w:rsidTr="00464B6C">
        <w:trPr>
          <w:cantSplit/>
        </w:trPr>
        <w:tc>
          <w:tcPr>
            <w:tcW w:w="10031" w:type="dxa"/>
            <w:gridSpan w:val="2"/>
          </w:tcPr>
          <w:p w14:paraId="4B1CB57F" w14:textId="77777777" w:rsidR="002A2188" w:rsidRPr="00813E5E" w:rsidRDefault="005332A7" w:rsidP="00B42496">
            <w:pPr>
              <w:pStyle w:val="Title1"/>
              <w:framePr w:hSpace="0" w:wrap="auto" w:hAnchor="text" w:yAlign="inline"/>
            </w:pPr>
            <w:bookmarkStart w:id="7" w:name="dtitle1" w:colFirst="0" w:colLast="0"/>
            <w:bookmarkEnd w:id="6"/>
            <w:r w:rsidRPr="005332A7">
              <w:t>REPORT BY THE COUNCIL WORKING GROUP ON LANGUAGES</w:t>
            </w:r>
          </w:p>
        </w:tc>
      </w:tr>
      <w:bookmarkEnd w:id="7"/>
    </w:tbl>
    <w:p w14:paraId="6783408D"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63D2029D"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1504986" w14:textId="77777777" w:rsidR="005332A7" w:rsidRPr="005332A7" w:rsidRDefault="005332A7" w:rsidP="005332A7">
            <w:pPr>
              <w:pStyle w:val="Headingb"/>
              <w:rPr>
                <w:szCs w:val="24"/>
              </w:rPr>
            </w:pPr>
            <w:r w:rsidRPr="005332A7">
              <w:rPr>
                <w:szCs w:val="24"/>
              </w:rPr>
              <w:t>Summary</w:t>
            </w:r>
          </w:p>
          <w:p w14:paraId="70216D86" w14:textId="6CAC390C" w:rsidR="005332A7" w:rsidRPr="005332A7" w:rsidRDefault="005332A7" w:rsidP="00D165DC">
            <w:pPr>
              <w:jc w:val="both"/>
              <w:rPr>
                <w:szCs w:val="24"/>
              </w:rPr>
            </w:pPr>
            <w:r w:rsidRPr="005332A7">
              <w:rPr>
                <w:szCs w:val="24"/>
              </w:rPr>
              <w:t xml:space="preserve">This document contains the </w:t>
            </w:r>
            <w:r w:rsidR="00DE4502">
              <w:rPr>
                <w:szCs w:val="24"/>
              </w:rPr>
              <w:t xml:space="preserve">annual </w:t>
            </w:r>
            <w:r w:rsidRPr="005332A7">
              <w:rPr>
                <w:szCs w:val="24"/>
              </w:rPr>
              <w:t>report of the Chairman of the Council Working Group on Languages</w:t>
            </w:r>
            <w:r w:rsidR="00256565">
              <w:rPr>
                <w:szCs w:val="24"/>
              </w:rPr>
              <w:t xml:space="preserve"> (CWG-LANG</w:t>
            </w:r>
            <w:r w:rsidR="00D165DC">
              <w:rPr>
                <w:szCs w:val="24"/>
              </w:rPr>
              <w:t>) to the Council</w:t>
            </w:r>
            <w:r w:rsidRPr="005332A7">
              <w:rPr>
                <w:szCs w:val="24"/>
              </w:rPr>
              <w:t xml:space="preserve">, pursuant to Resolution 154 (Rev. </w:t>
            </w:r>
            <w:r w:rsidR="00533CCD">
              <w:rPr>
                <w:szCs w:val="24"/>
              </w:rPr>
              <w:t>Dubai</w:t>
            </w:r>
            <w:r w:rsidRPr="005332A7">
              <w:rPr>
                <w:szCs w:val="24"/>
              </w:rPr>
              <w:t>, 201</w:t>
            </w:r>
            <w:r w:rsidR="00533CCD">
              <w:rPr>
                <w:szCs w:val="24"/>
              </w:rPr>
              <w:t>8</w:t>
            </w:r>
            <w:r w:rsidRPr="005332A7">
              <w:rPr>
                <w:szCs w:val="24"/>
              </w:rPr>
              <w:t>) and Council Resolution 1372</w:t>
            </w:r>
            <w:r w:rsidR="00D165DC">
              <w:rPr>
                <w:szCs w:val="24"/>
              </w:rPr>
              <w:t xml:space="preserve"> (Rev. 201</w:t>
            </w:r>
            <w:r w:rsidR="00367BED">
              <w:rPr>
                <w:szCs w:val="24"/>
              </w:rPr>
              <w:t>9</w:t>
            </w:r>
            <w:r w:rsidR="00D165DC">
              <w:rPr>
                <w:szCs w:val="24"/>
              </w:rPr>
              <w:t>)</w:t>
            </w:r>
            <w:r w:rsidRPr="005332A7">
              <w:rPr>
                <w:szCs w:val="24"/>
              </w:rPr>
              <w:t>.</w:t>
            </w:r>
          </w:p>
          <w:p w14:paraId="4D739155" w14:textId="77777777" w:rsidR="005332A7" w:rsidRPr="005332A7" w:rsidRDefault="005332A7" w:rsidP="005332A7">
            <w:pPr>
              <w:pStyle w:val="Headingb"/>
              <w:jc w:val="both"/>
              <w:rPr>
                <w:szCs w:val="24"/>
              </w:rPr>
            </w:pPr>
            <w:r w:rsidRPr="005332A7">
              <w:rPr>
                <w:szCs w:val="24"/>
              </w:rPr>
              <w:t>Action required</w:t>
            </w:r>
          </w:p>
          <w:p w14:paraId="659B5A32" w14:textId="77777777" w:rsidR="005332A7" w:rsidRPr="005332A7" w:rsidRDefault="005332A7" w:rsidP="005332A7">
            <w:pPr>
              <w:jc w:val="both"/>
              <w:rPr>
                <w:szCs w:val="24"/>
              </w:rPr>
            </w:pPr>
            <w:r w:rsidRPr="005332A7">
              <w:rPr>
                <w:szCs w:val="24"/>
              </w:rPr>
              <w:t xml:space="preserve">The Council is invited </w:t>
            </w:r>
            <w:r w:rsidRPr="005332A7">
              <w:rPr>
                <w:b/>
                <w:bCs/>
                <w:szCs w:val="24"/>
              </w:rPr>
              <w:t>to endorse</w:t>
            </w:r>
            <w:r w:rsidRPr="005332A7">
              <w:rPr>
                <w:szCs w:val="24"/>
              </w:rPr>
              <w:t xml:space="preserve"> the report.</w:t>
            </w:r>
          </w:p>
          <w:p w14:paraId="13E014B9" w14:textId="77777777" w:rsidR="005332A7" w:rsidRPr="005332A7" w:rsidRDefault="005332A7" w:rsidP="005332A7">
            <w:pPr>
              <w:pStyle w:val="Table"/>
              <w:keepNext w:val="0"/>
              <w:spacing w:before="0" w:after="0"/>
              <w:rPr>
                <w:rFonts w:ascii="Calibri" w:hAnsi="Calibri"/>
                <w:caps w:val="0"/>
                <w:szCs w:val="24"/>
              </w:rPr>
            </w:pPr>
            <w:r w:rsidRPr="005332A7">
              <w:rPr>
                <w:rFonts w:ascii="Calibri" w:hAnsi="Calibri"/>
                <w:caps w:val="0"/>
                <w:szCs w:val="24"/>
              </w:rPr>
              <w:t>____________</w:t>
            </w:r>
          </w:p>
          <w:p w14:paraId="1687A78B" w14:textId="77777777" w:rsidR="005332A7" w:rsidRPr="005332A7" w:rsidRDefault="005332A7" w:rsidP="005332A7">
            <w:pPr>
              <w:pStyle w:val="Headingb"/>
              <w:rPr>
                <w:szCs w:val="24"/>
              </w:rPr>
            </w:pPr>
            <w:r w:rsidRPr="005332A7">
              <w:rPr>
                <w:szCs w:val="24"/>
              </w:rPr>
              <w:t>References</w:t>
            </w:r>
          </w:p>
          <w:p w14:paraId="6D334B05" w14:textId="5D7357A4" w:rsidR="002A2188" w:rsidRPr="00813E5E" w:rsidRDefault="00A12D71" w:rsidP="00A003BC">
            <w:pPr>
              <w:rPr>
                <w:i/>
                <w:iCs/>
              </w:rPr>
            </w:pPr>
            <w:hyperlink r:id="rId9" w:history="1">
              <w:r w:rsidR="001C2A74" w:rsidRPr="00367BED">
                <w:rPr>
                  <w:rStyle w:val="Hyperlink"/>
                  <w:i/>
                  <w:iCs/>
                  <w:szCs w:val="24"/>
                </w:rPr>
                <w:t>Report by the Secretary-General</w:t>
              </w:r>
            </w:hyperlink>
            <w:r w:rsidR="005332A7" w:rsidRPr="005332A7">
              <w:rPr>
                <w:i/>
                <w:iCs/>
                <w:szCs w:val="24"/>
              </w:rPr>
              <w:t xml:space="preserve">; </w:t>
            </w:r>
            <w:hyperlink r:id="rId10" w:history="1">
              <w:r w:rsidR="005332A7" w:rsidRPr="00533CCD">
                <w:rPr>
                  <w:rStyle w:val="Hyperlink"/>
                  <w:i/>
                  <w:iCs/>
                  <w:szCs w:val="24"/>
                </w:rPr>
                <w:t xml:space="preserve">Resolution 154 (Rev. </w:t>
              </w:r>
              <w:r w:rsidR="00533CCD" w:rsidRPr="00533CCD">
                <w:rPr>
                  <w:rStyle w:val="Hyperlink"/>
                  <w:i/>
                  <w:iCs/>
                  <w:szCs w:val="24"/>
                </w:rPr>
                <w:t>Dubai</w:t>
              </w:r>
              <w:r w:rsidR="005332A7" w:rsidRPr="00533CCD">
                <w:rPr>
                  <w:rStyle w:val="Hyperlink"/>
                  <w:i/>
                  <w:iCs/>
                  <w:szCs w:val="24"/>
                </w:rPr>
                <w:t>, 201</w:t>
              </w:r>
              <w:r w:rsidR="00A003BC">
                <w:rPr>
                  <w:rStyle w:val="Hyperlink"/>
                  <w:i/>
                  <w:iCs/>
                  <w:szCs w:val="24"/>
                </w:rPr>
                <w:t>8</w:t>
              </w:r>
              <w:r w:rsidR="005332A7" w:rsidRPr="00533CCD">
                <w:rPr>
                  <w:rStyle w:val="Hyperlink"/>
                  <w:i/>
                  <w:iCs/>
                  <w:szCs w:val="24"/>
                </w:rPr>
                <w:t>)</w:t>
              </w:r>
            </w:hyperlink>
            <w:r w:rsidR="005332A7" w:rsidRPr="005332A7">
              <w:rPr>
                <w:i/>
                <w:iCs/>
                <w:szCs w:val="24"/>
              </w:rPr>
              <w:t xml:space="preserve">; </w:t>
            </w:r>
            <w:r w:rsidR="005332A7">
              <w:rPr>
                <w:i/>
                <w:iCs/>
                <w:szCs w:val="24"/>
              </w:rPr>
              <w:br/>
            </w:r>
            <w:hyperlink r:id="rId11" w:history="1">
              <w:r w:rsidR="005332A7" w:rsidRPr="00367BED">
                <w:rPr>
                  <w:rStyle w:val="Hyperlink"/>
                  <w:i/>
                  <w:iCs/>
                  <w:szCs w:val="24"/>
                </w:rPr>
                <w:t>Council Resolution 1372 (</w:t>
              </w:r>
              <w:r>
                <w:rPr>
                  <w:rStyle w:val="Hyperlink"/>
                  <w:i/>
                  <w:iCs/>
                  <w:szCs w:val="24"/>
                </w:rPr>
                <w:t>Modified</w:t>
              </w:r>
              <w:r w:rsidR="005332A7" w:rsidRPr="00367BED">
                <w:rPr>
                  <w:rStyle w:val="Hyperlink"/>
                  <w:i/>
                  <w:iCs/>
                  <w:szCs w:val="24"/>
                </w:rPr>
                <w:t xml:space="preserve"> 201</w:t>
              </w:r>
              <w:r w:rsidR="00367BED" w:rsidRPr="00367BED">
                <w:rPr>
                  <w:rStyle w:val="Hyperlink"/>
                  <w:i/>
                  <w:iCs/>
                  <w:szCs w:val="24"/>
                </w:rPr>
                <w:t>9</w:t>
              </w:r>
              <w:r w:rsidR="005332A7" w:rsidRPr="00367BED">
                <w:rPr>
                  <w:rStyle w:val="Hyperlink"/>
                  <w:i/>
                  <w:iCs/>
                  <w:szCs w:val="24"/>
                </w:rPr>
                <w:t>)</w:t>
              </w:r>
            </w:hyperlink>
          </w:p>
        </w:tc>
      </w:tr>
    </w:tbl>
    <w:p w14:paraId="0ABB2E5C" w14:textId="2CE321BE" w:rsidR="005332A7" w:rsidRPr="001001E2" w:rsidRDefault="005332A7" w:rsidP="00533CCD">
      <w:pPr>
        <w:numPr>
          <w:ilvl w:val="0"/>
          <w:numId w:val="5"/>
        </w:numPr>
        <w:tabs>
          <w:tab w:val="clear" w:pos="567"/>
          <w:tab w:val="clear" w:pos="1134"/>
          <w:tab w:val="clear" w:pos="1701"/>
          <w:tab w:val="clear" w:pos="2268"/>
          <w:tab w:val="clear" w:pos="2835"/>
        </w:tabs>
        <w:overflowPunct/>
        <w:autoSpaceDE/>
        <w:autoSpaceDN/>
        <w:snapToGrid w:val="0"/>
        <w:spacing w:before="600" w:after="120"/>
        <w:ind w:left="0" w:firstLine="0"/>
        <w:jc w:val="both"/>
        <w:textAlignment w:val="auto"/>
        <w:rPr>
          <w:rFonts w:cs="Calibri"/>
          <w:b/>
          <w:szCs w:val="24"/>
        </w:rPr>
      </w:pPr>
      <w:bookmarkStart w:id="8" w:name="dstart"/>
      <w:bookmarkStart w:id="9" w:name="dbreak"/>
      <w:bookmarkEnd w:id="8"/>
      <w:bookmarkEnd w:id="9"/>
      <w:r w:rsidRPr="001001E2">
        <w:rPr>
          <w:rFonts w:cs="Calibri"/>
          <w:b/>
          <w:szCs w:val="24"/>
        </w:rPr>
        <w:t xml:space="preserve">Opening of the meeting and approval of the agenda (Document </w:t>
      </w:r>
      <w:hyperlink r:id="rId12" w:history="1">
        <w:r w:rsidR="001C2A74" w:rsidRPr="00367BED">
          <w:rPr>
            <w:rStyle w:val="Hyperlink"/>
            <w:rFonts w:cs="Calibri"/>
            <w:b/>
            <w:szCs w:val="24"/>
          </w:rPr>
          <w:t>CWG-LANG/</w:t>
        </w:r>
        <w:r w:rsidR="001C2A74" w:rsidRPr="001C2A74">
          <w:rPr>
            <w:rStyle w:val="Hyperlink"/>
            <w:rFonts w:cs="Calibri"/>
            <w:b/>
            <w:szCs w:val="24"/>
          </w:rPr>
          <w:t>10</w:t>
        </w:r>
        <w:r w:rsidR="001C2A74" w:rsidRPr="00367BED">
          <w:rPr>
            <w:rStyle w:val="Hyperlink"/>
            <w:rFonts w:cs="Calibri"/>
            <w:b/>
            <w:szCs w:val="24"/>
          </w:rPr>
          <w:t>/1</w:t>
        </w:r>
      </w:hyperlink>
      <w:r w:rsidRPr="001001E2">
        <w:rPr>
          <w:rFonts w:cs="Calibri"/>
          <w:b/>
          <w:szCs w:val="24"/>
        </w:rPr>
        <w:t>)</w:t>
      </w:r>
    </w:p>
    <w:p w14:paraId="7A3C514B" w14:textId="781D6FB7" w:rsidR="00A6600B" w:rsidRDefault="00DD3E49" w:rsidP="00533C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1.1</w:t>
      </w:r>
      <w:r>
        <w:rPr>
          <w:rFonts w:cs="Calibri"/>
          <w:bCs/>
          <w:szCs w:val="24"/>
        </w:rPr>
        <w:tab/>
      </w:r>
      <w:r w:rsidR="00533CCD">
        <w:rPr>
          <w:rFonts w:cs="Calibri"/>
          <w:bCs/>
          <w:szCs w:val="24"/>
        </w:rPr>
        <w:t>T</w:t>
      </w:r>
      <w:r w:rsidR="005332A7" w:rsidRPr="001001E2">
        <w:rPr>
          <w:rFonts w:cs="Calibri"/>
          <w:bCs/>
          <w:szCs w:val="24"/>
        </w:rPr>
        <w:t xml:space="preserve">he meeting was chaired by the </w:t>
      </w:r>
      <w:r w:rsidR="00195B25">
        <w:rPr>
          <w:rFonts w:cs="Calibri"/>
          <w:bCs/>
          <w:szCs w:val="24"/>
        </w:rPr>
        <w:t>Vice-</w:t>
      </w:r>
      <w:r w:rsidR="005332A7" w:rsidRPr="001001E2">
        <w:rPr>
          <w:rFonts w:cs="Calibri"/>
          <w:bCs/>
          <w:szCs w:val="24"/>
        </w:rPr>
        <w:t xml:space="preserve">Chair </w:t>
      </w:r>
      <w:r w:rsidR="00533CCD">
        <w:rPr>
          <w:rFonts w:cs="Calibri"/>
          <w:bCs/>
          <w:szCs w:val="24"/>
        </w:rPr>
        <w:t>of the Council Working Group on Languages</w:t>
      </w:r>
      <w:r w:rsidR="00367BED">
        <w:rPr>
          <w:rFonts w:cs="Calibri"/>
          <w:bCs/>
          <w:szCs w:val="24"/>
        </w:rPr>
        <w:t xml:space="preserve"> for the Arabic language</w:t>
      </w:r>
      <w:r w:rsidR="00533CCD">
        <w:rPr>
          <w:rFonts w:cs="Calibri"/>
          <w:bCs/>
          <w:szCs w:val="24"/>
        </w:rPr>
        <w:t xml:space="preserve">, </w:t>
      </w:r>
      <w:r w:rsidR="005332A7" w:rsidRPr="001001E2">
        <w:rPr>
          <w:rFonts w:cs="Calibri"/>
          <w:bCs/>
          <w:szCs w:val="24"/>
        </w:rPr>
        <w:t xml:space="preserve">Ms </w:t>
      </w:r>
      <w:r w:rsidR="00367BED" w:rsidRPr="00367BED">
        <w:rPr>
          <w:rFonts w:cs="Calibri"/>
          <w:bCs/>
          <w:szCs w:val="24"/>
        </w:rPr>
        <w:t xml:space="preserve">Sameera </w:t>
      </w:r>
      <w:proofErr w:type="spellStart"/>
      <w:r w:rsidR="00367BED" w:rsidRPr="00367BED">
        <w:rPr>
          <w:rFonts w:cs="Calibri"/>
          <w:bCs/>
          <w:szCs w:val="24"/>
        </w:rPr>
        <w:t>Belal</w:t>
      </w:r>
      <w:proofErr w:type="spellEnd"/>
      <w:r w:rsidR="00367BED" w:rsidRPr="00367BED">
        <w:rPr>
          <w:rFonts w:cs="Calibri"/>
          <w:bCs/>
          <w:szCs w:val="24"/>
        </w:rPr>
        <w:t xml:space="preserve"> </w:t>
      </w:r>
      <w:proofErr w:type="spellStart"/>
      <w:r w:rsidR="00367BED" w:rsidRPr="00367BED">
        <w:rPr>
          <w:rFonts w:cs="Calibri"/>
          <w:bCs/>
          <w:szCs w:val="24"/>
        </w:rPr>
        <w:t>Momen</w:t>
      </w:r>
      <w:proofErr w:type="spellEnd"/>
      <w:r w:rsidR="00367BED" w:rsidRPr="00367BED">
        <w:rPr>
          <w:rFonts w:cs="Calibri"/>
          <w:bCs/>
          <w:szCs w:val="24"/>
        </w:rPr>
        <w:t xml:space="preserve"> Mohammad </w:t>
      </w:r>
      <w:r w:rsidR="00533CCD" w:rsidRPr="00533CCD">
        <w:rPr>
          <w:rFonts w:cs="Calibri"/>
          <w:bCs/>
          <w:szCs w:val="24"/>
        </w:rPr>
        <w:t>(</w:t>
      </w:r>
      <w:r w:rsidR="00367BED">
        <w:rPr>
          <w:rFonts w:cs="Calibri"/>
          <w:bCs/>
          <w:szCs w:val="24"/>
        </w:rPr>
        <w:t>Kuwait</w:t>
      </w:r>
      <w:r w:rsidR="00533CCD" w:rsidRPr="00533CCD">
        <w:rPr>
          <w:rFonts w:cs="Calibri"/>
          <w:bCs/>
          <w:szCs w:val="24"/>
        </w:rPr>
        <w:t>)</w:t>
      </w:r>
      <w:r w:rsidR="005332A7" w:rsidRPr="001001E2">
        <w:rPr>
          <w:rFonts w:cs="Calibri"/>
          <w:bCs/>
          <w:szCs w:val="24"/>
        </w:rPr>
        <w:t>.</w:t>
      </w:r>
      <w:r w:rsidR="005332A7" w:rsidRPr="001001E2">
        <w:rPr>
          <w:rFonts w:eastAsia="SimSun" w:cs="Arial"/>
        </w:rPr>
        <w:t xml:space="preserve"> She </w:t>
      </w:r>
      <w:r w:rsidR="005332A7" w:rsidRPr="001001E2">
        <w:rPr>
          <w:rFonts w:cs="Calibri"/>
          <w:bCs/>
          <w:szCs w:val="24"/>
        </w:rPr>
        <w:t xml:space="preserve">opened the meeting and, after welcoming delegates present and those who were participating remotely, </w:t>
      </w:r>
      <w:r w:rsidR="00A6600B">
        <w:rPr>
          <w:rFonts w:cs="Calibri"/>
          <w:bCs/>
          <w:szCs w:val="24"/>
        </w:rPr>
        <w:t xml:space="preserve">submitted the draft agenda for approval. The agenda was approved as submitted. </w:t>
      </w:r>
    </w:p>
    <w:p w14:paraId="49EE336C" w14:textId="580E512D" w:rsidR="00533CCD" w:rsidRDefault="00DD3E49" w:rsidP="00533C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1.2</w:t>
      </w:r>
      <w:r>
        <w:rPr>
          <w:rFonts w:cs="Calibri"/>
          <w:bCs/>
          <w:szCs w:val="24"/>
        </w:rPr>
        <w:tab/>
      </w:r>
      <w:r w:rsidR="00A6600B">
        <w:rPr>
          <w:rFonts w:cs="Calibri"/>
          <w:bCs/>
          <w:szCs w:val="24"/>
        </w:rPr>
        <w:t xml:space="preserve">The Chair then </w:t>
      </w:r>
      <w:r w:rsidR="00367BED" w:rsidRPr="001001E2">
        <w:rPr>
          <w:rFonts w:cs="Calibri"/>
          <w:bCs/>
          <w:szCs w:val="24"/>
        </w:rPr>
        <w:t xml:space="preserve">gave the floor to the ITU Secretary-General, Mr </w:t>
      </w:r>
      <w:r w:rsidR="00367BED">
        <w:rPr>
          <w:rFonts w:cs="Calibri"/>
          <w:bCs/>
          <w:szCs w:val="24"/>
        </w:rPr>
        <w:t>Houlin Zhao</w:t>
      </w:r>
      <w:r w:rsidR="00367BED" w:rsidRPr="001001E2">
        <w:rPr>
          <w:rFonts w:cs="Calibri"/>
          <w:bCs/>
          <w:szCs w:val="24"/>
        </w:rPr>
        <w:t>, who reiterat</w:t>
      </w:r>
      <w:r w:rsidR="00367BED">
        <w:rPr>
          <w:rFonts w:cs="Calibri"/>
          <w:bCs/>
          <w:szCs w:val="24"/>
        </w:rPr>
        <w:t>ed</w:t>
      </w:r>
      <w:r w:rsidR="00367BED" w:rsidRPr="001001E2">
        <w:rPr>
          <w:rFonts w:cs="Calibri"/>
          <w:bCs/>
          <w:szCs w:val="24"/>
        </w:rPr>
        <w:t xml:space="preserve"> the importance of the</w:t>
      </w:r>
      <w:r w:rsidR="00367BED">
        <w:rPr>
          <w:rFonts w:cs="Calibri"/>
          <w:bCs/>
          <w:szCs w:val="24"/>
        </w:rPr>
        <w:t xml:space="preserve"> Council Working Group on Languages</w:t>
      </w:r>
      <w:r w:rsidR="00367BED" w:rsidRPr="001001E2">
        <w:rPr>
          <w:rFonts w:cs="Calibri"/>
          <w:bCs/>
          <w:szCs w:val="24"/>
        </w:rPr>
        <w:t xml:space="preserve"> </w:t>
      </w:r>
      <w:r w:rsidR="00367BED">
        <w:rPr>
          <w:rFonts w:cs="Calibri"/>
          <w:bCs/>
          <w:szCs w:val="24"/>
        </w:rPr>
        <w:t>(</w:t>
      </w:r>
      <w:r w:rsidR="00367BED" w:rsidRPr="001001E2">
        <w:rPr>
          <w:rFonts w:cs="Calibri"/>
          <w:bCs/>
          <w:szCs w:val="24"/>
        </w:rPr>
        <w:t>CWG-LANG</w:t>
      </w:r>
      <w:r w:rsidR="00367BED">
        <w:rPr>
          <w:rFonts w:cs="Calibri"/>
          <w:bCs/>
          <w:szCs w:val="24"/>
        </w:rPr>
        <w:t>)</w:t>
      </w:r>
      <w:r w:rsidR="00367BED" w:rsidRPr="001001E2">
        <w:rPr>
          <w:rFonts w:cs="Calibri"/>
          <w:bCs/>
          <w:szCs w:val="24"/>
        </w:rPr>
        <w:t xml:space="preserve"> for the Union and its membership, and acknowledged the </w:t>
      </w:r>
      <w:r w:rsidR="00A6600B">
        <w:rPr>
          <w:rFonts w:cs="Calibri"/>
          <w:bCs/>
          <w:szCs w:val="24"/>
        </w:rPr>
        <w:t xml:space="preserve">content of the </w:t>
      </w:r>
      <w:r w:rsidR="00367BED" w:rsidRPr="001001E2">
        <w:rPr>
          <w:rFonts w:cs="Calibri"/>
          <w:bCs/>
          <w:szCs w:val="24"/>
        </w:rPr>
        <w:t>meeting’s agenda</w:t>
      </w:r>
      <w:r w:rsidR="00367BED">
        <w:rPr>
          <w:rFonts w:cs="Calibri"/>
          <w:bCs/>
          <w:szCs w:val="24"/>
        </w:rPr>
        <w:t xml:space="preserve">, </w:t>
      </w:r>
      <w:r w:rsidR="00A6600B">
        <w:rPr>
          <w:rFonts w:cs="Calibri"/>
          <w:bCs/>
          <w:szCs w:val="24"/>
        </w:rPr>
        <w:t xml:space="preserve">namely </w:t>
      </w:r>
      <w:r w:rsidR="00A6600B" w:rsidRPr="00A6600B">
        <w:rPr>
          <w:rFonts w:cs="Calibri"/>
          <w:bCs/>
          <w:szCs w:val="24"/>
        </w:rPr>
        <w:t xml:space="preserve">the key issue of multilingualism, the review of alternative translation procedures, including Neural Machine Translation and Artificial Intelligence, and </w:t>
      </w:r>
      <w:r w:rsidR="00A6600B">
        <w:rPr>
          <w:rFonts w:cs="Calibri"/>
          <w:bCs/>
          <w:szCs w:val="24"/>
        </w:rPr>
        <w:t>the reflection</w:t>
      </w:r>
      <w:r w:rsidR="00A6600B" w:rsidRPr="00A6600B">
        <w:rPr>
          <w:rFonts w:cs="Calibri"/>
          <w:bCs/>
          <w:szCs w:val="24"/>
        </w:rPr>
        <w:t xml:space="preserve"> on how to improve the efficiency of the ITU’s governance processes and better support ITU council sessions</w:t>
      </w:r>
      <w:r w:rsidR="00533CCD">
        <w:rPr>
          <w:rFonts w:cs="Calibri"/>
          <w:bCs/>
          <w:szCs w:val="24"/>
        </w:rPr>
        <w:t>.</w:t>
      </w:r>
    </w:p>
    <w:p w14:paraId="38F536B2" w14:textId="0F9C311D" w:rsidR="005332A7" w:rsidRPr="001001E2" w:rsidRDefault="005332A7" w:rsidP="00BF00C5">
      <w:pPr>
        <w:keepNext/>
        <w:keepLines/>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
          <w:szCs w:val="24"/>
        </w:rPr>
      </w:pPr>
      <w:r w:rsidRPr="001001E2">
        <w:rPr>
          <w:rFonts w:cs="Calibri"/>
          <w:b/>
          <w:szCs w:val="24"/>
        </w:rPr>
        <w:lastRenderedPageBreak/>
        <w:t xml:space="preserve">Report by the Secretary-General (Document </w:t>
      </w:r>
      <w:hyperlink r:id="rId13" w:history="1">
        <w:r w:rsidRPr="001C2A74">
          <w:rPr>
            <w:rStyle w:val="Hyperlink"/>
            <w:rFonts w:cs="Calibri"/>
            <w:b/>
            <w:szCs w:val="24"/>
          </w:rPr>
          <w:t>CWG-LANG/</w:t>
        </w:r>
        <w:r w:rsidR="001C2A74" w:rsidRPr="001C2A74">
          <w:rPr>
            <w:rStyle w:val="Hyperlink"/>
            <w:rFonts w:cs="Calibri"/>
            <w:b/>
            <w:szCs w:val="24"/>
          </w:rPr>
          <w:t>10</w:t>
        </w:r>
        <w:r w:rsidRPr="001C2A74">
          <w:rPr>
            <w:rStyle w:val="Hyperlink"/>
            <w:rFonts w:cs="Calibri"/>
            <w:b/>
            <w:szCs w:val="24"/>
          </w:rPr>
          <w:t>/</w:t>
        </w:r>
        <w:r w:rsidR="001C2A74">
          <w:rPr>
            <w:rStyle w:val="Hyperlink"/>
            <w:rFonts w:cs="Calibri"/>
            <w:b/>
            <w:szCs w:val="24"/>
          </w:rPr>
          <w:t>2 and Addendum 1</w:t>
        </w:r>
      </w:hyperlink>
      <w:r w:rsidRPr="001001E2">
        <w:rPr>
          <w:rFonts w:cs="Calibri"/>
          <w:b/>
          <w:szCs w:val="24"/>
        </w:rPr>
        <w:t>)</w:t>
      </w:r>
    </w:p>
    <w:p w14:paraId="32401B83" w14:textId="1FCF8C6A" w:rsidR="00AC2D06" w:rsidRDefault="005332A7" w:rsidP="00BF00C5">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2.1</w:t>
      </w:r>
      <w:r w:rsidRPr="001001E2">
        <w:rPr>
          <w:rFonts w:cs="Calibri"/>
          <w:bCs/>
          <w:szCs w:val="24"/>
        </w:rPr>
        <w:tab/>
        <w:t>Participants received detailed information related to the evolution of the budget for translation of documents into the six official languages of the Union since 2010</w:t>
      </w:r>
      <w:r w:rsidR="00AC2D06">
        <w:rPr>
          <w:rFonts w:cs="Calibri"/>
          <w:bCs/>
          <w:szCs w:val="24"/>
        </w:rPr>
        <w:t>.</w:t>
      </w:r>
      <w:r w:rsidR="00AC2D06" w:rsidRPr="00AC2D06">
        <w:t xml:space="preserve"> </w:t>
      </w:r>
      <w:r w:rsidR="00AC2D06" w:rsidRPr="00AC2D06">
        <w:rPr>
          <w:rFonts w:cs="Calibri"/>
          <w:bCs/>
          <w:szCs w:val="24"/>
        </w:rPr>
        <w:t>Translation volumes continue to reflect equality of treatment of all 6 ITU official languages</w:t>
      </w:r>
      <w:r w:rsidR="00AC2D06">
        <w:rPr>
          <w:rFonts w:cs="Calibri"/>
          <w:bCs/>
          <w:szCs w:val="24"/>
        </w:rPr>
        <w:t>.</w:t>
      </w:r>
      <w:r w:rsidR="00AC2D06" w:rsidRPr="00AC2D06">
        <w:t xml:space="preserve"> </w:t>
      </w:r>
    </w:p>
    <w:p w14:paraId="606C4A0D" w14:textId="3EA1F464" w:rsidR="00AC2D06" w:rsidRDefault="00AC2D06" w:rsidP="00BF00C5">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Pr>
          <w:rFonts w:cs="Calibri"/>
          <w:bCs/>
          <w:szCs w:val="24"/>
        </w:rPr>
        <w:t>2</w:t>
      </w:r>
      <w:r w:rsidRPr="001001E2">
        <w:rPr>
          <w:rFonts w:cs="Calibri"/>
          <w:bCs/>
          <w:szCs w:val="24"/>
        </w:rPr>
        <w:tab/>
        <w:t xml:space="preserve">CWG-LANG expressed satisfaction at the efforts deployed in search of potential savings, efficiency and innovation in order to respond to PP Resolution 154 (Rev. </w:t>
      </w:r>
      <w:r w:rsidR="00BF1145">
        <w:rPr>
          <w:rFonts w:cs="Calibri"/>
          <w:bCs/>
          <w:szCs w:val="24"/>
        </w:rPr>
        <w:t>Dubai</w:t>
      </w:r>
      <w:r w:rsidRPr="001001E2">
        <w:rPr>
          <w:rFonts w:cs="Calibri"/>
          <w:bCs/>
          <w:szCs w:val="24"/>
        </w:rPr>
        <w:t>, 201</w:t>
      </w:r>
      <w:r w:rsidR="00BF1145">
        <w:rPr>
          <w:rFonts w:cs="Calibri"/>
          <w:bCs/>
          <w:szCs w:val="24"/>
        </w:rPr>
        <w:t>8</w:t>
      </w:r>
      <w:r w:rsidRPr="001001E2">
        <w:rPr>
          <w:rFonts w:cs="Calibri"/>
          <w:bCs/>
          <w:szCs w:val="24"/>
        </w:rPr>
        <w:t>) and Council Resolution 1372.</w:t>
      </w:r>
      <w:r w:rsidR="00A6600B">
        <w:rPr>
          <w:rFonts w:cs="Calibri"/>
          <w:bCs/>
          <w:szCs w:val="24"/>
        </w:rPr>
        <w:t xml:space="preserve"> </w:t>
      </w:r>
      <w:r w:rsidR="005F60D2">
        <w:rPr>
          <w:rFonts w:cs="Calibri"/>
          <w:bCs/>
          <w:szCs w:val="24"/>
        </w:rPr>
        <w:t>One delegation</w:t>
      </w:r>
      <w:r w:rsidR="00A6600B">
        <w:rPr>
          <w:rFonts w:cs="Calibri"/>
          <w:bCs/>
          <w:szCs w:val="24"/>
        </w:rPr>
        <w:t xml:space="preserve"> requested that the budgetary information provided include</w:t>
      </w:r>
      <w:r w:rsidR="00BF1145">
        <w:rPr>
          <w:rFonts w:cs="Calibri"/>
          <w:bCs/>
          <w:szCs w:val="24"/>
        </w:rPr>
        <w:t>s</w:t>
      </w:r>
      <w:r w:rsidR="00A6600B">
        <w:rPr>
          <w:rFonts w:cs="Calibri"/>
          <w:bCs/>
          <w:szCs w:val="24"/>
        </w:rPr>
        <w:t xml:space="preserve"> the budget for interpretation.</w:t>
      </w:r>
      <w:r w:rsidRPr="001001E2">
        <w:rPr>
          <w:rFonts w:cs="Calibri"/>
          <w:bCs/>
          <w:szCs w:val="24"/>
        </w:rPr>
        <w:t xml:space="preserve"> </w:t>
      </w:r>
    </w:p>
    <w:p w14:paraId="3561D048" w14:textId="52131D95" w:rsidR="00AC2D06" w:rsidRPr="001001E2" w:rsidRDefault="00AC2D06" w:rsidP="00AC2D06">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2.3</w:t>
      </w:r>
      <w:r>
        <w:rPr>
          <w:rFonts w:cs="Calibri"/>
          <w:bCs/>
          <w:szCs w:val="24"/>
        </w:rPr>
        <w:tab/>
        <w:t>CWG-LANG proposes that the C</w:t>
      </w:r>
      <w:r w:rsidRPr="001001E2">
        <w:rPr>
          <w:rFonts w:cs="Calibri"/>
          <w:bCs/>
          <w:szCs w:val="24"/>
        </w:rPr>
        <w:t>ouncil:</w:t>
      </w:r>
    </w:p>
    <w:p w14:paraId="21762532" w14:textId="77777777" w:rsidR="00A6600B" w:rsidRDefault="00A6600B" w:rsidP="00C12300">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Request the Secretariat to include in future reports the information on the budget for interpretation services.</w:t>
      </w:r>
    </w:p>
    <w:p w14:paraId="048021CB" w14:textId="620C8099" w:rsidR="00AC2D06" w:rsidRPr="00C12300" w:rsidRDefault="00AC2D06" w:rsidP="00C12300">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sidRPr="00C12300">
        <w:rPr>
          <w:rFonts w:cs="Calibri"/>
          <w:bCs/>
          <w:szCs w:val="24"/>
        </w:rPr>
        <w:t>Encourage the secretariat to continue the search for improvements</w:t>
      </w:r>
      <w:r w:rsidRPr="00C12300">
        <w:rPr>
          <w:rFonts w:eastAsia="SimSun" w:cs="Arial"/>
        </w:rPr>
        <w:t xml:space="preserve"> </w:t>
      </w:r>
      <w:r w:rsidRPr="00C12300">
        <w:rPr>
          <w:rFonts w:cs="Calibri"/>
          <w:bCs/>
          <w:szCs w:val="24"/>
        </w:rPr>
        <w:t xml:space="preserve">in order to respond to PP Resolution 154 (Rev. </w:t>
      </w:r>
      <w:r w:rsidR="00BF1145">
        <w:rPr>
          <w:rFonts w:cs="Calibri"/>
          <w:bCs/>
          <w:szCs w:val="24"/>
        </w:rPr>
        <w:t>Dubai</w:t>
      </w:r>
      <w:r w:rsidRPr="00C12300">
        <w:rPr>
          <w:rFonts w:cs="Calibri"/>
          <w:bCs/>
          <w:szCs w:val="24"/>
        </w:rPr>
        <w:t>, 201</w:t>
      </w:r>
      <w:r w:rsidR="00BF1145">
        <w:rPr>
          <w:rFonts w:cs="Calibri"/>
          <w:bCs/>
          <w:szCs w:val="24"/>
        </w:rPr>
        <w:t>8</w:t>
      </w:r>
      <w:r w:rsidRPr="00C12300">
        <w:rPr>
          <w:rFonts w:cs="Calibri"/>
          <w:bCs/>
          <w:szCs w:val="24"/>
        </w:rPr>
        <w:t>) and Council Resolution 1372.</w:t>
      </w:r>
    </w:p>
    <w:p w14:paraId="429D0EBC" w14:textId="77777777" w:rsidR="006165EF" w:rsidRDefault="00AC2D06" w:rsidP="00CF2DC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2.4</w:t>
      </w:r>
      <w:r w:rsidR="005332A7" w:rsidRPr="001001E2">
        <w:rPr>
          <w:rFonts w:cs="Calibri"/>
          <w:bCs/>
          <w:szCs w:val="24"/>
        </w:rPr>
        <w:t xml:space="preserve"> </w:t>
      </w:r>
      <w:r>
        <w:rPr>
          <w:rFonts w:cs="Calibri"/>
          <w:bCs/>
          <w:szCs w:val="24"/>
        </w:rPr>
        <w:tab/>
        <w:t>The Secretariat reported on</w:t>
      </w:r>
      <w:r w:rsidR="005332A7" w:rsidRPr="001001E2">
        <w:rPr>
          <w:rFonts w:cs="Calibri"/>
          <w:bCs/>
          <w:szCs w:val="24"/>
        </w:rPr>
        <w:t xml:space="preserve"> the outcome of ITU’s participation on interinstitutional meetings (IAMLADP and JIAMCATT) as regards the procedures adopted by other international organizations inside and outside of the United Nations system.</w:t>
      </w:r>
      <w:r w:rsidR="006165EF">
        <w:rPr>
          <w:rFonts w:cs="Calibri"/>
          <w:bCs/>
          <w:szCs w:val="24"/>
        </w:rPr>
        <w:t xml:space="preserve"> </w:t>
      </w:r>
      <w:r w:rsidR="00C12300">
        <w:rPr>
          <w:rFonts w:cs="Calibri"/>
          <w:bCs/>
          <w:szCs w:val="24"/>
        </w:rPr>
        <w:t xml:space="preserve">ITU </w:t>
      </w:r>
      <w:r w:rsidR="00C12300" w:rsidRPr="00C12300">
        <w:rPr>
          <w:rFonts w:cs="Calibri"/>
          <w:bCs/>
          <w:szCs w:val="24"/>
        </w:rPr>
        <w:t xml:space="preserve">keeps abreast of procedures and IT tools adopted by other IOs </w:t>
      </w:r>
      <w:r w:rsidR="00C12300">
        <w:rPr>
          <w:rFonts w:cs="Calibri"/>
          <w:bCs/>
          <w:szCs w:val="24"/>
        </w:rPr>
        <w:t xml:space="preserve">and </w:t>
      </w:r>
      <w:r w:rsidRPr="00AC2D06">
        <w:rPr>
          <w:rFonts w:cs="Calibri"/>
          <w:bCs/>
          <w:szCs w:val="24"/>
        </w:rPr>
        <w:t>adapts its business model and procedures to the best practices resulting from such interaction</w:t>
      </w:r>
    </w:p>
    <w:p w14:paraId="430A564F" w14:textId="3CC9181D" w:rsidR="00AC2D06" w:rsidRDefault="00AC2D06" w:rsidP="00C12300">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sidR="00A6600B">
        <w:rPr>
          <w:rFonts w:cs="Calibri"/>
          <w:bCs/>
          <w:szCs w:val="24"/>
        </w:rPr>
        <w:t>5</w:t>
      </w:r>
      <w:r w:rsidRPr="001001E2">
        <w:rPr>
          <w:rFonts w:cs="Calibri"/>
          <w:bCs/>
          <w:szCs w:val="24"/>
        </w:rPr>
        <w:tab/>
        <w:t xml:space="preserve">CWG-LANG took note of the information provided and commended the </w:t>
      </w:r>
      <w:r>
        <w:rPr>
          <w:rFonts w:cs="Calibri"/>
          <w:bCs/>
          <w:szCs w:val="24"/>
        </w:rPr>
        <w:t>s</w:t>
      </w:r>
      <w:r w:rsidRPr="001001E2">
        <w:rPr>
          <w:rFonts w:cs="Calibri"/>
          <w:bCs/>
          <w:szCs w:val="24"/>
        </w:rPr>
        <w:t>ecretariat for its efforts for improving working methods and cost-effectiveness of conference services.</w:t>
      </w:r>
    </w:p>
    <w:p w14:paraId="07D21816" w14:textId="4262BBB0" w:rsidR="002B38F1" w:rsidRDefault="00A6600B"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2.6</w:t>
      </w:r>
      <w:r>
        <w:rPr>
          <w:rFonts w:cs="Calibri"/>
          <w:bCs/>
          <w:szCs w:val="24"/>
        </w:rPr>
        <w:tab/>
        <w:t>The Secretariat presented the i</w:t>
      </w:r>
      <w:r w:rsidRPr="00A6600B">
        <w:rPr>
          <w:rFonts w:cs="Calibri"/>
          <w:bCs/>
          <w:szCs w:val="24"/>
        </w:rPr>
        <w:t xml:space="preserve">nitiatives undertaken by the General Secretariat and the three Bureaux </w:t>
      </w:r>
      <w:r>
        <w:rPr>
          <w:rFonts w:cs="Calibri"/>
          <w:bCs/>
          <w:szCs w:val="24"/>
        </w:rPr>
        <w:t xml:space="preserve">in order </w:t>
      </w:r>
      <w:r w:rsidRPr="00A6600B">
        <w:rPr>
          <w:rFonts w:cs="Calibri"/>
          <w:bCs/>
          <w:szCs w:val="24"/>
        </w:rPr>
        <w:t>to increase efficiencies and cost savings on the implementation of Res.154 (Rev. Dubai, 2018) and Council Res. 1372 (Rev. 2019)</w:t>
      </w:r>
      <w:r>
        <w:rPr>
          <w:rFonts w:cs="Calibri"/>
          <w:bCs/>
          <w:szCs w:val="24"/>
        </w:rPr>
        <w:t>. These include</w:t>
      </w:r>
      <w:r w:rsidR="002B38F1">
        <w:rPr>
          <w:rFonts w:cs="Calibri"/>
          <w:bCs/>
          <w:szCs w:val="24"/>
        </w:rPr>
        <w:t xml:space="preserve"> the launching of </w:t>
      </w:r>
      <w:r w:rsidR="002B38F1" w:rsidRPr="002B38F1">
        <w:rPr>
          <w:rFonts w:cs="Calibri"/>
          <w:bCs/>
          <w:szCs w:val="24"/>
        </w:rPr>
        <w:t>a process for the update of the measures and principles for interpretation and translation in ITU, in consultation with the three Sectors, with the outcomes to be reflected in a report to be submitted to the Council Working Group on Languages (CWG-LANG) in 2021 for review and adoption</w:t>
      </w:r>
      <w:r w:rsidR="002B38F1">
        <w:rPr>
          <w:rFonts w:cs="Calibri"/>
          <w:bCs/>
          <w:szCs w:val="24"/>
        </w:rPr>
        <w:t>.</w:t>
      </w:r>
      <w:r w:rsidR="002B38F1" w:rsidRPr="002B38F1">
        <w:t xml:space="preserve"> </w:t>
      </w:r>
      <w:r w:rsidR="002B38F1" w:rsidRPr="002B38F1">
        <w:rPr>
          <w:rFonts w:cs="Calibri"/>
          <w:bCs/>
          <w:szCs w:val="24"/>
        </w:rPr>
        <w:t>This review would incorporate machine translation and other alternative translation procedures as well as, in accordance with Council Resolution 1372, the measures taken to ensure the ITU website publishes new or modified pages in the six official languages simultaneously and in equal terms of functionality and navigation</w:t>
      </w:r>
      <w:r w:rsidR="002B38F1">
        <w:rPr>
          <w:rFonts w:cs="Calibri"/>
          <w:bCs/>
          <w:szCs w:val="24"/>
        </w:rPr>
        <w:t xml:space="preserve">. Other initiatives include those concerning neural machine translation, computer-assisted translation tools and voice recognition. </w:t>
      </w:r>
    </w:p>
    <w:p w14:paraId="60C7319E" w14:textId="2FE12AD5" w:rsidR="005F60D2" w:rsidRDefault="005F60D2"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2.7</w:t>
      </w:r>
      <w:r w:rsidR="00BF00C5">
        <w:rPr>
          <w:rFonts w:cs="Calibri"/>
          <w:bCs/>
          <w:szCs w:val="24"/>
        </w:rPr>
        <w:tab/>
      </w:r>
      <w:r>
        <w:rPr>
          <w:rFonts w:cs="Calibri"/>
          <w:bCs/>
          <w:szCs w:val="24"/>
        </w:rPr>
        <w:t>One delegation raised the importance of attaining simultaneous publication in all Union languages, something that usually do not happen.</w:t>
      </w:r>
    </w:p>
    <w:p w14:paraId="39378BE3" w14:textId="45C80A87" w:rsidR="005F60D2" w:rsidRDefault="005F60D2"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2.8</w:t>
      </w:r>
      <w:r w:rsidR="00BF00C5">
        <w:rPr>
          <w:rFonts w:cs="Calibri"/>
          <w:bCs/>
          <w:szCs w:val="24"/>
        </w:rPr>
        <w:tab/>
      </w:r>
      <w:r>
        <w:rPr>
          <w:rFonts w:cs="Calibri"/>
          <w:bCs/>
          <w:szCs w:val="24"/>
        </w:rPr>
        <w:t xml:space="preserve">The Secretariat acknowledge the issue raised on simultaneous </w:t>
      </w:r>
      <w:proofErr w:type="gramStart"/>
      <w:r>
        <w:rPr>
          <w:rFonts w:cs="Calibri"/>
          <w:bCs/>
          <w:szCs w:val="24"/>
        </w:rPr>
        <w:t>publication, and</w:t>
      </w:r>
      <w:proofErr w:type="gramEnd"/>
      <w:r>
        <w:rPr>
          <w:rFonts w:cs="Calibri"/>
          <w:bCs/>
          <w:szCs w:val="24"/>
        </w:rPr>
        <w:t xml:space="preserve"> indicated that efforts would continue to shorten the delay between publication in the original language and the publication in all other Union languages. </w:t>
      </w:r>
    </w:p>
    <w:p w14:paraId="325FD821" w14:textId="1AEBFFA6" w:rsidR="005F60D2" w:rsidRPr="001001E2" w:rsidRDefault="005F60D2"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2.9</w:t>
      </w:r>
      <w:r>
        <w:rPr>
          <w:rFonts w:cs="Calibri"/>
          <w:bCs/>
          <w:szCs w:val="24"/>
        </w:rPr>
        <w:tab/>
      </w:r>
      <w:r w:rsidR="00A56A3E" w:rsidRPr="00A56A3E">
        <w:rPr>
          <w:rFonts w:cs="Calibri"/>
          <w:bCs/>
          <w:szCs w:val="24"/>
        </w:rPr>
        <w:t>Regarding the concerns expressed by a delegation over the quality of interpretation from Russian into English, the Secretariat and Interpretation Service took note of it, and the latter communicated immediately with the interpreters, drawing their attention to the accuracy of interpreting. The interpreters have committed themselves to do their utmost to provide the quality service.</w:t>
      </w:r>
    </w:p>
    <w:p w14:paraId="4D153C3B" w14:textId="18E85374" w:rsidR="006E2476" w:rsidRDefault="00AC2D0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5F60D2">
        <w:rPr>
          <w:rFonts w:cs="Calibri"/>
          <w:bCs/>
          <w:szCs w:val="24"/>
        </w:rPr>
        <w:t>10</w:t>
      </w:r>
      <w:r>
        <w:rPr>
          <w:rFonts w:cs="Calibri"/>
          <w:bCs/>
          <w:szCs w:val="24"/>
        </w:rPr>
        <w:tab/>
        <w:t xml:space="preserve">The Secretariat </w:t>
      </w:r>
      <w:r w:rsidR="00C12300">
        <w:rPr>
          <w:rFonts w:cs="Calibri"/>
          <w:bCs/>
          <w:szCs w:val="24"/>
        </w:rPr>
        <w:t xml:space="preserve">reported on the work of the </w:t>
      </w:r>
      <w:r w:rsidR="00C12300" w:rsidRPr="00C12300">
        <w:rPr>
          <w:rFonts w:cs="Calibri"/>
          <w:bCs/>
          <w:szCs w:val="24"/>
        </w:rPr>
        <w:t>Group on Study and Evaluation of the Translation Procedures, chaired by the Deputy Secretary-General</w:t>
      </w:r>
      <w:r w:rsidR="00C12300">
        <w:rPr>
          <w:rFonts w:cs="Calibri"/>
          <w:bCs/>
          <w:szCs w:val="24"/>
        </w:rPr>
        <w:t>, contained in Annex 2</w:t>
      </w:r>
      <w:r w:rsidR="00D165DC">
        <w:rPr>
          <w:rFonts w:cs="Calibri"/>
          <w:bCs/>
          <w:szCs w:val="24"/>
        </w:rPr>
        <w:t xml:space="preserve"> </w:t>
      </w:r>
      <w:r w:rsidR="002B38F1">
        <w:rPr>
          <w:rFonts w:cs="Calibri"/>
          <w:bCs/>
          <w:szCs w:val="24"/>
        </w:rPr>
        <w:t xml:space="preserve">and Addendum 1 </w:t>
      </w:r>
      <w:r w:rsidR="00D165DC">
        <w:rPr>
          <w:rFonts w:cs="Calibri"/>
          <w:bCs/>
          <w:szCs w:val="24"/>
        </w:rPr>
        <w:t xml:space="preserve">of the </w:t>
      </w:r>
      <w:r w:rsidR="00D165DC">
        <w:rPr>
          <w:rFonts w:cs="Calibri"/>
          <w:bCs/>
          <w:szCs w:val="24"/>
        </w:rPr>
        <w:lastRenderedPageBreak/>
        <w:t>Report of the Secretary-General</w:t>
      </w:r>
      <w:r w:rsidR="00C12300">
        <w:rPr>
          <w:rFonts w:cs="Calibri"/>
          <w:bCs/>
          <w:szCs w:val="24"/>
        </w:rPr>
        <w:t>.</w:t>
      </w:r>
      <w:r w:rsidR="00C12300" w:rsidRPr="00C12300">
        <w:t xml:space="preserve"> </w:t>
      </w:r>
      <w:r w:rsidR="00C12300">
        <w:rPr>
          <w:rFonts w:cs="Calibri"/>
          <w:bCs/>
          <w:szCs w:val="24"/>
        </w:rPr>
        <w:t>M</w:t>
      </w:r>
      <w:r w:rsidR="00C12300" w:rsidRPr="00C12300">
        <w:rPr>
          <w:rFonts w:cs="Calibri"/>
          <w:bCs/>
          <w:szCs w:val="24"/>
        </w:rPr>
        <w:t xml:space="preserve">embers </w:t>
      </w:r>
      <w:r w:rsidR="00C12300">
        <w:rPr>
          <w:rFonts w:cs="Calibri"/>
          <w:bCs/>
          <w:szCs w:val="24"/>
        </w:rPr>
        <w:t xml:space="preserve">received updated information </w:t>
      </w:r>
      <w:r w:rsidR="00C12300" w:rsidRPr="00C12300">
        <w:rPr>
          <w:rFonts w:cs="Calibri"/>
          <w:bCs/>
          <w:szCs w:val="24"/>
        </w:rPr>
        <w:t>on the different pilot projects</w:t>
      </w:r>
      <w:r w:rsidR="00C12300">
        <w:rPr>
          <w:rFonts w:cs="Calibri"/>
          <w:bCs/>
          <w:szCs w:val="24"/>
        </w:rPr>
        <w:t xml:space="preserve"> conducted in 201</w:t>
      </w:r>
      <w:r w:rsidR="002B38F1">
        <w:rPr>
          <w:rFonts w:cs="Calibri"/>
          <w:bCs/>
          <w:szCs w:val="24"/>
        </w:rPr>
        <w:t xml:space="preserve">9. These included: </w:t>
      </w:r>
    </w:p>
    <w:p w14:paraId="1FFD6633" w14:textId="0BC358B4" w:rsidR="006E2476" w:rsidRDefault="002B38F1"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a)</w:t>
      </w:r>
      <w:r w:rsidR="00BF00C5">
        <w:rPr>
          <w:rFonts w:cs="Calibri"/>
          <w:bCs/>
          <w:szCs w:val="24"/>
        </w:rPr>
        <w:tab/>
      </w:r>
      <w:r>
        <w:rPr>
          <w:rFonts w:cs="Calibri"/>
          <w:bCs/>
          <w:szCs w:val="24"/>
        </w:rPr>
        <w:t xml:space="preserve">automatic translation of webpages (a project starting in January 2020 for a duration of 12 months, concerning a </w:t>
      </w:r>
      <w:r w:rsidRPr="002B38F1">
        <w:rPr>
          <w:rFonts w:cs="Calibri"/>
          <w:bCs/>
          <w:szCs w:val="24"/>
        </w:rPr>
        <w:t xml:space="preserve">website translation tool </w:t>
      </w:r>
      <w:r>
        <w:rPr>
          <w:rFonts w:cs="Calibri"/>
          <w:bCs/>
          <w:szCs w:val="24"/>
        </w:rPr>
        <w:t xml:space="preserve">that </w:t>
      </w:r>
      <w:r w:rsidRPr="002B38F1">
        <w:rPr>
          <w:rFonts w:cs="Calibri"/>
          <w:bCs/>
          <w:szCs w:val="24"/>
        </w:rPr>
        <w:t xml:space="preserve">uses different commercial services depending on the language </w:t>
      </w:r>
      <w:proofErr w:type="gramStart"/>
      <w:r w:rsidRPr="002B38F1">
        <w:rPr>
          <w:rFonts w:cs="Calibri"/>
          <w:bCs/>
          <w:szCs w:val="24"/>
        </w:rPr>
        <w:t>pairs</w:t>
      </w:r>
      <w:r>
        <w:rPr>
          <w:rFonts w:cs="Calibri"/>
          <w:bCs/>
          <w:szCs w:val="24"/>
        </w:rPr>
        <w:t>;</w:t>
      </w:r>
      <w:proofErr w:type="gramEnd"/>
      <w:r w:rsidR="00C12300" w:rsidRPr="00C12300">
        <w:rPr>
          <w:rFonts w:cs="Calibri"/>
          <w:bCs/>
          <w:szCs w:val="24"/>
        </w:rPr>
        <w:t xml:space="preserve"> </w:t>
      </w:r>
    </w:p>
    <w:p w14:paraId="3D5A0BA0" w14:textId="51546E7A" w:rsidR="006E2476" w:rsidRDefault="002B38F1"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b)</w:t>
      </w:r>
      <w:bookmarkStart w:id="10" w:name="_Hlk34047170"/>
      <w:r w:rsidR="00BF00C5">
        <w:rPr>
          <w:rFonts w:cs="Calibri"/>
          <w:bCs/>
          <w:szCs w:val="24"/>
        </w:rPr>
        <w:tab/>
      </w:r>
      <w:r w:rsidR="00452F14" w:rsidRPr="00452F14">
        <w:rPr>
          <w:rFonts w:cs="Calibri"/>
          <w:bCs/>
          <w:szCs w:val="24"/>
        </w:rPr>
        <w:t>translation of webpages with the help of some administrations</w:t>
      </w:r>
      <w:bookmarkEnd w:id="10"/>
      <w:r w:rsidR="00452F14" w:rsidRPr="00452F14">
        <w:rPr>
          <w:rFonts w:cs="Calibri"/>
          <w:bCs/>
          <w:szCs w:val="24"/>
        </w:rPr>
        <w:t>: the Deputy Secretary-General thanked the Member States involved in the trial (Argentina, Tunisia, Russian Federation and China) and recalled that the original intention was for the participating Member States to verify the quality of translation and post the pages directly on the ITU website. However, Council had decided that the translation should first be checked by ITU translation services before posting. The resulting delay and additional costs meant that the application of this methodology would not yield the desired results of low cost and quick translation. In addition, the new procurement procedures would add increased complexity to implementing this methodology.  It was proposed therefore to discontinue the tr</w:t>
      </w:r>
      <w:r w:rsidR="00BF7E99">
        <w:rPr>
          <w:rFonts w:cs="Calibri"/>
          <w:bCs/>
          <w:szCs w:val="24"/>
        </w:rPr>
        <w:t>i</w:t>
      </w:r>
      <w:r w:rsidR="00452F14" w:rsidRPr="00452F14">
        <w:rPr>
          <w:rFonts w:cs="Calibri"/>
          <w:bCs/>
          <w:szCs w:val="24"/>
        </w:rPr>
        <w:t xml:space="preserve">al and instead the </w:t>
      </w:r>
      <w:bookmarkStart w:id="11" w:name="_Hlk34047215"/>
      <w:r w:rsidR="00452F14" w:rsidRPr="00452F14">
        <w:rPr>
          <w:rFonts w:cs="Calibri"/>
          <w:bCs/>
          <w:szCs w:val="24"/>
        </w:rPr>
        <w:t>secretariat will concentrate on other alternative translation methods such as ITU-Translate with the objective of achieving extensive translation into the six official languages of the Union on an equal basis whilst maintaining the high quality required</w:t>
      </w:r>
      <w:bookmarkEnd w:id="11"/>
      <w:r w:rsidR="006E2476">
        <w:rPr>
          <w:rFonts w:cs="Calibri"/>
          <w:bCs/>
          <w:szCs w:val="24"/>
        </w:rPr>
        <w:t>;</w:t>
      </w:r>
    </w:p>
    <w:p w14:paraId="7735D195" w14:textId="55427B97" w:rsidR="006E2476" w:rsidRDefault="006E247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c)</w:t>
      </w:r>
      <w:r w:rsidR="00BF00C5">
        <w:rPr>
          <w:rFonts w:cs="Calibri"/>
          <w:bCs/>
          <w:szCs w:val="24"/>
        </w:rPr>
        <w:tab/>
        <w:t>r</w:t>
      </w:r>
      <w:r w:rsidRPr="006E2476">
        <w:rPr>
          <w:rFonts w:cs="Calibri"/>
          <w:bCs/>
          <w:szCs w:val="24"/>
        </w:rPr>
        <w:t>emote interpretation</w:t>
      </w:r>
      <w:r>
        <w:rPr>
          <w:rFonts w:cs="Calibri"/>
          <w:bCs/>
          <w:szCs w:val="24"/>
        </w:rPr>
        <w:t xml:space="preserve">: </w:t>
      </w:r>
      <w:r w:rsidRPr="006E2476">
        <w:rPr>
          <w:rFonts w:cs="Calibri"/>
          <w:bCs/>
          <w:szCs w:val="24"/>
        </w:rPr>
        <w:t xml:space="preserve">Information Services Department is in the process of </w:t>
      </w:r>
      <w:bookmarkStart w:id="12" w:name="_Hlk34047240"/>
      <w:r w:rsidRPr="006E2476">
        <w:rPr>
          <w:rFonts w:cs="Calibri"/>
          <w:bCs/>
          <w:szCs w:val="24"/>
        </w:rPr>
        <w:t>introducing and deploying a new Multilingual Interactive Remote Participation (MIRP) platform</w:t>
      </w:r>
      <w:bookmarkEnd w:id="12"/>
      <w:r w:rsidRPr="006E2476">
        <w:rPr>
          <w:rFonts w:cs="Calibri"/>
          <w:bCs/>
          <w:szCs w:val="24"/>
        </w:rPr>
        <w:t>, to gradually replace the current platform</w:t>
      </w:r>
      <w:r>
        <w:rPr>
          <w:rFonts w:cs="Calibri"/>
          <w:bCs/>
          <w:szCs w:val="24"/>
        </w:rPr>
        <w:t>; t</w:t>
      </w:r>
      <w:r w:rsidRPr="006E2476">
        <w:rPr>
          <w:rFonts w:cs="Calibri"/>
          <w:bCs/>
          <w:szCs w:val="24"/>
        </w:rPr>
        <w:t>he new platform is a fully cloud-based solution, which is scalable and can respond rapidly to technological changes and new market requirements</w:t>
      </w:r>
      <w:r>
        <w:rPr>
          <w:rFonts w:cs="Calibri"/>
          <w:bCs/>
          <w:szCs w:val="24"/>
        </w:rPr>
        <w:t>;</w:t>
      </w:r>
    </w:p>
    <w:p w14:paraId="5ED0B12C" w14:textId="06286357" w:rsidR="006E2476" w:rsidRDefault="006E247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d)</w:t>
      </w:r>
      <w:r w:rsidR="00BF00C5">
        <w:rPr>
          <w:rFonts w:cs="Calibri"/>
          <w:bCs/>
          <w:szCs w:val="24"/>
        </w:rPr>
        <w:tab/>
      </w:r>
      <w:r>
        <w:rPr>
          <w:rFonts w:cs="Calibri"/>
          <w:bCs/>
          <w:szCs w:val="24"/>
        </w:rPr>
        <w:t xml:space="preserve">automatic captioning: </w:t>
      </w:r>
      <w:r w:rsidRPr="006E2476">
        <w:rPr>
          <w:rFonts w:cs="Calibri"/>
          <w:bCs/>
          <w:szCs w:val="24"/>
        </w:rPr>
        <w:t>ITU has also been testing AI captioning during some ITU meetings in Geneva</w:t>
      </w:r>
      <w:r>
        <w:rPr>
          <w:rFonts w:cs="Calibri"/>
          <w:bCs/>
          <w:szCs w:val="24"/>
        </w:rPr>
        <w:t xml:space="preserve"> and during WSIS Forum 2019; </w:t>
      </w:r>
      <w:r w:rsidRPr="006E2476">
        <w:rPr>
          <w:rFonts w:cs="Calibri"/>
          <w:bCs/>
          <w:szCs w:val="24"/>
        </w:rPr>
        <w:t>The accuracy has improved a lot, but the quality shown during WSIS was still not good enough for ITU meetings that demand very high accuracy.</w:t>
      </w:r>
    </w:p>
    <w:p w14:paraId="735EB7FA" w14:textId="78573DF3" w:rsidR="005F60D2" w:rsidRDefault="005F60D2"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2.11</w:t>
      </w:r>
      <w:r>
        <w:rPr>
          <w:rFonts w:cs="Calibri"/>
          <w:bCs/>
          <w:szCs w:val="24"/>
        </w:rPr>
        <w:tab/>
        <w:t>A delegation insisted on the importance of testing other relevant IT and AI tools as soon as they are available.</w:t>
      </w:r>
    </w:p>
    <w:p w14:paraId="7E9DEC36" w14:textId="44A7F549" w:rsidR="00494759" w:rsidRDefault="00C57FC1"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452F14">
        <w:rPr>
          <w:rFonts w:cs="Calibri"/>
          <w:bCs/>
          <w:szCs w:val="24"/>
        </w:rPr>
        <w:t>12</w:t>
      </w:r>
      <w:r>
        <w:rPr>
          <w:rFonts w:cs="Calibri"/>
          <w:bCs/>
          <w:szCs w:val="24"/>
        </w:rPr>
        <w:tab/>
      </w:r>
      <w:r w:rsidR="006E2476">
        <w:rPr>
          <w:rFonts w:cs="Calibri"/>
          <w:bCs/>
          <w:szCs w:val="24"/>
        </w:rPr>
        <w:t xml:space="preserve">The Secretariat </w:t>
      </w:r>
      <w:r w:rsidR="003822BD">
        <w:rPr>
          <w:rFonts w:cs="Calibri"/>
          <w:bCs/>
          <w:szCs w:val="24"/>
        </w:rPr>
        <w:t>then</w:t>
      </w:r>
      <w:r w:rsidR="006E2476">
        <w:rPr>
          <w:rFonts w:cs="Calibri"/>
          <w:bCs/>
          <w:szCs w:val="24"/>
        </w:rPr>
        <w:t xml:space="preserve"> reported on the practice of other UN organizations, that acknowledge </w:t>
      </w:r>
      <w:r>
        <w:rPr>
          <w:rFonts w:cs="Calibri"/>
          <w:bCs/>
          <w:szCs w:val="24"/>
        </w:rPr>
        <w:t xml:space="preserve">that </w:t>
      </w:r>
      <w:r w:rsidR="006E2476">
        <w:rPr>
          <w:rFonts w:cs="Calibri"/>
          <w:bCs/>
          <w:szCs w:val="24"/>
        </w:rPr>
        <w:t>t</w:t>
      </w:r>
      <w:r w:rsidR="006E2476" w:rsidRPr="006E2476">
        <w:rPr>
          <w:rFonts w:cs="Calibri"/>
          <w:bCs/>
          <w:szCs w:val="24"/>
        </w:rPr>
        <w:t>he transformation of the language professions will require member organizations to adopt comprehensive strategies that draw on the strengths of existing assets while harnessing the potential of new technologies</w:t>
      </w:r>
      <w:r>
        <w:rPr>
          <w:rFonts w:cs="Calibri"/>
          <w:bCs/>
          <w:szCs w:val="24"/>
        </w:rPr>
        <w:t>.</w:t>
      </w:r>
    </w:p>
    <w:p w14:paraId="1AEBB8BA" w14:textId="3AF044D3" w:rsidR="00257493" w:rsidRDefault="00257493"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452F14">
        <w:rPr>
          <w:rFonts w:cs="Calibri"/>
          <w:bCs/>
          <w:szCs w:val="24"/>
        </w:rPr>
        <w:t>13</w:t>
      </w:r>
      <w:r>
        <w:rPr>
          <w:rFonts w:cs="Calibri"/>
          <w:bCs/>
          <w:szCs w:val="24"/>
        </w:rPr>
        <w:tab/>
        <w:t>Also, information was provided on the p</w:t>
      </w:r>
      <w:r w:rsidRPr="00257493">
        <w:rPr>
          <w:rFonts w:cs="Calibri"/>
          <w:bCs/>
          <w:szCs w:val="24"/>
        </w:rPr>
        <w:t>rogress made on the implementation of measures and principles for translation and interpretation adopted by the Council in its 2014 session</w:t>
      </w:r>
      <w:r>
        <w:rPr>
          <w:rFonts w:cs="Calibri"/>
          <w:bCs/>
          <w:szCs w:val="24"/>
        </w:rPr>
        <w:t xml:space="preserve">; these  </w:t>
      </w:r>
      <w:r w:rsidRPr="00257493">
        <w:rPr>
          <w:rFonts w:cs="Calibri"/>
          <w:bCs/>
          <w:szCs w:val="24"/>
        </w:rPr>
        <w:t>are systematically considered by the secretariat as a benchmark in the delivery of translation and interpretation services for ITU conferences, meetings, documents, and publications</w:t>
      </w:r>
      <w:r>
        <w:rPr>
          <w:rFonts w:cs="Calibri"/>
          <w:bCs/>
          <w:szCs w:val="24"/>
        </w:rPr>
        <w:t xml:space="preserve">. Furthermore, </w:t>
      </w:r>
      <w:r w:rsidRPr="00257493">
        <w:rPr>
          <w:rFonts w:cs="Calibri"/>
          <w:bCs/>
          <w:szCs w:val="24"/>
        </w:rPr>
        <w:t>TSB continues to translate Recommendations approved under the Alternative Approval Procedure (AAP) within the limits of available translation budget, and in accordance with requests received from the linguistic groups and the ITU-T study groups</w:t>
      </w:r>
      <w:r>
        <w:rPr>
          <w:rFonts w:cs="Calibri"/>
          <w:bCs/>
          <w:szCs w:val="24"/>
        </w:rPr>
        <w:t>.</w:t>
      </w:r>
    </w:p>
    <w:p w14:paraId="1F5DA6FF" w14:textId="775B61AD" w:rsidR="00257493" w:rsidRDefault="00257493"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452F14">
        <w:rPr>
          <w:rFonts w:cs="Calibri"/>
          <w:bCs/>
          <w:szCs w:val="24"/>
        </w:rPr>
        <w:t>4</w:t>
      </w:r>
      <w:r>
        <w:rPr>
          <w:rFonts w:cs="Calibri"/>
          <w:bCs/>
          <w:szCs w:val="24"/>
        </w:rPr>
        <w:tab/>
        <w:t xml:space="preserve">Then, the Secretariat reported on the review of </w:t>
      </w:r>
      <w:r w:rsidRPr="00257493">
        <w:rPr>
          <w:rFonts w:cs="Calibri"/>
          <w:bCs/>
          <w:szCs w:val="24"/>
        </w:rPr>
        <w:t>possible approaches to financing and maintaining a WSIS Forum website available in the six official languages of ITU</w:t>
      </w:r>
      <w:r>
        <w:rPr>
          <w:rFonts w:cs="Calibri"/>
          <w:bCs/>
          <w:szCs w:val="24"/>
        </w:rPr>
        <w:t xml:space="preserve">: as a result, </w:t>
      </w:r>
      <w:r w:rsidRPr="00257493">
        <w:rPr>
          <w:rFonts w:cs="Calibri"/>
          <w:bCs/>
          <w:szCs w:val="24"/>
        </w:rPr>
        <w:t>ITU-Translate, the ITU neural machine translation tool, has been deployed for the dynamic translation of the WSIS-2019 and the WSIS-2020 websites. C&amp;P budget allocated to “Web translation project” with a total amount CHF 230,000 provides the relevant financial support</w:t>
      </w:r>
      <w:r>
        <w:rPr>
          <w:rFonts w:cs="Calibri"/>
          <w:bCs/>
          <w:szCs w:val="24"/>
        </w:rPr>
        <w:t>.</w:t>
      </w:r>
    </w:p>
    <w:p w14:paraId="5540EDE8" w14:textId="451BF767" w:rsidR="00257493" w:rsidRDefault="00AC2D06" w:rsidP="00257493">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D66A57">
        <w:rPr>
          <w:rFonts w:cs="Calibri"/>
          <w:bCs/>
          <w:szCs w:val="24"/>
        </w:rPr>
        <w:t>1</w:t>
      </w:r>
      <w:r w:rsidR="00452F14">
        <w:rPr>
          <w:rFonts w:cs="Calibri"/>
          <w:bCs/>
          <w:szCs w:val="24"/>
        </w:rPr>
        <w:t>5</w:t>
      </w:r>
      <w:r>
        <w:rPr>
          <w:rFonts w:cs="Calibri"/>
          <w:bCs/>
          <w:szCs w:val="24"/>
        </w:rPr>
        <w:tab/>
      </w:r>
      <w:r w:rsidR="00257493">
        <w:rPr>
          <w:rFonts w:cs="Calibri"/>
          <w:bCs/>
          <w:szCs w:val="24"/>
        </w:rPr>
        <w:t>Finally, t</w:t>
      </w:r>
      <w:r w:rsidR="00D66A57">
        <w:rPr>
          <w:rFonts w:cs="Calibri"/>
          <w:bCs/>
          <w:szCs w:val="24"/>
        </w:rPr>
        <w:t xml:space="preserve">he Secretariat reported on </w:t>
      </w:r>
      <w:r w:rsidR="00C57FC1">
        <w:rPr>
          <w:rFonts w:cs="Calibri"/>
          <w:bCs/>
          <w:szCs w:val="24"/>
        </w:rPr>
        <w:t>the a</w:t>
      </w:r>
      <w:r w:rsidR="00C57FC1" w:rsidRPr="00C57FC1">
        <w:rPr>
          <w:rFonts w:cs="Calibri"/>
          <w:bCs/>
          <w:szCs w:val="24"/>
        </w:rPr>
        <w:t>reas of interest for the implementation of Resolution 154 (Rev. Dubai, 2018) over the period 2019-2022</w:t>
      </w:r>
      <w:r w:rsidR="00C57FC1">
        <w:rPr>
          <w:rFonts w:cs="Calibri"/>
          <w:bCs/>
          <w:szCs w:val="24"/>
        </w:rPr>
        <w:t>, as identified by the CWG-LANG, concerning the r</w:t>
      </w:r>
      <w:r w:rsidR="00C57FC1" w:rsidRPr="00C57FC1">
        <w:rPr>
          <w:rFonts w:cs="Calibri"/>
          <w:bCs/>
          <w:szCs w:val="24"/>
        </w:rPr>
        <w:t xml:space="preserve">eview of ITU documentation and publication services with a view to eliminating any </w:t>
      </w:r>
      <w:r w:rsidR="00C57FC1" w:rsidRPr="00C57FC1">
        <w:rPr>
          <w:rFonts w:cs="Calibri"/>
          <w:bCs/>
          <w:szCs w:val="24"/>
        </w:rPr>
        <w:lastRenderedPageBreak/>
        <w:t>duplication and to creating synergies</w:t>
      </w:r>
      <w:r w:rsidR="00C57FC1">
        <w:rPr>
          <w:rFonts w:cs="Calibri"/>
          <w:bCs/>
          <w:szCs w:val="24"/>
        </w:rPr>
        <w:t>;</w:t>
      </w:r>
      <w:r w:rsidR="00C57FC1" w:rsidRPr="00C57FC1">
        <w:t xml:space="preserve"> </w:t>
      </w:r>
      <w:r w:rsidR="00C57FC1" w:rsidRPr="00C57FC1">
        <w:rPr>
          <w:rFonts w:cs="Calibri"/>
          <w:bCs/>
          <w:szCs w:val="24"/>
        </w:rPr>
        <w:t>possible measures to reduce the size and volume of documents</w:t>
      </w:r>
      <w:r w:rsidR="00C57FC1" w:rsidRPr="00C57FC1">
        <w:t xml:space="preserve"> </w:t>
      </w:r>
      <w:r w:rsidR="00C57FC1" w:rsidRPr="00C57FC1">
        <w:rPr>
          <w:rFonts w:cs="Calibri"/>
          <w:bCs/>
          <w:szCs w:val="24"/>
        </w:rPr>
        <w:t>and achieve greener meetings</w:t>
      </w:r>
      <w:r w:rsidR="00C57FC1">
        <w:rPr>
          <w:rFonts w:cs="Calibri"/>
          <w:bCs/>
          <w:szCs w:val="24"/>
        </w:rPr>
        <w:t>; the i</w:t>
      </w:r>
      <w:r w:rsidR="00C57FC1" w:rsidRPr="00C57FC1">
        <w:rPr>
          <w:rFonts w:cs="Calibri"/>
          <w:bCs/>
          <w:szCs w:val="24"/>
        </w:rPr>
        <w:t>mplementation in ITU of the United Nations system objective of multilingualism</w:t>
      </w:r>
      <w:r w:rsidR="00C57FC1">
        <w:rPr>
          <w:rFonts w:cs="Calibri"/>
          <w:bCs/>
          <w:szCs w:val="24"/>
        </w:rPr>
        <w:t>; n</w:t>
      </w:r>
      <w:r w:rsidR="00C57FC1" w:rsidRPr="00C57FC1">
        <w:rPr>
          <w:rFonts w:cs="Calibri"/>
          <w:bCs/>
          <w:szCs w:val="24"/>
        </w:rPr>
        <w:t>ecessary measures for equitable use of the six languages on the ITU website in terms of multilingual content and user-friendliness</w:t>
      </w:r>
      <w:r w:rsidR="00C57FC1">
        <w:rPr>
          <w:rFonts w:cs="Calibri"/>
          <w:bCs/>
          <w:szCs w:val="24"/>
        </w:rPr>
        <w:t>; r</w:t>
      </w:r>
      <w:r w:rsidR="00C57FC1" w:rsidRPr="00C57FC1">
        <w:rPr>
          <w:rFonts w:cs="Calibri"/>
          <w:bCs/>
          <w:szCs w:val="24"/>
        </w:rPr>
        <w:t>eview, in collaboration with the Sector advisory groups, of the types of material to be included in output documents and translated</w:t>
      </w:r>
      <w:r w:rsidR="00C57FC1">
        <w:rPr>
          <w:rFonts w:cs="Calibri"/>
          <w:bCs/>
          <w:szCs w:val="24"/>
        </w:rPr>
        <w:t>; p</w:t>
      </w:r>
      <w:r w:rsidR="00C57FC1" w:rsidRPr="00C57FC1">
        <w:rPr>
          <w:rFonts w:cs="Calibri"/>
          <w:bCs/>
          <w:szCs w:val="24"/>
        </w:rPr>
        <w:t>ossible measures to reduce, without sacrificing quality, the cost and volume of documentation</w:t>
      </w:r>
      <w:r w:rsidR="00C57FC1">
        <w:rPr>
          <w:rFonts w:cs="Calibri"/>
          <w:bCs/>
          <w:szCs w:val="24"/>
        </w:rPr>
        <w:t>; s</w:t>
      </w:r>
      <w:r w:rsidR="00C57FC1" w:rsidRPr="00C57FC1">
        <w:rPr>
          <w:rFonts w:cs="Calibri"/>
          <w:bCs/>
          <w:szCs w:val="24"/>
        </w:rPr>
        <w:t>tatistics on use, download and purchase of the different language versions of ITU documents and publications</w:t>
      </w:r>
      <w:r w:rsidR="00C57FC1">
        <w:rPr>
          <w:rFonts w:cs="Calibri"/>
          <w:bCs/>
          <w:szCs w:val="24"/>
        </w:rPr>
        <w:t>; and the r</w:t>
      </w:r>
      <w:r w:rsidR="00C57FC1" w:rsidRPr="00C57FC1">
        <w:rPr>
          <w:rFonts w:cs="Calibri"/>
          <w:bCs/>
          <w:szCs w:val="24"/>
        </w:rPr>
        <w:t>espect of deadlines for the submission of contributions that require translation to conferences, assemblies and meetings of the Union</w:t>
      </w:r>
      <w:r w:rsidR="00B95108">
        <w:rPr>
          <w:rFonts w:cs="Calibri"/>
          <w:bCs/>
          <w:szCs w:val="24"/>
        </w:rPr>
        <w:t>.</w:t>
      </w:r>
    </w:p>
    <w:p w14:paraId="1BED9099" w14:textId="4C1F695E" w:rsidR="00257493" w:rsidRPr="00BF00C5" w:rsidRDefault="00257493" w:rsidP="00BF00C5">
      <w:pPr>
        <w:pStyle w:val="ListParagraph"/>
        <w:numPr>
          <w:ilvl w:val="0"/>
          <w:numId w:val="11"/>
        </w:numPr>
        <w:tabs>
          <w:tab w:val="clear" w:pos="567"/>
          <w:tab w:val="clear" w:pos="1134"/>
          <w:tab w:val="clear" w:pos="1701"/>
          <w:tab w:val="clear" w:pos="2268"/>
          <w:tab w:val="clear" w:pos="2835"/>
        </w:tabs>
        <w:snapToGrid w:val="0"/>
        <w:spacing w:after="120"/>
        <w:jc w:val="both"/>
        <w:rPr>
          <w:rFonts w:cs="Calibri"/>
          <w:bCs/>
          <w:szCs w:val="24"/>
        </w:rPr>
      </w:pPr>
      <w:r w:rsidRPr="00BF00C5">
        <w:rPr>
          <w:rFonts w:cs="Calibri"/>
          <w:bCs/>
          <w:szCs w:val="24"/>
        </w:rPr>
        <w:t>CWG-LANG took note of the information provided and commended the secretariat for its efforts on the study and evaluation of alternative translation and interpretation procedure</w:t>
      </w:r>
      <w:r w:rsidR="003822BD" w:rsidRPr="00BF00C5">
        <w:rPr>
          <w:rFonts w:cs="Calibri"/>
          <w:bCs/>
          <w:szCs w:val="24"/>
        </w:rPr>
        <w:t>s</w:t>
      </w:r>
      <w:r w:rsidRPr="00BF00C5">
        <w:rPr>
          <w:rFonts w:cs="Calibri"/>
          <w:bCs/>
          <w:szCs w:val="24"/>
        </w:rPr>
        <w:t>.</w:t>
      </w:r>
    </w:p>
    <w:p w14:paraId="72FD55E2" w14:textId="76D81083" w:rsidR="005332A7" w:rsidRPr="001001E2" w:rsidRDefault="0062095A" w:rsidP="0062095A">
      <w:pPr>
        <w:numPr>
          <w:ilvl w:val="0"/>
          <w:numId w:val="5"/>
        </w:numPr>
        <w:tabs>
          <w:tab w:val="clear" w:pos="567"/>
          <w:tab w:val="clear" w:pos="1134"/>
          <w:tab w:val="clear" w:pos="1701"/>
          <w:tab w:val="clear" w:pos="2268"/>
          <w:tab w:val="clear" w:pos="2835"/>
        </w:tabs>
        <w:snapToGrid w:val="0"/>
        <w:spacing w:before="360" w:after="120"/>
        <w:jc w:val="both"/>
        <w:rPr>
          <w:rFonts w:cs="Calibri"/>
          <w:bCs/>
          <w:szCs w:val="24"/>
        </w:rPr>
      </w:pPr>
      <w:bookmarkStart w:id="13" w:name="_Hlk34047306"/>
      <w:r>
        <w:rPr>
          <w:rFonts w:cs="Calibri"/>
          <w:b/>
          <w:szCs w:val="24"/>
        </w:rPr>
        <w:t xml:space="preserve">Contribution from the Russian Federation </w:t>
      </w:r>
      <w:bookmarkEnd w:id="13"/>
      <w:r>
        <w:rPr>
          <w:rFonts w:cs="Calibri"/>
          <w:b/>
          <w:szCs w:val="24"/>
        </w:rPr>
        <w:t xml:space="preserve">– </w:t>
      </w:r>
      <w:r w:rsidR="001C2A74" w:rsidRPr="001C2A74">
        <w:rPr>
          <w:rFonts w:cs="Calibri"/>
          <w:b/>
          <w:szCs w:val="24"/>
        </w:rPr>
        <w:t xml:space="preserve"> Harmonization of Sector websites in all six languages of the Union</w:t>
      </w:r>
      <w:r w:rsidR="009E37B5" w:rsidRPr="009E37B5">
        <w:rPr>
          <w:rFonts w:cs="Calibri"/>
          <w:b/>
          <w:szCs w:val="24"/>
        </w:rPr>
        <w:t xml:space="preserve"> </w:t>
      </w:r>
      <w:r w:rsidR="005332A7" w:rsidRPr="001001E2">
        <w:rPr>
          <w:rFonts w:cs="Calibri"/>
          <w:b/>
          <w:szCs w:val="24"/>
        </w:rPr>
        <w:t xml:space="preserve">(Document </w:t>
      </w:r>
      <w:hyperlink r:id="rId14" w:history="1">
        <w:r w:rsidR="005332A7" w:rsidRPr="001C2A74">
          <w:rPr>
            <w:rStyle w:val="Hyperlink"/>
            <w:rFonts w:cs="Calibri"/>
            <w:b/>
            <w:szCs w:val="24"/>
          </w:rPr>
          <w:t>CWG-LANG/</w:t>
        </w:r>
        <w:r w:rsidR="001C2A74" w:rsidRPr="001C2A74">
          <w:rPr>
            <w:rStyle w:val="Hyperlink"/>
            <w:rFonts w:cs="Calibri"/>
            <w:b/>
            <w:szCs w:val="24"/>
          </w:rPr>
          <w:t>10</w:t>
        </w:r>
        <w:r w:rsidR="005332A7" w:rsidRPr="001C2A74">
          <w:rPr>
            <w:rStyle w:val="Hyperlink"/>
            <w:rFonts w:cs="Calibri"/>
            <w:b/>
            <w:szCs w:val="24"/>
          </w:rPr>
          <w:t>/3</w:t>
        </w:r>
      </w:hyperlink>
      <w:r w:rsidR="005332A7" w:rsidRPr="001001E2">
        <w:rPr>
          <w:rFonts w:cs="Calibri"/>
          <w:b/>
          <w:szCs w:val="24"/>
        </w:rPr>
        <w:t>)</w:t>
      </w:r>
    </w:p>
    <w:p w14:paraId="7BD4C1A0" w14:textId="78D613CC" w:rsidR="009E37B5" w:rsidRDefault="009E37B5"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3.1</w:t>
      </w:r>
      <w:r>
        <w:rPr>
          <w:rFonts w:cs="Calibri"/>
          <w:bCs/>
          <w:szCs w:val="24"/>
        </w:rPr>
        <w:tab/>
      </w:r>
      <w:r w:rsidR="0062095A" w:rsidRPr="0062095A">
        <w:rPr>
          <w:rFonts w:cs="Calibri"/>
          <w:bCs/>
          <w:szCs w:val="24"/>
        </w:rPr>
        <w:t xml:space="preserve">The representative of the Russian Federation submitted a proposal </w:t>
      </w:r>
      <w:r w:rsidR="00367BED" w:rsidRPr="00367BED">
        <w:rPr>
          <w:rFonts w:cs="Calibri"/>
          <w:bCs/>
          <w:szCs w:val="24"/>
        </w:rPr>
        <w:t xml:space="preserve">to </w:t>
      </w:r>
      <w:bookmarkStart w:id="14" w:name="_Hlk34047369"/>
      <w:r w:rsidR="00367BED" w:rsidRPr="00367BED">
        <w:rPr>
          <w:rFonts w:cs="Calibri"/>
          <w:bCs/>
          <w:szCs w:val="24"/>
        </w:rPr>
        <w:t>draw the attention of the Council to the continuing failure to fulfil the instructions of the PP-18 and the Council for harmonization of sector websites in all six languages of the Union</w:t>
      </w:r>
      <w:r w:rsidR="00367BED">
        <w:rPr>
          <w:rFonts w:cs="Calibri"/>
          <w:bCs/>
          <w:szCs w:val="24"/>
        </w:rPr>
        <w:t xml:space="preserve"> and to </w:t>
      </w:r>
      <w:r w:rsidR="00367BED" w:rsidRPr="00367BED">
        <w:rPr>
          <w:rFonts w:cs="Calibri"/>
          <w:bCs/>
          <w:szCs w:val="24"/>
        </w:rPr>
        <w:t>require the secretariat to take all necessary measures to unconditionally fulfil work on harmonization of the ITU Sectors' websites in a manner to ensure clarity, ease of navigation and an image of One ITU using of the six official languages of the Union on an equal footing</w:t>
      </w:r>
      <w:r w:rsidR="00367BED">
        <w:rPr>
          <w:rFonts w:cs="Calibri"/>
          <w:bCs/>
          <w:szCs w:val="24"/>
        </w:rPr>
        <w:t xml:space="preserve"> </w:t>
      </w:r>
      <w:bookmarkEnd w:id="14"/>
      <w:r>
        <w:rPr>
          <w:rFonts w:cs="Calibri"/>
          <w:bCs/>
          <w:szCs w:val="24"/>
        </w:rPr>
        <w:t xml:space="preserve">. </w:t>
      </w:r>
    </w:p>
    <w:p w14:paraId="47C263BB" w14:textId="40E2FBED" w:rsidR="00257493" w:rsidRDefault="00257493"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3.2</w:t>
      </w:r>
      <w:r>
        <w:rPr>
          <w:rFonts w:cs="Calibri"/>
          <w:bCs/>
          <w:szCs w:val="24"/>
        </w:rPr>
        <w:tab/>
      </w:r>
      <w:bookmarkStart w:id="15" w:name="_Hlk34047432"/>
      <w:r>
        <w:rPr>
          <w:rFonts w:cs="Calibri"/>
          <w:bCs/>
          <w:szCs w:val="24"/>
        </w:rPr>
        <w:t>The Secretariat, through addendum 1 to Document CWG-LANG/10/2, provided detailed information related to the harmonization of Sector websites in the six languages of the Union</w:t>
      </w:r>
      <w:bookmarkEnd w:id="15"/>
      <w:r w:rsidR="00CA6F8E">
        <w:rPr>
          <w:rFonts w:cs="Calibri"/>
          <w:bCs/>
          <w:szCs w:val="24"/>
        </w:rPr>
        <w:t xml:space="preserve">, which covered an </w:t>
      </w:r>
      <w:r w:rsidR="00CA6F8E" w:rsidRPr="00CA6F8E">
        <w:rPr>
          <w:rFonts w:cs="Calibri"/>
          <w:bCs/>
          <w:szCs w:val="24"/>
        </w:rPr>
        <w:t>open-source neural machine translation tool, called ITU-Translate, that will provide gist translations of webpages</w:t>
      </w:r>
      <w:r w:rsidR="00F27C7C">
        <w:rPr>
          <w:rFonts w:cs="Calibri"/>
          <w:bCs/>
          <w:szCs w:val="24"/>
        </w:rPr>
        <w:t>;</w:t>
      </w:r>
      <w:r w:rsidR="00CA6F8E">
        <w:rPr>
          <w:rFonts w:cs="Calibri"/>
          <w:bCs/>
          <w:szCs w:val="24"/>
        </w:rPr>
        <w:t xml:space="preserve"> the pilot</w:t>
      </w:r>
      <w:r w:rsidR="00F27C7C">
        <w:rPr>
          <w:rFonts w:cs="Calibri"/>
          <w:bCs/>
          <w:szCs w:val="24"/>
        </w:rPr>
        <w:t xml:space="preserve"> project entitled</w:t>
      </w:r>
      <w:r w:rsidR="00CA6F8E">
        <w:rPr>
          <w:rFonts w:cs="Calibri"/>
          <w:bCs/>
          <w:szCs w:val="24"/>
        </w:rPr>
        <w:t xml:space="preserve"> “</w:t>
      </w:r>
      <w:proofErr w:type="spellStart"/>
      <w:r w:rsidR="00CA6F8E">
        <w:rPr>
          <w:rFonts w:cs="Calibri"/>
          <w:bCs/>
          <w:szCs w:val="24"/>
        </w:rPr>
        <w:t>MyITU</w:t>
      </w:r>
      <w:proofErr w:type="spellEnd"/>
      <w:r w:rsidR="00CA6F8E">
        <w:rPr>
          <w:rFonts w:cs="Calibri"/>
          <w:bCs/>
          <w:szCs w:val="24"/>
        </w:rPr>
        <w:t xml:space="preserve">”, </w:t>
      </w:r>
      <w:r w:rsidR="00CA6F8E" w:rsidRPr="00CA6F8E">
        <w:rPr>
          <w:rFonts w:cs="Calibri"/>
          <w:bCs/>
          <w:szCs w:val="24"/>
        </w:rPr>
        <w:t>a new mobile-friendly platform set up for the six official languages</w:t>
      </w:r>
      <w:r w:rsidR="00F27C7C">
        <w:rPr>
          <w:rFonts w:cs="Calibri"/>
          <w:bCs/>
          <w:szCs w:val="24"/>
        </w:rPr>
        <w:t xml:space="preserve">; the drafting of </w:t>
      </w:r>
      <w:r w:rsidR="00CA6F8E">
        <w:rPr>
          <w:rFonts w:cs="Calibri"/>
          <w:bCs/>
          <w:szCs w:val="24"/>
        </w:rPr>
        <w:t xml:space="preserve">a </w:t>
      </w:r>
      <w:r w:rsidR="00CA6F8E" w:rsidRPr="00CA6F8E">
        <w:rPr>
          <w:rFonts w:cs="Calibri"/>
          <w:bCs/>
          <w:szCs w:val="24"/>
        </w:rPr>
        <w:t>Service Order for Digital Channels and Content for a public-information website</w:t>
      </w:r>
      <w:r w:rsidR="00CA6F8E">
        <w:rPr>
          <w:rFonts w:cs="Calibri"/>
          <w:bCs/>
          <w:szCs w:val="24"/>
        </w:rPr>
        <w:t xml:space="preserve">, and the work of the </w:t>
      </w:r>
      <w:r w:rsidR="00CA6F8E" w:rsidRPr="00CA6F8E">
        <w:rPr>
          <w:rFonts w:cs="Calibri"/>
          <w:bCs/>
          <w:szCs w:val="24"/>
        </w:rPr>
        <w:t>ITU-wide Web Project Group</w:t>
      </w:r>
      <w:r>
        <w:rPr>
          <w:rFonts w:cs="Calibri"/>
          <w:bCs/>
          <w:szCs w:val="24"/>
        </w:rPr>
        <w:t>.</w:t>
      </w:r>
      <w:r w:rsidR="00CA6F8E">
        <w:rPr>
          <w:rFonts w:cs="Calibri"/>
          <w:bCs/>
          <w:szCs w:val="24"/>
        </w:rPr>
        <w:t xml:space="preserve"> The Addendum also included </w:t>
      </w:r>
      <w:bookmarkStart w:id="16" w:name="_Hlk34047464"/>
      <w:r w:rsidR="00CA6F8E">
        <w:rPr>
          <w:rFonts w:cs="Calibri"/>
          <w:bCs/>
          <w:szCs w:val="24"/>
        </w:rPr>
        <w:t xml:space="preserve">a </w:t>
      </w:r>
      <w:r w:rsidR="00CA6F8E" w:rsidRPr="00CA6F8E">
        <w:rPr>
          <w:rFonts w:cs="Calibri"/>
          <w:bCs/>
          <w:szCs w:val="24"/>
        </w:rPr>
        <w:t>Report on progress towards a secure and reliable new public information part of the ITU website</w:t>
      </w:r>
      <w:r w:rsidR="00CA6F8E">
        <w:rPr>
          <w:rFonts w:cs="Calibri"/>
          <w:bCs/>
          <w:szCs w:val="24"/>
        </w:rPr>
        <w:t>, announcing that a</w:t>
      </w:r>
      <w:r w:rsidR="00CA6F8E" w:rsidRPr="00CA6F8E">
        <w:rPr>
          <w:rFonts w:cs="Calibri"/>
          <w:bCs/>
          <w:szCs w:val="24"/>
        </w:rPr>
        <w:t xml:space="preserve"> detailed business case and project plan with a budget for platforms, services and translation using machine learning as well as a risk analysis will be provided to Council 2020</w:t>
      </w:r>
      <w:bookmarkEnd w:id="16"/>
      <w:r w:rsidR="00CA6F8E">
        <w:rPr>
          <w:rFonts w:cs="Calibri"/>
          <w:bCs/>
          <w:szCs w:val="24"/>
        </w:rPr>
        <w:t>.</w:t>
      </w:r>
    </w:p>
    <w:p w14:paraId="5EE78EA9" w14:textId="05505D36" w:rsidR="00F27C7C" w:rsidRDefault="00DD3E49"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3.4</w:t>
      </w:r>
      <w:r>
        <w:rPr>
          <w:rFonts w:cs="Calibri"/>
          <w:bCs/>
          <w:szCs w:val="24"/>
        </w:rPr>
        <w:tab/>
      </w:r>
      <w:r w:rsidR="00F27C7C">
        <w:rPr>
          <w:rFonts w:cs="Calibri"/>
          <w:bCs/>
          <w:szCs w:val="24"/>
        </w:rPr>
        <w:t>One delegation asked for the reason of the late submission of addendum 1. The Secretariat responded that</w:t>
      </w:r>
      <w:r w:rsidR="00452F14" w:rsidRPr="00452F14">
        <w:t xml:space="preserve"> </w:t>
      </w:r>
      <w:r w:rsidR="00452F14" w:rsidRPr="00452F14">
        <w:rPr>
          <w:rFonts w:cs="Calibri"/>
          <w:bCs/>
          <w:szCs w:val="24"/>
        </w:rPr>
        <w:t xml:space="preserve">as the original document was written two months previously the addendum was submitted </w:t>
      </w:r>
      <w:proofErr w:type="gramStart"/>
      <w:r w:rsidR="00452F14" w:rsidRPr="00452F14">
        <w:rPr>
          <w:rFonts w:cs="Calibri"/>
          <w:bCs/>
          <w:szCs w:val="24"/>
        </w:rPr>
        <w:t>so as to</w:t>
      </w:r>
      <w:proofErr w:type="gramEnd"/>
      <w:r w:rsidR="00452F14" w:rsidRPr="00452F14">
        <w:rPr>
          <w:rFonts w:cs="Calibri"/>
          <w:bCs/>
          <w:szCs w:val="24"/>
        </w:rPr>
        <w:t xml:space="preserve"> provide the latest information, such as the alignment of the </w:t>
      </w:r>
      <w:r w:rsidR="00BF00C5">
        <w:rPr>
          <w:rFonts w:cs="Calibri"/>
          <w:bCs/>
          <w:szCs w:val="24"/>
        </w:rPr>
        <w:t>menus</w:t>
      </w:r>
      <w:r w:rsidR="00452F14" w:rsidRPr="00452F14">
        <w:rPr>
          <w:rFonts w:cs="Calibri"/>
          <w:bCs/>
          <w:szCs w:val="24"/>
        </w:rPr>
        <w:t xml:space="preserve"> on each Sector’s home page. However, this could be done verbally in future</w:t>
      </w:r>
      <w:r w:rsidR="00F27C7C">
        <w:rPr>
          <w:rFonts w:cs="Calibri"/>
          <w:bCs/>
          <w:szCs w:val="24"/>
        </w:rPr>
        <w:t>.</w:t>
      </w:r>
    </w:p>
    <w:p w14:paraId="3CD9E98B" w14:textId="2DBDEDC9" w:rsidR="005332A7" w:rsidRPr="00F27C7C" w:rsidRDefault="00F27C7C" w:rsidP="00F27C7C">
      <w:pPr>
        <w:pStyle w:val="ListParagraph"/>
        <w:numPr>
          <w:ilvl w:val="0"/>
          <w:numId w:val="10"/>
        </w:numPr>
        <w:tabs>
          <w:tab w:val="clear" w:pos="567"/>
          <w:tab w:val="clear" w:pos="1134"/>
          <w:tab w:val="clear" w:pos="1701"/>
          <w:tab w:val="clear" w:pos="2268"/>
          <w:tab w:val="clear" w:pos="2835"/>
        </w:tabs>
        <w:snapToGrid w:val="0"/>
        <w:spacing w:after="120"/>
        <w:jc w:val="both"/>
        <w:rPr>
          <w:rFonts w:cs="Calibri"/>
          <w:bCs/>
          <w:szCs w:val="24"/>
        </w:rPr>
      </w:pPr>
      <w:bookmarkStart w:id="17" w:name="_Hlk34047334"/>
      <w:r w:rsidRPr="00F27C7C">
        <w:rPr>
          <w:rFonts w:cs="Calibri"/>
          <w:bCs/>
          <w:szCs w:val="24"/>
        </w:rPr>
        <w:t>CWG-LANG supported the proposals contained in the Contribution from the Russian Federation and took note of the information provided by the secretariat on its efforts for the harmonization of Sector websites in the six languages of the Union</w:t>
      </w:r>
      <w:bookmarkEnd w:id="17"/>
      <w:r w:rsidR="009E37B5" w:rsidRPr="00F27C7C">
        <w:rPr>
          <w:rFonts w:cs="Calibri"/>
          <w:bCs/>
          <w:szCs w:val="24"/>
        </w:rPr>
        <w:t>.</w:t>
      </w:r>
    </w:p>
    <w:p w14:paraId="297FB8D6" w14:textId="77777777" w:rsidR="005332A7" w:rsidRPr="001001E2" w:rsidRDefault="00FF48CD" w:rsidP="00FF48CD">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Cs/>
          <w:szCs w:val="24"/>
        </w:rPr>
      </w:pPr>
      <w:bookmarkStart w:id="18" w:name="_Hlk34047502"/>
      <w:r>
        <w:rPr>
          <w:rFonts w:cs="Calibri"/>
          <w:b/>
          <w:szCs w:val="24"/>
        </w:rPr>
        <w:t>Any other business</w:t>
      </w:r>
      <w:bookmarkEnd w:id="18"/>
    </w:p>
    <w:p w14:paraId="23E2A4A3" w14:textId="38397DB0" w:rsidR="00FF48CD" w:rsidRDefault="005332A7" w:rsidP="00FF48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ab/>
      </w:r>
      <w:r w:rsidR="003822BD" w:rsidRPr="003822BD">
        <w:rPr>
          <w:rFonts w:cs="Calibri"/>
          <w:bCs/>
          <w:szCs w:val="24"/>
        </w:rPr>
        <w:t>One delegation complained on the organization of the cluster of Council Working Group meetings, that caused too much overlapping and forced delegations to choose among meetings that were of interest for them.</w:t>
      </w:r>
    </w:p>
    <w:p w14:paraId="48D2D236" w14:textId="77777777" w:rsidR="005332A7" w:rsidRPr="001001E2" w:rsidRDefault="005332A7" w:rsidP="00A46272">
      <w:pPr>
        <w:keepNext/>
        <w:keepLines/>
        <w:numPr>
          <w:ilvl w:val="0"/>
          <w:numId w:val="5"/>
        </w:numPr>
        <w:tabs>
          <w:tab w:val="clear" w:pos="567"/>
          <w:tab w:val="clear" w:pos="1134"/>
          <w:tab w:val="clear" w:pos="1701"/>
          <w:tab w:val="clear" w:pos="2268"/>
          <w:tab w:val="clear" w:pos="2835"/>
        </w:tabs>
        <w:overflowPunct/>
        <w:autoSpaceDE/>
        <w:autoSpaceDN/>
        <w:snapToGrid w:val="0"/>
        <w:spacing w:before="360" w:after="120"/>
        <w:ind w:left="0" w:firstLine="0"/>
        <w:jc w:val="both"/>
        <w:textAlignment w:val="auto"/>
        <w:rPr>
          <w:rFonts w:eastAsia="SimSun" w:cs="Arial"/>
          <w:b/>
        </w:rPr>
      </w:pPr>
      <w:r w:rsidRPr="001001E2">
        <w:rPr>
          <w:rFonts w:eastAsia="SimSun" w:cs="Arial"/>
          <w:b/>
        </w:rPr>
        <w:lastRenderedPageBreak/>
        <w:t>Closure of the meeting</w:t>
      </w:r>
    </w:p>
    <w:p w14:paraId="5AD74904" w14:textId="77777777" w:rsidR="00264425" w:rsidRDefault="005332A7" w:rsidP="00A46272">
      <w:pPr>
        <w:keepNext/>
        <w:keepLines/>
        <w:tabs>
          <w:tab w:val="clear" w:pos="567"/>
          <w:tab w:val="clear" w:pos="1134"/>
          <w:tab w:val="clear" w:pos="1701"/>
          <w:tab w:val="clear" w:pos="2268"/>
          <w:tab w:val="clear" w:pos="2835"/>
        </w:tabs>
        <w:snapToGrid w:val="0"/>
        <w:spacing w:after="120"/>
        <w:jc w:val="both"/>
        <w:rPr>
          <w:rFonts w:eastAsia="SimSun" w:cs="Arial"/>
        </w:rPr>
      </w:pPr>
      <w:r w:rsidRPr="001001E2">
        <w:rPr>
          <w:rFonts w:eastAsia="SimSun" w:cs="Arial"/>
        </w:rPr>
        <w:tab/>
        <w:t xml:space="preserve">The </w:t>
      </w:r>
      <w:r w:rsidR="00E00A72">
        <w:rPr>
          <w:rFonts w:eastAsia="SimSun" w:cs="Arial"/>
        </w:rPr>
        <w:t xml:space="preserve">Chair </w:t>
      </w:r>
      <w:r w:rsidRPr="001001E2">
        <w:rPr>
          <w:rFonts w:eastAsia="SimSun" w:cs="Arial"/>
        </w:rPr>
        <w:t xml:space="preserve">thanked the participants for their </w:t>
      </w:r>
      <w:r w:rsidR="00E00A72">
        <w:rPr>
          <w:rFonts w:eastAsia="SimSun" w:cs="Arial"/>
        </w:rPr>
        <w:t xml:space="preserve">valuable contributions and their support, </w:t>
      </w:r>
      <w:r w:rsidRPr="001001E2">
        <w:rPr>
          <w:rFonts w:eastAsia="SimSun" w:cs="Arial"/>
        </w:rPr>
        <w:t>to</w:t>
      </w:r>
      <w:r w:rsidR="00256565">
        <w:rPr>
          <w:rFonts w:eastAsia="SimSun" w:cs="Arial"/>
        </w:rPr>
        <w:t xml:space="preserve"> the</w:t>
      </w:r>
      <w:r w:rsidR="00FF48CD">
        <w:rPr>
          <w:rFonts w:eastAsia="SimSun" w:cs="Arial"/>
        </w:rPr>
        <w:t xml:space="preserve"> Secretary General, the</w:t>
      </w:r>
      <w:r w:rsidRPr="001001E2">
        <w:rPr>
          <w:rFonts w:eastAsia="SimSun" w:cs="Arial"/>
        </w:rPr>
        <w:t xml:space="preserve"> </w:t>
      </w:r>
      <w:r w:rsidR="00FF48CD" w:rsidRPr="001001E2">
        <w:rPr>
          <w:rFonts w:eastAsia="SimSun" w:cs="Arial"/>
        </w:rPr>
        <w:t>Deputy Secretary-General</w:t>
      </w:r>
      <w:r w:rsidR="00F331D3">
        <w:rPr>
          <w:rFonts w:eastAsia="SimSun" w:cs="Arial"/>
        </w:rPr>
        <w:t>, the</w:t>
      </w:r>
      <w:r w:rsidR="00FF48CD" w:rsidRPr="001001E2">
        <w:rPr>
          <w:rFonts w:eastAsia="SimSun" w:cs="Arial"/>
        </w:rPr>
        <w:t xml:space="preserve"> </w:t>
      </w:r>
      <w:r w:rsidRPr="001001E2">
        <w:rPr>
          <w:rFonts w:eastAsia="SimSun" w:cs="Arial"/>
        </w:rPr>
        <w:t>Chief</w:t>
      </w:r>
      <w:r w:rsidR="00256565">
        <w:rPr>
          <w:rFonts w:eastAsia="SimSun" w:cs="Arial"/>
        </w:rPr>
        <w:t xml:space="preserve"> of</w:t>
      </w:r>
      <w:r w:rsidRPr="001001E2">
        <w:rPr>
          <w:rFonts w:eastAsia="SimSun" w:cs="Arial"/>
        </w:rPr>
        <w:t xml:space="preserve"> C&amp;P and his team, and </w:t>
      </w:r>
      <w:r w:rsidR="00E00A72">
        <w:rPr>
          <w:rFonts w:eastAsia="SimSun" w:cs="Arial"/>
        </w:rPr>
        <w:t xml:space="preserve">to </w:t>
      </w:r>
      <w:r w:rsidRPr="001001E2">
        <w:rPr>
          <w:rFonts w:eastAsia="SimSun" w:cs="Arial"/>
        </w:rPr>
        <w:t xml:space="preserve">the ITU </w:t>
      </w:r>
      <w:r w:rsidR="00116816">
        <w:rPr>
          <w:rFonts w:eastAsia="SimSun" w:cs="Arial"/>
        </w:rPr>
        <w:t>s</w:t>
      </w:r>
      <w:r w:rsidRPr="001001E2">
        <w:rPr>
          <w:rFonts w:eastAsia="SimSun" w:cs="Arial"/>
        </w:rPr>
        <w:t xml:space="preserve">ecretariat as a whole, for the excellent work accomplished and the support provided to </w:t>
      </w:r>
      <w:r>
        <w:rPr>
          <w:rFonts w:eastAsia="SimSun" w:cs="Arial"/>
        </w:rPr>
        <w:t>her</w:t>
      </w:r>
      <w:r w:rsidRPr="001001E2">
        <w:rPr>
          <w:rFonts w:eastAsia="SimSun" w:cs="Arial"/>
        </w:rPr>
        <w:t>self and to the meeting.</w:t>
      </w:r>
    </w:p>
    <w:p w14:paraId="101911C5" w14:textId="77777777" w:rsidR="0009421C" w:rsidRDefault="00B42496" w:rsidP="00B42496">
      <w:pPr>
        <w:tabs>
          <w:tab w:val="clear" w:pos="567"/>
          <w:tab w:val="clear" w:pos="1134"/>
          <w:tab w:val="clear" w:pos="1701"/>
          <w:tab w:val="clear" w:pos="2268"/>
          <w:tab w:val="clear" w:pos="2835"/>
        </w:tabs>
        <w:snapToGrid w:val="0"/>
        <w:spacing w:before="840"/>
        <w:jc w:val="center"/>
        <w:rPr>
          <w:rFonts w:eastAsia="SimSun" w:cs="Arial"/>
        </w:rPr>
      </w:pPr>
      <w:r>
        <w:rPr>
          <w:rFonts w:eastAsia="SimSun" w:cs="Arial"/>
        </w:rPr>
        <w:t>_________________</w:t>
      </w:r>
    </w:p>
    <w:p w14:paraId="2CCB7AF3" w14:textId="7B3D074A" w:rsidR="0009421C" w:rsidRDefault="0009421C">
      <w:pPr>
        <w:tabs>
          <w:tab w:val="clear" w:pos="567"/>
          <w:tab w:val="clear" w:pos="1134"/>
          <w:tab w:val="clear" w:pos="1701"/>
          <w:tab w:val="clear" w:pos="2268"/>
          <w:tab w:val="clear" w:pos="2835"/>
        </w:tabs>
        <w:overflowPunct/>
        <w:autoSpaceDE/>
        <w:autoSpaceDN/>
        <w:adjustRightInd/>
        <w:spacing w:before="0"/>
        <w:textAlignment w:val="auto"/>
        <w:rPr>
          <w:rFonts w:eastAsia="SimSun" w:cs="Arial"/>
        </w:rPr>
      </w:pPr>
      <w:bookmarkStart w:id="19" w:name="_GoBack"/>
      <w:bookmarkEnd w:id="19"/>
    </w:p>
    <w:sectPr w:rsidR="0009421C"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F002" w14:textId="77777777" w:rsidR="00330713" w:rsidRDefault="00330713">
      <w:r>
        <w:separator/>
      </w:r>
    </w:p>
  </w:endnote>
  <w:endnote w:type="continuationSeparator" w:id="0">
    <w:p w14:paraId="6F293D3E" w14:textId="77777777" w:rsidR="00330713" w:rsidRDefault="003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C1C8" w14:textId="77777777" w:rsidR="00322D0D" w:rsidRPr="00B42496" w:rsidRDefault="00322D0D" w:rsidP="00B42496">
    <w:pPr>
      <w:spacing w:before="240" w:after="120"/>
      <w:jc w:val="center"/>
      <w:rPr>
        <w:sz w:val="22"/>
        <w:szCs w:val="22"/>
      </w:rPr>
    </w:pPr>
    <w:r w:rsidRPr="00B42496">
      <w:rPr>
        <w:sz w:val="22"/>
        <w:szCs w:val="22"/>
      </w:rPr>
      <w:t xml:space="preserve">• </w:t>
    </w:r>
    <w:hyperlink r:id="rId1" w:history="1">
      <w:r w:rsidRPr="00B42496">
        <w:rPr>
          <w:rStyle w:val="Hyperlink"/>
          <w:sz w:val="22"/>
          <w:szCs w:val="22"/>
        </w:rPr>
        <w:t>http://www.itu.int/council</w:t>
      </w:r>
    </w:hyperlink>
    <w:r w:rsidRPr="00B42496">
      <w:rPr>
        <w:sz w:val="22"/>
        <w:szCs w:val="22"/>
      </w:rPr>
      <w:t xml:space="preserve"> •</w:t>
    </w:r>
  </w:p>
  <w:p w14:paraId="1736ECBA" w14:textId="77777777" w:rsidR="00322D0D" w:rsidRPr="00B42496" w:rsidRDefault="00322D0D">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EAD0" w14:textId="77777777" w:rsidR="00330713" w:rsidRDefault="00330713">
      <w:r>
        <w:t>____________________</w:t>
      </w:r>
    </w:p>
  </w:footnote>
  <w:footnote w:type="continuationSeparator" w:id="0">
    <w:p w14:paraId="3B15A49B" w14:textId="77777777" w:rsidR="00330713" w:rsidRDefault="0033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EFE2" w14:textId="77777777" w:rsidR="00322D0D" w:rsidRDefault="006535F1" w:rsidP="00CE433C">
    <w:pPr>
      <w:pStyle w:val="Header"/>
    </w:pPr>
    <w:r>
      <w:fldChar w:fldCharType="begin"/>
    </w:r>
    <w:r>
      <w:instrText>PAGE</w:instrText>
    </w:r>
    <w:r>
      <w:fldChar w:fldCharType="separate"/>
    </w:r>
    <w:r w:rsidR="00755750">
      <w:rPr>
        <w:noProof/>
      </w:rPr>
      <w:t>6</w:t>
    </w:r>
    <w:r>
      <w:rPr>
        <w:noProof/>
      </w:rPr>
      <w:fldChar w:fldCharType="end"/>
    </w:r>
  </w:p>
  <w:p w14:paraId="7D6BB08D" w14:textId="20016253" w:rsidR="00322D0D" w:rsidRPr="00623AE3" w:rsidRDefault="00623AE3" w:rsidP="00AC2D06">
    <w:pPr>
      <w:pStyle w:val="Header"/>
      <w:rPr>
        <w:bCs/>
      </w:rPr>
    </w:pPr>
    <w:r w:rsidRPr="00623AE3">
      <w:rPr>
        <w:bCs/>
      </w:rPr>
      <w:t>C</w:t>
    </w:r>
    <w:r w:rsidR="00F27C7C">
      <w:rPr>
        <w:bCs/>
      </w:rPr>
      <w:t>20</w:t>
    </w:r>
    <w:r w:rsidRPr="00623AE3">
      <w:rPr>
        <w:bCs/>
      </w:rPr>
      <w:t>/</w:t>
    </w:r>
    <w:r w:rsidR="001E0F6A">
      <w:rPr>
        <w:bCs/>
      </w:rPr>
      <w:t>12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21040"/>
    <w:multiLevelType w:val="hybridMultilevel"/>
    <w:tmpl w:val="47AAD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69B547B"/>
    <w:multiLevelType w:val="hybridMultilevel"/>
    <w:tmpl w:val="579C6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12D8C"/>
    <w:multiLevelType w:val="hybridMultilevel"/>
    <w:tmpl w:val="376A6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70D0C"/>
    <w:multiLevelType w:val="hybridMultilevel"/>
    <w:tmpl w:val="7AD6D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F1429"/>
    <w:multiLevelType w:val="hybridMultilevel"/>
    <w:tmpl w:val="A50E8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51403"/>
    <w:multiLevelType w:val="hybridMultilevel"/>
    <w:tmpl w:val="FB20A3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13A7E"/>
    <w:multiLevelType w:val="hybridMultilevel"/>
    <w:tmpl w:val="6E9C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9"/>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210D4"/>
    <w:rsid w:val="00063016"/>
    <w:rsid w:val="00066089"/>
    <w:rsid w:val="00066795"/>
    <w:rsid w:val="00076AF6"/>
    <w:rsid w:val="00085CF2"/>
    <w:rsid w:val="0009421C"/>
    <w:rsid w:val="000B1705"/>
    <w:rsid w:val="000C2CFC"/>
    <w:rsid w:val="000D1F42"/>
    <w:rsid w:val="000D4B4A"/>
    <w:rsid w:val="000D75B2"/>
    <w:rsid w:val="001121F5"/>
    <w:rsid w:val="00116816"/>
    <w:rsid w:val="00132064"/>
    <w:rsid w:val="001400DC"/>
    <w:rsid w:val="00140CE1"/>
    <w:rsid w:val="00172CFA"/>
    <w:rsid w:val="0017539C"/>
    <w:rsid w:val="00175AC2"/>
    <w:rsid w:val="0017609F"/>
    <w:rsid w:val="00183EB6"/>
    <w:rsid w:val="001859E0"/>
    <w:rsid w:val="00194496"/>
    <w:rsid w:val="00195B25"/>
    <w:rsid w:val="001A04F9"/>
    <w:rsid w:val="001C003E"/>
    <w:rsid w:val="001C033F"/>
    <w:rsid w:val="001C2A74"/>
    <w:rsid w:val="001C628E"/>
    <w:rsid w:val="001E0F6A"/>
    <w:rsid w:val="001E0F7B"/>
    <w:rsid w:val="002119FD"/>
    <w:rsid w:val="002130E0"/>
    <w:rsid w:val="0023302D"/>
    <w:rsid w:val="00256565"/>
    <w:rsid w:val="00257493"/>
    <w:rsid w:val="00264425"/>
    <w:rsid w:val="00265875"/>
    <w:rsid w:val="0027303B"/>
    <w:rsid w:val="0028109B"/>
    <w:rsid w:val="002A199B"/>
    <w:rsid w:val="002A2188"/>
    <w:rsid w:val="002B1F58"/>
    <w:rsid w:val="002B38F1"/>
    <w:rsid w:val="002C1C7A"/>
    <w:rsid w:val="002C4A41"/>
    <w:rsid w:val="0030160F"/>
    <w:rsid w:val="00322D0D"/>
    <w:rsid w:val="00330713"/>
    <w:rsid w:val="00336799"/>
    <w:rsid w:val="00367BED"/>
    <w:rsid w:val="003822BD"/>
    <w:rsid w:val="003942D4"/>
    <w:rsid w:val="003958A8"/>
    <w:rsid w:val="003C2533"/>
    <w:rsid w:val="0040435A"/>
    <w:rsid w:val="00414653"/>
    <w:rsid w:val="00416A24"/>
    <w:rsid w:val="0043028D"/>
    <w:rsid w:val="00431D9E"/>
    <w:rsid w:val="00433CE8"/>
    <w:rsid w:val="00434A5C"/>
    <w:rsid w:val="00452F14"/>
    <w:rsid w:val="004544D9"/>
    <w:rsid w:val="00490E72"/>
    <w:rsid w:val="00491157"/>
    <w:rsid w:val="004921C8"/>
    <w:rsid w:val="00494759"/>
    <w:rsid w:val="004D1851"/>
    <w:rsid w:val="004D599D"/>
    <w:rsid w:val="004E0D0C"/>
    <w:rsid w:val="004E2EA5"/>
    <w:rsid w:val="004E3AEB"/>
    <w:rsid w:val="0050223C"/>
    <w:rsid w:val="005243FF"/>
    <w:rsid w:val="005332A7"/>
    <w:rsid w:val="00533CCD"/>
    <w:rsid w:val="00564FBC"/>
    <w:rsid w:val="00582442"/>
    <w:rsid w:val="005904D4"/>
    <w:rsid w:val="005F3269"/>
    <w:rsid w:val="005F60D2"/>
    <w:rsid w:val="00615A1F"/>
    <w:rsid w:val="006165EF"/>
    <w:rsid w:val="0062095A"/>
    <w:rsid w:val="00623AE3"/>
    <w:rsid w:val="00636E7F"/>
    <w:rsid w:val="0064737F"/>
    <w:rsid w:val="006535F1"/>
    <w:rsid w:val="0065557D"/>
    <w:rsid w:val="00662984"/>
    <w:rsid w:val="006716BB"/>
    <w:rsid w:val="006B6680"/>
    <w:rsid w:val="006B6DCC"/>
    <w:rsid w:val="006E2476"/>
    <w:rsid w:val="00702DEF"/>
    <w:rsid w:val="00706861"/>
    <w:rsid w:val="007300A9"/>
    <w:rsid w:val="0075051B"/>
    <w:rsid w:val="00755750"/>
    <w:rsid w:val="00793188"/>
    <w:rsid w:val="00794D34"/>
    <w:rsid w:val="00813E5E"/>
    <w:rsid w:val="0083581B"/>
    <w:rsid w:val="00864AFF"/>
    <w:rsid w:val="008964E1"/>
    <w:rsid w:val="008B2F4F"/>
    <w:rsid w:val="008B4A6A"/>
    <w:rsid w:val="008C7E27"/>
    <w:rsid w:val="0090120D"/>
    <w:rsid w:val="009173EF"/>
    <w:rsid w:val="009210F1"/>
    <w:rsid w:val="00932906"/>
    <w:rsid w:val="00961B0B"/>
    <w:rsid w:val="009B38C3"/>
    <w:rsid w:val="009E17BD"/>
    <w:rsid w:val="009E37B5"/>
    <w:rsid w:val="009E485A"/>
    <w:rsid w:val="009F59BD"/>
    <w:rsid w:val="00A003BC"/>
    <w:rsid w:val="00A0076A"/>
    <w:rsid w:val="00A04CEC"/>
    <w:rsid w:val="00A12D71"/>
    <w:rsid w:val="00A27F92"/>
    <w:rsid w:val="00A32257"/>
    <w:rsid w:val="00A36D20"/>
    <w:rsid w:val="00A46272"/>
    <w:rsid w:val="00A55622"/>
    <w:rsid w:val="00A56A3E"/>
    <w:rsid w:val="00A6600B"/>
    <w:rsid w:val="00A83502"/>
    <w:rsid w:val="00A94F5B"/>
    <w:rsid w:val="00AC2D06"/>
    <w:rsid w:val="00AD15B3"/>
    <w:rsid w:val="00AF6E49"/>
    <w:rsid w:val="00B04A67"/>
    <w:rsid w:val="00B0583C"/>
    <w:rsid w:val="00B10E9C"/>
    <w:rsid w:val="00B40A81"/>
    <w:rsid w:val="00B42496"/>
    <w:rsid w:val="00B44910"/>
    <w:rsid w:val="00B72267"/>
    <w:rsid w:val="00B76EB6"/>
    <w:rsid w:val="00B7737B"/>
    <w:rsid w:val="00B824C8"/>
    <w:rsid w:val="00B95108"/>
    <w:rsid w:val="00BC251A"/>
    <w:rsid w:val="00BD032B"/>
    <w:rsid w:val="00BD19CD"/>
    <w:rsid w:val="00BE2640"/>
    <w:rsid w:val="00BF00C5"/>
    <w:rsid w:val="00BF1145"/>
    <w:rsid w:val="00BF7E99"/>
    <w:rsid w:val="00C01189"/>
    <w:rsid w:val="00C12300"/>
    <w:rsid w:val="00C374DE"/>
    <w:rsid w:val="00C47AD4"/>
    <w:rsid w:val="00C52D81"/>
    <w:rsid w:val="00C55198"/>
    <w:rsid w:val="00C57FC1"/>
    <w:rsid w:val="00CA6393"/>
    <w:rsid w:val="00CA6F8E"/>
    <w:rsid w:val="00CB18FF"/>
    <w:rsid w:val="00CD0C08"/>
    <w:rsid w:val="00CE03FB"/>
    <w:rsid w:val="00CE433C"/>
    <w:rsid w:val="00CF2DCF"/>
    <w:rsid w:val="00CF33F3"/>
    <w:rsid w:val="00D04E39"/>
    <w:rsid w:val="00D06183"/>
    <w:rsid w:val="00D165DC"/>
    <w:rsid w:val="00D22C42"/>
    <w:rsid w:val="00D65041"/>
    <w:rsid w:val="00D66A57"/>
    <w:rsid w:val="00DB384B"/>
    <w:rsid w:val="00DD3E49"/>
    <w:rsid w:val="00DE4502"/>
    <w:rsid w:val="00E00A72"/>
    <w:rsid w:val="00E10E80"/>
    <w:rsid w:val="00E124F0"/>
    <w:rsid w:val="00E247FE"/>
    <w:rsid w:val="00E60F04"/>
    <w:rsid w:val="00E737D0"/>
    <w:rsid w:val="00E854E4"/>
    <w:rsid w:val="00EB0D6F"/>
    <w:rsid w:val="00EB2232"/>
    <w:rsid w:val="00EC5337"/>
    <w:rsid w:val="00ED1992"/>
    <w:rsid w:val="00F2150A"/>
    <w:rsid w:val="00F231D8"/>
    <w:rsid w:val="00F27C7C"/>
    <w:rsid w:val="00F331D3"/>
    <w:rsid w:val="00F46C5F"/>
    <w:rsid w:val="00F94A63"/>
    <w:rsid w:val="00FA1C28"/>
    <w:rsid w:val="00FB7596"/>
    <w:rsid w:val="00FE4077"/>
    <w:rsid w:val="00FE77D2"/>
    <w:rsid w:val="00FF4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C2D5EE"/>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42496"/>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5332A7"/>
    <w:rPr>
      <w:rFonts w:ascii="Calibri" w:hAnsi="Calibri"/>
      <w:sz w:val="24"/>
      <w:lang w:val="en-GB" w:eastAsia="en-US"/>
    </w:rPr>
  </w:style>
  <w:style w:type="paragraph" w:styleId="BalloonText">
    <w:name w:val="Balloon Text"/>
    <w:basedOn w:val="Normal"/>
    <w:link w:val="BalloonTextChar"/>
    <w:semiHidden/>
    <w:unhideWhenUsed/>
    <w:rsid w:val="00DE45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502"/>
    <w:rPr>
      <w:rFonts w:ascii="Segoe UI" w:hAnsi="Segoe UI" w:cs="Segoe UI"/>
      <w:sz w:val="18"/>
      <w:szCs w:val="18"/>
      <w:lang w:val="en-GB" w:eastAsia="en-US"/>
    </w:rPr>
  </w:style>
  <w:style w:type="paragraph" w:styleId="ListParagraph">
    <w:name w:val="List Paragraph"/>
    <w:basedOn w:val="Normal"/>
    <w:uiPriority w:val="34"/>
    <w:qFormat/>
    <w:rsid w:val="006165EF"/>
    <w:pPr>
      <w:ind w:left="720"/>
      <w:contextualSpacing/>
    </w:pPr>
  </w:style>
  <w:style w:type="character" w:customStyle="1" w:styleId="AnnexNoChar">
    <w:name w:val="Annex_No Char"/>
    <w:basedOn w:val="DefaultParagraphFont"/>
    <w:link w:val="AnnexNo"/>
    <w:rsid w:val="00E737D0"/>
    <w:rPr>
      <w:rFonts w:ascii="Calibri" w:hAnsi="Calibri"/>
      <w:caps/>
      <w:sz w:val="28"/>
      <w:lang w:val="en-GB" w:eastAsia="en-US"/>
    </w:rPr>
  </w:style>
  <w:style w:type="character" w:customStyle="1" w:styleId="CallChar">
    <w:name w:val="Call Char"/>
    <w:basedOn w:val="DefaultParagraphFont"/>
    <w:link w:val="Call"/>
    <w:rsid w:val="00E737D0"/>
    <w:rPr>
      <w:rFonts w:ascii="Calibri" w:hAnsi="Calibri"/>
      <w:i/>
      <w:sz w:val="24"/>
      <w:lang w:val="en-GB" w:eastAsia="en-US"/>
    </w:rPr>
  </w:style>
  <w:style w:type="character" w:customStyle="1" w:styleId="NormalaftertitleChar">
    <w:name w:val="Normal after title Char"/>
    <w:basedOn w:val="DefaultParagraphFont"/>
    <w:link w:val="Normalaftertitle"/>
    <w:rsid w:val="00E737D0"/>
    <w:rPr>
      <w:rFonts w:ascii="Calibri" w:hAnsi="Calibri"/>
      <w:sz w:val="24"/>
      <w:lang w:val="en-GB" w:eastAsia="en-US"/>
    </w:rPr>
  </w:style>
  <w:style w:type="character" w:customStyle="1" w:styleId="RestitleChar">
    <w:name w:val="Res_title Char"/>
    <w:basedOn w:val="DefaultParagraphFont"/>
    <w:link w:val="Restitle"/>
    <w:rsid w:val="00E737D0"/>
    <w:rPr>
      <w:rFonts w:ascii="Calibri" w:hAnsi="Calibri"/>
      <w:b/>
      <w:sz w:val="28"/>
      <w:lang w:val="en-GB" w:eastAsia="en-US"/>
    </w:rPr>
  </w:style>
  <w:style w:type="character" w:customStyle="1" w:styleId="AnnextitleChar">
    <w:name w:val="Annex_title Char"/>
    <w:basedOn w:val="DefaultParagraphFont"/>
    <w:link w:val="Annextitle"/>
    <w:rsid w:val="00E737D0"/>
    <w:rPr>
      <w:rFonts w:ascii="Calibri" w:hAnsi="Calibri"/>
      <w:b/>
      <w:sz w:val="28"/>
      <w:lang w:val="en-GB" w:eastAsia="en-US"/>
    </w:rPr>
  </w:style>
  <w:style w:type="character" w:styleId="UnresolvedMention">
    <w:name w:val="Unresolved Mention"/>
    <w:basedOn w:val="DefaultParagraphFont"/>
    <w:uiPriority w:val="99"/>
    <w:semiHidden/>
    <w:unhideWhenUsed/>
    <w:rsid w:val="001C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RCLCWGLANG10-C-000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RCLCWGLANG10-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54-E.pdf" TargetMode="External"/><Relationship Id="rId4" Type="http://schemas.openxmlformats.org/officeDocument/2006/relationships/settings" Target="settings.xml"/><Relationship Id="rId9" Type="http://schemas.openxmlformats.org/officeDocument/2006/relationships/hyperlink" Target="https://www.itu.int/md/S20-RCLCWGLANG10-C-0002/en" TargetMode="External"/><Relationship Id="rId14" Type="http://schemas.openxmlformats.org/officeDocument/2006/relationships/hyperlink" Target="https://www.itu.int/md/S20-RCLCWGLANG10-C-000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A9DE-5ADC-4D59-8C59-A1B8B136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1917</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Report by the Council Working Group on Languages</vt:lpstr>
    </vt:vector>
  </TitlesOfParts>
  <Manager>General Secretariat - Pool</Manager>
  <Company>International Telecommunication Union (ITU)</Company>
  <LinksUpToDate>false</LinksUpToDate>
  <CharactersWithSpaces>13140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Working Group on Languages</dc:title>
  <dc:subject>Council 2018</dc:subject>
  <dc:creator>Peral, Fernando</dc:creator>
  <cp:keywords>C2020, C20</cp:keywords>
  <dc:description/>
  <cp:lastModifiedBy>Janin, Patricia</cp:lastModifiedBy>
  <cp:revision>8</cp:revision>
  <cp:lastPrinted>2019-01-29T11:12:00Z</cp:lastPrinted>
  <dcterms:created xsi:type="dcterms:W3CDTF">2020-03-02T12:41:00Z</dcterms:created>
  <dcterms:modified xsi:type="dcterms:W3CDTF">2020-03-04T08:37:00Z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