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695DCB" w14:paraId="1DF05A09" w14:textId="77777777">
        <w:trPr>
          <w:cantSplit/>
        </w:trPr>
        <w:tc>
          <w:tcPr>
            <w:tcW w:w="6912" w:type="dxa"/>
          </w:tcPr>
          <w:p w14:paraId="5D296FE8" w14:textId="77777777" w:rsidR="00093EEB" w:rsidRPr="00695DCB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695DCB">
              <w:rPr>
                <w:b/>
                <w:bCs/>
                <w:sz w:val="30"/>
                <w:szCs w:val="30"/>
              </w:rPr>
              <w:t>Consejo 20</w:t>
            </w:r>
            <w:r w:rsidR="007955DA" w:rsidRPr="00695DCB">
              <w:rPr>
                <w:b/>
                <w:bCs/>
                <w:sz w:val="30"/>
                <w:szCs w:val="30"/>
              </w:rPr>
              <w:t>20</w:t>
            </w:r>
            <w:r w:rsidRPr="00695DCB">
              <w:rPr>
                <w:b/>
                <w:bCs/>
                <w:sz w:val="26"/>
                <w:szCs w:val="26"/>
              </w:rPr>
              <w:br/>
            </w:r>
            <w:r w:rsidRPr="00695DCB">
              <w:rPr>
                <w:b/>
                <w:bCs/>
                <w:szCs w:val="24"/>
              </w:rPr>
              <w:t xml:space="preserve">Ginebra, </w:t>
            </w:r>
            <w:r w:rsidR="007955DA" w:rsidRPr="00695DCB">
              <w:rPr>
                <w:b/>
                <w:bCs/>
                <w:szCs w:val="24"/>
              </w:rPr>
              <w:t>9</w:t>
            </w:r>
            <w:r w:rsidRPr="00695DCB">
              <w:rPr>
                <w:b/>
                <w:bCs/>
                <w:szCs w:val="24"/>
              </w:rPr>
              <w:t>-</w:t>
            </w:r>
            <w:r w:rsidR="007955DA" w:rsidRPr="00695DCB">
              <w:rPr>
                <w:b/>
                <w:bCs/>
                <w:szCs w:val="24"/>
              </w:rPr>
              <w:t>19</w:t>
            </w:r>
            <w:r w:rsidRPr="00695DCB">
              <w:rPr>
                <w:b/>
                <w:bCs/>
                <w:szCs w:val="24"/>
              </w:rPr>
              <w:t xml:space="preserve"> de </w:t>
            </w:r>
            <w:r w:rsidR="00C2727F" w:rsidRPr="00695DCB">
              <w:rPr>
                <w:b/>
                <w:bCs/>
                <w:szCs w:val="24"/>
              </w:rPr>
              <w:t>junio</w:t>
            </w:r>
            <w:r w:rsidRPr="00695DCB">
              <w:rPr>
                <w:b/>
                <w:bCs/>
                <w:szCs w:val="24"/>
              </w:rPr>
              <w:t xml:space="preserve"> de 20</w:t>
            </w:r>
            <w:r w:rsidR="007955DA" w:rsidRPr="00695DCB">
              <w:rPr>
                <w:b/>
                <w:bCs/>
                <w:szCs w:val="24"/>
              </w:rPr>
              <w:t>20</w:t>
            </w:r>
          </w:p>
        </w:tc>
        <w:tc>
          <w:tcPr>
            <w:tcW w:w="3261" w:type="dxa"/>
          </w:tcPr>
          <w:p w14:paraId="19B70966" w14:textId="77777777" w:rsidR="00093EEB" w:rsidRPr="00695DCB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695DCB">
              <w:rPr>
                <w:noProof/>
              </w:rPr>
              <w:drawing>
                <wp:inline distT="0" distB="0" distL="0" distR="0" wp14:anchorId="46BD09E3" wp14:editId="5D311C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695DCB" w14:paraId="2042AAE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8BAC5CA" w14:textId="77777777" w:rsidR="00093EEB" w:rsidRPr="00695DCB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95DCB" w14:paraId="11F7F65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8A33590" w14:textId="77777777" w:rsidR="00093EEB" w:rsidRPr="00695DC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84AA063" w14:textId="77777777" w:rsidR="00093EEB" w:rsidRPr="00695DCB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695DCB" w14:paraId="586042E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0B16108" w14:textId="6BE2199E" w:rsidR="00093EEB" w:rsidRPr="00695DCB" w:rsidRDefault="00E21DF2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ADM 1</w:t>
            </w:r>
          </w:p>
        </w:tc>
        <w:tc>
          <w:tcPr>
            <w:tcW w:w="3261" w:type="dxa"/>
          </w:tcPr>
          <w:p w14:paraId="5FE4676A" w14:textId="52911A2A" w:rsidR="00093EEB" w:rsidRPr="00695DCB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695DCB">
              <w:rPr>
                <w:b/>
                <w:bCs/>
                <w:szCs w:val="24"/>
              </w:rPr>
              <w:t>Documento C</w:t>
            </w:r>
            <w:r w:rsidR="007955DA" w:rsidRPr="00695DCB">
              <w:rPr>
                <w:b/>
                <w:bCs/>
                <w:szCs w:val="24"/>
              </w:rPr>
              <w:t>20</w:t>
            </w:r>
            <w:r w:rsidRPr="00695DCB">
              <w:rPr>
                <w:b/>
                <w:bCs/>
                <w:szCs w:val="24"/>
              </w:rPr>
              <w:t>/</w:t>
            </w:r>
            <w:r w:rsidR="002A18E9" w:rsidRPr="00695DCB">
              <w:rPr>
                <w:b/>
                <w:bCs/>
                <w:szCs w:val="24"/>
              </w:rPr>
              <w:t>9</w:t>
            </w:r>
            <w:r w:rsidRPr="00695DCB">
              <w:rPr>
                <w:b/>
                <w:bCs/>
                <w:szCs w:val="24"/>
              </w:rPr>
              <w:t>-S</w:t>
            </w:r>
          </w:p>
        </w:tc>
      </w:tr>
      <w:tr w:rsidR="00093EEB" w:rsidRPr="00695DCB" w14:paraId="06D9D30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FF42369" w14:textId="77777777" w:rsidR="00093EEB" w:rsidRPr="00695DCB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53FF5E84" w14:textId="0F95A861" w:rsidR="00093EEB" w:rsidRPr="00695DCB" w:rsidRDefault="002A18E9" w:rsidP="00C2727F">
            <w:pPr>
              <w:spacing w:before="0"/>
              <w:rPr>
                <w:b/>
                <w:bCs/>
                <w:szCs w:val="24"/>
              </w:rPr>
            </w:pPr>
            <w:r w:rsidRPr="00695DCB">
              <w:rPr>
                <w:b/>
                <w:bCs/>
                <w:szCs w:val="24"/>
              </w:rPr>
              <w:t>24 de abril</w:t>
            </w:r>
            <w:r w:rsidR="00093EEB" w:rsidRPr="00695DCB">
              <w:rPr>
                <w:b/>
                <w:bCs/>
                <w:szCs w:val="24"/>
              </w:rPr>
              <w:t xml:space="preserve"> de 20</w:t>
            </w:r>
            <w:r w:rsidR="007955DA" w:rsidRPr="00695DCB">
              <w:rPr>
                <w:b/>
                <w:bCs/>
                <w:szCs w:val="24"/>
              </w:rPr>
              <w:t>20</w:t>
            </w:r>
          </w:p>
        </w:tc>
      </w:tr>
      <w:tr w:rsidR="00093EEB" w:rsidRPr="00695DCB" w14:paraId="3B8CB90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D81B504" w14:textId="77777777" w:rsidR="00093EEB" w:rsidRPr="00695DCB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240A55DD" w14:textId="77777777" w:rsidR="00093EEB" w:rsidRPr="00695DCB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695DCB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695DCB" w14:paraId="54DE9DCB" w14:textId="77777777">
        <w:trPr>
          <w:cantSplit/>
        </w:trPr>
        <w:tc>
          <w:tcPr>
            <w:tcW w:w="10173" w:type="dxa"/>
            <w:gridSpan w:val="2"/>
          </w:tcPr>
          <w:p w14:paraId="20A429A7" w14:textId="77777777" w:rsidR="00093EEB" w:rsidRPr="00695DCB" w:rsidRDefault="00D66C6E">
            <w:pPr>
              <w:pStyle w:val="Source"/>
            </w:pPr>
            <w:bookmarkStart w:id="7" w:name="dsource" w:colFirst="0" w:colLast="0"/>
            <w:bookmarkEnd w:id="1"/>
            <w:bookmarkEnd w:id="6"/>
            <w:r w:rsidRPr="00695DCB">
              <w:t>Informe del Secretario General</w:t>
            </w:r>
          </w:p>
        </w:tc>
      </w:tr>
      <w:tr w:rsidR="00093EEB" w:rsidRPr="00695DCB" w14:paraId="16FC9BC0" w14:textId="77777777">
        <w:trPr>
          <w:cantSplit/>
        </w:trPr>
        <w:tc>
          <w:tcPr>
            <w:tcW w:w="10173" w:type="dxa"/>
            <w:gridSpan w:val="2"/>
          </w:tcPr>
          <w:p w14:paraId="7B586270" w14:textId="77777777" w:rsidR="00093EEB" w:rsidRPr="00695DCB" w:rsidRDefault="00D66C6E">
            <w:pPr>
              <w:pStyle w:val="Title1"/>
            </w:pPr>
            <w:bookmarkStart w:id="8" w:name="dtitle1" w:colFirst="0" w:colLast="0"/>
            <w:bookmarkEnd w:id="7"/>
            <w:r w:rsidRPr="00695DCB">
              <w:t>EXAMEN ANUAL DE INGRESOS Y GASTOS</w:t>
            </w:r>
          </w:p>
          <w:p w14:paraId="08C55FE5" w14:textId="77777777" w:rsidR="00D66C6E" w:rsidRPr="00695DCB" w:rsidRDefault="00D66C6E" w:rsidP="00D66C6E">
            <w:pPr>
              <w:pStyle w:val="Title2"/>
            </w:pPr>
            <w:r w:rsidRPr="00695DCB">
              <w:t>MEDIDAS DE EFICIENCIA</w:t>
            </w:r>
          </w:p>
        </w:tc>
      </w:tr>
      <w:bookmarkEnd w:id="8"/>
    </w:tbl>
    <w:p w14:paraId="73EFDA21" w14:textId="77777777" w:rsidR="00093EEB" w:rsidRPr="00695DCB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695DCB" w14:paraId="52EB0F4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BD5" w14:textId="77777777" w:rsidR="00093EEB" w:rsidRPr="00695DCB" w:rsidRDefault="00093EEB" w:rsidP="002A18E9">
            <w:pPr>
              <w:pStyle w:val="Headingb"/>
            </w:pPr>
            <w:r w:rsidRPr="00695DCB">
              <w:t>Resumen</w:t>
            </w:r>
          </w:p>
          <w:p w14:paraId="5CEE705B" w14:textId="77777777" w:rsidR="00093EEB" w:rsidRPr="00695DCB" w:rsidRDefault="00D66C6E" w:rsidP="002A18E9">
            <w:r w:rsidRPr="00695DCB">
              <w:t>El presente documento contiene los elementos esenciales de la ejecución del presupuesto de 2020-2021, con arreglo a lo dispuesto en el número 73 del Convenio de la UIT, en el cual se estipula que el Consejo efectuará un examen anual de los ingresos y gastos.</w:t>
            </w:r>
          </w:p>
          <w:p w14:paraId="42593511" w14:textId="22E41E0E" w:rsidR="00D66C6E" w:rsidRPr="00695DCB" w:rsidRDefault="00D66C6E" w:rsidP="002A18E9">
            <w:r w:rsidRPr="00695DCB">
              <w:t xml:space="preserve">De conformidad con los números 1, 2 y 3 del </w:t>
            </w:r>
            <w:r w:rsidRPr="00695DCB">
              <w:rPr>
                <w:i/>
                <w:iCs/>
              </w:rPr>
              <w:t xml:space="preserve">encarga al Secretario General y a los Directores de las Oficinas </w:t>
            </w:r>
            <w:r w:rsidRPr="00695DCB">
              <w:t>de la Decisión 5 (Rev. Busán, 2014 y Rev.</w:t>
            </w:r>
            <w:r w:rsidR="00695DCB">
              <w:t> </w:t>
            </w:r>
            <w:r w:rsidRPr="00695DCB">
              <w:t>Dubái,</w:t>
            </w:r>
            <w:r w:rsidR="00695DCB">
              <w:t> </w:t>
            </w:r>
            <w:r w:rsidRPr="00695DCB">
              <w:t xml:space="preserve">2018), </w:t>
            </w:r>
            <w:r w:rsidR="002A18E9" w:rsidRPr="00695DCB">
              <w:t>este</w:t>
            </w:r>
            <w:r w:rsidRPr="00695DCB">
              <w:t xml:space="preserve"> documento </w:t>
            </w:r>
            <w:r w:rsidR="002A18E9" w:rsidRPr="00695DCB">
              <w:t>facilita</w:t>
            </w:r>
            <w:r w:rsidRPr="00695DCB">
              <w:t xml:space="preserve"> información actualizada sobre la aplicación de las medidas de eficiencia que figuran en el Anexo 2 a la Decisión 5 (Rev. Busán,</w:t>
            </w:r>
            <w:r w:rsidR="00695DCB">
              <w:t> </w:t>
            </w:r>
            <w:r w:rsidRPr="00695DCB">
              <w:t xml:space="preserve">2014 </w:t>
            </w:r>
            <w:r w:rsidRPr="00695DCB">
              <w:rPr>
                <w:bCs/>
              </w:rPr>
              <w:t>y Rev. Dubái, 2018</w:t>
            </w:r>
            <w:r w:rsidRPr="00695DCB">
              <w:t>).</w:t>
            </w:r>
          </w:p>
          <w:p w14:paraId="73559721" w14:textId="77777777" w:rsidR="00093EEB" w:rsidRPr="00695DCB" w:rsidRDefault="00093EEB" w:rsidP="002A18E9">
            <w:pPr>
              <w:pStyle w:val="Headingb"/>
            </w:pPr>
            <w:r w:rsidRPr="00695DCB">
              <w:t>Acción solicitada</w:t>
            </w:r>
          </w:p>
          <w:p w14:paraId="3593B18B" w14:textId="77777777" w:rsidR="00093EEB" w:rsidRPr="00695DCB" w:rsidRDefault="00D66C6E" w:rsidP="002A18E9">
            <w:r w:rsidRPr="00695DCB">
              <w:t xml:space="preserve">Se invita al Consejo a </w:t>
            </w:r>
            <w:r w:rsidRPr="00695DCB">
              <w:rPr>
                <w:b/>
                <w:bCs/>
              </w:rPr>
              <w:t>refrendar</w:t>
            </w:r>
            <w:r w:rsidRPr="00695DCB">
              <w:t xml:space="preserve"> el presente informe.</w:t>
            </w:r>
          </w:p>
          <w:p w14:paraId="7E0EF257" w14:textId="77777777" w:rsidR="00093EEB" w:rsidRPr="00695DCB" w:rsidRDefault="00093EEB" w:rsidP="002A18E9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95DCB">
              <w:rPr>
                <w:caps w:val="0"/>
                <w:sz w:val="22"/>
                <w:lang w:val="es-ES_tradnl"/>
              </w:rPr>
              <w:t>____________</w:t>
            </w:r>
          </w:p>
          <w:p w14:paraId="1E73F36F" w14:textId="77777777" w:rsidR="00093EEB" w:rsidRPr="00695DCB" w:rsidRDefault="00093EEB" w:rsidP="002A18E9">
            <w:pPr>
              <w:pStyle w:val="Headingb"/>
            </w:pPr>
            <w:r w:rsidRPr="00695DCB">
              <w:t>Referencia</w:t>
            </w:r>
            <w:r w:rsidR="00D66C6E" w:rsidRPr="00695DCB">
              <w:t>s</w:t>
            </w:r>
          </w:p>
          <w:p w14:paraId="614EBEAA" w14:textId="77777777" w:rsidR="00093EEB" w:rsidRPr="00695DCB" w:rsidRDefault="00F8392C" w:rsidP="002A18E9">
            <w:pPr>
              <w:spacing w:after="120"/>
              <w:rPr>
                <w:i/>
                <w:iCs/>
              </w:rPr>
            </w:pPr>
            <w:hyperlink r:id="rId9" w:anchor="cvart4" w:history="1">
              <w:r w:rsidR="00D66C6E" w:rsidRPr="00695DCB">
                <w:rPr>
                  <w:rStyle w:val="Hyperlink"/>
                  <w:i/>
                  <w:iCs/>
                </w:rPr>
                <w:t>CV/Art. 4</w:t>
              </w:r>
            </w:hyperlink>
            <w:r w:rsidR="00D66C6E" w:rsidRPr="00695DCB">
              <w:rPr>
                <w:i/>
                <w:iCs/>
              </w:rPr>
              <w:t xml:space="preserve">, </w:t>
            </w:r>
            <w:hyperlink r:id="rId10" w:anchor="cv73" w:history="1">
              <w:r w:rsidR="00D66C6E" w:rsidRPr="00695DCB">
                <w:rPr>
                  <w:rStyle w:val="Hyperlink"/>
                  <w:i/>
                  <w:iCs/>
                </w:rPr>
                <w:t>número 73</w:t>
              </w:r>
            </w:hyperlink>
          </w:p>
          <w:p w14:paraId="24F57BB1" w14:textId="4F572930" w:rsidR="00D66C6E" w:rsidRPr="00695DCB" w:rsidRDefault="00F8392C" w:rsidP="002A18E9">
            <w:pPr>
              <w:spacing w:after="120"/>
              <w:rPr>
                <w:i/>
                <w:iCs/>
              </w:rPr>
            </w:pPr>
            <w:hyperlink r:id="rId11" w:history="1">
              <w:r w:rsidR="00D66C6E" w:rsidRPr="00695DCB">
                <w:rPr>
                  <w:rStyle w:val="Hyperlink"/>
                  <w:i/>
                  <w:iCs/>
                </w:rPr>
                <w:t>Resolución 1396</w:t>
              </w:r>
              <w:r w:rsidR="002A18E9" w:rsidRPr="00695DCB">
                <w:rPr>
                  <w:rStyle w:val="Hyperlink"/>
                  <w:i/>
                  <w:iCs/>
                </w:rPr>
                <w:t xml:space="preserve"> del Consejo</w:t>
              </w:r>
              <w:r w:rsidR="00D66C6E" w:rsidRPr="00695DCB">
                <w:rPr>
                  <w:rStyle w:val="Hyperlink"/>
                  <w:i/>
                  <w:iCs/>
                </w:rPr>
                <w:t xml:space="preserve"> – Presupuesto bienal de la Unión Internacional de Telecomunicaciones para 2020-2021</w:t>
              </w:r>
            </w:hyperlink>
          </w:p>
          <w:p w14:paraId="7896F968" w14:textId="77777777" w:rsidR="00093EEB" w:rsidRPr="00695DCB" w:rsidRDefault="00F8392C" w:rsidP="002A18E9">
            <w:pPr>
              <w:spacing w:after="120"/>
              <w:rPr>
                <w:i/>
                <w:iCs/>
              </w:rPr>
            </w:pPr>
            <w:hyperlink r:id="rId12" w:history="1">
              <w:r w:rsidR="00D66C6E" w:rsidRPr="00695DCB">
                <w:rPr>
                  <w:rStyle w:val="Hyperlink"/>
                  <w:i/>
                  <w:iCs/>
                </w:rPr>
                <w:t>Decisión 5 (Rev. Busán, 2014)</w:t>
              </w:r>
            </w:hyperlink>
            <w:r w:rsidR="00D66C6E" w:rsidRPr="00695DCB">
              <w:rPr>
                <w:i/>
                <w:iCs/>
              </w:rPr>
              <w:t xml:space="preserve"> y </w:t>
            </w:r>
            <w:hyperlink r:id="rId13" w:history="1">
              <w:r w:rsidR="00D66C6E" w:rsidRPr="00695DCB">
                <w:rPr>
                  <w:rStyle w:val="Hyperlink"/>
                  <w:i/>
                  <w:iCs/>
                </w:rPr>
                <w:t>Decisión 5 (Rev. Dubái, 2018)</w:t>
              </w:r>
            </w:hyperlink>
          </w:p>
        </w:tc>
      </w:tr>
    </w:tbl>
    <w:p w14:paraId="756C3C23" w14:textId="77777777" w:rsidR="00E21DF2" w:rsidRDefault="00E21DF2" w:rsidP="00D66C6E">
      <w:pPr>
        <w:pStyle w:val="Heading1"/>
      </w:pPr>
    </w:p>
    <w:p w14:paraId="04292CAC" w14:textId="77777777" w:rsidR="00E21DF2" w:rsidRDefault="00E21D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14:paraId="1EB50FD9" w14:textId="544C0A04" w:rsidR="00D66C6E" w:rsidRPr="00695DCB" w:rsidRDefault="00D66C6E" w:rsidP="00D66C6E">
      <w:pPr>
        <w:pStyle w:val="Heading1"/>
      </w:pPr>
      <w:r w:rsidRPr="00695DCB">
        <w:lastRenderedPageBreak/>
        <w:t>1</w:t>
      </w:r>
      <w:r w:rsidRPr="00695DCB">
        <w:tab/>
        <w:t>Introducción</w:t>
      </w:r>
    </w:p>
    <w:p w14:paraId="232DCC81" w14:textId="2E431365" w:rsidR="00D66C6E" w:rsidRPr="00695DCB" w:rsidRDefault="00D66C6E" w:rsidP="002A18E9">
      <w:r w:rsidRPr="00695DCB">
        <w:rPr>
          <w:szCs w:val="24"/>
        </w:rPr>
        <w:t>1.1</w:t>
      </w:r>
      <w:r w:rsidRPr="00695DCB">
        <w:rPr>
          <w:szCs w:val="24"/>
        </w:rPr>
        <w:tab/>
      </w:r>
      <w:r w:rsidRPr="00695DCB">
        <w:t xml:space="preserve">El presente documento tiene por objeto informar sobre el estado de aplicación del </w:t>
      </w:r>
      <w:r w:rsidR="002A18E9" w:rsidRPr="00695DCB">
        <w:t xml:space="preserve">primer año del </w:t>
      </w:r>
      <w:r w:rsidR="00E74788" w:rsidRPr="00695DCB">
        <w:t xml:space="preserve">presupuesto </w:t>
      </w:r>
      <w:r w:rsidRPr="00695DCB">
        <w:t>de la Unión para el bienio 2020-2021 en lo que respecta a los ingresos y los gastos.</w:t>
      </w:r>
    </w:p>
    <w:p w14:paraId="2F0B2E15" w14:textId="56073A4B" w:rsidR="00D66C6E" w:rsidRPr="00695DCB" w:rsidRDefault="00D66C6E" w:rsidP="00D66C6E">
      <w:pPr>
        <w:pStyle w:val="Heading1"/>
      </w:pPr>
      <w:bookmarkStart w:id="9" w:name="lt_pId028"/>
      <w:r w:rsidRPr="00695DCB">
        <w:t>2</w:t>
      </w:r>
      <w:r w:rsidRPr="00695DCB">
        <w:tab/>
      </w:r>
      <w:r w:rsidR="002A18E9" w:rsidRPr="00695DCB">
        <w:t>Presupuesto de la Unión para</w:t>
      </w:r>
      <w:r w:rsidRPr="00695DCB">
        <w:t xml:space="preserve"> 2020-2021 (</w:t>
      </w:r>
      <w:r w:rsidR="002A18E9" w:rsidRPr="00695DCB">
        <w:t>Resolución</w:t>
      </w:r>
      <w:r w:rsidRPr="00695DCB">
        <w:t xml:space="preserve"> 1396)</w:t>
      </w:r>
      <w:bookmarkEnd w:id="9"/>
    </w:p>
    <w:p w14:paraId="5AF39E77" w14:textId="76A403DB" w:rsidR="00D66C6E" w:rsidRPr="00695DCB" w:rsidRDefault="00D66C6E" w:rsidP="002A18E9">
      <w:r w:rsidRPr="00695DCB">
        <w:t>2.1</w:t>
      </w:r>
      <w:r w:rsidRPr="00695DCB">
        <w:tab/>
        <w:t>En su reunión de 201</w:t>
      </w:r>
      <w:r w:rsidR="002A18E9" w:rsidRPr="00695DCB">
        <w:t>9</w:t>
      </w:r>
      <w:r w:rsidRPr="00695DCB">
        <w:t>, el Consejo adoptó mediante su Resolución 13</w:t>
      </w:r>
      <w:r w:rsidR="002A18E9" w:rsidRPr="00695DCB">
        <w:t>96</w:t>
      </w:r>
      <w:r w:rsidRPr="00695DCB">
        <w:t xml:space="preserve"> el presupuesto de la Unión para 20</w:t>
      </w:r>
      <w:r w:rsidR="002A18E9" w:rsidRPr="00695DCB">
        <w:t>20</w:t>
      </w:r>
      <w:r w:rsidRPr="00695DCB">
        <w:t>-20</w:t>
      </w:r>
      <w:r w:rsidR="002A18E9" w:rsidRPr="00695DCB">
        <w:t>21</w:t>
      </w:r>
      <w:r w:rsidRPr="00695DCB">
        <w:t>, que asciende a 3</w:t>
      </w:r>
      <w:r w:rsidR="002A18E9" w:rsidRPr="00695DCB">
        <w:t>32</w:t>
      </w:r>
      <w:r w:rsidRPr="00695DCB">
        <w:t> </w:t>
      </w:r>
      <w:r w:rsidR="002A18E9" w:rsidRPr="00695DCB">
        <w:t>013</w:t>
      </w:r>
      <w:r w:rsidRPr="00695DCB">
        <w:t xml:space="preserve"> 000 CHF para el bienio y se subdivide como sigue: </w:t>
      </w:r>
      <w:r w:rsidR="002A18E9" w:rsidRPr="00695DCB">
        <w:t>167</w:t>
      </w:r>
      <w:r w:rsidRPr="00695DCB">
        <w:t> </w:t>
      </w:r>
      <w:r w:rsidR="002A18E9" w:rsidRPr="00695DCB">
        <w:t>478</w:t>
      </w:r>
      <w:r w:rsidRPr="00695DCB">
        <w:t> 000 CHF para 20</w:t>
      </w:r>
      <w:r w:rsidR="002A18E9" w:rsidRPr="00695DCB">
        <w:t>20</w:t>
      </w:r>
      <w:r w:rsidRPr="00695DCB">
        <w:t xml:space="preserve"> y 164 </w:t>
      </w:r>
      <w:r w:rsidR="002A18E9" w:rsidRPr="00695DCB">
        <w:t>535</w:t>
      </w:r>
      <w:r w:rsidRPr="00695DCB">
        <w:t> 000 CHF para 20</w:t>
      </w:r>
      <w:r w:rsidR="002A18E9" w:rsidRPr="00695DCB">
        <w:t>21</w:t>
      </w:r>
      <w:r w:rsidRPr="00695DCB">
        <w:t xml:space="preserve">. Se basa en una unidad contributiva anual de los Estados Miembros de 318 000 CHF, lo que corresponde a un crecimiento nominal cero comparado con los bienios anteriores. El </w:t>
      </w:r>
      <w:r w:rsidR="00E74788" w:rsidRPr="00695DCB">
        <w:t xml:space="preserve">presupuesto </w:t>
      </w:r>
      <w:r w:rsidRPr="00695DCB">
        <w:t>de la Unión se está aplicando de conformidad con el Artículo 10 del Reglamento Financiero.</w:t>
      </w:r>
    </w:p>
    <w:p w14:paraId="4F1315F8" w14:textId="7920465D" w:rsidR="00D66C6E" w:rsidRPr="00695DCB" w:rsidRDefault="00D66C6E" w:rsidP="004A0E94">
      <w:pPr>
        <w:rPr>
          <w:szCs w:val="24"/>
        </w:rPr>
      </w:pPr>
      <w:r w:rsidRPr="00695DCB">
        <w:t>2.2</w:t>
      </w:r>
      <w:r w:rsidRPr="00695DCB">
        <w:tab/>
        <w:t xml:space="preserve">En </w:t>
      </w:r>
      <w:r w:rsidR="002A18E9" w:rsidRPr="00695DCB">
        <w:t>los</w:t>
      </w:r>
      <w:r w:rsidRPr="00695DCB">
        <w:t xml:space="preserve"> Cuadro</w:t>
      </w:r>
      <w:r w:rsidR="002A18E9" w:rsidRPr="00695DCB">
        <w:t>s</w:t>
      </w:r>
      <w:r w:rsidRPr="00695DCB">
        <w:t xml:space="preserve"> 1 </w:t>
      </w:r>
      <w:r w:rsidR="002A18E9" w:rsidRPr="00695DCB">
        <w:t xml:space="preserve">y 2 </w:t>
      </w:r>
      <w:r w:rsidRPr="00695DCB">
        <w:t>siguiente</w:t>
      </w:r>
      <w:r w:rsidR="002A18E9" w:rsidRPr="00695DCB">
        <w:t>s</w:t>
      </w:r>
      <w:r w:rsidRPr="00695DCB">
        <w:t xml:space="preserve"> se indica la situación del presupuesto para 20</w:t>
      </w:r>
      <w:r w:rsidR="002A18E9" w:rsidRPr="00695DCB">
        <w:t>20</w:t>
      </w:r>
      <w:r w:rsidRPr="00695DCB">
        <w:t xml:space="preserve">, con indicación de los gastos </w:t>
      </w:r>
      <w:r w:rsidR="002A18E9" w:rsidRPr="00695DCB">
        <w:t xml:space="preserve">e ingresos </w:t>
      </w:r>
      <w:r w:rsidRPr="00695DCB">
        <w:t xml:space="preserve">al </w:t>
      </w:r>
      <w:r w:rsidR="002A18E9" w:rsidRPr="00695DCB">
        <w:t>20</w:t>
      </w:r>
      <w:r w:rsidRPr="00695DCB">
        <w:t xml:space="preserve"> de </w:t>
      </w:r>
      <w:r w:rsidR="002A18E9" w:rsidRPr="00695DCB">
        <w:t>abril</w:t>
      </w:r>
      <w:r w:rsidRPr="00695DCB">
        <w:t xml:space="preserve"> de 20</w:t>
      </w:r>
      <w:r w:rsidR="002A18E9" w:rsidRPr="00695DCB">
        <w:t>20</w:t>
      </w:r>
      <w:r w:rsidRPr="00695DCB">
        <w:t xml:space="preserve"> y una previsión de ingresos y gastos hasta el 31 de diciembre de 20</w:t>
      </w:r>
      <w:r w:rsidR="002A18E9" w:rsidRPr="00695DCB">
        <w:t>20</w:t>
      </w:r>
      <w:r w:rsidRPr="00695DCB">
        <w:rPr>
          <w:rFonts w:cs="Calibri"/>
        </w:rPr>
        <w:t xml:space="preserve">. </w:t>
      </w:r>
      <w:r w:rsidRPr="00695DCB">
        <w:t>Las previsiones preliminares para 20</w:t>
      </w:r>
      <w:r w:rsidR="002A18E9" w:rsidRPr="00695DCB">
        <w:t>20</w:t>
      </w:r>
      <w:r w:rsidRPr="00695DCB">
        <w:t xml:space="preserve"> </w:t>
      </w:r>
      <w:r w:rsidRPr="00695DCB">
        <w:rPr>
          <w:szCs w:val="24"/>
        </w:rPr>
        <w:t xml:space="preserve">muestran </w:t>
      </w:r>
      <w:r w:rsidR="002A18E9" w:rsidRPr="00695DCB">
        <w:rPr>
          <w:szCs w:val="24"/>
        </w:rPr>
        <w:t xml:space="preserve">un superávit previsto de 0,4 millones de CHF. </w:t>
      </w:r>
    </w:p>
    <w:p w14:paraId="2A3EA3A9" w14:textId="5163BA04" w:rsidR="00D66C6E" w:rsidRPr="00695DCB" w:rsidRDefault="0087577B" w:rsidP="00A476EE">
      <w:pPr>
        <w:spacing w:line="480" w:lineRule="auto"/>
        <w:jc w:val="center"/>
      </w:pPr>
      <w:r w:rsidRPr="0087577B">
        <w:drawing>
          <wp:inline distT="0" distB="0" distL="0" distR="0" wp14:anchorId="5537EE13" wp14:editId="33EE7A4A">
            <wp:extent cx="6120765" cy="2399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58B2" w14:textId="161C1357" w:rsidR="00CA3E0F" w:rsidRPr="00695DCB" w:rsidRDefault="0087577B" w:rsidP="00A476EE">
      <w:pPr>
        <w:spacing w:line="480" w:lineRule="auto"/>
        <w:jc w:val="center"/>
      </w:pPr>
      <w:r w:rsidRPr="0087577B">
        <w:lastRenderedPageBreak/>
        <w:drawing>
          <wp:inline distT="0" distB="0" distL="0" distR="0" wp14:anchorId="3E8BD13B" wp14:editId="38C5C4CF">
            <wp:extent cx="4457700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7763" w14:textId="26A0EBC7" w:rsidR="00CA3E0F" w:rsidRPr="00695DCB" w:rsidRDefault="00CA3E0F" w:rsidP="00CA3E0F">
      <w:pPr>
        <w:pStyle w:val="Heading1"/>
      </w:pPr>
      <w:r w:rsidRPr="00695DCB">
        <w:t>3</w:t>
      </w:r>
      <w:bookmarkStart w:id="10" w:name="lt_pId037"/>
      <w:r w:rsidRPr="00695DCB">
        <w:tab/>
      </w:r>
      <w:bookmarkEnd w:id="10"/>
      <w:r w:rsidR="00A40EBE" w:rsidRPr="00695DCB">
        <w:t>Ingresos</w:t>
      </w:r>
    </w:p>
    <w:p w14:paraId="072CD8D3" w14:textId="6767DDCC" w:rsidR="00CA3E0F" w:rsidRPr="00695DCB" w:rsidRDefault="00CA3E0F" w:rsidP="0046514B">
      <w:r w:rsidRPr="00695DCB">
        <w:t>3.1</w:t>
      </w:r>
      <w:r w:rsidRPr="00695DCB">
        <w:tab/>
        <w:t xml:space="preserve">Los ingresos de la Unión </w:t>
      </w:r>
      <w:r w:rsidR="00A40EBE" w:rsidRPr="00695DCB">
        <w:t>consisten en las</w:t>
      </w:r>
      <w:r w:rsidRPr="00695DCB">
        <w:t xml:space="preserve"> contribuciones previstas, la recuperación de costes, los intereses/otros ingresos y </w:t>
      </w:r>
      <w:r w:rsidR="00A40EBE" w:rsidRPr="00695DCB">
        <w:t xml:space="preserve">los ahorros en la implementación del </w:t>
      </w:r>
      <w:r w:rsidR="00E74788" w:rsidRPr="00695DCB">
        <w:t>presupuesto</w:t>
      </w:r>
      <w:r w:rsidRPr="00695DCB">
        <w:t>.</w:t>
      </w:r>
      <w:r w:rsidRPr="00695DCB">
        <w:rPr>
          <w:szCs w:val="24"/>
        </w:rPr>
        <w:t xml:space="preserve"> Los ingresos más elevados en concepto de contribuciones previstas </w:t>
      </w:r>
      <w:r w:rsidR="00A40EBE" w:rsidRPr="00695DCB">
        <w:rPr>
          <w:szCs w:val="24"/>
        </w:rPr>
        <w:t>no bastarán para</w:t>
      </w:r>
      <w:r w:rsidRPr="00695DCB">
        <w:rPr>
          <w:szCs w:val="24"/>
        </w:rPr>
        <w:t xml:space="preserve"> compensar el déficit previsto en concepto de recuperación de costes. </w:t>
      </w:r>
      <w:r w:rsidR="00A40EBE" w:rsidRPr="00695DCB">
        <w:rPr>
          <w:szCs w:val="24"/>
        </w:rPr>
        <w:t>El déficit de ingresos pr</w:t>
      </w:r>
      <w:r w:rsidR="00E74788">
        <w:rPr>
          <w:szCs w:val="24"/>
        </w:rPr>
        <w:t xml:space="preserve">evisto para 2020 se calcula en </w:t>
      </w:r>
      <w:r w:rsidR="00E74788">
        <w:rPr>
          <w:szCs w:val="24"/>
        </w:rPr>
        <w:sym w:font="Symbol" w:char="F02D"/>
      </w:r>
      <w:r w:rsidR="00A40EBE" w:rsidRPr="00695DCB">
        <w:rPr>
          <w:szCs w:val="24"/>
        </w:rPr>
        <w:t>4,8</w:t>
      </w:r>
      <w:r w:rsidR="00E74788">
        <w:rPr>
          <w:szCs w:val="24"/>
        </w:rPr>
        <w:t> </w:t>
      </w:r>
      <w:r w:rsidR="00A40EBE" w:rsidRPr="00695DCB">
        <w:rPr>
          <w:szCs w:val="24"/>
        </w:rPr>
        <w:t xml:space="preserve">millones de CHF. </w:t>
      </w:r>
    </w:p>
    <w:p w14:paraId="5E86D18B" w14:textId="12FEAE86" w:rsidR="00CA3E0F" w:rsidRPr="00695DCB" w:rsidRDefault="00CA3E0F" w:rsidP="0046514B">
      <w:r w:rsidRPr="00695DCB">
        <w:t>3.2</w:t>
      </w:r>
      <w:r w:rsidRPr="00695DCB">
        <w:tab/>
        <w:t xml:space="preserve">Los ingresos en concepto de contribuciones previstas representan el 75% </w:t>
      </w:r>
      <w:r w:rsidR="0046514B" w:rsidRPr="00695DCB">
        <w:t>de los ingresos</w:t>
      </w:r>
      <w:r w:rsidRPr="00695DCB">
        <w:t xml:space="preserve"> total</w:t>
      </w:r>
      <w:r w:rsidR="0046514B" w:rsidRPr="00695DCB">
        <w:t>es</w:t>
      </w:r>
      <w:r w:rsidRPr="00695DCB">
        <w:t xml:space="preserve"> para 20</w:t>
      </w:r>
      <w:r w:rsidR="0046514B" w:rsidRPr="00695DCB">
        <w:t>20. I</w:t>
      </w:r>
      <w:r w:rsidRPr="00695DCB">
        <w:t>ncluyen las contribuciones de los Estados Miembros, Miembros de Sector, Asociados e Instituciones Académicas. En el Cuadro 3 se muestra el desglose de las contribuciones previstas.</w:t>
      </w:r>
    </w:p>
    <w:p w14:paraId="7521B8DB" w14:textId="65D62872" w:rsidR="00CA3E0F" w:rsidRPr="00695DCB" w:rsidRDefault="0087577B" w:rsidP="00A476EE">
      <w:pPr>
        <w:jc w:val="center"/>
      </w:pPr>
      <w:r w:rsidRPr="0087577B">
        <w:drawing>
          <wp:inline distT="0" distB="0" distL="0" distR="0" wp14:anchorId="577494B3" wp14:editId="3477E854">
            <wp:extent cx="6120765" cy="3208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D90F6" w14:textId="41EE9FF4" w:rsidR="00CA3E0F" w:rsidRPr="00695DCB" w:rsidRDefault="00CA3E0F" w:rsidP="0046514B">
      <w:r w:rsidRPr="00695DCB">
        <w:lastRenderedPageBreak/>
        <w:t>3.3</w:t>
      </w:r>
      <w:r w:rsidRPr="00695DCB">
        <w:tab/>
        <w:t xml:space="preserve">El importe de la unidad contributiva anual para 2020-2021 se fija en 318 000 CHF. </w:t>
      </w:r>
      <w:bookmarkStart w:id="11" w:name="lt_pId048"/>
      <w:r w:rsidR="0046514B" w:rsidRPr="00695DCB">
        <w:t>Al</w:t>
      </w:r>
      <w:r w:rsidRPr="00695DCB">
        <w:t xml:space="preserve"> 20 </w:t>
      </w:r>
      <w:r w:rsidR="0046514B" w:rsidRPr="00695DCB">
        <w:t>de abril de</w:t>
      </w:r>
      <w:r w:rsidRPr="00695DCB">
        <w:t xml:space="preserve"> 2020, </w:t>
      </w:r>
      <w:r w:rsidR="0046514B" w:rsidRPr="00695DCB">
        <w:t xml:space="preserve">los ingresos facturados totales procedentes de los Estados Miembros superan los ingresos presupuestados en 318 000 CHF. </w:t>
      </w:r>
      <w:bookmarkEnd w:id="11"/>
    </w:p>
    <w:p w14:paraId="686EFA51" w14:textId="38280032" w:rsidR="00CA3E0F" w:rsidRPr="00695DCB" w:rsidRDefault="00CA3E0F" w:rsidP="000173D2">
      <w:r w:rsidRPr="00695DCB">
        <w:t>3.4</w:t>
      </w:r>
      <w:r w:rsidRPr="00695DCB">
        <w:tab/>
      </w:r>
      <w:r w:rsidR="00ED24F2" w:rsidRPr="00695DCB">
        <w:t>Para 2020, el i</w:t>
      </w:r>
      <w:r w:rsidRPr="00695DCB">
        <w:t xml:space="preserve">mporte de la unidad contributiva anual de los Miembros de Sector se fija en 63 600 </w:t>
      </w:r>
      <w:r w:rsidR="00327036" w:rsidRPr="00695DCB">
        <w:t xml:space="preserve">de </w:t>
      </w:r>
      <w:r w:rsidRPr="00695DCB">
        <w:t>CHF</w:t>
      </w:r>
      <w:r w:rsidR="00ED24F2" w:rsidRPr="00695DCB">
        <w:t>,</w:t>
      </w:r>
      <w:r w:rsidRPr="00695DCB">
        <w:t xml:space="preserve"> y en 10 600 CHF para los </w:t>
      </w:r>
      <w:r w:rsidR="00E74788" w:rsidRPr="00695DCB">
        <w:t>Asociados</w:t>
      </w:r>
      <w:r w:rsidRPr="00695DCB">
        <w:t xml:space="preserve">. Al </w:t>
      </w:r>
      <w:r w:rsidR="00ED24F2" w:rsidRPr="00695DCB">
        <w:t>20</w:t>
      </w:r>
      <w:r w:rsidRPr="00695DCB">
        <w:t xml:space="preserve"> de </w:t>
      </w:r>
      <w:r w:rsidR="00ED24F2" w:rsidRPr="00695DCB">
        <w:t>abril</w:t>
      </w:r>
      <w:r w:rsidRPr="00695DCB">
        <w:t xml:space="preserve"> de 20</w:t>
      </w:r>
      <w:r w:rsidR="00ED24F2" w:rsidRPr="00695DCB">
        <w:t>20</w:t>
      </w:r>
      <w:r w:rsidRPr="00695DCB">
        <w:t xml:space="preserve"> los ingresos totales previstos de los Miembros de Sector </w:t>
      </w:r>
      <w:r w:rsidR="000173D2" w:rsidRPr="00695DCB">
        <w:t>superan</w:t>
      </w:r>
      <w:r w:rsidRPr="00695DCB">
        <w:t xml:space="preserve"> los ingresos presupuestados en </w:t>
      </w:r>
      <w:r w:rsidR="000173D2" w:rsidRPr="00695DCB">
        <w:t>289 000</w:t>
      </w:r>
      <w:r w:rsidRPr="00695DCB">
        <w:t xml:space="preserve"> </w:t>
      </w:r>
      <w:r w:rsidR="00A5349B" w:rsidRPr="00695DCB">
        <w:t xml:space="preserve">de </w:t>
      </w:r>
      <w:r w:rsidRPr="00695DCB">
        <w:t xml:space="preserve">CHF. Lo mismo ocurre con los ingresos previstos para los Asociados, </w:t>
      </w:r>
      <w:r w:rsidR="000173D2" w:rsidRPr="00695DCB">
        <w:t xml:space="preserve">que superan los ingresos presupuestados en 298 000 CHF, y los ingresos facturados a las </w:t>
      </w:r>
      <w:r w:rsidR="00E74788" w:rsidRPr="00695DCB">
        <w:t>Instituciones Académicas</w:t>
      </w:r>
      <w:r w:rsidR="000173D2" w:rsidRPr="00695DCB">
        <w:t>, que superan los ingresos presupuestados en 26 000 CHF.</w:t>
      </w:r>
    </w:p>
    <w:p w14:paraId="0485E42C" w14:textId="60030BCC" w:rsidR="00CA3E0F" w:rsidRPr="00695DCB" w:rsidRDefault="00B23702" w:rsidP="000173D2">
      <w:r w:rsidRPr="00695DCB">
        <w:t>3.5</w:t>
      </w:r>
      <w:r w:rsidRPr="00695DCB">
        <w:tab/>
        <w:t xml:space="preserve">Los ingresos en concepto de recuperación de costes representan 22,6% de los ingresos totales presupuestados. El desglose figura en el Cuadro 4. Los ingresos por recuperación de costes probablemente </w:t>
      </w:r>
      <w:r w:rsidR="000173D2" w:rsidRPr="00695DCB">
        <w:t>serán significativamente inferiores a</w:t>
      </w:r>
      <w:r w:rsidRPr="00695DCB">
        <w:t xml:space="preserve"> la cantidad presupuestada para 20</w:t>
      </w:r>
      <w:r w:rsidR="00695DCB">
        <w:t xml:space="preserve">20, </w:t>
      </w:r>
      <w:r w:rsidR="00E74788">
        <w:sym w:font="Symbol" w:char="F02D"/>
      </w:r>
      <w:r w:rsidR="00695DCB">
        <w:t>5,28</w:t>
      </w:r>
      <w:r w:rsidR="00E74788">
        <w:t> </w:t>
      </w:r>
      <w:r w:rsidR="00695DCB">
        <w:t>millones de CHF (–</w:t>
      </w:r>
      <w:r w:rsidR="000173D2" w:rsidRPr="00695DCB">
        <w:t xml:space="preserve">15,25 por ciento). </w:t>
      </w:r>
      <w:r w:rsidRPr="00695DCB">
        <w:t>Ello se debe fundamentalmente a la venta de publicaciones y a los ingresos procedentes de notificaciones de redes de satélites</w:t>
      </w:r>
      <w:r w:rsidR="000173D2" w:rsidRPr="00695DCB">
        <w:t xml:space="preserve"> (SNF)</w:t>
      </w:r>
      <w:r w:rsidRPr="00695DCB">
        <w:t xml:space="preserve"> </w:t>
      </w:r>
      <w:r w:rsidR="000173D2" w:rsidRPr="00695DCB">
        <w:t xml:space="preserve">y </w:t>
      </w:r>
      <w:r w:rsidRPr="00695DCB">
        <w:t xml:space="preserve">a los </w:t>
      </w:r>
      <w:r w:rsidR="000173D2" w:rsidRPr="00695DCB">
        <w:t>gastos de apoyo a</w:t>
      </w:r>
      <w:r w:rsidRPr="00695DCB">
        <w:t xml:space="preserve"> proyectos </w:t>
      </w:r>
      <w:r w:rsidR="000173D2" w:rsidRPr="00695DCB">
        <w:t>así como</w:t>
      </w:r>
      <w:r w:rsidRPr="00695DCB">
        <w:t xml:space="preserve"> a la recuperación de costes de Telecom, </w:t>
      </w:r>
      <w:r w:rsidR="000173D2" w:rsidRPr="00695DCB">
        <w:t>debido al aplazamiento de Telecom 2020 hasta 2021.</w:t>
      </w:r>
    </w:p>
    <w:p w14:paraId="1F8F314C" w14:textId="3B1DCED4" w:rsidR="00B23702" w:rsidRPr="00695DCB" w:rsidRDefault="00F8392C" w:rsidP="00695DCB">
      <w:pPr>
        <w:spacing w:before="0" w:line="480" w:lineRule="auto"/>
        <w:jc w:val="center"/>
      </w:pPr>
      <w:r w:rsidRPr="00F8392C">
        <w:drawing>
          <wp:inline distT="0" distB="0" distL="0" distR="0" wp14:anchorId="14D7FA29" wp14:editId="3DFFB3B9">
            <wp:extent cx="6120765" cy="3208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317F" w14:textId="479BEF2F" w:rsidR="00A5349B" w:rsidRPr="00695DCB" w:rsidRDefault="00A5349B" w:rsidP="00E21DF2">
      <w:pPr>
        <w:rPr>
          <w:b/>
        </w:rPr>
      </w:pPr>
      <w:r w:rsidRPr="00695DCB">
        <w:t>3.5</w:t>
      </w:r>
      <w:r w:rsidRPr="00695DCB">
        <w:tab/>
        <w:t xml:space="preserve">Se calcula que los demás ingresos se mantendrán en línea con sus niveles presupuestados para 2020. </w:t>
      </w:r>
    </w:p>
    <w:p w14:paraId="5362E4C2" w14:textId="4EF3BC1B" w:rsidR="00B23702" w:rsidRPr="00695DCB" w:rsidRDefault="00B23702" w:rsidP="00E21DF2">
      <w:pPr>
        <w:pStyle w:val="Heading1"/>
      </w:pPr>
      <w:r w:rsidRPr="00695DCB">
        <w:t>4</w:t>
      </w:r>
      <w:r w:rsidRPr="00695DCB">
        <w:tab/>
        <w:t>Gastos</w:t>
      </w:r>
    </w:p>
    <w:p w14:paraId="13EED081" w14:textId="17E50A24" w:rsidR="00B23702" w:rsidRPr="00695DCB" w:rsidRDefault="00B23702" w:rsidP="00A5349B">
      <w:r w:rsidRPr="00695DCB">
        <w:t>4.1</w:t>
      </w:r>
      <w:r w:rsidRPr="00695DCB">
        <w:tab/>
        <w:t xml:space="preserve">En lo que respecta a los gastos, se están aplicando continuamente medidas y esfuerzos para incrementar la eficiencia, con arreglo a lo dispuesto en la Resolución 1396. El objetivo es mantener los gastos dentro de lo presupuestado al final del ejercicio de 2020. </w:t>
      </w:r>
      <w:r w:rsidR="00A5349B" w:rsidRPr="00695DCB">
        <w:t xml:space="preserve">La aplicación de medidas de eficiencia, así como las consecuencias de la crisis de COVID-19 y los consiguientes retrasos en la ejecución del presupuesto, generarán créditos no utilizados que se estiman en unos 5,2 millones </w:t>
      </w:r>
      <w:r w:rsidR="00787326">
        <w:t>de CHF</w:t>
      </w:r>
      <w:r w:rsidR="00A5349B" w:rsidRPr="00695DCB">
        <w:t xml:space="preserve"> para 2020.</w:t>
      </w:r>
    </w:p>
    <w:p w14:paraId="4BC1992A" w14:textId="4C2610BA" w:rsidR="009955F9" w:rsidRPr="00695DCB" w:rsidRDefault="009955F9" w:rsidP="00E21DF2">
      <w:pPr>
        <w:pStyle w:val="Heading1"/>
      </w:pPr>
      <w:r w:rsidRPr="00695DCB">
        <w:lastRenderedPageBreak/>
        <w:t>5</w:t>
      </w:r>
      <w:r w:rsidRPr="00695DCB">
        <w:tab/>
      </w:r>
      <w:r w:rsidR="00A5349B" w:rsidRPr="00695DCB">
        <w:t>Cuenta de Provisión de la UIT</w:t>
      </w:r>
    </w:p>
    <w:p w14:paraId="5D1DB1DA" w14:textId="1F3CA70B" w:rsidR="00B23702" w:rsidRPr="00695DCB" w:rsidRDefault="00A5349B" w:rsidP="00327036">
      <w:r w:rsidRPr="00695DCB">
        <w:t xml:space="preserve">Al 31 de diciembre de 2019, el saldo de la Cuenta de Provisión ascendía a </w:t>
      </w:r>
      <w:r w:rsidR="009955F9" w:rsidRPr="00695DCB">
        <w:t>24,93 millones CHF.</w:t>
      </w:r>
    </w:p>
    <w:p w14:paraId="573CF0FB" w14:textId="77777777" w:rsidR="009955F9" w:rsidRPr="00695DCB" w:rsidRDefault="009955F9" w:rsidP="00E21DF2">
      <w:pPr>
        <w:pStyle w:val="Heading1"/>
      </w:pPr>
      <w:r w:rsidRPr="00695DCB">
        <w:t>6</w:t>
      </w:r>
      <w:r w:rsidRPr="00695DCB">
        <w:tab/>
        <w:t>Medidas de eficiencia</w:t>
      </w:r>
    </w:p>
    <w:p w14:paraId="57F59F87" w14:textId="562814EE" w:rsidR="009955F9" w:rsidRPr="00695DCB" w:rsidRDefault="009955F9" w:rsidP="00327036">
      <w:r w:rsidRPr="00695DCB">
        <w:t>6.1</w:t>
      </w:r>
      <w:r w:rsidRPr="00695DCB">
        <w:tab/>
        <w:t xml:space="preserve">Las medidas que debían aplicarse en los bienios 2014-2015, 2016-2017 y 2018-2019 se presentaron al Consejo en los Documentos C15/45, C16/45, C17/45, C18/45 y C19/45, respectivamente. Dichas medidas propiciaron un ahorro real de 24,4 millones </w:t>
      </w:r>
      <w:r w:rsidR="00A5349B" w:rsidRPr="00695DCB">
        <w:t xml:space="preserve">de </w:t>
      </w:r>
      <w:r w:rsidRPr="00695DCB">
        <w:t>CHF en 2014</w:t>
      </w:r>
      <w:r w:rsidR="00695DCB">
        <w:noBreakHyphen/>
      </w:r>
      <w:r w:rsidRPr="00695DCB">
        <w:t xml:space="preserve">2015 y un ahorro estimado de 17 millones </w:t>
      </w:r>
      <w:r w:rsidR="00A5349B" w:rsidRPr="00695DCB">
        <w:t xml:space="preserve">de </w:t>
      </w:r>
      <w:r w:rsidRPr="00695DCB">
        <w:t xml:space="preserve">CHF en el bienio 2016-2017. En cuanto al </w:t>
      </w:r>
      <w:r w:rsidR="00A5349B" w:rsidRPr="00695DCB">
        <w:t>periodo</w:t>
      </w:r>
      <w:r w:rsidRPr="00695DCB">
        <w:t xml:space="preserve"> 2018</w:t>
      </w:r>
      <w:r w:rsidR="00A5349B" w:rsidRPr="00695DCB">
        <w:t>-2019</w:t>
      </w:r>
      <w:r w:rsidRPr="00695DCB">
        <w:t xml:space="preserve">, los ahorros </w:t>
      </w:r>
      <w:r w:rsidR="00A5349B" w:rsidRPr="00695DCB">
        <w:t>ascienden a 16,3</w:t>
      </w:r>
      <w:r w:rsidRPr="00695DCB">
        <w:t xml:space="preserve"> millones </w:t>
      </w:r>
      <w:r w:rsidR="00A5349B" w:rsidRPr="00695DCB">
        <w:t xml:space="preserve">de </w:t>
      </w:r>
      <w:r w:rsidRPr="00695DCB">
        <w:t>CHF.</w:t>
      </w:r>
    </w:p>
    <w:p w14:paraId="04F5EFCA" w14:textId="10999320" w:rsidR="009955F9" w:rsidRPr="00695DCB" w:rsidRDefault="009955F9" w:rsidP="00695DCB">
      <w:r w:rsidRPr="00695DCB">
        <w:t>6.2</w:t>
      </w:r>
      <w:r w:rsidRPr="00695DCB">
        <w:tab/>
        <w:t xml:space="preserve">En el Cuadro A se presentan los ahorros </w:t>
      </w:r>
      <w:r w:rsidR="00B50A8A" w:rsidRPr="00695DCB">
        <w:t>derivados de</w:t>
      </w:r>
      <w:r w:rsidRPr="00695DCB">
        <w:t xml:space="preserve"> cada una de las 30 medidas </w:t>
      </w:r>
      <w:r w:rsidR="00327036" w:rsidRPr="00695DCB">
        <w:t xml:space="preserve">identificadas en </w:t>
      </w:r>
      <w:r w:rsidRPr="00695DCB">
        <w:t>el Anexo 2 a la Decisión 5 (Rev. Busán, 2014) para el periodo 2014-2019.</w:t>
      </w:r>
    </w:p>
    <w:p w14:paraId="69FCC184" w14:textId="0E844267" w:rsidR="009955F9" w:rsidRPr="00695DCB" w:rsidRDefault="009955F9" w:rsidP="00695DCB">
      <w:r w:rsidRPr="00695DCB">
        <w:t>6.3</w:t>
      </w:r>
      <w:r w:rsidRPr="00695DCB">
        <w:tab/>
        <w:t xml:space="preserve">En el Cuadro B se presentan los ahorros </w:t>
      </w:r>
      <w:r w:rsidR="00327036" w:rsidRPr="00695DCB">
        <w:t>previstos con arreglo a</w:t>
      </w:r>
      <w:r w:rsidRPr="00695DCB">
        <w:t xml:space="preserve"> cada una de las 27 medidas destinadas a mejorar la eficiencia del Anexo 2 a la Decisión 5 (Rev. Dubái, 2018) para el periodo 2020-2021. El ahorro estimado asciende a </w:t>
      </w:r>
      <w:r w:rsidR="00327036" w:rsidRPr="00695DCB">
        <w:t>15,1</w:t>
      </w:r>
      <w:r w:rsidRPr="00695DCB">
        <w:t xml:space="preserve"> millones </w:t>
      </w:r>
      <w:r w:rsidR="00327036" w:rsidRPr="00695DCB">
        <w:t xml:space="preserve">de </w:t>
      </w:r>
      <w:r w:rsidRPr="00695DCB">
        <w:t>CHF para el periodo 2020-2021. Dichas medidas se analizarán con mayor detenimiento durante la ejecución del presupuesto, momento en que podrán proporcionarse cálculos de los ahorros logrados gracias a algunas de ellas.</w:t>
      </w:r>
    </w:p>
    <w:p w14:paraId="2300F3B3" w14:textId="320D6BDB" w:rsidR="00A30936" w:rsidRPr="00695DCB" w:rsidRDefault="00A30936" w:rsidP="00A30936">
      <w:pPr>
        <w:pStyle w:val="Tabletitle"/>
      </w:pPr>
      <w:bookmarkStart w:id="12" w:name="lt_pId052"/>
      <w:r w:rsidRPr="00695DCB">
        <w:lastRenderedPageBreak/>
        <w:t xml:space="preserve">Cuadro </w:t>
      </w:r>
      <w:r w:rsidR="00B50A8A" w:rsidRPr="00695DCB">
        <w:t>A</w:t>
      </w:r>
      <w:r w:rsidRPr="00695DCB">
        <w:t xml:space="preserve"> – </w:t>
      </w:r>
      <w:bookmarkEnd w:id="12"/>
      <w:r w:rsidRPr="00695DCB">
        <w:t xml:space="preserve">Medidas </w:t>
      </w:r>
      <w:r w:rsidR="00B50A8A" w:rsidRPr="00695DCB">
        <w:t>de eficiencia</w:t>
      </w:r>
      <w:r w:rsidRPr="00695DCB">
        <w:t xml:space="preserve"> – 2014-2019</w:t>
      </w:r>
    </w:p>
    <w:p w14:paraId="7691DAEA" w14:textId="1962797F" w:rsidR="00AA3C50" w:rsidRPr="00695DCB" w:rsidRDefault="00F8392C" w:rsidP="003A16E4">
      <w:pPr>
        <w:jc w:val="center"/>
      </w:pPr>
      <w:bookmarkStart w:id="13" w:name="_GoBack"/>
      <w:r w:rsidRPr="00F8392C">
        <w:drawing>
          <wp:inline distT="0" distB="0" distL="0" distR="0" wp14:anchorId="380CF05D" wp14:editId="3B432154">
            <wp:extent cx="6019800" cy="8220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54882863" w14:textId="4FC758FD" w:rsidR="00A30936" w:rsidRPr="00695DCB" w:rsidRDefault="00A30936" w:rsidP="00A30936">
      <w:pPr>
        <w:pStyle w:val="Tabletitle"/>
      </w:pPr>
      <w:r w:rsidRPr="00695DCB">
        <w:lastRenderedPageBreak/>
        <w:t>Cuadro</w:t>
      </w:r>
      <w:r w:rsidR="00695DCB">
        <w:t xml:space="preserve"> B –</w:t>
      </w:r>
      <w:r w:rsidRPr="00695DCB">
        <w:t xml:space="preserve"> </w:t>
      </w:r>
      <w:r w:rsidR="00B50A8A" w:rsidRPr="00695DCB">
        <w:t>Medidas de eficiencia</w:t>
      </w:r>
      <w:r w:rsidRPr="00695DCB">
        <w:t xml:space="preserve"> – 2020-2021</w:t>
      </w:r>
    </w:p>
    <w:p w14:paraId="06822EAB" w14:textId="528C39C4" w:rsidR="00A30936" w:rsidRPr="00695DCB" w:rsidRDefault="00F8392C" w:rsidP="00F8392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center"/>
      </w:pPr>
      <w:r w:rsidRPr="00F8392C">
        <w:drawing>
          <wp:inline distT="0" distB="0" distL="0" distR="0" wp14:anchorId="7BD58EAA" wp14:editId="0E86558A">
            <wp:extent cx="6000750" cy="809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4FB49" w14:textId="77777777" w:rsidR="00AA3C50" w:rsidRPr="00695DCB" w:rsidRDefault="00AA3C50" w:rsidP="00411C49">
      <w:pPr>
        <w:pStyle w:val="Reasons"/>
      </w:pPr>
    </w:p>
    <w:p w14:paraId="3068FCF5" w14:textId="77777777" w:rsidR="00AA3C50" w:rsidRPr="00695DCB" w:rsidRDefault="00AA3C50" w:rsidP="00AA3C50">
      <w:pPr>
        <w:jc w:val="center"/>
      </w:pPr>
      <w:r w:rsidRPr="00695DCB">
        <w:t>______________</w:t>
      </w:r>
    </w:p>
    <w:sectPr w:rsidR="00AA3C50" w:rsidRPr="00695DCB" w:rsidSect="00AA3C50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F6FB" w14:textId="77777777" w:rsidR="00B30903" w:rsidRDefault="00B30903">
      <w:r>
        <w:separator/>
      </w:r>
    </w:p>
  </w:endnote>
  <w:endnote w:type="continuationSeparator" w:id="0">
    <w:p w14:paraId="01C3C3D9" w14:textId="77777777" w:rsidR="00B30903" w:rsidRDefault="00B3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44AF" w14:textId="336544FB" w:rsidR="00D66C6E" w:rsidRPr="00A476EE" w:rsidRDefault="00A476EE" w:rsidP="00A476EE">
    <w:pPr>
      <w:pStyle w:val="Footer"/>
      <w:rPr>
        <w:lang w:val="fr-CH"/>
      </w:rPr>
    </w:pPr>
    <w:r>
      <w:fldChar w:fldCharType="begin"/>
    </w:r>
    <w:r w:rsidRPr="00A476EE">
      <w:rPr>
        <w:lang w:val="fr-CH"/>
      </w:rPr>
      <w:instrText xml:space="preserve"> FILENAME \p  \* MERGEFORMAT </w:instrText>
    </w:r>
    <w:r>
      <w:fldChar w:fldCharType="separate"/>
    </w:r>
    <w:r w:rsidR="00E21DF2">
      <w:rPr>
        <w:lang w:val="fr-CH"/>
      </w:rPr>
      <w:t>P:\ESP\SG\CONSEIL\C20\000\009S.docx</w:t>
    </w:r>
    <w:r>
      <w:fldChar w:fldCharType="end"/>
    </w:r>
    <w:r>
      <w:rPr>
        <w:lang w:val="fr-CH"/>
      </w:rPr>
      <w:t xml:space="preserve"> (467314</w:t>
    </w:r>
    <w:r w:rsidRPr="00A476E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407A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61DF" w14:textId="77777777" w:rsidR="00B30903" w:rsidRDefault="00B30903">
      <w:r>
        <w:t>____________________</w:t>
      </w:r>
    </w:p>
  </w:footnote>
  <w:footnote w:type="continuationSeparator" w:id="0">
    <w:p w14:paraId="6BFDD739" w14:textId="77777777" w:rsidR="00B30903" w:rsidRDefault="00B3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737D" w14:textId="7E8D43DB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56273">
      <w:rPr>
        <w:noProof/>
      </w:rPr>
      <w:t>7</w:t>
    </w:r>
    <w:r>
      <w:rPr>
        <w:noProof/>
      </w:rPr>
      <w:fldChar w:fldCharType="end"/>
    </w:r>
  </w:p>
  <w:p w14:paraId="15CB373D" w14:textId="77777777" w:rsidR="00760F1C" w:rsidRDefault="00760F1C" w:rsidP="00C2727F">
    <w:pPr>
      <w:pStyle w:val="Header"/>
    </w:pPr>
    <w:r>
      <w:t>C</w:t>
    </w:r>
    <w:r w:rsidR="007955DA">
      <w:t>20</w:t>
    </w:r>
    <w:r>
      <w:t>/</w:t>
    </w:r>
    <w:r w:rsidR="00D66C6E">
      <w:t>9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135CB"/>
    <w:multiLevelType w:val="hybridMultilevel"/>
    <w:tmpl w:val="F788A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FB6"/>
    <w:multiLevelType w:val="hybridMultilevel"/>
    <w:tmpl w:val="790646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6729D9"/>
    <w:multiLevelType w:val="hybridMultilevel"/>
    <w:tmpl w:val="4A1EE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44A6D"/>
    <w:multiLevelType w:val="hybridMultilevel"/>
    <w:tmpl w:val="F0AC9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5" w15:restartNumberingAfterBreak="0">
    <w:nsid w:val="67E21209"/>
    <w:multiLevelType w:val="hybridMultilevel"/>
    <w:tmpl w:val="F0AC9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FB149A"/>
    <w:multiLevelType w:val="hybridMultilevel"/>
    <w:tmpl w:val="F788A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03"/>
    <w:rsid w:val="00004106"/>
    <w:rsid w:val="000173D2"/>
    <w:rsid w:val="00093EEB"/>
    <w:rsid w:val="000B0D00"/>
    <w:rsid w:val="000B7C15"/>
    <w:rsid w:val="000D1D0F"/>
    <w:rsid w:val="000F5290"/>
    <w:rsid w:val="0010165C"/>
    <w:rsid w:val="00146BFB"/>
    <w:rsid w:val="001F14A2"/>
    <w:rsid w:val="001F3F81"/>
    <w:rsid w:val="002801AA"/>
    <w:rsid w:val="002A18E9"/>
    <w:rsid w:val="002C4676"/>
    <w:rsid w:val="002C70B0"/>
    <w:rsid w:val="002D7FBD"/>
    <w:rsid w:val="002F3CC4"/>
    <w:rsid w:val="00327036"/>
    <w:rsid w:val="003A16E4"/>
    <w:rsid w:val="0045122F"/>
    <w:rsid w:val="0046514B"/>
    <w:rsid w:val="004A0E9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95DCB"/>
    <w:rsid w:val="006C1B56"/>
    <w:rsid w:val="006D4761"/>
    <w:rsid w:val="00726872"/>
    <w:rsid w:val="00731EA6"/>
    <w:rsid w:val="00760F1C"/>
    <w:rsid w:val="007657F0"/>
    <w:rsid w:val="0077252D"/>
    <w:rsid w:val="00787326"/>
    <w:rsid w:val="007955DA"/>
    <w:rsid w:val="007E5DD3"/>
    <w:rsid w:val="007F350B"/>
    <w:rsid w:val="00820BE4"/>
    <w:rsid w:val="008451E8"/>
    <w:rsid w:val="0087577B"/>
    <w:rsid w:val="008B6CC6"/>
    <w:rsid w:val="00913B9C"/>
    <w:rsid w:val="00956273"/>
    <w:rsid w:val="00956E77"/>
    <w:rsid w:val="009814F5"/>
    <w:rsid w:val="009955F9"/>
    <w:rsid w:val="009F4811"/>
    <w:rsid w:val="00A30936"/>
    <w:rsid w:val="00A40EBE"/>
    <w:rsid w:val="00A476EE"/>
    <w:rsid w:val="00A5349B"/>
    <w:rsid w:val="00A721F8"/>
    <w:rsid w:val="00AA390C"/>
    <w:rsid w:val="00AA3C50"/>
    <w:rsid w:val="00AE55DE"/>
    <w:rsid w:val="00B0200A"/>
    <w:rsid w:val="00B23702"/>
    <w:rsid w:val="00B30903"/>
    <w:rsid w:val="00B50A8A"/>
    <w:rsid w:val="00B574DB"/>
    <w:rsid w:val="00B826C2"/>
    <w:rsid w:val="00B8298E"/>
    <w:rsid w:val="00BD0723"/>
    <w:rsid w:val="00BD2518"/>
    <w:rsid w:val="00BE15AA"/>
    <w:rsid w:val="00BF1D1C"/>
    <w:rsid w:val="00C20C59"/>
    <w:rsid w:val="00C2727F"/>
    <w:rsid w:val="00C55B1F"/>
    <w:rsid w:val="00C87E53"/>
    <w:rsid w:val="00C905A9"/>
    <w:rsid w:val="00CA3E0F"/>
    <w:rsid w:val="00CA65FD"/>
    <w:rsid w:val="00CF1A67"/>
    <w:rsid w:val="00D2750E"/>
    <w:rsid w:val="00D62446"/>
    <w:rsid w:val="00D66C6E"/>
    <w:rsid w:val="00DA4EA2"/>
    <w:rsid w:val="00DB68AB"/>
    <w:rsid w:val="00DC3D3E"/>
    <w:rsid w:val="00DE2C90"/>
    <w:rsid w:val="00DE3B24"/>
    <w:rsid w:val="00E06947"/>
    <w:rsid w:val="00E21DF2"/>
    <w:rsid w:val="00E23B99"/>
    <w:rsid w:val="00E3592D"/>
    <w:rsid w:val="00E74788"/>
    <w:rsid w:val="00E92DE8"/>
    <w:rsid w:val="00EB1212"/>
    <w:rsid w:val="00ED24F2"/>
    <w:rsid w:val="00ED65AB"/>
    <w:rsid w:val="00F12850"/>
    <w:rsid w:val="00F33BF4"/>
    <w:rsid w:val="00F7105E"/>
    <w:rsid w:val="00F75F57"/>
    <w:rsid w:val="00F82FEE"/>
    <w:rsid w:val="00F8392C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5D18CE4"/>
  <w15:docId w15:val="{6C0A4BD6-1CFF-4729-8B52-12D51B3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ListTable4-Accent1">
    <w:name w:val="List Table 4 Accent 1"/>
    <w:basedOn w:val="TableNormal"/>
    <w:uiPriority w:val="49"/>
    <w:rsid w:val="00A30936"/>
    <w:rPr>
      <w:rFonts w:eastAsia="Batang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rsid w:val="00AA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Documents/basic-texts/DEC-005-S.pdf" TargetMode="Externa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S-CONF-ACTF-2014/es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122/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itu.int/council/Basic-Texts/convention-s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convention-s.docx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1A7D-1CCD-440F-A025-D943B19F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47</TotalTime>
  <Pages>7</Pages>
  <Words>1033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6589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13</cp:revision>
  <cp:lastPrinted>2020-05-05T10:01:00Z</cp:lastPrinted>
  <dcterms:created xsi:type="dcterms:W3CDTF">2020-05-05T08:12:00Z</dcterms:created>
  <dcterms:modified xsi:type="dcterms:W3CDTF">2023-04-20T08:10:00Z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