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4BCA" w14:textId="77777777" w:rsidR="00455C00" w:rsidRDefault="00455C00"/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06908451" w14:textId="77777777" w:rsidTr="00464B6C">
        <w:trPr>
          <w:cantSplit/>
        </w:trPr>
        <w:tc>
          <w:tcPr>
            <w:tcW w:w="6911" w:type="dxa"/>
          </w:tcPr>
          <w:p w14:paraId="03283970" w14:textId="77777777" w:rsidR="002A2188" w:rsidRPr="00813E5E" w:rsidRDefault="002A2188" w:rsidP="007B556B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</w:t>
            </w:r>
            <w:r w:rsidR="007B556B">
              <w:rPr>
                <w:b/>
                <w:bCs/>
                <w:position w:val="6"/>
                <w:sz w:val="30"/>
                <w:szCs w:val="30"/>
                <w:lang w:val="fr-CH"/>
              </w:rPr>
              <w:t>20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7B556B">
              <w:rPr>
                <w:b/>
                <w:bCs/>
                <w:position w:val="6"/>
                <w:szCs w:val="24"/>
                <w:lang w:val="fr-CH"/>
              </w:rPr>
              <w:t>Geneva, 9-19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7B556B">
              <w:rPr>
                <w:b/>
                <w:bCs/>
                <w:position w:val="6"/>
                <w:szCs w:val="24"/>
                <w:lang w:val="fr-CH"/>
              </w:rPr>
              <w:t>June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</w:t>
            </w:r>
            <w:r w:rsidR="007B556B">
              <w:rPr>
                <w:b/>
                <w:bCs/>
                <w:position w:val="6"/>
                <w:szCs w:val="24"/>
                <w:lang w:val="fr-CH"/>
              </w:rPr>
              <w:t>20</w:t>
            </w:r>
          </w:p>
        </w:tc>
        <w:tc>
          <w:tcPr>
            <w:tcW w:w="3120" w:type="dxa"/>
          </w:tcPr>
          <w:p w14:paraId="393021E1" w14:textId="0C864320" w:rsidR="002A2188" w:rsidRPr="00813E5E" w:rsidRDefault="00F83490" w:rsidP="00F83490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5C9EB75" wp14:editId="7E5AB041">
                  <wp:extent cx="682402" cy="720000"/>
                  <wp:effectExtent l="0" t="0" r="381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54F9B538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130DE28" w14:textId="77777777" w:rsidR="002A2188" w:rsidRPr="00813E5E" w:rsidRDefault="002A2188" w:rsidP="00374649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AC7905A" w14:textId="77777777" w:rsidR="002A2188" w:rsidRPr="00813E5E" w:rsidRDefault="002A2188" w:rsidP="00374649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2CC755E9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AAA0E2C" w14:textId="77777777" w:rsidR="002A2188" w:rsidRPr="00813E5E" w:rsidRDefault="002A2188" w:rsidP="00374649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8EE65E2" w14:textId="77777777" w:rsidR="002A2188" w:rsidRPr="00813E5E" w:rsidRDefault="002A2188" w:rsidP="00374649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04F9FCE2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76379812" w14:textId="58867310" w:rsidR="002A2188" w:rsidRPr="00E85629" w:rsidRDefault="00D04E39" w:rsidP="007B556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374649">
              <w:rPr>
                <w:b/>
              </w:rPr>
              <w:t xml:space="preserve">ADM </w:t>
            </w:r>
            <w:r w:rsidR="00F83490">
              <w:rPr>
                <w:b/>
              </w:rPr>
              <w:t>1</w:t>
            </w:r>
          </w:p>
        </w:tc>
        <w:tc>
          <w:tcPr>
            <w:tcW w:w="3120" w:type="dxa"/>
          </w:tcPr>
          <w:p w14:paraId="4DD1CEDE" w14:textId="0A83AFE0" w:rsidR="002A2188" w:rsidRPr="00E85629" w:rsidRDefault="002A2188" w:rsidP="007B556B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7B556B">
              <w:rPr>
                <w:b/>
              </w:rPr>
              <w:t>20</w:t>
            </w:r>
            <w:r>
              <w:rPr>
                <w:b/>
              </w:rPr>
              <w:t>/</w:t>
            </w:r>
            <w:r w:rsidR="00DD144B">
              <w:rPr>
                <w:b/>
              </w:rPr>
              <w:t>9</w:t>
            </w:r>
            <w:r>
              <w:rPr>
                <w:b/>
              </w:rPr>
              <w:t>-E</w:t>
            </w:r>
          </w:p>
        </w:tc>
      </w:tr>
      <w:tr w:rsidR="002A2188" w:rsidRPr="00813E5E" w14:paraId="067AC0C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0567229A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60A71FC5" w14:textId="1BB1530D" w:rsidR="002A2188" w:rsidRPr="00E85629" w:rsidRDefault="00755FFB" w:rsidP="007B556B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8363AA">
              <w:rPr>
                <w:b/>
              </w:rPr>
              <w:t>4</w:t>
            </w:r>
            <w:r w:rsidR="00B52E3A">
              <w:rPr>
                <w:b/>
              </w:rPr>
              <w:t xml:space="preserve"> </w:t>
            </w:r>
            <w:r>
              <w:rPr>
                <w:b/>
              </w:rPr>
              <w:t>April</w:t>
            </w:r>
            <w:r w:rsidR="00B52E3A">
              <w:rPr>
                <w:b/>
              </w:rPr>
              <w:t xml:space="preserve"> </w:t>
            </w:r>
            <w:r w:rsidR="002A2188">
              <w:rPr>
                <w:b/>
              </w:rPr>
              <w:t>20</w:t>
            </w:r>
            <w:r w:rsidR="007B556B">
              <w:rPr>
                <w:b/>
              </w:rPr>
              <w:t>20</w:t>
            </w:r>
          </w:p>
        </w:tc>
      </w:tr>
      <w:tr w:rsidR="002A2188" w:rsidRPr="00813E5E" w14:paraId="38E689C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2E416D14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F025E40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40A08865" w14:textId="77777777" w:rsidTr="00464B6C">
        <w:trPr>
          <w:cantSplit/>
        </w:trPr>
        <w:tc>
          <w:tcPr>
            <w:tcW w:w="10031" w:type="dxa"/>
            <w:gridSpan w:val="2"/>
          </w:tcPr>
          <w:p w14:paraId="7F3F760B" w14:textId="77777777" w:rsidR="002A2188" w:rsidRPr="00813E5E" w:rsidRDefault="00D04E39" w:rsidP="00464B6C">
            <w:pPr>
              <w:pStyle w:val="Source"/>
            </w:pPr>
            <w:bookmarkStart w:id="6" w:name="dsource" w:colFirst="0" w:colLast="0"/>
            <w:bookmarkEnd w:id="5"/>
            <w:r w:rsidRPr="00D04E39">
              <w:t>Report by the Secretary-General</w:t>
            </w:r>
          </w:p>
        </w:tc>
      </w:tr>
      <w:tr w:rsidR="002A2188" w:rsidRPr="00813E5E" w14:paraId="55ED09AA" w14:textId="77777777" w:rsidTr="00464B6C">
        <w:trPr>
          <w:cantSplit/>
        </w:trPr>
        <w:tc>
          <w:tcPr>
            <w:tcW w:w="10031" w:type="dxa"/>
            <w:gridSpan w:val="2"/>
          </w:tcPr>
          <w:p w14:paraId="05A4D862" w14:textId="77777777" w:rsidR="002A2188" w:rsidRDefault="00DD144B" w:rsidP="00374649">
            <w:pPr>
              <w:pStyle w:val="Title1"/>
            </w:pPr>
            <w:bookmarkStart w:id="7" w:name="dtitle1" w:colFirst="0" w:colLast="0"/>
            <w:bookmarkEnd w:id="6"/>
            <w:r w:rsidRPr="00DD144B">
              <w:t>ANNUAL REVIEW OF REVENUE AND EXPENSES</w:t>
            </w:r>
          </w:p>
          <w:p w14:paraId="699D6308" w14:textId="761AD243" w:rsidR="00E424D2" w:rsidRPr="00E424D2" w:rsidRDefault="00E424D2" w:rsidP="00E424D2">
            <w:pPr>
              <w:pStyle w:val="Title2"/>
            </w:pPr>
            <w:r>
              <w:t>Efficiency measures</w:t>
            </w:r>
          </w:p>
        </w:tc>
      </w:tr>
      <w:bookmarkEnd w:id="7"/>
    </w:tbl>
    <w:p w14:paraId="01989DD9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39124796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C2E33" w14:textId="77777777" w:rsidR="00374649" w:rsidRPr="003834E5" w:rsidRDefault="00374649" w:rsidP="00374649">
            <w:pPr>
              <w:keepNext/>
              <w:keepLines/>
              <w:spacing w:after="120"/>
              <w:ind w:left="567" w:hanging="567"/>
              <w:outlineLvl w:val="0"/>
              <w:rPr>
                <w:b/>
                <w:szCs w:val="24"/>
              </w:rPr>
            </w:pPr>
            <w:r w:rsidRPr="003834E5">
              <w:rPr>
                <w:b/>
                <w:szCs w:val="24"/>
              </w:rPr>
              <w:t>Summary</w:t>
            </w:r>
          </w:p>
          <w:p w14:paraId="6E58B83E" w14:textId="3478C2E6" w:rsidR="00374649" w:rsidRDefault="00DD144B" w:rsidP="00374649">
            <w:pPr>
              <w:spacing w:after="120"/>
              <w:jc w:val="both"/>
              <w:rPr>
                <w:szCs w:val="24"/>
              </w:rPr>
            </w:pPr>
            <w:r w:rsidRPr="00DD144B">
              <w:rPr>
                <w:szCs w:val="24"/>
              </w:rPr>
              <w:t>This document presents the key elements of the 20</w:t>
            </w:r>
            <w:r>
              <w:rPr>
                <w:szCs w:val="24"/>
              </w:rPr>
              <w:t>20</w:t>
            </w:r>
            <w:r w:rsidRPr="00DD144B">
              <w:rPr>
                <w:szCs w:val="24"/>
              </w:rPr>
              <w:t>-20</w:t>
            </w:r>
            <w:r>
              <w:rPr>
                <w:szCs w:val="24"/>
              </w:rPr>
              <w:t>21</w:t>
            </w:r>
            <w:r w:rsidRPr="00DD144B">
              <w:rPr>
                <w:szCs w:val="24"/>
              </w:rPr>
              <w:t xml:space="preserve"> Budget implementation, pursuant to No. 73 of the ITU Convention, which stipulates that an annual review of revenue and expenses shall be carried out by the Council</w:t>
            </w:r>
            <w:r w:rsidR="00374649">
              <w:rPr>
                <w:szCs w:val="24"/>
              </w:rPr>
              <w:t>.</w:t>
            </w:r>
          </w:p>
          <w:p w14:paraId="39BBF8F8" w14:textId="58ADE8C0" w:rsidR="00E424D2" w:rsidRDefault="00F576EA" w:rsidP="00625F6D">
            <w:pPr>
              <w:keepNext/>
              <w:keepLines/>
              <w:spacing w:after="12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In conformity with paragraphs 1, </w:t>
            </w:r>
            <w:r w:rsidRPr="00D67AF1">
              <w:rPr>
                <w:szCs w:val="24"/>
              </w:rPr>
              <w:t>2</w:t>
            </w:r>
            <w:r>
              <w:rPr>
                <w:szCs w:val="24"/>
              </w:rPr>
              <w:t xml:space="preserve"> and 3</w:t>
            </w:r>
            <w:r w:rsidRPr="00D67AF1">
              <w:rPr>
                <w:szCs w:val="24"/>
              </w:rPr>
              <w:t xml:space="preserve"> of </w:t>
            </w:r>
            <w:r w:rsidRPr="007725AF">
              <w:rPr>
                <w:i/>
                <w:iCs/>
                <w:szCs w:val="24"/>
              </w:rPr>
              <w:t xml:space="preserve">instructs the Secretary-General and </w:t>
            </w:r>
            <w:r w:rsidRPr="00377E63">
              <w:rPr>
                <w:i/>
                <w:iCs/>
                <w:spacing w:val="-2"/>
                <w:szCs w:val="24"/>
              </w:rPr>
              <w:t>the Directors of the Bureaux</w:t>
            </w:r>
            <w:r w:rsidRPr="00377E63">
              <w:rPr>
                <w:spacing w:val="-2"/>
                <w:szCs w:val="24"/>
              </w:rPr>
              <w:t xml:space="preserve"> of Decision 5 (</w:t>
            </w:r>
            <w:r w:rsidR="00E424D2" w:rsidRPr="00377E63">
              <w:rPr>
                <w:spacing w:val="-2"/>
                <w:szCs w:val="24"/>
              </w:rPr>
              <w:t>Rev. Busan, 2014 and Rev. Dubai, 2018)</w:t>
            </w:r>
            <w:r w:rsidRPr="00377E63">
              <w:rPr>
                <w:spacing w:val="-2"/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E424D2" w:rsidRPr="00377E63">
              <w:rPr>
                <w:spacing w:val="-4"/>
                <w:szCs w:val="24"/>
              </w:rPr>
              <w:t>this document provides an update on the implementation of the efficiency measures</w:t>
            </w:r>
            <w:r w:rsidR="00E424D2" w:rsidRPr="00E424D2">
              <w:rPr>
                <w:szCs w:val="24"/>
              </w:rPr>
              <w:t xml:space="preserve"> as outlined in Annex 2 to Decision 5 (Rev. Busan, 2014 and Rev. Dubai, 2018).</w:t>
            </w:r>
          </w:p>
          <w:p w14:paraId="5CA122A6" w14:textId="405937BC" w:rsidR="00374649" w:rsidRPr="003834E5" w:rsidRDefault="00374649" w:rsidP="00625F6D">
            <w:pPr>
              <w:keepNext/>
              <w:keepLines/>
              <w:spacing w:after="120"/>
              <w:jc w:val="both"/>
              <w:outlineLvl w:val="0"/>
              <w:rPr>
                <w:b/>
                <w:szCs w:val="24"/>
              </w:rPr>
            </w:pPr>
            <w:r w:rsidRPr="003834E5">
              <w:rPr>
                <w:b/>
                <w:szCs w:val="24"/>
              </w:rPr>
              <w:t>Action required</w:t>
            </w:r>
          </w:p>
          <w:p w14:paraId="2CBB2B86" w14:textId="19C75484" w:rsidR="00374649" w:rsidRPr="003834E5" w:rsidRDefault="00DD144B" w:rsidP="00AD29D6">
            <w:p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Pr="00415A72">
              <w:rPr>
                <w:szCs w:val="24"/>
              </w:rPr>
              <w:t xml:space="preserve">Council is invited to </w:t>
            </w:r>
            <w:r w:rsidRPr="00243487">
              <w:rPr>
                <w:b/>
                <w:bCs/>
                <w:szCs w:val="24"/>
              </w:rPr>
              <w:t>endorse</w:t>
            </w:r>
            <w:r w:rsidRPr="00415A72">
              <w:rPr>
                <w:szCs w:val="24"/>
              </w:rPr>
              <w:t xml:space="preserve"> this document</w:t>
            </w:r>
            <w:r w:rsidR="005F6D92">
              <w:rPr>
                <w:szCs w:val="24"/>
              </w:rPr>
              <w:t>.</w:t>
            </w:r>
          </w:p>
          <w:p w14:paraId="238178C4" w14:textId="77777777" w:rsidR="00374649" w:rsidRPr="003834E5" w:rsidRDefault="00374649" w:rsidP="00374649">
            <w:pPr>
              <w:keepNext/>
              <w:keepLines/>
              <w:spacing w:after="120"/>
              <w:ind w:left="567" w:hanging="567"/>
              <w:outlineLvl w:val="0"/>
              <w:rPr>
                <w:b/>
                <w:szCs w:val="24"/>
              </w:rPr>
            </w:pPr>
            <w:r w:rsidRPr="003834E5">
              <w:rPr>
                <w:b/>
                <w:szCs w:val="24"/>
              </w:rPr>
              <w:t>References</w:t>
            </w:r>
          </w:p>
          <w:p w14:paraId="00C8AC66" w14:textId="77777777" w:rsidR="00DD144B" w:rsidRPr="00DD144B" w:rsidRDefault="00DD144B" w:rsidP="00DD144B">
            <w:pPr>
              <w:spacing w:after="120"/>
              <w:rPr>
                <w:i/>
                <w:iCs/>
              </w:rPr>
            </w:pPr>
            <w:r w:rsidRPr="00DD144B">
              <w:rPr>
                <w:i/>
                <w:iCs/>
              </w:rPr>
              <w:t>CV/Art. 4 (No. 73)</w:t>
            </w:r>
          </w:p>
          <w:p w14:paraId="7CBB403A" w14:textId="74671D02" w:rsidR="002A2188" w:rsidRDefault="00377E63" w:rsidP="00DD144B">
            <w:pPr>
              <w:spacing w:after="120"/>
              <w:rPr>
                <w:i/>
                <w:iCs/>
              </w:rPr>
            </w:pPr>
            <w:hyperlink r:id="rId9" w:history="1">
              <w:r w:rsidR="00DD144B" w:rsidRPr="00E424D2">
                <w:rPr>
                  <w:rStyle w:val="Hyperlink"/>
                  <w:i/>
                  <w:iCs/>
                </w:rPr>
                <w:t>Council Resolution 1396 - (Biennial budget of the International Telecommunication Union for 2020-2021)</w:t>
              </w:r>
            </w:hyperlink>
          </w:p>
          <w:p w14:paraId="3902BCD0" w14:textId="2374C3D4" w:rsidR="00F576EA" w:rsidRPr="00813E5E" w:rsidRDefault="00377E63" w:rsidP="00DD144B">
            <w:pPr>
              <w:spacing w:after="120"/>
              <w:rPr>
                <w:i/>
                <w:iCs/>
              </w:rPr>
            </w:pPr>
            <w:hyperlink r:id="rId10" w:history="1">
              <w:r w:rsidR="00E424D2" w:rsidRPr="00AB12A7">
                <w:rPr>
                  <w:i/>
                  <w:iCs/>
                  <w:color w:val="0000FF"/>
                  <w:szCs w:val="24"/>
                  <w:u w:val="single"/>
                </w:rPr>
                <w:t>Decision 5 (Rev. Busan, 2014)</w:t>
              </w:r>
            </w:hyperlink>
            <w:r w:rsidR="00E424D2">
              <w:rPr>
                <w:i/>
                <w:iCs/>
                <w:color w:val="0000FF"/>
                <w:szCs w:val="24"/>
                <w:u w:val="single"/>
              </w:rPr>
              <w:t xml:space="preserve"> </w:t>
            </w:r>
            <w:r w:rsidR="00E424D2" w:rsidRPr="003E212F">
              <w:rPr>
                <w:i/>
                <w:iCs/>
                <w:szCs w:val="24"/>
              </w:rPr>
              <w:t xml:space="preserve">and </w:t>
            </w:r>
            <w:hyperlink r:id="rId11" w:history="1">
              <w:r w:rsidR="00E424D2" w:rsidRPr="003E212F">
                <w:rPr>
                  <w:rStyle w:val="Hyperlink"/>
                  <w:i/>
                  <w:iCs/>
                  <w:szCs w:val="24"/>
                </w:rPr>
                <w:t>Decision 5 (Rev. Dubai, 2018)</w:t>
              </w:r>
            </w:hyperlink>
          </w:p>
        </w:tc>
      </w:tr>
    </w:tbl>
    <w:p w14:paraId="0D511F09" w14:textId="77777777" w:rsidR="002A2188" w:rsidRDefault="002A2188" w:rsidP="002A21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dstart"/>
      <w:bookmarkStart w:id="9" w:name="dbreak"/>
      <w:bookmarkEnd w:id="8"/>
      <w:bookmarkEnd w:id="9"/>
      <w:r>
        <w:br w:type="page"/>
      </w:r>
    </w:p>
    <w:p w14:paraId="0D479D70" w14:textId="77777777" w:rsidR="00DD144B" w:rsidRPr="00AE1976" w:rsidRDefault="00DD144B" w:rsidP="00DD144B">
      <w:pPr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720" w:after="120"/>
        <w:ind w:left="709" w:hanging="709"/>
        <w:textAlignment w:val="auto"/>
        <w:rPr>
          <w:b/>
          <w:bCs/>
          <w:szCs w:val="24"/>
          <w:lang w:val="en-AU"/>
        </w:rPr>
      </w:pPr>
      <w:r w:rsidRPr="00AE1976">
        <w:rPr>
          <w:b/>
          <w:bCs/>
          <w:szCs w:val="24"/>
          <w:lang w:val="en-AU"/>
        </w:rPr>
        <w:lastRenderedPageBreak/>
        <w:t>Introduction</w:t>
      </w:r>
    </w:p>
    <w:p w14:paraId="2214010C" w14:textId="3E22CE8A" w:rsidR="00147093" w:rsidRDefault="00DD144B" w:rsidP="001470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jc w:val="both"/>
        <w:textAlignment w:val="auto"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ab/>
      </w:r>
      <w:r w:rsidRPr="00AE1976">
        <w:rPr>
          <w:szCs w:val="24"/>
        </w:rPr>
        <w:t xml:space="preserve">The purpose of this document is to report on the </w:t>
      </w:r>
      <w:r>
        <w:rPr>
          <w:szCs w:val="24"/>
        </w:rPr>
        <w:t xml:space="preserve">status of the </w:t>
      </w:r>
      <w:r w:rsidRPr="00AE1976">
        <w:rPr>
          <w:szCs w:val="24"/>
        </w:rPr>
        <w:t>implementation</w:t>
      </w:r>
      <w:r>
        <w:rPr>
          <w:szCs w:val="24"/>
        </w:rPr>
        <w:t xml:space="preserve"> of the first year of the 2020-2021 </w:t>
      </w:r>
      <w:r w:rsidRPr="00AE1976">
        <w:rPr>
          <w:szCs w:val="24"/>
        </w:rPr>
        <w:t>Budget of the Union</w:t>
      </w:r>
      <w:r>
        <w:rPr>
          <w:szCs w:val="24"/>
        </w:rPr>
        <w:t xml:space="preserve"> </w:t>
      </w:r>
      <w:r w:rsidR="00A61087">
        <w:rPr>
          <w:szCs w:val="24"/>
        </w:rPr>
        <w:t>for</w:t>
      </w:r>
      <w:r w:rsidRPr="00AE1976">
        <w:rPr>
          <w:szCs w:val="24"/>
        </w:rPr>
        <w:t xml:space="preserve"> </w:t>
      </w:r>
      <w:r>
        <w:rPr>
          <w:szCs w:val="24"/>
        </w:rPr>
        <w:t>revenue and expenses</w:t>
      </w:r>
      <w:r w:rsidRPr="00AE1976">
        <w:rPr>
          <w:szCs w:val="24"/>
        </w:rPr>
        <w:t>.</w:t>
      </w:r>
    </w:p>
    <w:p w14:paraId="164A8408" w14:textId="2CD9155D" w:rsidR="00147093" w:rsidRPr="00147093" w:rsidRDefault="00DD144B" w:rsidP="00147093">
      <w:pPr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09" w:hanging="709"/>
        <w:jc w:val="both"/>
        <w:textAlignment w:val="auto"/>
        <w:rPr>
          <w:b/>
          <w:bCs/>
          <w:szCs w:val="24"/>
        </w:rPr>
      </w:pPr>
      <w:r w:rsidRPr="00147093">
        <w:rPr>
          <w:b/>
          <w:bCs/>
          <w:szCs w:val="24"/>
        </w:rPr>
        <w:t>Budget of the Union for 2020-2021 (Resolution 1396)</w:t>
      </w:r>
    </w:p>
    <w:p w14:paraId="769D7119" w14:textId="18944F64" w:rsidR="00147093" w:rsidRPr="00147093" w:rsidRDefault="00DD144B" w:rsidP="00147093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ind w:left="0" w:firstLine="0"/>
        <w:jc w:val="both"/>
        <w:textAlignment w:val="auto"/>
        <w:rPr>
          <w:szCs w:val="24"/>
        </w:rPr>
      </w:pPr>
      <w:r>
        <w:rPr>
          <w:szCs w:val="24"/>
        </w:rPr>
        <w:t>The 2020</w:t>
      </w:r>
      <w:r w:rsidRPr="00825683">
        <w:rPr>
          <w:szCs w:val="24"/>
        </w:rPr>
        <w:t>-20</w:t>
      </w:r>
      <w:r>
        <w:rPr>
          <w:szCs w:val="24"/>
        </w:rPr>
        <w:t>21</w:t>
      </w:r>
      <w:r w:rsidRPr="00825683">
        <w:rPr>
          <w:szCs w:val="24"/>
        </w:rPr>
        <w:t xml:space="preserve"> Budget of the Union was adopted by </w:t>
      </w:r>
      <w:r>
        <w:rPr>
          <w:szCs w:val="24"/>
        </w:rPr>
        <w:t xml:space="preserve">the </w:t>
      </w:r>
      <w:r w:rsidRPr="00825683">
        <w:rPr>
          <w:szCs w:val="24"/>
        </w:rPr>
        <w:t>Council at its 201</w:t>
      </w:r>
      <w:r>
        <w:rPr>
          <w:szCs w:val="24"/>
        </w:rPr>
        <w:t>9 session by Resolution 1396</w:t>
      </w:r>
      <w:r w:rsidRPr="00825683">
        <w:rPr>
          <w:szCs w:val="24"/>
        </w:rPr>
        <w:t>.</w:t>
      </w:r>
      <w:r w:rsidR="00E424D2">
        <w:rPr>
          <w:szCs w:val="24"/>
        </w:rPr>
        <w:t xml:space="preserve"> </w:t>
      </w:r>
      <w:r w:rsidRPr="00825683">
        <w:rPr>
          <w:szCs w:val="24"/>
        </w:rPr>
        <w:t>The biennial bu</w:t>
      </w:r>
      <w:r>
        <w:rPr>
          <w:szCs w:val="24"/>
        </w:rPr>
        <w:t>dget amounts to CHF 3</w:t>
      </w:r>
      <w:r w:rsidR="00A61087">
        <w:rPr>
          <w:szCs w:val="24"/>
        </w:rPr>
        <w:t>32</w:t>
      </w:r>
      <w:r>
        <w:rPr>
          <w:szCs w:val="24"/>
        </w:rPr>
        <w:t>,</w:t>
      </w:r>
      <w:r w:rsidR="00A61087">
        <w:rPr>
          <w:szCs w:val="24"/>
        </w:rPr>
        <w:t>013</w:t>
      </w:r>
      <w:r w:rsidRPr="00825683">
        <w:rPr>
          <w:szCs w:val="24"/>
        </w:rPr>
        <w:t xml:space="preserve">,000, </w:t>
      </w:r>
      <w:r>
        <w:rPr>
          <w:szCs w:val="24"/>
        </w:rPr>
        <w:t>and is divided as follows: CHF 1</w:t>
      </w:r>
      <w:r w:rsidR="00A61087">
        <w:rPr>
          <w:szCs w:val="24"/>
        </w:rPr>
        <w:t>67</w:t>
      </w:r>
      <w:r>
        <w:rPr>
          <w:szCs w:val="24"/>
        </w:rPr>
        <w:t>,</w:t>
      </w:r>
      <w:r w:rsidR="00A61087">
        <w:rPr>
          <w:szCs w:val="24"/>
        </w:rPr>
        <w:t>478</w:t>
      </w:r>
      <w:r>
        <w:rPr>
          <w:szCs w:val="24"/>
        </w:rPr>
        <w:t>,000 for 20</w:t>
      </w:r>
      <w:r w:rsidR="00A61087">
        <w:rPr>
          <w:szCs w:val="24"/>
        </w:rPr>
        <w:t>20</w:t>
      </w:r>
      <w:r>
        <w:rPr>
          <w:szCs w:val="24"/>
        </w:rPr>
        <w:t xml:space="preserve"> and CHF 164,</w:t>
      </w:r>
      <w:r w:rsidR="00A61087">
        <w:rPr>
          <w:szCs w:val="24"/>
        </w:rPr>
        <w:t>535</w:t>
      </w:r>
      <w:r>
        <w:rPr>
          <w:szCs w:val="24"/>
        </w:rPr>
        <w:t>,000 for 20</w:t>
      </w:r>
      <w:r w:rsidR="00A61087">
        <w:rPr>
          <w:szCs w:val="24"/>
        </w:rPr>
        <w:t>21</w:t>
      </w:r>
      <w:r w:rsidRPr="00825683">
        <w:rPr>
          <w:szCs w:val="24"/>
        </w:rPr>
        <w:t xml:space="preserve">. It is based on an annual contributory unit </w:t>
      </w:r>
      <w:r>
        <w:rPr>
          <w:szCs w:val="24"/>
        </w:rPr>
        <w:t xml:space="preserve">amount </w:t>
      </w:r>
      <w:r w:rsidRPr="00825683">
        <w:rPr>
          <w:szCs w:val="24"/>
        </w:rPr>
        <w:t>of CHF 318,000</w:t>
      </w:r>
      <w:r>
        <w:rPr>
          <w:szCs w:val="24"/>
        </w:rPr>
        <w:t xml:space="preserve"> for</w:t>
      </w:r>
      <w:r w:rsidRPr="00825683">
        <w:rPr>
          <w:szCs w:val="24"/>
        </w:rPr>
        <w:t xml:space="preserve"> Member State</w:t>
      </w:r>
      <w:r>
        <w:rPr>
          <w:szCs w:val="24"/>
        </w:rPr>
        <w:t>s</w:t>
      </w:r>
      <w:r w:rsidRPr="00825683">
        <w:rPr>
          <w:szCs w:val="24"/>
        </w:rPr>
        <w:t xml:space="preserve">, </w:t>
      </w:r>
      <w:r>
        <w:rPr>
          <w:szCs w:val="24"/>
        </w:rPr>
        <w:t>i.e.</w:t>
      </w:r>
      <w:r w:rsidRPr="00825683">
        <w:rPr>
          <w:szCs w:val="24"/>
        </w:rPr>
        <w:t xml:space="preserve"> zero nominal growth </w:t>
      </w:r>
      <w:r>
        <w:rPr>
          <w:szCs w:val="24"/>
        </w:rPr>
        <w:t xml:space="preserve">when </w:t>
      </w:r>
      <w:r w:rsidRPr="00825683">
        <w:rPr>
          <w:szCs w:val="24"/>
        </w:rPr>
        <w:t xml:space="preserve">compared </w:t>
      </w:r>
      <w:r>
        <w:rPr>
          <w:szCs w:val="24"/>
        </w:rPr>
        <w:t>to</w:t>
      </w:r>
      <w:r w:rsidRPr="00825683">
        <w:rPr>
          <w:szCs w:val="24"/>
        </w:rPr>
        <w:t xml:space="preserve"> the previous biennia. The Budget of the Union is being implemented in conformity with Article 10 of the Financial Regulations.</w:t>
      </w:r>
    </w:p>
    <w:p w14:paraId="639A7F0C" w14:textId="2E9631E6" w:rsidR="00DD144B" w:rsidRDefault="00A61087" w:rsidP="00147093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ind w:left="0" w:firstLine="0"/>
        <w:jc w:val="both"/>
        <w:textAlignment w:val="auto"/>
        <w:rPr>
          <w:szCs w:val="24"/>
          <w:lang w:val="en-AU"/>
        </w:rPr>
      </w:pPr>
      <w:r>
        <w:rPr>
          <w:szCs w:val="24"/>
        </w:rPr>
        <w:t xml:space="preserve">The following </w:t>
      </w:r>
      <w:r w:rsidR="00DD144B" w:rsidRPr="00DD144B">
        <w:rPr>
          <w:szCs w:val="24"/>
        </w:rPr>
        <w:t>Table</w:t>
      </w:r>
      <w:r>
        <w:rPr>
          <w:szCs w:val="24"/>
        </w:rPr>
        <w:t>s</w:t>
      </w:r>
      <w:r w:rsidR="00DD144B" w:rsidRPr="00DD144B">
        <w:rPr>
          <w:szCs w:val="24"/>
        </w:rPr>
        <w:t xml:space="preserve"> 1 </w:t>
      </w:r>
      <w:r>
        <w:rPr>
          <w:szCs w:val="24"/>
        </w:rPr>
        <w:t xml:space="preserve">and 2 </w:t>
      </w:r>
      <w:r w:rsidR="00DD144B" w:rsidRPr="00DD144B">
        <w:rPr>
          <w:szCs w:val="24"/>
          <w:lang w:val="en-AU"/>
        </w:rPr>
        <w:t xml:space="preserve">provide the status of the 2020 Budget showing expenses </w:t>
      </w:r>
      <w:r w:rsidR="00E424D2">
        <w:rPr>
          <w:szCs w:val="24"/>
          <w:lang w:val="en-AU"/>
        </w:rPr>
        <w:t xml:space="preserve">and revenue </w:t>
      </w:r>
      <w:r>
        <w:rPr>
          <w:szCs w:val="24"/>
          <w:lang w:val="en-AU"/>
        </w:rPr>
        <w:t>as of</w:t>
      </w:r>
      <w:r w:rsidR="006A1218">
        <w:rPr>
          <w:szCs w:val="24"/>
          <w:lang w:val="en-AU"/>
        </w:rPr>
        <w:t xml:space="preserve"> </w:t>
      </w:r>
      <w:r w:rsidR="00DD144B" w:rsidRPr="00DD144B">
        <w:rPr>
          <w:szCs w:val="24"/>
          <w:lang w:val="en-AU"/>
        </w:rPr>
        <w:t>20 April 2020 and provide a forecast of revenue and expenses up to 31 December 2020. The preliminary forecast for 2020 shows a CHF 0.4 million</w:t>
      </w:r>
      <w:r w:rsidR="00DD144B">
        <w:rPr>
          <w:szCs w:val="24"/>
          <w:lang w:val="en-AU"/>
        </w:rPr>
        <w:t xml:space="preserve"> </w:t>
      </w:r>
      <w:r>
        <w:rPr>
          <w:szCs w:val="24"/>
          <w:lang w:val="en-AU"/>
        </w:rPr>
        <w:t>anticipated surplus</w:t>
      </w:r>
      <w:r w:rsidR="00DD144B">
        <w:rPr>
          <w:szCs w:val="24"/>
          <w:lang w:val="en-AU"/>
        </w:rPr>
        <w:t>.</w:t>
      </w:r>
    </w:p>
    <w:p w14:paraId="67F6A323" w14:textId="77777777" w:rsidR="00147093" w:rsidRPr="00DD144B" w:rsidRDefault="00147093" w:rsidP="0014709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0" w:after="120"/>
        <w:jc w:val="both"/>
        <w:textAlignment w:val="auto"/>
        <w:rPr>
          <w:szCs w:val="24"/>
          <w:lang w:val="en-AU"/>
        </w:rPr>
      </w:pPr>
    </w:p>
    <w:p w14:paraId="48CDA46A" w14:textId="566DF5FF" w:rsidR="00147093" w:rsidRDefault="00344484" w:rsidP="00374649">
      <w:pPr>
        <w:spacing w:before="240"/>
        <w:jc w:val="center"/>
        <w:rPr>
          <w:b/>
          <w:bCs/>
          <w:color w:val="0F243E" w:themeColor="text2" w:themeShade="80"/>
          <w:szCs w:val="24"/>
          <w:lang w:val="en-AU"/>
        </w:rPr>
      </w:pPr>
      <w:r w:rsidRPr="00344484">
        <w:rPr>
          <w:b/>
          <w:bCs/>
          <w:noProof/>
          <w:color w:val="0F243E" w:themeColor="text2" w:themeShade="80"/>
          <w:szCs w:val="24"/>
          <w:lang w:val="en-AU"/>
        </w:rPr>
        <w:drawing>
          <wp:inline distT="0" distB="0" distL="0" distR="0" wp14:anchorId="53831C90" wp14:editId="71BC07F6">
            <wp:extent cx="6336665" cy="312486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2860" cy="312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00BA" w14:textId="6913DE1D" w:rsidR="00147093" w:rsidRDefault="00147093" w:rsidP="003A64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F243E" w:themeColor="text2" w:themeShade="80"/>
          <w:szCs w:val="24"/>
          <w:lang w:val="en-AU"/>
        </w:rPr>
      </w:pPr>
      <w:r>
        <w:rPr>
          <w:b/>
          <w:bCs/>
          <w:color w:val="0F243E" w:themeColor="text2" w:themeShade="80"/>
          <w:szCs w:val="24"/>
          <w:lang w:val="en-AU"/>
        </w:rPr>
        <w:br w:type="page"/>
      </w:r>
    </w:p>
    <w:p w14:paraId="7DD23F9B" w14:textId="770B9E1C" w:rsidR="00147093" w:rsidRDefault="00344484" w:rsidP="00374649">
      <w:pPr>
        <w:spacing w:before="240"/>
        <w:jc w:val="center"/>
        <w:rPr>
          <w:b/>
          <w:bCs/>
          <w:color w:val="0F243E" w:themeColor="text2" w:themeShade="80"/>
          <w:szCs w:val="24"/>
          <w:lang w:val="en-AU"/>
        </w:rPr>
      </w:pPr>
      <w:r w:rsidRPr="00344484">
        <w:rPr>
          <w:b/>
          <w:bCs/>
          <w:noProof/>
          <w:color w:val="0F243E" w:themeColor="text2" w:themeShade="80"/>
          <w:szCs w:val="24"/>
          <w:lang w:val="en-AU"/>
        </w:rPr>
        <w:lastRenderedPageBreak/>
        <w:drawing>
          <wp:inline distT="0" distB="0" distL="0" distR="0" wp14:anchorId="13BD92C2" wp14:editId="37608B19">
            <wp:extent cx="5662693" cy="359399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0553" cy="360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6C645" w14:textId="77777777" w:rsidR="00F16C1B" w:rsidRDefault="00F16C1B" w:rsidP="003A6404">
      <w:pPr>
        <w:pStyle w:val="Header"/>
        <w:snapToGrid w:val="0"/>
        <w:spacing w:before="120" w:after="120"/>
        <w:jc w:val="left"/>
        <w:rPr>
          <w:sz w:val="24"/>
          <w:szCs w:val="24"/>
        </w:rPr>
      </w:pPr>
      <w:bookmarkStart w:id="10" w:name="_Hlk38622057"/>
      <w:r w:rsidRPr="00377E63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ab/>
      </w:r>
      <w:r w:rsidRPr="00275FED">
        <w:rPr>
          <w:b/>
          <w:bCs/>
          <w:sz w:val="24"/>
          <w:szCs w:val="24"/>
        </w:rPr>
        <w:t>Revenue</w:t>
      </w:r>
    </w:p>
    <w:p w14:paraId="59F14C89" w14:textId="26C1C3A7" w:rsidR="00F16C1B" w:rsidRDefault="00F16C1B" w:rsidP="00377E63">
      <w:pPr>
        <w:pStyle w:val="Header"/>
        <w:snapToGrid w:val="0"/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The revenue of the Union consists of assessed contributions, cost recovery, interest/other revenue and savings from budget implementation</w:t>
      </w:r>
      <w:r w:rsidRPr="00E26CA4">
        <w:rPr>
          <w:sz w:val="24"/>
          <w:szCs w:val="24"/>
        </w:rPr>
        <w:t>. Higher revenue from assessed contributions will not suffice to compensate for the anticipated shortfall foreseen from cost recovery revenue.</w:t>
      </w:r>
      <w:r w:rsidR="00E424D2" w:rsidRPr="00E26CA4">
        <w:rPr>
          <w:sz w:val="24"/>
          <w:szCs w:val="24"/>
        </w:rPr>
        <w:t xml:space="preserve"> The predicted shortfall in revenue for 2020 is estimated at CHF -4.8 million.</w:t>
      </w:r>
    </w:p>
    <w:bookmarkEnd w:id="10"/>
    <w:p w14:paraId="19120D32" w14:textId="34930C8E" w:rsidR="00F16C1B" w:rsidRDefault="00F16C1B" w:rsidP="00F16C1B">
      <w:pPr>
        <w:pStyle w:val="Header"/>
        <w:snapToGrid w:val="0"/>
        <w:spacing w:before="120" w:after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Revenue from assessed contributions represents some 75</w:t>
      </w:r>
      <w:r w:rsidR="007D4BEA">
        <w:rPr>
          <w:sz w:val="24"/>
          <w:szCs w:val="24"/>
        </w:rPr>
        <w:t> per cent</w:t>
      </w:r>
      <w:r>
        <w:rPr>
          <w:sz w:val="24"/>
          <w:szCs w:val="24"/>
        </w:rPr>
        <w:t xml:space="preserve"> of the total planned revenue for 2020. It includes contributions from Member States, Sector Members, Associates and Academia. Table 3 below shows the breakdown of assessed contributions.</w:t>
      </w:r>
    </w:p>
    <w:p w14:paraId="7764C623" w14:textId="62422238" w:rsidR="002A2188" w:rsidRDefault="003A6404" w:rsidP="003A6404">
      <w:pPr>
        <w:spacing w:before="240"/>
        <w:jc w:val="center"/>
        <w:rPr>
          <w:rFonts w:asciiTheme="minorHAnsi" w:hAnsiTheme="minorHAnsi"/>
          <w:sz w:val="20"/>
        </w:rPr>
      </w:pPr>
      <w:r w:rsidRPr="003A6404">
        <w:rPr>
          <w:rFonts w:asciiTheme="minorHAnsi" w:hAnsiTheme="minorHAnsi"/>
          <w:noProof/>
          <w:sz w:val="20"/>
        </w:rPr>
        <w:drawing>
          <wp:inline distT="0" distB="0" distL="0" distR="0" wp14:anchorId="56D7BFF9" wp14:editId="4D94E06E">
            <wp:extent cx="5565914" cy="315721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6599" cy="318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83698" w14:textId="46D715BF" w:rsidR="00AB3841" w:rsidRDefault="00AB3841" w:rsidP="00AB3841">
      <w:pPr>
        <w:pStyle w:val="Header"/>
        <w:keepNext/>
        <w:keepLines/>
        <w:snapToGri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</w:t>
      </w:r>
      <w:r>
        <w:rPr>
          <w:sz w:val="24"/>
          <w:szCs w:val="24"/>
        </w:rPr>
        <w:tab/>
        <w:t>The amount of</w:t>
      </w:r>
      <w:r w:rsidRPr="00AF0B7E">
        <w:rPr>
          <w:sz w:val="24"/>
          <w:szCs w:val="24"/>
        </w:rPr>
        <w:t xml:space="preserve"> the a</w:t>
      </w:r>
      <w:r>
        <w:rPr>
          <w:sz w:val="24"/>
          <w:szCs w:val="24"/>
        </w:rPr>
        <w:t>nnual contributory unit</w:t>
      </w:r>
      <w:r w:rsidRPr="00FB61F8">
        <w:rPr>
          <w:sz w:val="24"/>
          <w:szCs w:val="24"/>
        </w:rPr>
        <w:t xml:space="preserve"> </w:t>
      </w:r>
      <w:r w:rsidRPr="00AF0B7E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set </w:t>
      </w:r>
      <w:r w:rsidRPr="00AF0B7E">
        <w:rPr>
          <w:sz w:val="24"/>
          <w:szCs w:val="24"/>
        </w:rPr>
        <w:t>at CHF 318</w:t>
      </w:r>
      <w:r>
        <w:rPr>
          <w:sz w:val="24"/>
          <w:szCs w:val="24"/>
        </w:rPr>
        <w:t>,000 for 2020-</w:t>
      </w:r>
      <w:r w:rsidRPr="00AF0B7E">
        <w:rPr>
          <w:sz w:val="24"/>
          <w:szCs w:val="24"/>
        </w:rPr>
        <w:t>20</w:t>
      </w:r>
      <w:r>
        <w:rPr>
          <w:sz w:val="24"/>
          <w:szCs w:val="24"/>
        </w:rPr>
        <w:t xml:space="preserve">21. </w:t>
      </w:r>
      <w:r w:rsidR="00E72030">
        <w:rPr>
          <w:sz w:val="24"/>
          <w:szCs w:val="24"/>
        </w:rPr>
        <w:t>As at 20</w:t>
      </w:r>
      <w:r w:rsidR="007D4BEA">
        <w:rPr>
          <w:sz w:val="24"/>
          <w:szCs w:val="24"/>
        </w:rPr>
        <w:t> </w:t>
      </w:r>
      <w:r w:rsidR="00E72030">
        <w:rPr>
          <w:sz w:val="24"/>
          <w:szCs w:val="24"/>
        </w:rPr>
        <w:t>April</w:t>
      </w:r>
      <w:r w:rsidR="007D4BEA">
        <w:rPr>
          <w:sz w:val="24"/>
          <w:szCs w:val="24"/>
        </w:rPr>
        <w:t> </w:t>
      </w:r>
      <w:r w:rsidR="00E72030">
        <w:rPr>
          <w:sz w:val="24"/>
          <w:szCs w:val="24"/>
        </w:rPr>
        <w:t xml:space="preserve">2020, the </w:t>
      </w:r>
      <w:r w:rsidR="00E72030" w:rsidRPr="007D5F22">
        <w:rPr>
          <w:sz w:val="24"/>
          <w:szCs w:val="24"/>
        </w:rPr>
        <w:t xml:space="preserve">total </w:t>
      </w:r>
      <w:r w:rsidR="00E72030">
        <w:rPr>
          <w:sz w:val="24"/>
          <w:szCs w:val="24"/>
        </w:rPr>
        <w:t xml:space="preserve">invoiced revenue </w:t>
      </w:r>
      <w:r w:rsidR="00E72030" w:rsidRPr="007D5F22">
        <w:rPr>
          <w:sz w:val="24"/>
          <w:szCs w:val="24"/>
        </w:rPr>
        <w:t>from Member</w:t>
      </w:r>
      <w:r w:rsidR="00E72030">
        <w:rPr>
          <w:sz w:val="24"/>
          <w:szCs w:val="24"/>
        </w:rPr>
        <w:t xml:space="preserve"> States</w:t>
      </w:r>
      <w:r w:rsidR="00E72030" w:rsidRPr="007D5F22">
        <w:rPr>
          <w:sz w:val="24"/>
          <w:szCs w:val="24"/>
        </w:rPr>
        <w:t xml:space="preserve"> is </w:t>
      </w:r>
      <w:r w:rsidR="00E72030">
        <w:rPr>
          <w:sz w:val="24"/>
          <w:szCs w:val="24"/>
        </w:rPr>
        <w:t>higher than</w:t>
      </w:r>
      <w:r w:rsidR="00E72030" w:rsidRPr="007D5F22">
        <w:rPr>
          <w:sz w:val="24"/>
          <w:szCs w:val="24"/>
        </w:rPr>
        <w:t xml:space="preserve"> </w:t>
      </w:r>
      <w:r w:rsidR="00E72030" w:rsidRPr="0050145A">
        <w:rPr>
          <w:sz w:val="24"/>
          <w:szCs w:val="24"/>
        </w:rPr>
        <w:t>the budget</w:t>
      </w:r>
      <w:r w:rsidR="00E72030">
        <w:rPr>
          <w:sz w:val="24"/>
          <w:szCs w:val="24"/>
        </w:rPr>
        <w:t>ed</w:t>
      </w:r>
      <w:r w:rsidR="00E72030" w:rsidRPr="0050145A">
        <w:rPr>
          <w:sz w:val="24"/>
          <w:szCs w:val="24"/>
        </w:rPr>
        <w:t xml:space="preserve"> </w:t>
      </w:r>
      <w:r w:rsidR="00E72030">
        <w:rPr>
          <w:sz w:val="24"/>
          <w:szCs w:val="24"/>
        </w:rPr>
        <w:t xml:space="preserve">revenue </w:t>
      </w:r>
      <w:r w:rsidR="00E72030" w:rsidRPr="0050145A">
        <w:rPr>
          <w:sz w:val="24"/>
          <w:szCs w:val="24"/>
        </w:rPr>
        <w:t xml:space="preserve">by </w:t>
      </w:r>
      <w:r w:rsidR="00E72030">
        <w:rPr>
          <w:sz w:val="24"/>
          <w:szCs w:val="24"/>
        </w:rPr>
        <w:t>K</w:t>
      </w:r>
      <w:r w:rsidR="00E72030" w:rsidRPr="00C32DA2">
        <w:rPr>
          <w:sz w:val="24"/>
          <w:szCs w:val="24"/>
        </w:rPr>
        <w:t>CHF</w:t>
      </w:r>
      <w:r w:rsidR="00377E63">
        <w:rPr>
          <w:sz w:val="24"/>
          <w:szCs w:val="24"/>
        </w:rPr>
        <w:t> </w:t>
      </w:r>
      <w:r w:rsidR="00E72030">
        <w:rPr>
          <w:sz w:val="24"/>
          <w:szCs w:val="24"/>
        </w:rPr>
        <w:t>318.</w:t>
      </w:r>
    </w:p>
    <w:p w14:paraId="15534E92" w14:textId="7733A39C" w:rsidR="00AB3841" w:rsidRDefault="00AB3841" w:rsidP="00AB3841">
      <w:pPr>
        <w:pStyle w:val="Header"/>
        <w:snapToGri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7D5F22">
        <w:rPr>
          <w:sz w:val="24"/>
          <w:szCs w:val="24"/>
        </w:rPr>
        <w:tab/>
      </w:r>
      <w:r>
        <w:rPr>
          <w:sz w:val="24"/>
          <w:szCs w:val="24"/>
        </w:rPr>
        <w:t>For 20</w:t>
      </w:r>
      <w:r w:rsidR="00E72030">
        <w:rPr>
          <w:sz w:val="24"/>
          <w:szCs w:val="24"/>
        </w:rPr>
        <w:t>20</w:t>
      </w:r>
      <w:r>
        <w:rPr>
          <w:sz w:val="24"/>
          <w:szCs w:val="24"/>
        </w:rPr>
        <w:t>, t</w:t>
      </w:r>
      <w:r w:rsidRPr="007D5F22">
        <w:rPr>
          <w:sz w:val="24"/>
          <w:szCs w:val="24"/>
        </w:rPr>
        <w:t xml:space="preserve">he amount of the annual contributory unit </w:t>
      </w:r>
      <w:r>
        <w:rPr>
          <w:sz w:val="24"/>
          <w:szCs w:val="24"/>
        </w:rPr>
        <w:t>for</w:t>
      </w:r>
      <w:r w:rsidRPr="007D5F22">
        <w:rPr>
          <w:sz w:val="24"/>
          <w:szCs w:val="24"/>
        </w:rPr>
        <w:t xml:space="preserve"> Sector Members is set at CHF 63,</w:t>
      </w:r>
      <w:r w:rsidRPr="009E7CBE">
        <w:rPr>
          <w:sz w:val="24"/>
          <w:szCs w:val="24"/>
        </w:rPr>
        <w:t>600</w:t>
      </w:r>
      <w:r>
        <w:rPr>
          <w:sz w:val="24"/>
          <w:szCs w:val="24"/>
        </w:rPr>
        <w:t xml:space="preserve"> and for Associates at CHF 10,600</w:t>
      </w:r>
      <w:r w:rsidRPr="00170CAE">
        <w:rPr>
          <w:sz w:val="24"/>
          <w:szCs w:val="24"/>
        </w:rPr>
        <w:t xml:space="preserve">. At </w:t>
      </w:r>
      <w:r w:rsidR="00E72030">
        <w:rPr>
          <w:sz w:val="24"/>
          <w:szCs w:val="24"/>
        </w:rPr>
        <w:t>20 April 2020</w:t>
      </w:r>
      <w:r w:rsidRPr="009E7CBE">
        <w:rPr>
          <w:sz w:val="24"/>
          <w:szCs w:val="24"/>
        </w:rPr>
        <w:t>,</w:t>
      </w:r>
      <w:r>
        <w:rPr>
          <w:sz w:val="24"/>
          <w:szCs w:val="24"/>
        </w:rPr>
        <w:t xml:space="preserve"> the </w:t>
      </w:r>
      <w:r w:rsidRPr="007D5F22">
        <w:rPr>
          <w:sz w:val="24"/>
          <w:szCs w:val="24"/>
        </w:rPr>
        <w:t xml:space="preserve">total </w:t>
      </w:r>
      <w:r>
        <w:rPr>
          <w:sz w:val="24"/>
          <w:szCs w:val="24"/>
        </w:rPr>
        <w:t xml:space="preserve">invoiced revenue </w:t>
      </w:r>
      <w:r w:rsidRPr="007D5F22">
        <w:rPr>
          <w:sz w:val="24"/>
          <w:szCs w:val="24"/>
        </w:rPr>
        <w:t xml:space="preserve">from Sector Members is </w:t>
      </w:r>
      <w:r w:rsidR="00E72030">
        <w:rPr>
          <w:sz w:val="24"/>
          <w:szCs w:val="24"/>
        </w:rPr>
        <w:t>above</w:t>
      </w:r>
      <w:r w:rsidRPr="007D5F22">
        <w:rPr>
          <w:sz w:val="24"/>
          <w:szCs w:val="24"/>
        </w:rPr>
        <w:t xml:space="preserve"> </w:t>
      </w:r>
      <w:r w:rsidRPr="0050145A">
        <w:rPr>
          <w:sz w:val="24"/>
          <w:szCs w:val="24"/>
        </w:rPr>
        <w:t>the budget</w:t>
      </w:r>
      <w:r>
        <w:rPr>
          <w:sz w:val="24"/>
          <w:szCs w:val="24"/>
        </w:rPr>
        <w:t>ed</w:t>
      </w:r>
      <w:r w:rsidRPr="005014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revenue </w:t>
      </w:r>
      <w:r w:rsidRPr="0050145A">
        <w:rPr>
          <w:sz w:val="24"/>
          <w:szCs w:val="24"/>
        </w:rPr>
        <w:t xml:space="preserve">by </w:t>
      </w:r>
      <w:r w:rsidR="00E72030">
        <w:rPr>
          <w:sz w:val="24"/>
          <w:szCs w:val="24"/>
        </w:rPr>
        <w:t>KCHF 289</w:t>
      </w:r>
      <w:r>
        <w:rPr>
          <w:sz w:val="24"/>
          <w:szCs w:val="24"/>
        </w:rPr>
        <w:t xml:space="preserve">. The same applies to the invoiced revenue for </w:t>
      </w:r>
      <w:r w:rsidRPr="00C32DA2">
        <w:rPr>
          <w:sz w:val="24"/>
          <w:szCs w:val="24"/>
        </w:rPr>
        <w:t xml:space="preserve">Associates </w:t>
      </w:r>
      <w:r>
        <w:rPr>
          <w:sz w:val="24"/>
          <w:szCs w:val="24"/>
        </w:rPr>
        <w:t xml:space="preserve">that is </w:t>
      </w:r>
      <w:r w:rsidR="00E72030">
        <w:rPr>
          <w:sz w:val="24"/>
          <w:szCs w:val="24"/>
        </w:rPr>
        <w:t>K</w:t>
      </w:r>
      <w:r w:rsidRPr="00C32DA2">
        <w:rPr>
          <w:sz w:val="24"/>
          <w:szCs w:val="24"/>
        </w:rPr>
        <w:t>CHF 29</w:t>
      </w:r>
      <w:r w:rsidR="00E72030">
        <w:rPr>
          <w:sz w:val="24"/>
          <w:szCs w:val="24"/>
        </w:rPr>
        <w:t>8</w:t>
      </w:r>
      <w:r w:rsidRPr="00C32DA2">
        <w:rPr>
          <w:sz w:val="24"/>
          <w:szCs w:val="24"/>
        </w:rPr>
        <w:t xml:space="preserve"> </w:t>
      </w:r>
      <w:r w:rsidR="00E72030">
        <w:rPr>
          <w:sz w:val="24"/>
          <w:szCs w:val="24"/>
        </w:rPr>
        <w:t>above</w:t>
      </w:r>
      <w:r>
        <w:rPr>
          <w:sz w:val="24"/>
          <w:szCs w:val="24"/>
        </w:rPr>
        <w:t xml:space="preserve"> the budgeted revenue</w:t>
      </w:r>
      <w:r w:rsidR="00E72030">
        <w:rPr>
          <w:sz w:val="24"/>
          <w:szCs w:val="24"/>
        </w:rPr>
        <w:t xml:space="preserve"> and to the invoiced revenue for Academia that is higher than the budgeted revenue by KCHF 26.</w:t>
      </w:r>
    </w:p>
    <w:p w14:paraId="0BDFC206" w14:textId="51385FAF" w:rsidR="00AB3841" w:rsidRPr="00673D7A" w:rsidRDefault="00AB3841" w:rsidP="00377E63">
      <w:pPr>
        <w:pStyle w:val="Header"/>
        <w:snapToGrid w:val="0"/>
        <w:spacing w:before="120" w:after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72030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50145A">
        <w:rPr>
          <w:sz w:val="24"/>
          <w:szCs w:val="24"/>
        </w:rPr>
        <w:t xml:space="preserve">Cost recovery revenue </w:t>
      </w:r>
      <w:r w:rsidRPr="00170CAE">
        <w:rPr>
          <w:sz w:val="24"/>
          <w:szCs w:val="24"/>
        </w:rPr>
        <w:t xml:space="preserve">represents </w:t>
      </w:r>
      <w:r w:rsidR="00E72030">
        <w:rPr>
          <w:sz w:val="24"/>
          <w:szCs w:val="24"/>
        </w:rPr>
        <w:t>22.6</w:t>
      </w:r>
      <w:r w:rsidR="007D4BEA">
        <w:rPr>
          <w:sz w:val="24"/>
          <w:szCs w:val="24"/>
        </w:rPr>
        <w:t> per cent</w:t>
      </w:r>
      <w:r w:rsidRPr="00170CAE">
        <w:rPr>
          <w:sz w:val="24"/>
          <w:szCs w:val="24"/>
        </w:rPr>
        <w:t xml:space="preserve"> of the total budgeted revenue. The breakdown is provided in Table </w:t>
      </w:r>
      <w:r w:rsidR="00E72030">
        <w:rPr>
          <w:sz w:val="24"/>
          <w:szCs w:val="24"/>
        </w:rPr>
        <w:t>4</w:t>
      </w:r>
      <w:r w:rsidR="00E424D2">
        <w:rPr>
          <w:sz w:val="24"/>
          <w:szCs w:val="24"/>
        </w:rPr>
        <w:t xml:space="preserve"> below</w:t>
      </w:r>
      <w:r w:rsidRPr="00170CAE">
        <w:rPr>
          <w:sz w:val="24"/>
          <w:szCs w:val="24"/>
        </w:rPr>
        <w:t>. Revenue from cost recovery</w:t>
      </w:r>
      <w:r>
        <w:rPr>
          <w:sz w:val="24"/>
          <w:szCs w:val="24"/>
        </w:rPr>
        <w:t xml:space="preserve"> is likely to be </w:t>
      </w:r>
      <w:r w:rsidR="00E72030">
        <w:rPr>
          <w:sz w:val="24"/>
          <w:szCs w:val="24"/>
        </w:rPr>
        <w:t xml:space="preserve">significantly </w:t>
      </w:r>
      <w:r>
        <w:rPr>
          <w:sz w:val="24"/>
          <w:szCs w:val="24"/>
        </w:rPr>
        <w:t>lower than the budgeted amount for 20</w:t>
      </w:r>
      <w:r w:rsidR="00E72030">
        <w:rPr>
          <w:sz w:val="24"/>
          <w:szCs w:val="24"/>
        </w:rPr>
        <w:t>20</w:t>
      </w:r>
      <w:r w:rsidR="00E424D2">
        <w:rPr>
          <w:sz w:val="24"/>
          <w:szCs w:val="24"/>
        </w:rPr>
        <w:t>,</w:t>
      </w:r>
      <w:r w:rsidR="00E72030">
        <w:rPr>
          <w:sz w:val="24"/>
          <w:szCs w:val="24"/>
        </w:rPr>
        <w:t xml:space="preserve"> </w:t>
      </w:r>
      <w:r w:rsidR="00E424D2">
        <w:rPr>
          <w:sz w:val="24"/>
          <w:szCs w:val="24"/>
        </w:rPr>
        <w:t xml:space="preserve">CHF -5.8 million </w:t>
      </w:r>
      <w:r w:rsidR="00E72030">
        <w:rPr>
          <w:sz w:val="24"/>
          <w:szCs w:val="24"/>
        </w:rPr>
        <w:t>(-15.25</w:t>
      </w:r>
      <w:r w:rsidR="00EF4FFE">
        <w:rPr>
          <w:sz w:val="24"/>
          <w:szCs w:val="24"/>
        </w:rPr>
        <w:t> per cent</w:t>
      </w:r>
      <w:r w:rsidR="00E72030">
        <w:rPr>
          <w:sz w:val="24"/>
          <w:szCs w:val="24"/>
        </w:rPr>
        <w:t>)</w:t>
      </w:r>
      <w:r w:rsidR="00E424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424D2">
        <w:rPr>
          <w:sz w:val="24"/>
          <w:szCs w:val="24"/>
        </w:rPr>
        <w:t>T</w:t>
      </w:r>
      <w:r>
        <w:rPr>
          <w:sz w:val="24"/>
          <w:szCs w:val="24"/>
        </w:rPr>
        <w:t xml:space="preserve">his is mainly due to </w:t>
      </w:r>
      <w:r w:rsidR="00E72030">
        <w:rPr>
          <w:sz w:val="24"/>
          <w:szCs w:val="24"/>
        </w:rPr>
        <w:t xml:space="preserve">the Sales of Publications revenue, cost recovery revenue for Satellite Network Filings (SNF) and </w:t>
      </w:r>
      <w:r>
        <w:rPr>
          <w:sz w:val="24"/>
          <w:szCs w:val="24"/>
        </w:rPr>
        <w:t>Project support cost revenue</w:t>
      </w:r>
      <w:r w:rsidR="00E72030">
        <w:rPr>
          <w:sz w:val="24"/>
          <w:szCs w:val="24"/>
        </w:rPr>
        <w:t xml:space="preserve"> as well as cost recovery for Telecom due to the postponement of Tel</w:t>
      </w:r>
      <w:r w:rsidR="00E424D2">
        <w:rPr>
          <w:sz w:val="24"/>
          <w:szCs w:val="24"/>
        </w:rPr>
        <w:t>e</w:t>
      </w:r>
      <w:r w:rsidR="00E72030">
        <w:rPr>
          <w:sz w:val="24"/>
          <w:szCs w:val="24"/>
        </w:rPr>
        <w:t>com 2020 to 2021.</w:t>
      </w:r>
    </w:p>
    <w:p w14:paraId="1E27A54C" w14:textId="10EA408C" w:rsidR="00AB3841" w:rsidRDefault="00E72030" w:rsidP="00E72030">
      <w:pPr>
        <w:spacing w:before="240"/>
        <w:jc w:val="center"/>
        <w:rPr>
          <w:rFonts w:asciiTheme="minorHAnsi" w:hAnsiTheme="minorHAnsi"/>
          <w:sz w:val="20"/>
        </w:rPr>
      </w:pPr>
      <w:r w:rsidRPr="00E72030">
        <w:rPr>
          <w:rFonts w:asciiTheme="minorHAnsi" w:hAnsiTheme="minorHAnsi"/>
          <w:noProof/>
          <w:sz w:val="20"/>
        </w:rPr>
        <w:drawing>
          <wp:inline distT="0" distB="0" distL="0" distR="0" wp14:anchorId="05A9575F" wp14:editId="4C898F08">
            <wp:extent cx="5664200" cy="3314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CC24E" w14:textId="4B6A3C4A" w:rsidR="00E72030" w:rsidRDefault="00E72030" w:rsidP="00E72030">
      <w:pPr>
        <w:pStyle w:val="Header"/>
        <w:keepNext/>
        <w:keepLines/>
        <w:snapToGrid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z w:val="24"/>
          <w:szCs w:val="24"/>
        </w:rPr>
        <w:tab/>
        <w:t>Other revenu</w:t>
      </w:r>
      <w:r w:rsidR="00BB079A">
        <w:rPr>
          <w:sz w:val="24"/>
          <w:szCs w:val="24"/>
        </w:rPr>
        <w:t xml:space="preserve">e are estimated to remain </w:t>
      </w:r>
      <w:r w:rsidR="00E424D2">
        <w:rPr>
          <w:sz w:val="24"/>
          <w:szCs w:val="24"/>
        </w:rPr>
        <w:t>consistent with their</w:t>
      </w:r>
      <w:r w:rsidR="00BB079A">
        <w:rPr>
          <w:sz w:val="24"/>
          <w:szCs w:val="24"/>
        </w:rPr>
        <w:t xml:space="preserve"> budgeted </w:t>
      </w:r>
      <w:r w:rsidR="00E424D2">
        <w:rPr>
          <w:sz w:val="24"/>
          <w:szCs w:val="24"/>
        </w:rPr>
        <w:t>level</w:t>
      </w:r>
      <w:r w:rsidR="0054722F">
        <w:rPr>
          <w:sz w:val="24"/>
          <w:szCs w:val="24"/>
        </w:rPr>
        <w:t>s</w:t>
      </w:r>
      <w:r w:rsidR="00E424D2">
        <w:rPr>
          <w:sz w:val="24"/>
          <w:szCs w:val="24"/>
        </w:rPr>
        <w:t xml:space="preserve"> </w:t>
      </w:r>
      <w:r w:rsidR="00BB079A">
        <w:rPr>
          <w:sz w:val="24"/>
          <w:szCs w:val="24"/>
        </w:rPr>
        <w:t>for 2020.</w:t>
      </w:r>
    </w:p>
    <w:p w14:paraId="35307904" w14:textId="77777777" w:rsidR="00F576EA" w:rsidRDefault="00F576EA" w:rsidP="00377E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textAlignment w:val="auto"/>
        <w:rPr>
          <w:szCs w:val="24"/>
        </w:rPr>
      </w:pPr>
      <w:r w:rsidRPr="00377E63">
        <w:rPr>
          <w:b/>
          <w:bCs/>
          <w:szCs w:val="24"/>
        </w:rPr>
        <w:t>4</w:t>
      </w:r>
      <w:r>
        <w:rPr>
          <w:szCs w:val="24"/>
        </w:rPr>
        <w:tab/>
      </w:r>
      <w:r w:rsidRPr="00275FED">
        <w:rPr>
          <w:b/>
          <w:bCs/>
          <w:szCs w:val="24"/>
        </w:rPr>
        <w:t>Expenses</w:t>
      </w:r>
    </w:p>
    <w:p w14:paraId="1F9F6D04" w14:textId="4000C096" w:rsidR="00F576EA" w:rsidRDefault="00F576EA" w:rsidP="00377E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jc w:val="both"/>
        <w:textAlignment w:val="auto"/>
        <w:rPr>
          <w:szCs w:val="24"/>
        </w:rPr>
      </w:pPr>
      <w:r>
        <w:rPr>
          <w:szCs w:val="24"/>
        </w:rPr>
        <w:t>4.1</w:t>
      </w:r>
      <w:r w:rsidRPr="00931696">
        <w:rPr>
          <w:szCs w:val="24"/>
        </w:rPr>
        <w:tab/>
      </w:r>
      <w:r w:rsidRPr="00377E63">
        <w:rPr>
          <w:spacing w:val="-4"/>
          <w:szCs w:val="24"/>
        </w:rPr>
        <w:t xml:space="preserve">With regard to expenses, continuous application of efficiency measures and efforts are being made </w:t>
      </w:r>
      <w:r>
        <w:rPr>
          <w:szCs w:val="24"/>
        </w:rPr>
        <w:t xml:space="preserve">to comply with Resolution 1396. </w:t>
      </w:r>
      <w:r w:rsidRPr="00673D7A">
        <w:rPr>
          <w:szCs w:val="24"/>
        </w:rPr>
        <w:t xml:space="preserve">The objective </w:t>
      </w:r>
      <w:r>
        <w:rPr>
          <w:szCs w:val="24"/>
        </w:rPr>
        <w:t xml:space="preserve">is to keep </w:t>
      </w:r>
      <w:r w:rsidR="00D33AB7">
        <w:rPr>
          <w:szCs w:val="24"/>
        </w:rPr>
        <w:t>expenses</w:t>
      </w:r>
      <w:r>
        <w:rPr>
          <w:szCs w:val="24"/>
        </w:rPr>
        <w:t xml:space="preserve"> within the budget at the year-end 2020. Implementation of efficiency measures as well as consequences of the COVID-19 crisis and </w:t>
      </w:r>
      <w:r w:rsidR="0054722F">
        <w:rPr>
          <w:szCs w:val="24"/>
        </w:rPr>
        <w:t xml:space="preserve">related </w:t>
      </w:r>
      <w:r>
        <w:rPr>
          <w:szCs w:val="24"/>
        </w:rPr>
        <w:t xml:space="preserve">delays incurred </w:t>
      </w:r>
      <w:r w:rsidR="0054722F">
        <w:rPr>
          <w:szCs w:val="24"/>
        </w:rPr>
        <w:t xml:space="preserve">in budget implementation </w:t>
      </w:r>
      <w:r>
        <w:rPr>
          <w:szCs w:val="24"/>
        </w:rPr>
        <w:t>will generate unspent appropriations estimated to some CHF 5.2 million for 2020.</w:t>
      </w:r>
    </w:p>
    <w:p w14:paraId="4445DDDF" w14:textId="1ACFA3A2" w:rsidR="00F576EA" w:rsidRDefault="00F576EA" w:rsidP="00377E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360" w:after="120"/>
        <w:jc w:val="both"/>
        <w:textAlignment w:val="auto"/>
        <w:rPr>
          <w:szCs w:val="24"/>
          <w:lang w:val="en-US"/>
        </w:rPr>
      </w:pPr>
      <w:r>
        <w:rPr>
          <w:b/>
          <w:bCs/>
          <w:szCs w:val="24"/>
          <w:lang w:val="en-US"/>
        </w:rPr>
        <w:t>5</w:t>
      </w:r>
      <w:r w:rsidRPr="0015127E">
        <w:rPr>
          <w:b/>
          <w:bCs/>
          <w:szCs w:val="24"/>
          <w:lang w:val="en-US"/>
        </w:rPr>
        <w:tab/>
        <w:t>ITU Reserve Account</w:t>
      </w:r>
    </w:p>
    <w:p w14:paraId="6C04BE09" w14:textId="7D3DBAEB" w:rsidR="00F576EA" w:rsidRPr="00F576EA" w:rsidRDefault="00F576EA" w:rsidP="00377E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jc w:val="both"/>
        <w:textAlignment w:val="auto"/>
        <w:rPr>
          <w:szCs w:val="24"/>
          <w:lang w:val="en-US"/>
        </w:rPr>
      </w:pPr>
      <w:r>
        <w:rPr>
          <w:szCs w:val="24"/>
          <w:lang w:val="en-US"/>
        </w:rPr>
        <w:t>5.1</w:t>
      </w:r>
      <w:r>
        <w:rPr>
          <w:szCs w:val="24"/>
          <w:lang w:val="en-US"/>
        </w:rPr>
        <w:tab/>
      </w:r>
      <w:r w:rsidR="007D4BEA">
        <w:rPr>
          <w:szCs w:val="24"/>
          <w:lang w:val="en-US"/>
        </w:rPr>
        <w:t>A</w:t>
      </w:r>
      <w:r>
        <w:rPr>
          <w:szCs w:val="24"/>
          <w:lang w:val="en-US"/>
        </w:rPr>
        <w:t>t 31 December 2019, the balance of the Reserve Account st</w:t>
      </w:r>
      <w:r w:rsidR="007D4BEA">
        <w:rPr>
          <w:szCs w:val="24"/>
          <w:lang w:val="en-US"/>
        </w:rPr>
        <w:t>ood</w:t>
      </w:r>
      <w:r>
        <w:rPr>
          <w:szCs w:val="24"/>
          <w:lang w:val="en-US"/>
        </w:rPr>
        <w:t xml:space="preserve"> at CHF 24.93 million.</w:t>
      </w:r>
    </w:p>
    <w:p w14:paraId="717AD658" w14:textId="2033D7B1" w:rsidR="00F576EA" w:rsidRDefault="00F576EA" w:rsidP="00F576E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napToGrid w:val="0"/>
        <w:spacing w:before="240" w:after="120"/>
        <w:jc w:val="both"/>
        <w:textAlignment w:val="auto"/>
        <w:rPr>
          <w:szCs w:val="24"/>
          <w:lang w:val="en-US"/>
        </w:rPr>
      </w:pPr>
      <w:r>
        <w:rPr>
          <w:b/>
          <w:bCs/>
          <w:szCs w:val="24"/>
          <w:lang w:val="en-US"/>
        </w:rPr>
        <w:lastRenderedPageBreak/>
        <w:t>6</w:t>
      </w:r>
      <w:r w:rsidRPr="0015127E">
        <w:rPr>
          <w:b/>
          <w:bCs/>
          <w:szCs w:val="24"/>
          <w:lang w:val="en-US"/>
        </w:rPr>
        <w:tab/>
      </w:r>
      <w:r>
        <w:rPr>
          <w:b/>
          <w:bCs/>
          <w:szCs w:val="24"/>
          <w:lang w:val="en-US"/>
        </w:rPr>
        <w:t>Efficiency Measures</w:t>
      </w:r>
    </w:p>
    <w:p w14:paraId="107DE1A9" w14:textId="04F6315E" w:rsidR="00F576EA" w:rsidRDefault="00F576EA" w:rsidP="00377E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jc w:val="both"/>
        <w:textAlignment w:val="auto"/>
        <w:rPr>
          <w:szCs w:val="24"/>
          <w:lang w:val="en-US"/>
        </w:rPr>
      </w:pPr>
      <w:r>
        <w:rPr>
          <w:szCs w:val="24"/>
          <w:lang w:val="en-US"/>
        </w:rPr>
        <w:t>6.1</w:t>
      </w:r>
      <w:r>
        <w:rPr>
          <w:szCs w:val="24"/>
          <w:lang w:val="en-US"/>
        </w:rPr>
        <w:tab/>
      </w:r>
      <w:r w:rsidR="000C3BF2" w:rsidRPr="000C3BF2">
        <w:rPr>
          <w:szCs w:val="24"/>
          <w:lang w:val="en-US"/>
        </w:rPr>
        <w:t>The measures for implementation in the biennia 2014-2015, 2016-2017, and 2018-2019 were reported to the Council in Documents C15/45, C16/45, C17/45, C18/45</w:t>
      </w:r>
      <w:r w:rsidR="000C3BF2">
        <w:rPr>
          <w:szCs w:val="24"/>
          <w:lang w:val="en-US"/>
        </w:rPr>
        <w:t xml:space="preserve"> and C19/45</w:t>
      </w:r>
      <w:r w:rsidR="000C3BF2" w:rsidRPr="000C3BF2">
        <w:rPr>
          <w:szCs w:val="24"/>
          <w:lang w:val="en-US"/>
        </w:rPr>
        <w:t>. These measures resulted in savings of CHF 24.4 million in 2014-2015 and are assumed to save CHF 17 million in the biennium 2016-2017. As for 2018</w:t>
      </w:r>
      <w:r w:rsidR="000C3BF2">
        <w:rPr>
          <w:szCs w:val="24"/>
          <w:lang w:val="en-US"/>
        </w:rPr>
        <w:t>-2019</w:t>
      </w:r>
      <w:r w:rsidR="000C3BF2" w:rsidRPr="000C3BF2">
        <w:rPr>
          <w:szCs w:val="24"/>
          <w:lang w:val="en-US"/>
        </w:rPr>
        <w:t xml:space="preserve">, the savings amount to CHF </w:t>
      </w:r>
      <w:r w:rsidR="004C428C">
        <w:rPr>
          <w:szCs w:val="24"/>
          <w:lang w:val="en-US"/>
        </w:rPr>
        <w:t>16.3</w:t>
      </w:r>
      <w:r w:rsidR="00B0565C">
        <w:rPr>
          <w:szCs w:val="24"/>
          <w:lang w:val="en-US"/>
        </w:rPr>
        <w:t xml:space="preserve"> </w:t>
      </w:r>
      <w:r w:rsidR="000C3BF2" w:rsidRPr="000C3BF2">
        <w:rPr>
          <w:szCs w:val="24"/>
          <w:lang w:val="en-US"/>
        </w:rPr>
        <w:t>million.</w:t>
      </w:r>
    </w:p>
    <w:p w14:paraId="7E3C19F3" w14:textId="057C19ED" w:rsidR="000C3BF2" w:rsidRDefault="000C3BF2" w:rsidP="000C3B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color w:val="000000"/>
          <w:sz w:val="22"/>
          <w:szCs w:val="22"/>
          <w:lang w:eastAsia="zh-CN"/>
        </w:rPr>
      </w:pPr>
      <w:r>
        <w:rPr>
          <w:szCs w:val="24"/>
          <w:lang w:val="en-US"/>
        </w:rPr>
        <w:t>6.2</w:t>
      </w:r>
      <w:r w:rsidRPr="00AC57A3">
        <w:rPr>
          <w:szCs w:val="24"/>
          <w:lang w:val="en-US"/>
        </w:rPr>
        <w:tab/>
      </w:r>
      <w:r w:rsidRPr="00AC57A3">
        <w:t xml:space="preserve">Table </w:t>
      </w:r>
      <w:r w:rsidR="004C428C">
        <w:t>A</w:t>
      </w:r>
      <w:r w:rsidRPr="00AC57A3">
        <w:t xml:space="preserve"> presents the savings under each </w:t>
      </w:r>
      <w:r>
        <w:t xml:space="preserve">of the 30 efficiency measures identified in </w:t>
      </w:r>
      <w:r w:rsidRPr="00AC57A3">
        <w:t xml:space="preserve">Annex 2 </w:t>
      </w:r>
      <w:r>
        <w:t xml:space="preserve">to Decision 5 (Rev. Busan, 2014) for the 2014 to 2019 </w:t>
      </w:r>
      <w:proofErr w:type="gramStart"/>
      <w:r>
        <w:t>time-frame</w:t>
      </w:r>
      <w:proofErr w:type="gramEnd"/>
      <w:r>
        <w:t>.</w:t>
      </w:r>
    </w:p>
    <w:p w14:paraId="6388D9AB" w14:textId="6333D9CA" w:rsidR="00BB079A" w:rsidRPr="000C3BF2" w:rsidRDefault="000C3BF2" w:rsidP="000C3B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rPr>
          <w:szCs w:val="24"/>
          <w:lang w:val="en-US"/>
        </w:rPr>
        <w:t>6.3</w:t>
      </w:r>
      <w:r w:rsidRPr="00665627">
        <w:rPr>
          <w:szCs w:val="24"/>
          <w:lang w:val="en-US"/>
        </w:rPr>
        <w:tab/>
      </w:r>
      <w:r>
        <w:rPr>
          <w:szCs w:val="24"/>
          <w:lang w:val="en-US"/>
        </w:rPr>
        <w:t xml:space="preserve">Table </w:t>
      </w:r>
      <w:r w:rsidR="004C428C">
        <w:rPr>
          <w:szCs w:val="24"/>
          <w:lang w:val="en-US"/>
        </w:rPr>
        <w:t>B</w:t>
      </w:r>
      <w:r>
        <w:rPr>
          <w:szCs w:val="24"/>
          <w:lang w:val="en-US"/>
        </w:rPr>
        <w:t xml:space="preserve"> presents </w:t>
      </w:r>
      <w:r w:rsidRPr="00AC57A3">
        <w:t xml:space="preserve">the </w:t>
      </w:r>
      <w:r>
        <w:t xml:space="preserve">prospective </w:t>
      </w:r>
      <w:r w:rsidRPr="00AC57A3">
        <w:t xml:space="preserve">savings under each </w:t>
      </w:r>
      <w:r>
        <w:t xml:space="preserve">of the 27 efficiency measures identified in </w:t>
      </w:r>
      <w:r w:rsidRPr="00AC57A3">
        <w:t xml:space="preserve">Annex 2 </w:t>
      </w:r>
      <w:r>
        <w:t xml:space="preserve">to Decision 5 (Rev. Dubai, 2018) for the 2020-2021 </w:t>
      </w:r>
      <w:proofErr w:type="gramStart"/>
      <w:r>
        <w:t>time-frame</w:t>
      </w:r>
      <w:proofErr w:type="gramEnd"/>
      <w:r>
        <w:t xml:space="preserve">. The estimated savings amount to CHF </w:t>
      </w:r>
      <w:r w:rsidR="004C428C">
        <w:t xml:space="preserve">15.1 </w:t>
      </w:r>
      <w:r>
        <w:t xml:space="preserve">million for the 2020-2021 period. These measures will be further analysed during the budget implementation and it will be possible to provide </w:t>
      </w:r>
      <w:r w:rsidR="00AA7396">
        <w:t xml:space="preserve">more detailed </w:t>
      </w:r>
      <w:r>
        <w:t>estimates of the achieved savings for some of these efficiency measures at that time.</w:t>
      </w:r>
    </w:p>
    <w:p w14:paraId="05BB05DE" w14:textId="5737133E" w:rsidR="00AA7396" w:rsidRDefault="00AA73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76EA0AD6" w14:textId="0D681E8B" w:rsidR="00E72030" w:rsidRDefault="00AA7396" w:rsidP="00E72030">
      <w:pPr>
        <w:spacing w:before="24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 xml:space="preserve">Table A - </w:t>
      </w:r>
      <w:r w:rsidRPr="00AA7396">
        <w:rPr>
          <w:rFonts w:asciiTheme="minorHAnsi" w:hAnsiTheme="minorHAnsi"/>
          <w:sz w:val="20"/>
        </w:rPr>
        <w:t>Efficiency Measures</w:t>
      </w:r>
      <w:r>
        <w:rPr>
          <w:rFonts w:asciiTheme="minorHAnsi" w:hAnsiTheme="minorHAnsi"/>
          <w:sz w:val="20"/>
        </w:rPr>
        <w:t xml:space="preserve"> - 2014-2019</w:t>
      </w:r>
    </w:p>
    <w:p w14:paraId="3CF12EAF" w14:textId="42AA0D1A" w:rsidR="00AA7396" w:rsidRDefault="00AA7396" w:rsidP="00E72030">
      <w:pPr>
        <w:spacing w:before="240"/>
        <w:jc w:val="center"/>
        <w:rPr>
          <w:rFonts w:asciiTheme="minorHAnsi" w:hAnsiTheme="minorHAnsi"/>
          <w:sz w:val="20"/>
        </w:rPr>
      </w:pPr>
      <w:r w:rsidRPr="00AA7396">
        <w:rPr>
          <w:rFonts w:asciiTheme="minorHAnsi" w:hAnsiTheme="minorHAnsi"/>
          <w:noProof/>
          <w:sz w:val="20"/>
        </w:rPr>
        <w:drawing>
          <wp:inline distT="0" distB="0" distL="0" distR="0" wp14:anchorId="3BDF70AA" wp14:editId="634ED183">
            <wp:extent cx="6336665" cy="6915785"/>
            <wp:effectExtent l="0" t="0" r="635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691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58540" w14:textId="77777777" w:rsidR="00AA7396" w:rsidRDefault="00AA73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45426C35" w14:textId="39D66C2B" w:rsidR="00AA7396" w:rsidRDefault="00AA7396" w:rsidP="00AA7396">
      <w:pPr>
        <w:spacing w:before="24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 xml:space="preserve">Table B - </w:t>
      </w:r>
      <w:r w:rsidRPr="00AA7396">
        <w:rPr>
          <w:rFonts w:asciiTheme="minorHAnsi" w:hAnsiTheme="minorHAnsi"/>
          <w:sz w:val="20"/>
        </w:rPr>
        <w:t>Efficiency Measures</w:t>
      </w:r>
      <w:r>
        <w:rPr>
          <w:rFonts w:asciiTheme="minorHAnsi" w:hAnsiTheme="minorHAnsi"/>
          <w:sz w:val="20"/>
        </w:rPr>
        <w:t xml:space="preserve"> – 2020-2021</w:t>
      </w:r>
    </w:p>
    <w:p w14:paraId="72009206" w14:textId="7FAE07A4" w:rsidR="00AA7396" w:rsidRDefault="00D33AB7" w:rsidP="00AA7396">
      <w:pPr>
        <w:spacing w:before="240"/>
        <w:jc w:val="center"/>
        <w:rPr>
          <w:rFonts w:asciiTheme="minorHAnsi" w:hAnsiTheme="minorHAnsi"/>
          <w:sz w:val="20"/>
        </w:rPr>
      </w:pPr>
      <w:r w:rsidRPr="00D33AB7">
        <w:rPr>
          <w:rFonts w:asciiTheme="minorHAnsi" w:hAnsiTheme="minorHAnsi"/>
          <w:noProof/>
          <w:sz w:val="20"/>
        </w:rPr>
        <w:drawing>
          <wp:inline distT="0" distB="0" distL="0" distR="0" wp14:anchorId="52681EDB" wp14:editId="4F5E7F17">
            <wp:extent cx="6336665" cy="633666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633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346D0" w14:textId="4BB55D3F" w:rsidR="008363AA" w:rsidRPr="00374649" w:rsidRDefault="008363AA" w:rsidP="00377E63">
      <w:pPr>
        <w:spacing w:before="84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________________________</w:t>
      </w:r>
    </w:p>
    <w:sectPr w:rsidR="008363AA" w:rsidRPr="00374649" w:rsidSect="00A61087">
      <w:headerReference w:type="default" r:id="rId18"/>
      <w:footerReference w:type="first" r:id="rId19"/>
      <w:pgSz w:w="11907" w:h="16834" w:code="9"/>
      <w:pgMar w:top="1418" w:right="1021" w:bottom="1418" w:left="907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878FB" w14:textId="77777777" w:rsidR="00C46DD3" w:rsidRDefault="00C46DD3">
      <w:r>
        <w:separator/>
      </w:r>
    </w:p>
  </w:endnote>
  <w:endnote w:type="continuationSeparator" w:id="0">
    <w:p w14:paraId="6DF73D6A" w14:textId="77777777" w:rsidR="00C46DD3" w:rsidRDefault="00C4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8C540" w14:textId="77777777" w:rsidR="0062493F" w:rsidRDefault="0062493F" w:rsidP="0062493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2992D" w14:textId="77777777" w:rsidR="00C46DD3" w:rsidRDefault="00C46DD3">
      <w:r>
        <w:t>____________________</w:t>
      </w:r>
    </w:p>
  </w:footnote>
  <w:footnote w:type="continuationSeparator" w:id="0">
    <w:p w14:paraId="383B13C3" w14:textId="77777777" w:rsidR="00C46DD3" w:rsidRDefault="00C4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FEFB" w14:textId="49811CF5" w:rsidR="00374649" w:rsidRPr="00AF2F70" w:rsidRDefault="00374649" w:rsidP="00374649">
    <w:pPr>
      <w:pStyle w:val="Header"/>
      <w:rPr>
        <w:szCs w:val="18"/>
      </w:rPr>
    </w:pPr>
    <w:r w:rsidRPr="00AF2F70">
      <w:rPr>
        <w:szCs w:val="18"/>
      </w:rPr>
      <w:fldChar w:fldCharType="begin"/>
    </w:r>
    <w:r w:rsidRPr="00AF2F70">
      <w:rPr>
        <w:szCs w:val="18"/>
      </w:rPr>
      <w:instrText>PAGE</w:instrText>
    </w:r>
    <w:r w:rsidRPr="00AF2F70">
      <w:rPr>
        <w:szCs w:val="18"/>
      </w:rPr>
      <w:fldChar w:fldCharType="separate"/>
    </w:r>
    <w:r w:rsidR="00B83FB7">
      <w:rPr>
        <w:noProof/>
        <w:szCs w:val="18"/>
      </w:rPr>
      <w:t>6</w:t>
    </w:r>
    <w:r w:rsidRPr="00AF2F70">
      <w:rPr>
        <w:noProof/>
        <w:szCs w:val="18"/>
      </w:rPr>
      <w:fldChar w:fldCharType="end"/>
    </w:r>
  </w:p>
  <w:p w14:paraId="5042C484" w14:textId="56CBE5C4" w:rsidR="00374649" w:rsidRPr="00AF2F70" w:rsidRDefault="00374649" w:rsidP="00374649">
    <w:pPr>
      <w:pStyle w:val="Header"/>
      <w:rPr>
        <w:szCs w:val="18"/>
      </w:rPr>
    </w:pPr>
    <w:r w:rsidRPr="00F2185B">
      <w:rPr>
        <w:szCs w:val="18"/>
      </w:rPr>
      <w:t>C</w:t>
    </w:r>
    <w:r w:rsidR="00147093">
      <w:rPr>
        <w:szCs w:val="18"/>
      </w:rPr>
      <w:t>20</w:t>
    </w:r>
    <w:r w:rsidRPr="00F2185B">
      <w:rPr>
        <w:szCs w:val="18"/>
      </w:rPr>
      <w:t>/</w:t>
    </w:r>
    <w:r w:rsidR="00147093">
      <w:rPr>
        <w:szCs w:val="18"/>
      </w:rPr>
      <w:t>9</w:t>
    </w:r>
    <w:r w:rsidRPr="00F2185B">
      <w:rPr>
        <w:szCs w:val="18"/>
      </w:rPr>
      <w:t>-E</w:t>
    </w:r>
  </w:p>
  <w:p w14:paraId="2C79D3EC" w14:textId="77777777" w:rsidR="00322D0D" w:rsidRPr="00374649" w:rsidRDefault="00322D0D" w:rsidP="00374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1007D"/>
    <w:multiLevelType w:val="hybridMultilevel"/>
    <w:tmpl w:val="F6EC4846"/>
    <w:lvl w:ilvl="0" w:tplc="F326B6B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3" w15:restartNumberingAfterBreak="0">
    <w:nsid w:val="74B921EF"/>
    <w:multiLevelType w:val="hybridMultilevel"/>
    <w:tmpl w:val="0974F76C"/>
    <w:lvl w:ilvl="0" w:tplc="F326B6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0"/>
    <w:rsid w:val="000210D4"/>
    <w:rsid w:val="00063016"/>
    <w:rsid w:val="00066795"/>
    <w:rsid w:val="00076AF6"/>
    <w:rsid w:val="00085CF2"/>
    <w:rsid w:val="000A1848"/>
    <w:rsid w:val="000B1705"/>
    <w:rsid w:val="000C3BF2"/>
    <w:rsid w:val="000D75B2"/>
    <w:rsid w:val="001121F5"/>
    <w:rsid w:val="00112CC6"/>
    <w:rsid w:val="001400DC"/>
    <w:rsid w:val="00140CE1"/>
    <w:rsid w:val="00147093"/>
    <w:rsid w:val="0017539C"/>
    <w:rsid w:val="00175AC2"/>
    <w:rsid w:val="0017609F"/>
    <w:rsid w:val="00184570"/>
    <w:rsid w:val="001859E0"/>
    <w:rsid w:val="001C628E"/>
    <w:rsid w:val="001D0357"/>
    <w:rsid w:val="001E0F7B"/>
    <w:rsid w:val="001E2F2E"/>
    <w:rsid w:val="0020799C"/>
    <w:rsid w:val="002119FD"/>
    <w:rsid w:val="002130E0"/>
    <w:rsid w:val="00264425"/>
    <w:rsid w:val="00265875"/>
    <w:rsid w:val="00270C9C"/>
    <w:rsid w:val="0027303B"/>
    <w:rsid w:val="00274F01"/>
    <w:rsid w:val="0028109B"/>
    <w:rsid w:val="002A2188"/>
    <w:rsid w:val="002B1F58"/>
    <w:rsid w:val="002B3263"/>
    <w:rsid w:val="002C1C7A"/>
    <w:rsid w:val="002D5F0C"/>
    <w:rsid w:val="002E05C3"/>
    <w:rsid w:val="002E31A3"/>
    <w:rsid w:val="0030160F"/>
    <w:rsid w:val="00316710"/>
    <w:rsid w:val="00322D0D"/>
    <w:rsid w:val="00344484"/>
    <w:rsid w:val="00352EBC"/>
    <w:rsid w:val="00373BCD"/>
    <w:rsid w:val="00374649"/>
    <w:rsid w:val="00377E63"/>
    <w:rsid w:val="00390E6B"/>
    <w:rsid w:val="003942D4"/>
    <w:rsid w:val="003958A8"/>
    <w:rsid w:val="00396CEA"/>
    <w:rsid w:val="003A6404"/>
    <w:rsid w:val="003C2533"/>
    <w:rsid w:val="0040435A"/>
    <w:rsid w:val="00416A24"/>
    <w:rsid w:val="00431D9E"/>
    <w:rsid w:val="00433CE8"/>
    <w:rsid w:val="00434A5C"/>
    <w:rsid w:val="00442C77"/>
    <w:rsid w:val="004544D9"/>
    <w:rsid w:val="00455C00"/>
    <w:rsid w:val="00456A0E"/>
    <w:rsid w:val="00490E72"/>
    <w:rsid w:val="00491157"/>
    <w:rsid w:val="004921C8"/>
    <w:rsid w:val="004C428C"/>
    <w:rsid w:val="004D1851"/>
    <w:rsid w:val="004D599D"/>
    <w:rsid w:val="004E2EA5"/>
    <w:rsid w:val="004E3AEB"/>
    <w:rsid w:val="0050223C"/>
    <w:rsid w:val="005243FF"/>
    <w:rsid w:val="0054722F"/>
    <w:rsid w:val="0055733A"/>
    <w:rsid w:val="00564FBC"/>
    <w:rsid w:val="00582442"/>
    <w:rsid w:val="005D5B21"/>
    <w:rsid w:val="005F3269"/>
    <w:rsid w:val="005F6D92"/>
    <w:rsid w:val="00623AE3"/>
    <w:rsid w:val="0062493F"/>
    <w:rsid w:val="00625F6D"/>
    <w:rsid w:val="0064737F"/>
    <w:rsid w:val="006535F1"/>
    <w:rsid w:val="0065557D"/>
    <w:rsid w:val="00662984"/>
    <w:rsid w:val="0066355D"/>
    <w:rsid w:val="006716BB"/>
    <w:rsid w:val="006A1218"/>
    <w:rsid w:val="006B6680"/>
    <w:rsid w:val="006B6DCC"/>
    <w:rsid w:val="00702DEF"/>
    <w:rsid w:val="00706861"/>
    <w:rsid w:val="0072518D"/>
    <w:rsid w:val="0075051B"/>
    <w:rsid w:val="00755FFB"/>
    <w:rsid w:val="00793188"/>
    <w:rsid w:val="00794D34"/>
    <w:rsid w:val="007B556B"/>
    <w:rsid w:val="007D4BEA"/>
    <w:rsid w:val="00813E5E"/>
    <w:rsid w:val="0083581B"/>
    <w:rsid w:val="008363AA"/>
    <w:rsid w:val="00837581"/>
    <w:rsid w:val="00864AFF"/>
    <w:rsid w:val="008A2EF7"/>
    <w:rsid w:val="008B4A6A"/>
    <w:rsid w:val="008C7E27"/>
    <w:rsid w:val="008E6863"/>
    <w:rsid w:val="008F3AEF"/>
    <w:rsid w:val="009048BF"/>
    <w:rsid w:val="009173EF"/>
    <w:rsid w:val="00932906"/>
    <w:rsid w:val="00961B0B"/>
    <w:rsid w:val="009B38C3"/>
    <w:rsid w:val="009E17BD"/>
    <w:rsid w:val="009E485A"/>
    <w:rsid w:val="009F7C78"/>
    <w:rsid w:val="00A04CEC"/>
    <w:rsid w:val="00A223E7"/>
    <w:rsid w:val="00A27F92"/>
    <w:rsid w:val="00A32257"/>
    <w:rsid w:val="00A36D20"/>
    <w:rsid w:val="00A55622"/>
    <w:rsid w:val="00A61087"/>
    <w:rsid w:val="00A83502"/>
    <w:rsid w:val="00AA7396"/>
    <w:rsid w:val="00AB365A"/>
    <w:rsid w:val="00AB3841"/>
    <w:rsid w:val="00AD15B3"/>
    <w:rsid w:val="00AD29D6"/>
    <w:rsid w:val="00AF6E49"/>
    <w:rsid w:val="00B04A67"/>
    <w:rsid w:val="00B0565C"/>
    <w:rsid w:val="00B0583C"/>
    <w:rsid w:val="00B40A81"/>
    <w:rsid w:val="00B44910"/>
    <w:rsid w:val="00B52E3A"/>
    <w:rsid w:val="00B72267"/>
    <w:rsid w:val="00B76EB6"/>
    <w:rsid w:val="00B7737B"/>
    <w:rsid w:val="00B824C8"/>
    <w:rsid w:val="00B83FB7"/>
    <w:rsid w:val="00BB079A"/>
    <w:rsid w:val="00BC251A"/>
    <w:rsid w:val="00BD032B"/>
    <w:rsid w:val="00BE2640"/>
    <w:rsid w:val="00C01189"/>
    <w:rsid w:val="00C17D43"/>
    <w:rsid w:val="00C374DE"/>
    <w:rsid w:val="00C46DD3"/>
    <w:rsid w:val="00C47AD4"/>
    <w:rsid w:val="00C504BD"/>
    <w:rsid w:val="00C52D81"/>
    <w:rsid w:val="00C55198"/>
    <w:rsid w:val="00CA6393"/>
    <w:rsid w:val="00CB18FF"/>
    <w:rsid w:val="00CD0C08"/>
    <w:rsid w:val="00CE03FB"/>
    <w:rsid w:val="00CE433C"/>
    <w:rsid w:val="00CF33F3"/>
    <w:rsid w:val="00D04E39"/>
    <w:rsid w:val="00D06183"/>
    <w:rsid w:val="00D21DA1"/>
    <w:rsid w:val="00D22C42"/>
    <w:rsid w:val="00D33AB7"/>
    <w:rsid w:val="00D65041"/>
    <w:rsid w:val="00DB384B"/>
    <w:rsid w:val="00DC1B9F"/>
    <w:rsid w:val="00DD144B"/>
    <w:rsid w:val="00E10E80"/>
    <w:rsid w:val="00E124F0"/>
    <w:rsid w:val="00E26CA4"/>
    <w:rsid w:val="00E424D2"/>
    <w:rsid w:val="00E53CAA"/>
    <w:rsid w:val="00E60F04"/>
    <w:rsid w:val="00E72030"/>
    <w:rsid w:val="00E7369E"/>
    <w:rsid w:val="00E82D0C"/>
    <w:rsid w:val="00E854E4"/>
    <w:rsid w:val="00EB0D6F"/>
    <w:rsid w:val="00EB2232"/>
    <w:rsid w:val="00EC5337"/>
    <w:rsid w:val="00EF247A"/>
    <w:rsid w:val="00EF4FFE"/>
    <w:rsid w:val="00F16C1B"/>
    <w:rsid w:val="00F2150A"/>
    <w:rsid w:val="00F231D8"/>
    <w:rsid w:val="00F46C5F"/>
    <w:rsid w:val="00F532C6"/>
    <w:rsid w:val="00F576EA"/>
    <w:rsid w:val="00F74D42"/>
    <w:rsid w:val="00F83490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89E3B28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table" w:styleId="TableGrid">
    <w:name w:val="Table Grid"/>
    <w:basedOn w:val="TableNormal"/>
    <w:uiPriority w:val="39"/>
    <w:rsid w:val="0037464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64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74649"/>
    <w:rPr>
      <w:rFonts w:ascii="Calibri" w:hAnsi="Calibr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4649"/>
    <w:rPr>
      <w:rFonts w:ascii="Calibri" w:hAnsi="Calibri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F6D9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6D92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D5B21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3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DEC-005-E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://www.itu.int/pub/S-CONF-ACTF-201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22/en" TargetMode="Externa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4389-9283-46CB-B43B-E5581D58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893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review</vt:lpstr>
    </vt:vector>
  </TitlesOfParts>
  <Manager>General Secretariat - Pool</Manager>
  <Company>International Telecommunication Union (ITU)</Company>
  <LinksUpToDate>false</LinksUpToDate>
  <CharactersWithSpaces>5715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</dc:title>
  <dc:subject>Council 2020</dc:subject>
  <dc:creator>Brouard, Ricarda</dc:creator>
  <cp:keywords>C2020, C20</cp:keywords>
  <dc:description/>
  <cp:lastModifiedBy>Brouard, Ricarda</cp:lastModifiedBy>
  <cp:revision>6</cp:revision>
  <cp:lastPrinted>2020-04-23T14:30:00Z</cp:lastPrinted>
  <dcterms:created xsi:type="dcterms:W3CDTF">2020-04-24T14:54:00Z</dcterms:created>
  <dcterms:modified xsi:type="dcterms:W3CDTF">2020-04-29T15:23:00Z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