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95127" w14:paraId="68387EFB" w14:textId="77777777">
        <w:trPr>
          <w:cantSplit/>
        </w:trPr>
        <w:tc>
          <w:tcPr>
            <w:tcW w:w="6912" w:type="dxa"/>
          </w:tcPr>
          <w:p w14:paraId="7A1D32EC" w14:textId="5E275FD9" w:rsidR="00093EEB" w:rsidRPr="00195127" w:rsidRDefault="00093EEB" w:rsidP="00F75511">
            <w:pPr>
              <w:spacing w:before="360"/>
              <w:rPr>
                <w:szCs w:val="24"/>
              </w:rPr>
            </w:pPr>
            <w:bookmarkStart w:id="0" w:name="dc06"/>
            <w:bookmarkStart w:id="1" w:name="dbluepink" w:colFirst="0" w:colLast="0"/>
            <w:bookmarkEnd w:id="0"/>
            <w:r w:rsidRPr="00195127">
              <w:rPr>
                <w:b/>
                <w:bCs/>
                <w:sz w:val="30"/>
                <w:szCs w:val="30"/>
              </w:rPr>
              <w:t>Consejo 20</w:t>
            </w:r>
            <w:r w:rsidR="007955DA" w:rsidRPr="00195127">
              <w:rPr>
                <w:b/>
                <w:bCs/>
                <w:sz w:val="30"/>
                <w:szCs w:val="30"/>
              </w:rPr>
              <w:t>20</w:t>
            </w:r>
          </w:p>
        </w:tc>
        <w:tc>
          <w:tcPr>
            <w:tcW w:w="3261" w:type="dxa"/>
          </w:tcPr>
          <w:p w14:paraId="4D379413" w14:textId="77777777" w:rsidR="00093EEB" w:rsidRPr="00195127" w:rsidRDefault="007955DA" w:rsidP="00F75511">
            <w:pPr>
              <w:spacing w:before="0"/>
              <w:rPr>
                <w:szCs w:val="24"/>
              </w:rPr>
            </w:pPr>
            <w:bookmarkStart w:id="2" w:name="ditulogo"/>
            <w:bookmarkEnd w:id="2"/>
            <w:r w:rsidRPr="00195127">
              <w:rPr>
                <w:noProof/>
              </w:rPr>
              <w:drawing>
                <wp:inline distT="0" distB="0" distL="0" distR="0" wp14:anchorId="4A2A3939" wp14:editId="50E214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195127" w14:paraId="09D78E08" w14:textId="77777777">
        <w:trPr>
          <w:cantSplit/>
          <w:trHeight w:val="20"/>
        </w:trPr>
        <w:tc>
          <w:tcPr>
            <w:tcW w:w="10173" w:type="dxa"/>
            <w:gridSpan w:val="2"/>
            <w:tcBorders>
              <w:bottom w:val="single" w:sz="12" w:space="0" w:color="auto"/>
            </w:tcBorders>
          </w:tcPr>
          <w:p w14:paraId="5A6C5A78" w14:textId="77777777" w:rsidR="00093EEB" w:rsidRPr="00195127" w:rsidRDefault="00093EEB" w:rsidP="00F75511">
            <w:pPr>
              <w:spacing w:before="0"/>
              <w:rPr>
                <w:b/>
                <w:bCs/>
                <w:szCs w:val="24"/>
              </w:rPr>
            </w:pPr>
          </w:p>
        </w:tc>
      </w:tr>
      <w:tr w:rsidR="00093EEB" w:rsidRPr="00195127" w14:paraId="5FEA2A9C" w14:textId="77777777">
        <w:trPr>
          <w:cantSplit/>
          <w:trHeight w:val="20"/>
        </w:trPr>
        <w:tc>
          <w:tcPr>
            <w:tcW w:w="6912" w:type="dxa"/>
            <w:tcBorders>
              <w:top w:val="single" w:sz="12" w:space="0" w:color="auto"/>
            </w:tcBorders>
          </w:tcPr>
          <w:p w14:paraId="2D70739E" w14:textId="77777777" w:rsidR="00093EEB" w:rsidRPr="00195127" w:rsidRDefault="00093EEB" w:rsidP="00F75511">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4E103C67" w14:textId="77777777" w:rsidR="00093EEB" w:rsidRPr="00195127" w:rsidRDefault="00093EEB" w:rsidP="00F75511">
            <w:pPr>
              <w:spacing w:before="0"/>
              <w:rPr>
                <w:b/>
                <w:bCs/>
                <w:szCs w:val="24"/>
              </w:rPr>
            </w:pPr>
          </w:p>
        </w:tc>
      </w:tr>
      <w:tr w:rsidR="00093EEB" w:rsidRPr="00195127" w14:paraId="5FB67FAD" w14:textId="77777777">
        <w:trPr>
          <w:cantSplit/>
          <w:trHeight w:val="20"/>
        </w:trPr>
        <w:tc>
          <w:tcPr>
            <w:tcW w:w="6912" w:type="dxa"/>
            <w:shd w:val="clear" w:color="auto" w:fill="auto"/>
          </w:tcPr>
          <w:p w14:paraId="357191CB" w14:textId="77777777" w:rsidR="00093EEB" w:rsidRPr="00195127" w:rsidRDefault="006F64AE" w:rsidP="00F75511">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195127">
              <w:rPr>
                <w:rFonts w:cs="Times"/>
                <w:b/>
                <w:szCs w:val="24"/>
              </w:rPr>
              <w:t>Punto del orden del día: ADM 20</w:t>
            </w:r>
          </w:p>
        </w:tc>
        <w:tc>
          <w:tcPr>
            <w:tcW w:w="3261" w:type="dxa"/>
          </w:tcPr>
          <w:p w14:paraId="60F2DA88" w14:textId="757C3412" w:rsidR="00093EEB" w:rsidRPr="00195127" w:rsidRDefault="00D62B9A" w:rsidP="004B109A">
            <w:pPr>
              <w:spacing w:before="0"/>
              <w:rPr>
                <w:b/>
                <w:bCs/>
                <w:szCs w:val="24"/>
              </w:rPr>
            </w:pPr>
            <w:r w:rsidRPr="00195127">
              <w:rPr>
                <w:rFonts w:asciiTheme="minorHAnsi" w:hAnsiTheme="minorHAnsi" w:cstheme="minorHAnsi"/>
                <w:b/>
                <w:color w:val="000000" w:themeColor="text1"/>
              </w:rPr>
              <w:t xml:space="preserve">Revisión </w:t>
            </w:r>
            <w:r w:rsidR="004B109A" w:rsidRPr="00195127">
              <w:rPr>
                <w:rFonts w:asciiTheme="minorHAnsi" w:hAnsiTheme="minorHAnsi" w:cstheme="minorHAnsi"/>
                <w:b/>
                <w:color w:val="000000" w:themeColor="text1"/>
              </w:rPr>
              <w:t xml:space="preserve">1 </w:t>
            </w:r>
            <w:r w:rsidRPr="00195127">
              <w:rPr>
                <w:rFonts w:asciiTheme="minorHAnsi" w:hAnsiTheme="minorHAnsi" w:cstheme="minorHAnsi"/>
                <w:b/>
                <w:color w:val="000000" w:themeColor="text1"/>
              </w:rPr>
              <w:t>al</w:t>
            </w:r>
            <w:r w:rsidR="004B109A" w:rsidRPr="00195127">
              <w:rPr>
                <w:rFonts w:asciiTheme="minorHAnsi" w:hAnsiTheme="minorHAnsi" w:cstheme="minorHAnsi"/>
                <w:b/>
                <w:color w:val="000000" w:themeColor="text1"/>
              </w:rPr>
              <w:br/>
            </w:r>
            <w:r w:rsidR="00093EEB" w:rsidRPr="00195127">
              <w:rPr>
                <w:b/>
                <w:bCs/>
                <w:szCs w:val="24"/>
              </w:rPr>
              <w:t>Documento C</w:t>
            </w:r>
            <w:r w:rsidR="007955DA" w:rsidRPr="00195127">
              <w:rPr>
                <w:b/>
                <w:bCs/>
                <w:szCs w:val="24"/>
              </w:rPr>
              <w:t>20</w:t>
            </w:r>
            <w:r w:rsidR="00093EEB" w:rsidRPr="00195127">
              <w:rPr>
                <w:b/>
                <w:bCs/>
                <w:szCs w:val="24"/>
              </w:rPr>
              <w:t>/</w:t>
            </w:r>
            <w:r w:rsidR="006F64AE" w:rsidRPr="00195127">
              <w:rPr>
                <w:b/>
                <w:bCs/>
                <w:szCs w:val="24"/>
              </w:rPr>
              <w:t>7</w:t>
            </w:r>
            <w:r w:rsidR="00093EEB" w:rsidRPr="00195127">
              <w:rPr>
                <w:b/>
                <w:bCs/>
                <w:szCs w:val="24"/>
              </w:rPr>
              <w:t>-S</w:t>
            </w:r>
          </w:p>
        </w:tc>
      </w:tr>
      <w:tr w:rsidR="00093EEB" w:rsidRPr="00195127" w14:paraId="6458A7C9" w14:textId="77777777">
        <w:trPr>
          <w:cantSplit/>
          <w:trHeight w:val="20"/>
        </w:trPr>
        <w:tc>
          <w:tcPr>
            <w:tcW w:w="6912" w:type="dxa"/>
            <w:shd w:val="clear" w:color="auto" w:fill="auto"/>
          </w:tcPr>
          <w:p w14:paraId="774CFBBE" w14:textId="77777777" w:rsidR="00093EEB" w:rsidRPr="00195127" w:rsidRDefault="00093EEB" w:rsidP="00F75511">
            <w:pPr>
              <w:shd w:val="solid" w:color="FFFFFF" w:fill="FFFFFF"/>
              <w:spacing w:before="0"/>
              <w:rPr>
                <w:smallCaps/>
                <w:szCs w:val="24"/>
              </w:rPr>
            </w:pPr>
            <w:bookmarkStart w:id="5" w:name="ddate" w:colFirst="1" w:colLast="1"/>
            <w:bookmarkEnd w:id="3"/>
            <w:bookmarkEnd w:id="4"/>
          </w:p>
        </w:tc>
        <w:tc>
          <w:tcPr>
            <w:tcW w:w="3261" w:type="dxa"/>
          </w:tcPr>
          <w:p w14:paraId="5F629771" w14:textId="0A540798" w:rsidR="00093EEB" w:rsidRPr="00195127" w:rsidRDefault="004B109A" w:rsidP="00F75511">
            <w:pPr>
              <w:spacing w:before="0"/>
              <w:rPr>
                <w:b/>
                <w:bCs/>
                <w:szCs w:val="24"/>
              </w:rPr>
            </w:pPr>
            <w:r w:rsidRPr="00195127">
              <w:rPr>
                <w:b/>
                <w:bCs/>
                <w:szCs w:val="24"/>
              </w:rPr>
              <w:t xml:space="preserve">5 </w:t>
            </w:r>
            <w:r w:rsidR="00D62B9A" w:rsidRPr="00195127">
              <w:rPr>
                <w:b/>
                <w:bCs/>
                <w:szCs w:val="24"/>
              </w:rPr>
              <w:t>de octubre</w:t>
            </w:r>
            <w:r w:rsidRPr="00195127">
              <w:rPr>
                <w:b/>
                <w:bCs/>
                <w:szCs w:val="24"/>
              </w:rPr>
              <w:t xml:space="preserve"> </w:t>
            </w:r>
            <w:r w:rsidR="00093EEB" w:rsidRPr="00195127">
              <w:rPr>
                <w:b/>
                <w:bCs/>
                <w:szCs w:val="24"/>
              </w:rPr>
              <w:t>de 20</w:t>
            </w:r>
            <w:r w:rsidR="007955DA" w:rsidRPr="00195127">
              <w:rPr>
                <w:b/>
                <w:bCs/>
                <w:szCs w:val="24"/>
              </w:rPr>
              <w:t>20</w:t>
            </w:r>
          </w:p>
        </w:tc>
      </w:tr>
      <w:tr w:rsidR="00093EEB" w:rsidRPr="00195127" w14:paraId="7C5ED998" w14:textId="77777777">
        <w:trPr>
          <w:cantSplit/>
          <w:trHeight w:val="20"/>
        </w:trPr>
        <w:tc>
          <w:tcPr>
            <w:tcW w:w="6912" w:type="dxa"/>
            <w:shd w:val="clear" w:color="auto" w:fill="auto"/>
          </w:tcPr>
          <w:p w14:paraId="3829ACC7" w14:textId="77777777" w:rsidR="00093EEB" w:rsidRPr="00195127" w:rsidRDefault="00093EEB" w:rsidP="00F75511">
            <w:pPr>
              <w:shd w:val="solid" w:color="FFFFFF" w:fill="FFFFFF"/>
              <w:spacing w:before="0"/>
              <w:rPr>
                <w:smallCaps/>
                <w:szCs w:val="24"/>
              </w:rPr>
            </w:pPr>
            <w:bookmarkStart w:id="6" w:name="dorlang" w:colFirst="1" w:colLast="1"/>
            <w:bookmarkEnd w:id="5"/>
          </w:p>
        </w:tc>
        <w:tc>
          <w:tcPr>
            <w:tcW w:w="3261" w:type="dxa"/>
          </w:tcPr>
          <w:p w14:paraId="31D61135" w14:textId="77777777" w:rsidR="00093EEB" w:rsidRPr="00195127" w:rsidRDefault="00093EEB" w:rsidP="00F75511">
            <w:pPr>
              <w:spacing w:before="0"/>
              <w:rPr>
                <w:b/>
                <w:bCs/>
                <w:szCs w:val="24"/>
              </w:rPr>
            </w:pPr>
            <w:r w:rsidRPr="00195127">
              <w:rPr>
                <w:b/>
                <w:bCs/>
                <w:szCs w:val="24"/>
              </w:rPr>
              <w:t>Original: inglés</w:t>
            </w:r>
          </w:p>
        </w:tc>
      </w:tr>
      <w:tr w:rsidR="00093EEB" w:rsidRPr="00195127" w14:paraId="5984B64B" w14:textId="77777777">
        <w:trPr>
          <w:cantSplit/>
        </w:trPr>
        <w:tc>
          <w:tcPr>
            <w:tcW w:w="10173" w:type="dxa"/>
            <w:gridSpan w:val="2"/>
          </w:tcPr>
          <w:p w14:paraId="5DCE9706" w14:textId="77777777" w:rsidR="00093EEB" w:rsidRPr="00195127" w:rsidRDefault="006F64AE" w:rsidP="00F75511">
            <w:pPr>
              <w:pStyle w:val="Source"/>
            </w:pPr>
            <w:bookmarkStart w:id="7" w:name="dsource" w:colFirst="0" w:colLast="0"/>
            <w:bookmarkEnd w:id="1"/>
            <w:bookmarkEnd w:id="6"/>
            <w:r w:rsidRPr="00195127">
              <w:t>Informe del Secretario General</w:t>
            </w:r>
          </w:p>
        </w:tc>
      </w:tr>
      <w:tr w:rsidR="00093EEB" w:rsidRPr="00195127" w14:paraId="133E8501" w14:textId="77777777">
        <w:trPr>
          <w:cantSplit/>
        </w:trPr>
        <w:tc>
          <w:tcPr>
            <w:tcW w:w="10173" w:type="dxa"/>
            <w:gridSpan w:val="2"/>
          </w:tcPr>
          <w:p w14:paraId="5352316A" w14:textId="1F583AA1" w:rsidR="00093EEB" w:rsidRPr="00195127" w:rsidRDefault="006F64AE" w:rsidP="00F75511">
            <w:pPr>
              <w:pStyle w:val="Title1"/>
            </w:pPr>
            <w:bookmarkStart w:id="8" w:name="dtitle1" w:colFirst="0" w:colLast="0"/>
            <w:bookmarkEnd w:id="7"/>
            <w:r w:rsidRPr="00195127">
              <w:t>Informe s</w:t>
            </w:r>
            <w:r w:rsidR="00F75511" w:rsidRPr="00195127">
              <w:t>obre los avances registrados</w:t>
            </w:r>
            <w:r w:rsidR="00F75511" w:rsidRPr="00195127">
              <w:br/>
              <w:t xml:space="preserve">en </w:t>
            </w:r>
            <w:r w:rsidRPr="00195127">
              <w:t>el proyecto</w:t>
            </w:r>
            <w:r w:rsidR="00F75511" w:rsidRPr="00195127">
              <w:t xml:space="preserve"> de la Sede de la Unión</w:t>
            </w:r>
          </w:p>
        </w:tc>
      </w:tr>
      <w:bookmarkEnd w:id="8"/>
    </w:tbl>
    <w:p w14:paraId="60813481" w14:textId="77777777" w:rsidR="00093EEB" w:rsidRPr="00195127" w:rsidRDefault="00093EEB" w:rsidP="00F7551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95127" w14:paraId="4FFAE98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7C81B18" w14:textId="77777777" w:rsidR="00093EEB" w:rsidRPr="00195127" w:rsidRDefault="00093EEB" w:rsidP="00F75511">
            <w:pPr>
              <w:pStyle w:val="Headingb"/>
            </w:pPr>
            <w:r w:rsidRPr="00195127">
              <w:t>Resumen</w:t>
            </w:r>
          </w:p>
          <w:p w14:paraId="32C44694" w14:textId="025021B8" w:rsidR="00093EEB" w:rsidRPr="00195127" w:rsidRDefault="00C74552" w:rsidP="00F75511">
            <w:bookmarkStart w:id="9" w:name="lt_pId014"/>
            <w:r w:rsidRPr="00195127">
              <w:t>En este Informe se da cuenta de los avances registrados hasta la fecha en relación con el diseño y la construcción del proyecto de la Sede de la Unión</w:t>
            </w:r>
            <w:r w:rsidR="006F64AE" w:rsidRPr="00195127">
              <w:t>.</w:t>
            </w:r>
            <w:bookmarkEnd w:id="9"/>
          </w:p>
          <w:p w14:paraId="2ED473F5" w14:textId="77777777" w:rsidR="00093EEB" w:rsidRPr="00195127" w:rsidRDefault="00093EEB" w:rsidP="00F75511">
            <w:pPr>
              <w:pStyle w:val="Headingb"/>
            </w:pPr>
            <w:r w:rsidRPr="00195127">
              <w:t>Acción solicitada</w:t>
            </w:r>
          </w:p>
          <w:p w14:paraId="27714FD4" w14:textId="0D16A2D6" w:rsidR="00093EEB" w:rsidRPr="00195127" w:rsidRDefault="00C74552" w:rsidP="00F75511">
            <w:bookmarkStart w:id="10" w:name="lt_pId016"/>
            <w:r w:rsidRPr="00195127">
              <w:t>Se invita al Consejo a</w:t>
            </w:r>
            <w:r w:rsidR="006F64AE" w:rsidRPr="00195127">
              <w:rPr>
                <w:b/>
                <w:bCs/>
              </w:rPr>
              <w:t xml:space="preserve"> consider</w:t>
            </w:r>
            <w:r w:rsidRPr="00195127">
              <w:rPr>
                <w:b/>
                <w:bCs/>
              </w:rPr>
              <w:t>ar</w:t>
            </w:r>
            <w:r w:rsidR="006F64AE" w:rsidRPr="00195127">
              <w:rPr>
                <w:b/>
                <w:bCs/>
              </w:rPr>
              <w:t xml:space="preserve"> </w:t>
            </w:r>
            <w:r w:rsidRPr="00195127">
              <w:t>este Informe</w:t>
            </w:r>
            <w:r w:rsidR="006F64AE" w:rsidRPr="00195127">
              <w:t>.</w:t>
            </w:r>
            <w:bookmarkEnd w:id="10"/>
          </w:p>
          <w:p w14:paraId="411038FB" w14:textId="77777777" w:rsidR="00093EEB" w:rsidRPr="00195127" w:rsidRDefault="00093EEB" w:rsidP="00F75511">
            <w:pPr>
              <w:pStyle w:val="Table"/>
              <w:keepNext w:val="0"/>
              <w:spacing w:before="0" w:after="0"/>
              <w:rPr>
                <w:caps w:val="0"/>
                <w:sz w:val="22"/>
                <w:lang w:val="es-ES_tradnl"/>
              </w:rPr>
            </w:pPr>
            <w:r w:rsidRPr="00195127">
              <w:rPr>
                <w:caps w:val="0"/>
                <w:sz w:val="22"/>
                <w:lang w:val="es-ES_tradnl"/>
              </w:rPr>
              <w:t>____________</w:t>
            </w:r>
          </w:p>
          <w:p w14:paraId="2666BB2B" w14:textId="77777777" w:rsidR="00093EEB" w:rsidRPr="00195127" w:rsidRDefault="00093EEB" w:rsidP="00F75511">
            <w:pPr>
              <w:pStyle w:val="Headingb"/>
            </w:pPr>
            <w:r w:rsidRPr="00195127">
              <w:t>Referencia</w:t>
            </w:r>
            <w:r w:rsidR="006F64AE" w:rsidRPr="00195127">
              <w:t>s</w:t>
            </w:r>
          </w:p>
          <w:bookmarkStart w:id="11" w:name="lt_pId018"/>
          <w:p w14:paraId="4E272D1F" w14:textId="279E594F" w:rsidR="00093EEB" w:rsidRPr="00195127" w:rsidRDefault="006F64AE" w:rsidP="00F75511">
            <w:pPr>
              <w:spacing w:after="120"/>
              <w:rPr>
                <w:i/>
                <w:iCs/>
              </w:rPr>
            </w:pPr>
            <w:r w:rsidRPr="00195127">
              <w:rPr>
                <w:i/>
                <w:iCs/>
              </w:rPr>
              <w:fldChar w:fldCharType="begin"/>
            </w:r>
            <w:r w:rsidR="00F75511" w:rsidRPr="00195127">
              <w:rPr>
                <w:i/>
                <w:iCs/>
              </w:rPr>
              <w:instrText>HYPERLINK "https://www.itu.int/md/S16-CL-C-0124/es"</w:instrText>
            </w:r>
            <w:r w:rsidRPr="00195127">
              <w:rPr>
                <w:i/>
                <w:iCs/>
              </w:rPr>
              <w:fldChar w:fldCharType="separate"/>
            </w:r>
            <w:r w:rsidR="00C74552" w:rsidRPr="00195127">
              <w:rPr>
                <w:rStyle w:val="Hyperlink"/>
                <w:i/>
                <w:iCs/>
              </w:rPr>
              <w:t>Acuerdo del C</w:t>
            </w:r>
            <w:r w:rsidRPr="00195127">
              <w:rPr>
                <w:rStyle w:val="Hyperlink"/>
                <w:i/>
                <w:iCs/>
              </w:rPr>
              <w:t>on</w:t>
            </w:r>
            <w:r w:rsidR="00C74552" w:rsidRPr="00195127">
              <w:rPr>
                <w:rStyle w:val="Hyperlink"/>
                <w:i/>
                <w:iCs/>
              </w:rPr>
              <w:t>sejo</w:t>
            </w:r>
            <w:r w:rsidRPr="00195127">
              <w:rPr>
                <w:rStyle w:val="Hyperlink"/>
                <w:i/>
                <w:iCs/>
              </w:rPr>
              <w:t xml:space="preserve"> 588</w:t>
            </w:r>
            <w:r w:rsidRPr="00195127">
              <w:rPr>
                <w:i/>
                <w:iCs/>
              </w:rPr>
              <w:fldChar w:fldCharType="end"/>
            </w:r>
            <w:r w:rsidRPr="00195127">
              <w:rPr>
                <w:i/>
                <w:iCs/>
              </w:rPr>
              <w:t xml:space="preserve">; </w:t>
            </w:r>
            <w:hyperlink r:id="rId12" w:history="1">
              <w:r w:rsidRPr="00195127">
                <w:rPr>
                  <w:rStyle w:val="Hyperlink"/>
                  <w:i/>
                  <w:iCs/>
                </w:rPr>
                <w:t>Resolu</w:t>
              </w:r>
              <w:r w:rsidR="00C74552" w:rsidRPr="00195127">
                <w:rPr>
                  <w:rStyle w:val="Hyperlink"/>
                  <w:i/>
                  <w:iCs/>
                </w:rPr>
                <w:t>ción</w:t>
              </w:r>
              <w:r w:rsidRPr="00195127">
                <w:rPr>
                  <w:rStyle w:val="Hyperlink"/>
                  <w:i/>
                  <w:iCs/>
                </w:rPr>
                <w:t xml:space="preserve"> 212 (Dub</w:t>
              </w:r>
              <w:r w:rsidR="00C74552" w:rsidRPr="00195127">
                <w:rPr>
                  <w:rStyle w:val="Hyperlink"/>
                  <w:i/>
                  <w:iCs/>
                </w:rPr>
                <w:t>á</w:t>
              </w:r>
              <w:r w:rsidRPr="00195127">
                <w:rPr>
                  <w:rStyle w:val="Hyperlink"/>
                  <w:i/>
                  <w:iCs/>
                </w:rPr>
                <w:t>i, 2018)</w:t>
              </w:r>
            </w:hyperlink>
            <w:r w:rsidRPr="00195127">
              <w:rPr>
                <w:i/>
                <w:iCs/>
              </w:rPr>
              <w:t xml:space="preserve">; </w:t>
            </w:r>
            <w:r w:rsidR="009F158B" w:rsidRPr="00923118">
              <w:rPr>
                <w:i/>
                <w:iCs/>
              </w:rPr>
              <w:t>Documentos </w:t>
            </w:r>
            <w:hyperlink r:id="rId13" w:history="1">
              <w:r w:rsidRPr="00923118">
                <w:rPr>
                  <w:rStyle w:val="Hyperlink"/>
                  <w:i/>
                  <w:iCs/>
                </w:rPr>
                <w:t>C18/123+Add 1</w:t>
              </w:r>
            </w:hyperlink>
            <w:r w:rsidRPr="00195127">
              <w:rPr>
                <w:i/>
                <w:iCs/>
              </w:rPr>
              <w:t xml:space="preserve">; </w:t>
            </w:r>
            <w:hyperlink r:id="rId14" w:history="1">
              <w:r w:rsidRPr="00195127">
                <w:rPr>
                  <w:rStyle w:val="Hyperlink"/>
                  <w:i/>
                  <w:iCs/>
                </w:rPr>
                <w:t>DL/12</w:t>
              </w:r>
            </w:hyperlink>
            <w:r w:rsidR="00525B7F" w:rsidRPr="00195127">
              <w:rPr>
                <w:i/>
                <w:iCs/>
              </w:rPr>
              <w:t>;</w:t>
            </w:r>
            <w:r w:rsidRPr="00195127">
              <w:rPr>
                <w:i/>
                <w:iCs/>
              </w:rPr>
              <w:t xml:space="preserve"> </w:t>
            </w:r>
            <w:hyperlink r:id="rId15" w:history="1">
              <w:r w:rsidRPr="00195127">
                <w:rPr>
                  <w:rStyle w:val="Hyperlink"/>
                  <w:i/>
                  <w:iCs/>
                </w:rPr>
                <w:t>C16/7</w:t>
              </w:r>
            </w:hyperlink>
            <w:r w:rsidRPr="00195127">
              <w:rPr>
                <w:i/>
                <w:iCs/>
              </w:rPr>
              <w:t xml:space="preserve">; </w:t>
            </w:r>
            <w:hyperlink r:id="rId16" w:history="1">
              <w:r w:rsidRPr="00195127">
                <w:rPr>
                  <w:rStyle w:val="Hyperlink"/>
                  <w:i/>
                  <w:iCs/>
                </w:rPr>
                <w:t>C19-ADD/2(Rev.1)</w:t>
              </w:r>
            </w:hyperlink>
            <w:r w:rsidRPr="00195127">
              <w:rPr>
                <w:i/>
                <w:iCs/>
              </w:rPr>
              <w:t xml:space="preserve">; </w:t>
            </w:r>
            <w:r w:rsidR="009F158B" w:rsidRPr="00195127">
              <w:rPr>
                <w:i/>
                <w:iCs/>
              </w:rPr>
              <w:br/>
            </w:r>
            <w:hyperlink r:id="rId17" w:history="1">
              <w:r w:rsidR="00C74552" w:rsidRPr="00195127">
                <w:rPr>
                  <w:rStyle w:val="Hyperlink"/>
                  <w:i/>
                  <w:iCs/>
                </w:rPr>
                <w:t>Acuerdo del Consejo</w:t>
              </w:r>
              <w:r w:rsidRPr="00195127">
                <w:rPr>
                  <w:rStyle w:val="Hyperlink"/>
                  <w:i/>
                  <w:iCs/>
                </w:rPr>
                <w:t xml:space="preserve"> 619</w:t>
              </w:r>
            </w:hyperlink>
            <w:r w:rsidRPr="00195127">
              <w:rPr>
                <w:i/>
                <w:iCs/>
              </w:rPr>
              <w:t xml:space="preserve">; </w:t>
            </w:r>
            <w:r w:rsidRPr="00923118">
              <w:rPr>
                <w:i/>
                <w:iCs/>
              </w:rPr>
              <w:t>Document</w:t>
            </w:r>
            <w:r w:rsidR="00C74552" w:rsidRPr="00923118">
              <w:rPr>
                <w:i/>
                <w:iCs/>
              </w:rPr>
              <w:t>o</w:t>
            </w:r>
            <w:r w:rsidR="009F158B" w:rsidRPr="00923118">
              <w:rPr>
                <w:i/>
                <w:iCs/>
              </w:rPr>
              <w:t>s</w:t>
            </w:r>
            <w:r w:rsidR="00525B7F" w:rsidRPr="00923118">
              <w:rPr>
                <w:i/>
                <w:iCs/>
              </w:rPr>
              <w:t> </w:t>
            </w:r>
            <w:hyperlink r:id="rId18" w:history="1">
              <w:r w:rsidRPr="00923118">
                <w:rPr>
                  <w:rStyle w:val="Hyperlink"/>
                  <w:i/>
                  <w:iCs/>
                </w:rPr>
                <w:t>C20/37</w:t>
              </w:r>
            </w:hyperlink>
            <w:r w:rsidRPr="00195127">
              <w:rPr>
                <w:i/>
                <w:iCs/>
              </w:rPr>
              <w:t>;</w:t>
            </w:r>
            <w:r w:rsidR="00525B7F" w:rsidRPr="00195127">
              <w:rPr>
                <w:i/>
                <w:iCs/>
              </w:rPr>
              <w:t xml:space="preserve"> </w:t>
            </w:r>
            <w:hyperlink r:id="rId19" w:history="1">
              <w:r w:rsidRPr="00195127">
                <w:rPr>
                  <w:rStyle w:val="Hyperlink"/>
                  <w:i/>
                  <w:iCs/>
                </w:rPr>
                <w:t>C20/29</w:t>
              </w:r>
            </w:hyperlink>
            <w:r w:rsidRPr="00195127">
              <w:rPr>
                <w:i/>
                <w:iCs/>
              </w:rPr>
              <w:t xml:space="preserve">; </w:t>
            </w:r>
            <w:hyperlink r:id="rId20" w:history="1">
              <w:r w:rsidRPr="00195127">
                <w:rPr>
                  <w:rStyle w:val="Hyperlink"/>
                  <w:i/>
                  <w:iCs/>
                </w:rPr>
                <w:t>C20/53</w:t>
              </w:r>
            </w:hyperlink>
            <w:r w:rsidRPr="00195127">
              <w:rPr>
                <w:i/>
                <w:iCs/>
              </w:rPr>
              <w:t>;</w:t>
            </w:r>
            <w:r w:rsidR="00525B7F" w:rsidRPr="00195127">
              <w:rPr>
                <w:i/>
                <w:iCs/>
              </w:rPr>
              <w:t xml:space="preserve"> </w:t>
            </w:r>
            <w:hyperlink r:id="rId21" w:history="1">
              <w:r w:rsidRPr="00195127">
                <w:rPr>
                  <w:rStyle w:val="Hyperlink"/>
                  <w:i/>
                  <w:iCs/>
                </w:rPr>
                <w:t>C20/15</w:t>
              </w:r>
              <w:bookmarkEnd w:id="11"/>
            </w:hyperlink>
            <w:r w:rsidR="00525B7F" w:rsidRPr="00195127">
              <w:rPr>
                <w:i/>
                <w:iCs/>
              </w:rPr>
              <w:t xml:space="preserve">; </w:t>
            </w:r>
            <w:hyperlink r:id="rId22" w:history="1">
              <w:r w:rsidR="004B109A" w:rsidRPr="00195127">
                <w:rPr>
                  <w:rStyle w:val="Hyperlink"/>
                  <w:i/>
                  <w:iCs/>
                </w:rPr>
                <w:t>C20/7</w:t>
              </w:r>
            </w:hyperlink>
          </w:p>
        </w:tc>
      </w:tr>
    </w:tbl>
    <w:p w14:paraId="34CAC35B" w14:textId="77777777" w:rsidR="007955DA" w:rsidRPr="00195127" w:rsidRDefault="006F64AE" w:rsidP="00F75511">
      <w:pPr>
        <w:pStyle w:val="Heading1"/>
      </w:pPr>
      <w:r w:rsidRPr="00195127">
        <w:t>1</w:t>
      </w:r>
      <w:r w:rsidRPr="00195127">
        <w:tab/>
        <w:t>Introducción</w:t>
      </w:r>
    </w:p>
    <w:p w14:paraId="61B536F9" w14:textId="75464F37" w:rsidR="006F64AE" w:rsidRPr="00195127" w:rsidRDefault="00C74552" w:rsidP="00F75511">
      <w:pPr>
        <w:rPr>
          <w:sz w:val="22"/>
        </w:rPr>
      </w:pPr>
      <w:r w:rsidRPr="00195127">
        <w:t xml:space="preserve">En el Acuerdo 619, adoptado por el Consejo en su reunión adicional celebrada en Ginebra el 27 de septiembre de 2019, se </w:t>
      </w:r>
      <w:r w:rsidR="006F64AE" w:rsidRPr="00195127">
        <w:t>apr</w:t>
      </w:r>
      <w:r w:rsidRPr="00195127">
        <w:t>ue</w:t>
      </w:r>
      <w:r w:rsidR="006F64AE" w:rsidRPr="00195127">
        <w:t>ba el coste definitivo directo del proyecto de</w:t>
      </w:r>
      <w:r w:rsidRPr="00195127">
        <w:t xml:space="preserve"> nueva Sede de la Unión de</w:t>
      </w:r>
      <w:r w:rsidR="006F64AE" w:rsidRPr="00195127">
        <w:t xml:space="preserve"> 170 139 000 CHF, según se describe en el </w:t>
      </w:r>
      <w:r w:rsidR="009F158B" w:rsidRPr="00195127">
        <w:t xml:space="preserve">Documento </w:t>
      </w:r>
      <w:r w:rsidR="006F64AE" w:rsidRPr="00195127">
        <w:t>C19-ADD/2, financiado íntegramente por el préstamo disponible del país anfitrión de 150 000 000 CHF, más 15 140 000</w:t>
      </w:r>
      <w:r w:rsidR="008345D3" w:rsidRPr="00195127">
        <w:t> CHF</w:t>
      </w:r>
      <w:r w:rsidR="006F64AE" w:rsidRPr="00195127">
        <w:t xml:space="preserve"> de patrocinios y donaciones y 5 000 000 CHF del fondo del nuevo edificio</w:t>
      </w:r>
      <w:r w:rsidR="004B109A" w:rsidRPr="00195127">
        <w:t>.</w:t>
      </w:r>
      <w:r w:rsidR="00D62B9A" w:rsidRPr="00195127">
        <w:t xml:space="preserve"> Hasta la fecha, el coste del proyecto no ha variado</w:t>
      </w:r>
      <w:r w:rsidR="004B109A" w:rsidRPr="00195127">
        <w:t>.</w:t>
      </w:r>
    </w:p>
    <w:p w14:paraId="000AE227" w14:textId="439D1102" w:rsidR="00C2727F" w:rsidRPr="00195127" w:rsidRDefault="006F64AE" w:rsidP="00F75511">
      <w:pPr>
        <w:pStyle w:val="Heading1"/>
        <w:rPr>
          <w:bCs/>
        </w:rPr>
      </w:pPr>
      <w:r w:rsidRPr="00195127">
        <w:t>2</w:t>
      </w:r>
      <w:r w:rsidRPr="00195127">
        <w:tab/>
      </w:r>
      <w:bookmarkStart w:id="12" w:name="lt_pId021"/>
      <w:r w:rsidR="00C74552" w:rsidRPr="00195127">
        <w:t>Antecedentes</w:t>
      </w:r>
      <w:bookmarkEnd w:id="12"/>
    </w:p>
    <w:p w14:paraId="0B0EE149" w14:textId="54E733B9" w:rsidR="00D62B9A" w:rsidRPr="00195127" w:rsidRDefault="006F64AE" w:rsidP="00477436">
      <w:r w:rsidRPr="00195127">
        <w:rPr>
          <w:b/>
          <w:bCs/>
        </w:rPr>
        <w:t>2.1</w:t>
      </w:r>
      <w:r w:rsidRPr="00195127">
        <w:tab/>
      </w:r>
      <w:bookmarkStart w:id="13" w:name="lt_pId023"/>
      <w:r w:rsidR="00C74552" w:rsidRPr="00195127">
        <w:t xml:space="preserve">En su reunión </w:t>
      </w:r>
      <w:r w:rsidR="004B109A" w:rsidRPr="00195127">
        <w:t>ad</w:t>
      </w:r>
      <w:r w:rsidR="00D62B9A" w:rsidRPr="00195127">
        <w:t>icional,</w:t>
      </w:r>
      <w:r w:rsidR="004B109A" w:rsidRPr="00195127">
        <w:t xml:space="preserve"> </w:t>
      </w:r>
      <w:r w:rsidR="00C74552" w:rsidRPr="00195127">
        <w:t>el Consejo encargó al Secret</w:t>
      </w:r>
      <w:r w:rsidR="008B6C60" w:rsidRPr="00195127">
        <w:t>a</w:t>
      </w:r>
      <w:r w:rsidR="00C74552" w:rsidRPr="00195127">
        <w:t xml:space="preserve">rio General </w:t>
      </w:r>
      <w:r w:rsidR="008B6C60" w:rsidRPr="00195127">
        <w:t xml:space="preserve">el avance de las actividades previstas y </w:t>
      </w:r>
      <w:r w:rsidR="00C74552" w:rsidRPr="00195127">
        <w:t xml:space="preserve">que rindiese informe </w:t>
      </w:r>
      <w:r w:rsidR="008B6C60" w:rsidRPr="00195127">
        <w:t>al respecto a la reunión del Consejo de junio de</w:t>
      </w:r>
      <w:r w:rsidRPr="00195127">
        <w:t xml:space="preserve"> 2020.</w:t>
      </w:r>
      <w:bookmarkEnd w:id="13"/>
      <w:r w:rsidR="00482FDF" w:rsidRPr="00195127">
        <w:t xml:space="preserve"> </w:t>
      </w:r>
      <w:r w:rsidR="00FB3B40" w:rsidRPr="00195127">
        <w:t xml:space="preserve">Ante </w:t>
      </w:r>
      <w:r w:rsidR="00D62B9A" w:rsidRPr="00195127">
        <w:t>l</w:t>
      </w:r>
      <w:r w:rsidR="00FB3B40" w:rsidRPr="00195127">
        <w:t>a eclosión de la pandemia</w:t>
      </w:r>
      <w:r w:rsidR="00D62B9A" w:rsidRPr="00195127">
        <w:t>,</w:t>
      </w:r>
      <w:r w:rsidR="00F07535" w:rsidRPr="00195127">
        <w:t xml:space="preserve"> se decidió aplazar la</w:t>
      </w:r>
      <w:r w:rsidR="00D62B9A" w:rsidRPr="00195127">
        <w:t xml:space="preserve"> reunión </w:t>
      </w:r>
      <w:r w:rsidR="00F07535" w:rsidRPr="00195127">
        <w:t>presencial</w:t>
      </w:r>
      <w:r w:rsidR="00D62B9A" w:rsidRPr="00195127">
        <w:t xml:space="preserve"> </w:t>
      </w:r>
      <w:r w:rsidR="00F07535" w:rsidRPr="00195127">
        <w:t xml:space="preserve">a </w:t>
      </w:r>
      <w:r w:rsidR="00D62B9A" w:rsidRPr="00195127">
        <w:t>una fecha posterior</w:t>
      </w:r>
      <w:r w:rsidR="00F07535" w:rsidRPr="00195127">
        <w:t xml:space="preserve"> y</w:t>
      </w:r>
      <w:r w:rsidR="00D62B9A" w:rsidRPr="00195127">
        <w:t>,</w:t>
      </w:r>
      <w:r w:rsidR="00F07535" w:rsidRPr="00195127">
        <w:t xml:space="preserve"> en su lugar, celebrar</w:t>
      </w:r>
      <w:r w:rsidR="00D62B9A" w:rsidRPr="00195127">
        <w:t xml:space="preserve"> una consulta virtual de los consejeros en junio de 2020.</w:t>
      </w:r>
    </w:p>
    <w:p w14:paraId="07B04EFD" w14:textId="3181BA4E" w:rsidR="00D62B9A" w:rsidRPr="00195127" w:rsidRDefault="00F07535" w:rsidP="00525B7F">
      <w:pPr>
        <w:rPr>
          <w:szCs w:val="24"/>
        </w:rPr>
      </w:pPr>
      <w:r w:rsidRPr="00195127">
        <w:rPr>
          <w:szCs w:val="24"/>
        </w:rPr>
        <w:lastRenderedPageBreak/>
        <w:t>Los participantes e</w:t>
      </w:r>
      <w:r w:rsidR="00D62B9A" w:rsidRPr="00195127">
        <w:rPr>
          <w:szCs w:val="24"/>
        </w:rPr>
        <w:t xml:space="preserve">n la consulta virtual </w:t>
      </w:r>
      <w:r w:rsidRPr="00195127">
        <w:rPr>
          <w:szCs w:val="24"/>
        </w:rPr>
        <w:t>p</w:t>
      </w:r>
      <w:r w:rsidR="00D62B9A" w:rsidRPr="00195127">
        <w:rPr>
          <w:szCs w:val="24"/>
        </w:rPr>
        <w:t>ropus</w:t>
      </w:r>
      <w:r w:rsidRPr="00195127">
        <w:rPr>
          <w:szCs w:val="24"/>
        </w:rPr>
        <w:t>ieron</w:t>
      </w:r>
      <w:r w:rsidR="00D62B9A" w:rsidRPr="00195127">
        <w:rPr>
          <w:szCs w:val="24"/>
        </w:rPr>
        <w:t xml:space="preserve"> que</w:t>
      </w:r>
      <w:r w:rsidRPr="00195127">
        <w:rPr>
          <w:szCs w:val="24"/>
        </w:rPr>
        <w:t>,</w:t>
      </w:r>
      <w:r w:rsidR="00D62B9A" w:rsidRPr="00195127">
        <w:rPr>
          <w:szCs w:val="24"/>
        </w:rPr>
        <w:t xml:space="preserve"> en la próxima reunión </w:t>
      </w:r>
      <w:r w:rsidRPr="00195127">
        <w:rPr>
          <w:szCs w:val="24"/>
        </w:rPr>
        <w:t>presencial</w:t>
      </w:r>
      <w:r w:rsidR="00D62B9A" w:rsidRPr="00195127">
        <w:rPr>
          <w:szCs w:val="24"/>
        </w:rPr>
        <w:t xml:space="preserve"> del Consejo</w:t>
      </w:r>
      <w:r w:rsidRPr="00195127">
        <w:rPr>
          <w:szCs w:val="24"/>
        </w:rPr>
        <w:t>,</w:t>
      </w:r>
      <w:r w:rsidR="00D62B9A" w:rsidRPr="00195127">
        <w:rPr>
          <w:szCs w:val="24"/>
        </w:rPr>
        <w:t xml:space="preserve"> se tomara nota del informe </w:t>
      </w:r>
      <w:r w:rsidRPr="00195127">
        <w:rPr>
          <w:szCs w:val="24"/>
        </w:rPr>
        <w:t>incluido</w:t>
      </w:r>
      <w:r w:rsidR="00D62B9A" w:rsidRPr="00195127">
        <w:rPr>
          <w:szCs w:val="24"/>
        </w:rPr>
        <w:t xml:space="preserve"> en el </w:t>
      </w:r>
      <w:r w:rsidR="009F158B" w:rsidRPr="00195127">
        <w:rPr>
          <w:szCs w:val="24"/>
        </w:rPr>
        <w:t xml:space="preserve">Documento </w:t>
      </w:r>
      <w:r w:rsidR="00D62B9A" w:rsidRPr="00195127">
        <w:rPr>
          <w:szCs w:val="24"/>
        </w:rPr>
        <w:t>C20/7.</w:t>
      </w:r>
    </w:p>
    <w:p w14:paraId="1B4FA080" w14:textId="3D682ECD" w:rsidR="00D62B9A" w:rsidRPr="00195127" w:rsidRDefault="00D62B9A" w:rsidP="00525B7F">
      <w:pPr>
        <w:rPr>
          <w:szCs w:val="24"/>
        </w:rPr>
      </w:pPr>
      <w:r w:rsidRPr="00195127">
        <w:rPr>
          <w:szCs w:val="24"/>
        </w:rPr>
        <w:t xml:space="preserve">Tal como solicitaron los consejeros, la </w:t>
      </w:r>
      <w:r w:rsidR="009F158B" w:rsidRPr="00195127">
        <w:rPr>
          <w:szCs w:val="24"/>
        </w:rPr>
        <w:t xml:space="preserve">Secretaría </w:t>
      </w:r>
      <w:r w:rsidRPr="00195127">
        <w:rPr>
          <w:szCs w:val="24"/>
        </w:rPr>
        <w:t>está actualizando este informe de situación</w:t>
      </w:r>
      <w:r w:rsidR="00FB3B40" w:rsidRPr="00195127">
        <w:rPr>
          <w:szCs w:val="24"/>
        </w:rPr>
        <w:t>, en el que se</w:t>
      </w:r>
      <w:r w:rsidRPr="00195127">
        <w:rPr>
          <w:szCs w:val="24"/>
        </w:rPr>
        <w:t xml:space="preserve"> responde a las preguntas y observaciones formuladas durante la consulta virtual.</w:t>
      </w:r>
    </w:p>
    <w:p w14:paraId="5344CA58" w14:textId="5C9CE1EF" w:rsidR="00D62B9A" w:rsidRPr="00195127" w:rsidRDefault="00FB3B40" w:rsidP="00525B7F">
      <w:r w:rsidRPr="00195127">
        <w:t>L</w:t>
      </w:r>
      <w:r w:rsidR="00D62B9A" w:rsidRPr="00195127">
        <w:t xml:space="preserve">os </w:t>
      </w:r>
      <w:r w:rsidR="00D62B9A" w:rsidRPr="00195127">
        <w:rPr>
          <w:szCs w:val="24"/>
        </w:rPr>
        <w:t>consejeros</w:t>
      </w:r>
      <w:r w:rsidRPr="00195127">
        <w:t xml:space="preserve"> también</w:t>
      </w:r>
      <w:r w:rsidR="00D62B9A" w:rsidRPr="00195127">
        <w:t xml:space="preserve"> alentaron a la </w:t>
      </w:r>
      <w:r w:rsidR="009F158B" w:rsidRPr="00195127">
        <w:t xml:space="preserve">Secretaría </w:t>
      </w:r>
      <w:r w:rsidR="00D62B9A" w:rsidRPr="00195127">
        <w:t>a que</w:t>
      </w:r>
      <w:r w:rsidR="00F07535" w:rsidRPr="00195127">
        <w:t xml:space="preserve"> examinara</w:t>
      </w:r>
      <w:r w:rsidR="00D62B9A" w:rsidRPr="00195127">
        <w:t xml:space="preserve"> las repercusiones de </w:t>
      </w:r>
      <w:r w:rsidR="00F07535" w:rsidRPr="00195127">
        <w:t xml:space="preserve">la </w:t>
      </w:r>
      <w:r w:rsidR="00D62B9A" w:rsidRPr="00195127">
        <w:t>COVID</w:t>
      </w:r>
      <w:r w:rsidR="009F158B" w:rsidRPr="00195127">
        <w:noBreakHyphen/>
      </w:r>
      <w:r w:rsidR="00D62B9A" w:rsidRPr="00195127">
        <w:t xml:space="preserve">19, </w:t>
      </w:r>
      <w:r w:rsidR="00F07535" w:rsidRPr="00195127">
        <w:t>siguiera investigando</w:t>
      </w:r>
      <w:r w:rsidR="00D62B9A" w:rsidRPr="00195127">
        <w:t xml:space="preserve"> </w:t>
      </w:r>
      <w:r w:rsidR="00F07535" w:rsidRPr="00195127">
        <w:t xml:space="preserve">diferentes opciones para la venta de la Torre de cara a la próxima reunión del GAEM </w:t>
      </w:r>
      <w:r w:rsidR="00D62B9A" w:rsidRPr="00195127">
        <w:t xml:space="preserve">e informara al Consejo </w:t>
      </w:r>
      <w:r w:rsidR="00F07535" w:rsidRPr="00195127">
        <w:t>al respecto en su próxima reunión presencial.</w:t>
      </w:r>
    </w:p>
    <w:p w14:paraId="5DC4A0D3" w14:textId="112DC5C3" w:rsidR="006F64AE" w:rsidRPr="00195127" w:rsidRDefault="006F64AE" w:rsidP="00F75511">
      <w:pPr>
        <w:pStyle w:val="Heading1"/>
        <w:rPr>
          <w:bCs/>
        </w:rPr>
      </w:pPr>
      <w:bookmarkStart w:id="14" w:name="lt_pId024"/>
      <w:r w:rsidRPr="00195127">
        <w:rPr>
          <w:bCs/>
        </w:rPr>
        <w:t>3</w:t>
      </w:r>
      <w:r w:rsidRPr="00195127">
        <w:rPr>
          <w:bCs/>
        </w:rPr>
        <w:tab/>
      </w:r>
      <w:r w:rsidR="008B6C60" w:rsidRPr="00195127">
        <w:rPr>
          <w:bCs/>
        </w:rPr>
        <w:t>Informe sobre la situación del proyecto</w:t>
      </w:r>
      <w:bookmarkEnd w:id="14"/>
    </w:p>
    <w:p w14:paraId="5B5AA8AD" w14:textId="134413D8" w:rsidR="006F64AE" w:rsidRPr="00195127" w:rsidRDefault="006F64AE" w:rsidP="00F75511">
      <w:pPr>
        <w:pStyle w:val="Heading2"/>
      </w:pPr>
      <w:r w:rsidRPr="00195127">
        <w:t>3.1</w:t>
      </w:r>
      <w:r w:rsidRPr="00195127">
        <w:tab/>
      </w:r>
      <w:bookmarkStart w:id="15" w:name="lt_pId026"/>
      <w:r w:rsidR="008B6C60" w:rsidRPr="00195127">
        <w:t>Actualización del diseño</w:t>
      </w:r>
      <w:bookmarkEnd w:id="15"/>
    </w:p>
    <w:p w14:paraId="4005CF83" w14:textId="3C4FF27C" w:rsidR="006F64AE" w:rsidRPr="00195127" w:rsidRDefault="008B6C60" w:rsidP="00032E12">
      <w:pPr>
        <w:rPr>
          <w:rFonts w:asciiTheme="minorHAnsi" w:hAnsiTheme="minorHAnsi" w:cstheme="minorHAnsi"/>
          <w:color w:val="000000" w:themeColor="text1"/>
        </w:rPr>
      </w:pPr>
      <w:bookmarkStart w:id="16" w:name="lt_pId027"/>
      <w:r w:rsidRPr="00195127">
        <w:t>Las fases</w:t>
      </w:r>
      <w:bookmarkStart w:id="17" w:name="lt_pId028"/>
      <w:bookmarkEnd w:id="16"/>
      <w:r w:rsidR="006F64AE" w:rsidRPr="00195127">
        <w:t xml:space="preserve"> 4.32 </w:t>
      </w:r>
      <w:r w:rsidRPr="00195127">
        <w:t>y</w:t>
      </w:r>
      <w:r w:rsidR="006F64AE" w:rsidRPr="00195127">
        <w:t xml:space="preserve"> 4.33 </w:t>
      </w:r>
      <w:r w:rsidRPr="00195127">
        <w:t xml:space="preserve">se </w:t>
      </w:r>
      <w:r w:rsidR="00F07535" w:rsidRPr="00195127">
        <w:t xml:space="preserve">están llevando </w:t>
      </w:r>
      <w:r w:rsidRPr="00195127">
        <w:t>a cabo en paralelo a medida que evolucion</w:t>
      </w:r>
      <w:r w:rsidR="00F07535" w:rsidRPr="00195127">
        <w:t>a</w:t>
      </w:r>
      <w:r w:rsidRPr="00195127">
        <w:t xml:space="preserve"> el proyecto</w:t>
      </w:r>
      <w:r w:rsidR="00C60A6E" w:rsidRPr="00195127">
        <w:rPr>
          <w:rFonts w:asciiTheme="minorHAnsi" w:hAnsiTheme="minorHAnsi" w:cstheme="minorHAnsi"/>
          <w:color w:val="000000" w:themeColor="text1"/>
        </w:rPr>
        <w:t xml:space="preserve"> </w:t>
      </w:r>
      <w:r w:rsidR="00F07535" w:rsidRPr="00195127">
        <w:rPr>
          <w:rFonts w:asciiTheme="minorHAnsi" w:hAnsiTheme="minorHAnsi" w:cstheme="minorHAnsi"/>
          <w:color w:val="000000" w:themeColor="text1"/>
        </w:rPr>
        <w:t>y s</w:t>
      </w:r>
      <w:r w:rsidR="00BA5E9F" w:rsidRPr="00195127">
        <w:rPr>
          <w:rFonts w:asciiTheme="minorHAnsi" w:hAnsiTheme="minorHAnsi" w:cstheme="minorHAnsi"/>
          <w:color w:val="000000" w:themeColor="text1"/>
        </w:rPr>
        <w:t>e espera concluirlas</w:t>
      </w:r>
      <w:r w:rsidR="00584C37" w:rsidRPr="00195127">
        <w:rPr>
          <w:rFonts w:asciiTheme="minorHAnsi" w:hAnsiTheme="minorHAnsi" w:cstheme="minorHAnsi"/>
          <w:color w:val="000000" w:themeColor="text1"/>
        </w:rPr>
        <w:t xml:space="preserve"> a finales de este año</w:t>
      </w:r>
      <w:r w:rsidR="00BA5E9F" w:rsidRPr="00195127">
        <w:rPr>
          <w:rFonts w:asciiTheme="minorHAnsi" w:hAnsiTheme="minorHAnsi" w:cstheme="minorHAnsi"/>
          <w:color w:val="000000" w:themeColor="text1"/>
        </w:rPr>
        <w:t xml:space="preserve"> según lo previsto</w:t>
      </w:r>
      <w:r w:rsidR="006F64AE" w:rsidRPr="00195127">
        <w:t>.</w:t>
      </w:r>
      <w:bookmarkEnd w:id="17"/>
    </w:p>
    <w:p w14:paraId="465251DC" w14:textId="22B0B178" w:rsidR="006F64AE" w:rsidRPr="00195127" w:rsidRDefault="006F64AE" w:rsidP="00F75511">
      <w:pPr>
        <w:pStyle w:val="Heading3"/>
      </w:pPr>
      <w:r w:rsidRPr="00195127">
        <w:t>3.1.1</w:t>
      </w:r>
      <w:r w:rsidRPr="00195127">
        <w:tab/>
      </w:r>
      <w:bookmarkStart w:id="18" w:name="lt_pId034"/>
      <w:r w:rsidR="008B6C60" w:rsidRPr="00195127">
        <w:t>Fase proyecto de construcción (fase</w:t>
      </w:r>
      <w:r w:rsidRPr="00195127">
        <w:t xml:space="preserve"> 4.32)</w:t>
      </w:r>
      <w:bookmarkEnd w:id="18"/>
    </w:p>
    <w:p w14:paraId="62DFA637" w14:textId="2261439C" w:rsidR="00032E12" w:rsidRPr="00195127" w:rsidRDefault="00032E12" w:rsidP="00525B7F">
      <w:r w:rsidRPr="00195127">
        <w:t xml:space="preserve">La fase 4.32 procede </w:t>
      </w:r>
      <w:r w:rsidR="00BA5E9F" w:rsidRPr="00195127">
        <w:t>según el calendario provisional del proyecto</w:t>
      </w:r>
      <w:r w:rsidRPr="00195127">
        <w:t>.</w:t>
      </w:r>
    </w:p>
    <w:p w14:paraId="5DFA2681" w14:textId="7ADA5A1F" w:rsidR="00032E12" w:rsidRPr="00195127" w:rsidRDefault="00032E12" w:rsidP="00525B7F">
      <w:r w:rsidRPr="00195127">
        <w:t xml:space="preserve">Desde </w:t>
      </w:r>
      <w:r w:rsidR="00BA5E9F" w:rsidRPr="00195127">
        <w:t>la eclosión</w:t>
      </w:r>
      <w:r w:rsidRPr="00195127">
        <w:t xml:space="preserve"> de la pandemia y dada la incertidumbre que rodea a las repercusiones de la COVID en el desarrollo del</w:t>
      </w:r>
      <w:r w:rsidR="00BA5E9F" w:rsidRPr="00195127">
        <w:t xml:space="preserve"> futuro</w:t>
      </w:r>
      <w:r w:rsidRPr="00195127">
        <w:t xml:space="preserve"> diseño de las oficinas, el equipo se centró principalmente en la confirmación del programa y</w:t>
      </w:r>
      <w:r w:rsidR="00BA5E9F" w:rsidRPr="00195127">
        <w:t xml:space="preserve"> en</w:t>
      </w:r>
      <w:r w:rsidRPr="00195127">
        <w:t xml:space="preserve"> </w:t>
      </w:r>
      <w:r w:rsidR="00C65847" w:rsidRPr="00195127">
        <w:t>la concepción</w:t>
      </w:r>
      <w:r w:rsidRPr="00195127">
        <w:t xml:space="preserve"> de las zonas públicas y de conferencias. </w:t>
      </w:r>
      <w:r w:rsidR="00BA5E9F" w:rsidRPr="00195127">
        <w:t>La</w:t>
      </w:r>
      <w:r w:rsidR="009F158B" w:rsidRPr="00195127">
        <w:t> </w:t>
      </w:r>
      <w:r w:rsidR="00BA5E9F" w:rsidRPr="00195127">
        <w:t>infraestructura técnica de l</w:t>
      </w:r>
      <w:r w:rsidRPr="00195127">
        <w:t>as cuatro plantas administrativas</w:t>
      </w:r>
      <w:r w:rsidR="00C65847" w:rsidRPr="00195127">
        <w:t xml:space="preserve"> destinadas a </w:t>
      </w:r>
      <w:r w:rsidRPr="00195127">
        <w:t xml:space="preserve">espacios abiertos de oficinas se ha </w:t>
      </w:r>
      <w:r w:rsidR="00177789" w:rsidRPr="00195127">
        <w:t xml:space="preserve">diseñado </w:t>
      </w:r>
      <w:r w:rsidR="007B1F1D" w:rsidRPr="00195127">
        <w:t>para</w:t>
      </w:r>
      <w:r w:rsidR="00584C37" w:rsidRPr="00195127">
        <w:t xml:space="preserve"> lograr la máxima flexibilidad y</w:t>
      </w:r>
      <w:r w:rsidR="007B1F1D" w:rsidRPr="00195127">
        <w:t>, de</w:t>
      </w:r>
      <w:r w:rsidR="00584C37" w:rsidRPr="00195127">
        <w:t xml:space="preserve"> esta forma, </w:t>
      </w:r>
      <w:r w:rsidR="007B1F1D" w:rsidRPr="00195127">
        <w:t>satisfacer</w:t>
      </w:r>
      <w:r w:rsidRPr="00195127">
        <w:t xml:space="preserve"> los requisitos de diseño que se definirán una vez finali</w:t>
      </w:r>
      <w:r w:rsidR="00177789" w:rsidRPr="00195127">
        <w:t>zada</w:t>
      </w:r>
      <w:r w:rsidRPr="00195127">
        <w:t xml:space="preserve"> </w:t>
      </w:r>
      <w:r w:rsidR="00177789" w:rsidRPr="00195127">
        <w:t>l</w:t>
      </w:r>
      <w:r w:rsidRPr="00195127">
        <w:t>a estrategia integral</w:t>
      </w:r>
      <w:r w:rsidR="00177789" w:rsidRPr="00195127">
        <w:t xml:space="preserve"> en la que se detallarán las repercusiones</w:t>
      </w:r>
      <w:r w:rsidRPr="00195127">
        <w:t xml:space="preserve"> en nuestros </w:t>
      </w:r>
      <w:r w:rsidR="00177789" w:rsidRPr="00195127">
        <w:t>métodos</w:t>
      </w:r>
      <w:r w:rsidRPr="00195127">
        <w:t xml:space="preserve"> de trabajo.</w:t>
      </w:r>
    </w:p>
    <w:p w14:paraId="6F950116" w14:textId="72CC4370" w:rsidR="00C60A6E" w:rsidRPr="00195127" w:rsidRDefault="00032E12" w:rsidP="00525B7F">
      <w:r w:rsidRPr="00195127">
        <w:t xml:space="preserve">En octubre se dispondrá de la estimación de los costes de la fase 4.32 y se celebrará la sesión de </w:t>
      </w:r>
      <w:r w:rsidR="00F3583F" w:rsidRPr="00195127">
        <w:t>análisis de valor</w:t>
      </w:r>
      <w:r w:rsidR="00F3583F" w:rsidRPr="00195127">
        <w:rPr>
          <w:rStyle w:val="FootnoteReference"/>
        </w:rPr>
        <w:footnoteReference w:id="1"/>
      </w:r>
      <w:r w:rsidR="00F3583F" w:rsidRPr="00195127">
        <w:t xml:space="preserve"> </w:t>
      </w:r>
      <w:r w:rsidRPr="00195127">
        <w:t>prevista.</w:t>
      </w:r>
    </w:p>
    <w:p w14:paraId="03AE89D9" w14:textId="459CDAA9" w:rsidR="006F64AE" w:rsidRPr="00195127" w:rsidRDefault="006F64AE" w:rsidP="00F75511">
      <w:pPr>
        <w:pStyle w:val="Heading3"/>
      </w:pPr>
      <w:r w:rsidRPr="00195127">
        <w:t>3.1.2</w:t>
      </w:r>
      <w:r w:rsidRPr="00195127">
        <w:tab/>
      </w:r>
      <w:bookmarkStart w:id="19" w:name="lt_pId045"/>
      <w:r w:rsidR="004045CB" w:rsidRPr="00195127">
        <w:t>Solicitud del permiso de construcción</w:t>
      </w:r>
      <w:r w:rsidRPr="00195127">
        <w:t xml:space="preserve"> (</w:t>
      </w:r>
      <w:r w:rsidR="004045CB" w:rsidRPr="00195127">
        <w:t>fase</w:t>
      </w:r>
      <w:r w:rsidRPr="00195127">
        <w:t xml:space="preserve"> 4.33)</w:t>
      </w:r>
      <w:bookmarkEnd w:id="19"/>
      <w:r w:rsidR="00C60A6E" w:rsidRPr="00195127">
        <w:t xml:space="preserve"> </w:t>
      </w:r>
      <w:r w:rsidR="00F3583F" w:rsidRPr="00195127">
        <w:t>y consulta con las autoridades locales</w:t>
      </w:r>
    </w:p>
    <w:p w14:paraId="08A41CCE" w14:textId="3BB907F7" w:rsidR="00F3583F" w:rsidRPr="00195127" w:rsidRDefault="006B17F4" w:rsidP="00C60A6E">
      <w:r w:rsidRPr="00195127">
        <w:t>La fase de solicitud del permiso de construcción procede</w:t>
      </w:r>
      <w:r w:rsidR="00F3583F" w:rsidRPr="00195127">
        <w:t xml:space="preserve"> según lo previsto. Se están llevando a cabo consultas virtuales con las diferentes oficinas cantonales y se han </w:t>
      </w:r>
      <w:r w:rsidRPr="00195127">
        <w:t>resuelto</w:t>
      </w:r>
      <w:r w:rsidR="00F3583F" w:rsidRPr="00195127">
        <w:t xml:space="preserve"> algunas cuestiones </w:t>
      </w:r>
      <w:r w:rsidR="007B1F1D" w:rsidRPr="00195127">
        <w:t xml:space="preserve">de índole </w:t>
      </w:r>
      <w:r w:rsidR="00F3583F" w:rsidRPr="00195127">
        <w:t>menor antes de la presentación de los documentos.</w:t>
      </w:r>
    </w:p>
    <w:p w14:paraId="79933D44" w14:textId="44736FC3" w:rsidR="00C60A6E" w:rsidRPr="00195127" w:rsidRDefault="00F3583F" w:rsidP="006B17F4">
      <w:r w:rsidRPr="00195127">
        <w:t>El calendario para la presentación de los documentos es el siguiente:</w:t>
      </w:r>
    </w:p>
    <w:p w14:paraId="141C5D35" w14:textId="52FE8C5D" w:rsidR="006F64AE" w:rsidRPr="00195127" w:rsidRDefault="00DB218E" w:rsidP="00967210">
      <w:pPr>
        <w:pStyle w:val="enumlev1"/>
      </w:pPr>
      <w:bookmarkStart w:id="20" w:name="lt_pId049"/>
      <w:r w:rsidRPr="00195127">
        <w:t>•</w:t>
      </w:r>
      <w:r w:rsidRPr="00195127">
        <w:tab/>
      </w:r>
      <w:r w:rsidR="006B17F4" w:rsidRPr="00195127">
        <w:t>Noviembre</w:t>
      </w:r>
      <w:r w:rsidR="00C60A6E" w:rsidRPr="00195127">
        <w:t xml:space="preserve"> </w:t>
      </w:r>
      <w:r w:rsidR="004045CB" w:rsidRPr="00195127">
        <w:t>de</w:t>
      </w:r>
      <w:r w:rsidR="006F64AE" w:rsidRPr="00195127">
        <w:t xml:space="preserve"> 2020 </w:t>
      </w:r>
      <w:r w:rsidR="004045CB" w:rsidRPr="00195127">
        <w:t>–</w:t>
      </w:r>
      <w:r w:rsidR="006F64AE" w:rsidRPr="00195127">
        <w:t xml:space="preserve"> </w:t>
      </w:r>
      <w:r w:rsidR="004045CB" w:rsidRPr="00195127">
        <w:t>Presentación del proyecto de solicitud de permiso</w:t>
      </w:r>
      <w:bookmarkEnd w:id="20"/>
      <w:r w:rsidR="008345D3" w:rsidRPr="00195127">
        <w:t>.</w:t>
      </w:r>
    </w:p>
    <w:p w14:paraId="1F306AE2" w14:textId="2EF9244E" w:rsidR="006F64AE" w:rsidRPr="00195127" w:rsidRDefault="006F64AE" w:rsidP="00967210">
      <w:pPr>
        <w:pStyle w:val="enumlev1"/>
      </w:pPr>
      <w:bookmarkStart w:id="21" w:name="_Hlk53751123"/>
      <w:bookmarkStart w:id="22" w:name="lt_pId050"/>
      <w:r w:rsidRPr="00195127">
        <w:t>•</w:t>
      </w:r>
      <w:bookmarkEnd w:id="21"/>
      <w:r w:rsidRPr="00195127">
        <w:tab/>
        <w:t>D</w:t>
      </w:r>
      <w:r w:rsidR="004045CB" w:rsidRPr="00195127">
        <w:t>iciembre</w:t>
      </w:r>
      <w:r w:rsidR="00C60A6E" w:rsidRPr="00195127">
        <w:t xml:space="preserve"> </w:t>
      </w:r>
      <w:r w:rsidR="008E79FC" w:rsidRPr="00195127">
        <w:t xml:space="preserve">de </w:t>
      </w:r>
      <w:r w:rsidR="00C60A6E" w:rsidRPr="00195127">
        <w:t>2020</w:t>
      </w:r>
      <w:r w:rsidRPr="00195127">
        <w:t xml:space="preserve"> </w:t>
      </w:r>
      <w:r w:rsidR="004045CB" w:rsidRPr="00195127">
        <w:t>–</w:t>
      </w:r>
      <w:r w:rsidRPr="00195127">
        <w:t xml:space="preserve"> </w:t>
      </w:r>
      <w:r w:rsidR="004045CB" w:rsidRPr="00195127">
        <w:t>Presentación de la solicitud de permiso a las autoridades locales</w:t>
      </w:r>
      <w:bookmarkEnd w:id="22"/>
      <w:r w:rsidR="008345D3" w:rsidRPr="00195127">
        <w:t>.</w:t>
      </w:r>
    </w:p>
    <w:p w14:paraId="1F813586" w14:textId="21C485CA" w:rsidR="006F64AE" w:rsidRPr="00195127" w:rsidRDefault="004045CB" w:rsidP="00F75511">
      <w:bookmarkStart w:id="23" w:name="lt_pId051"/>
      <w:r w:rsidRPr="00195127">
        <w:t xml:space="preserve">Se estima que el tiempo necesario para la obtención del permiso de </w:t>
      </w:r>
      <w:r w:rsidR="008345D3" w:rsidRPr="00195127">
        <w:t xml:space="preserve">construcción oscila entre </w:t>
      </w:r>
      <w:r w:rsidR="00967210" w:rsidRPr="00195127">
        <w:t>3 y </w:t>
      </w:r>
      <w:r w:rsidR="008345D3" w:rsidRPr="00195127">
        <w:t>6 </w:t>
      </w:r>
      <w:r w:rsidRPr="00195127">
        <w:t>meses</w:t>
      </w:r>
      <w:r w:rsidR="006F64AE" w:rsidRPr="00195127">
        <w:t>.</w:t>
      </w:r>
      <w:bookmarkEnd w:id="23"/>
    </w:p>
    <w:p w14:paraId="34042958" w14:textId="04872C3A" w:rsidR="006F64AE" w:rsidRPr="00195127" w:rsidRDefault="00C60A6E" w:rsidP="00967210">
      <w:pPr>
        <w:pStyle w:val="Heading2"/>
      </w:pPr>
      <w:r w:rsidRPr="00195127">
        <w:lastRenderedPageBreak/>
        <w:t>3.2</w:t>
      </w:r>
      <w:r w:rsidR="006F64AE" w:rsidRPr="00195127">
        <w:tab/>
      </w:r>
      <w:bookmarkStart w:id="24" w:name="lt_pId058"/>
      <w:r w:rsidR="005A39DB" w:rsidRPr="00195127">
        <w:t>Aplicación de los requisitos del</w:t>
      </w:r>
      <w:r w:rsidR="006F64AE" w:rsidRPr="00195127">
        <w:t xml:space="preserve"> UNDSS </w:t>
      </w:r>
      <w:r w:rsidR="005A39DB" w:rsidRPr="00195127">
        <w:t>para el cumplimiento de las MOSS de las Naciones Unidas en el espacio público</w:t>
      </w:r>
      <w:bookmarkEnd w:id="24"/>
    </w:p>
    <w:p w14:paraId="1EB2F0C2" w14:textId="03D48385" w:rsidR="006F64AE" w:rsidRPr="00195127" w:rsidRDefault="005A39DB" w:rsidP="00F75511">
      <w:bookmarkStart w:id="25" w:name="lt_pId059"/>
      <w:r w:rsidRPr="00195127">
        <w:t>La necesidad de aplicar los requisitos del</w:t>
      </w:r>
      <w:r w:rsidR="006F64AE" w:rsidRPr="00195127">
        <w:t xml:space="preserve"> UNDS</w:t>
      </w:r>
      <w:r w:rsidRPr="00195127">
        <w:t>S surge de un proceso independiente iniciado con el País Anfitrión con miras al cumplimiento de las MOSS de las Naciones Unidas en el espacio público</w:t>
      </w:r>
      <w:r w:rsidR="006F64AE" w:rsidRPr="00195127">
        <w:t>.</w:t>
      </w:r>
      <w:bookmarkEnd w:id="25"/>
    </w:p>
    <w:p w14:paraId="6FB31429" w14:textId="7BDAC3CB" w:rsidR="006B17F4" w:rsidRPr="00195127" w:rsidRDefault="006B17F4" w:rsidP="00EB59F1">
      <w:r w:rsidRPr="00195127">
        <w:t xml:space="preserve">Durante la consulta virtual de los consejeros que se celebró en junio, el consejero de Suiza anunció que el </w:t>
      </w:r>
      <w:r w:rsidR="0047515E" w:rsidRPr="00195127">
        <w:t>calendario del estudio de viabilidad del país anfitrión sobre la aplicación de las medidas de seguridad en el dominio público comprendía dos condicionantes</w:t>
      </w:r>
      <w:r w:rsidRPr="00195127">
        <w:t>:</w:t>
      </w:r>
    </w:p>
    <w:p w14:paraId="168E0869" w14:textId="50B86E8F" w:rsidR="006B17F4" w:rsidRPr="00195127" w:rsidRDefault="00754BF8" w:rsidP="00754BF8">
      <w:pPr>
        <w:pStyle w:val="enumlev1"/>
      </w:pPr>
      <w:r w:rsidRPr="00195127">
        <w:t>•</w:t>
      </w:r>
      <w:r w:rsidRPr="00195127">
        <w:tab/>
      </w:r>
      <w:r w:rsidR="006B17F4" w:rsidRPr="00195127">
        <w:t>la presentación de la solicitud para la obtención de un permiso de construcción, prevista para el 18 de diciembre de 2020; y</w:t>
      </w:r>
    </w:p>
    <w:p w14:paraId="1FDB1A76" w14:textId="1B936E4C" w:rsidR="006B17F4" w:rsidRPr="00195127" w:rsidRDefault="00754BF8" w:rsidP="00754BF8">
      <w:pPr>
        <w:pStyle w:val="enumlev1"/>
      </w:pPr>
      <w:r w:rsidRPr="00195127">
        <w:t>•</w:t>
      </w:r>
      <w:r w:rsidRPr="00195127">
        <w:tab/>
      </w:r>
      <w:r w:rsidR="006B17F4" w:rsidRPr="00195127">
        <w:t xml:space="preserve">la decisión de las autoridades cantonales de Ginebra con respecto a la movilidad del sector. A ese respecto, se ha invitado a la UIT a una presentación </w:t>
      </w:r>
      <w:r w:rsidR="0047515E" w:rsidRPr="00195127">
        <w:t>en la materia</w:t>
      </w:r>
      <w:r w:rsidR="006B17F4" w:rsidRPr="00195127">
        <w:t xml:space="preserve"> que tendrá lugar el 8</w:t>
      </w:r>
      <w:r w:rsidRPr="00195127">
        <w:t> </w:t>
      </w:r>
      <w:r w:rsidR="006B17F4" w:rsidRPr="00195127">
        <w:t>de octubre de 2020.</w:t>
      </w:r>
    </w:p>
    <w:p w14:paraId="51BC1290" w14:textId="1B1469EB" w:rsidR="006B17F4" w:rsidRPr="00195127" w:rsidRDefault="0047515E" w:rsidP="00EB59F1">
      <w:r w:rsidRPr="00195127">
        <w:t>Teniendo en cuenta esos dos factores y la incidencia de la pandemia de COVID-19, el alcance del estudio</w:t>
      </w:r>
      <w:r w:rsidR="006B17F4" w:rsidRPr="00195127">
        <w:t xml:space="preserve"> no se definiría </w:t>
      </w:r>
      <w:r w:rsidRPr="00195127">
        <w:t xml:space="preserve">antes del primer trimestre de 2021 y los primeros resultados </w:t>
      </w:r>
      <w:r w:rsidR="006B17F4" w:rsidRPr="00195127">
        <w:t>de</w:t>
      </w:r>
      <w:r w:rsidRPr="00195127">
        <w:t>l</w:t>
      </w:r>
      <w:r w:rsidR="006B17F4" w:rsidRPr="00195127">
        <w:t xml:space="preserve"> plan de viabilidad no estarían disponibles antes de principios de 2022.</w:t>
      </w:r>
    </w:p>
    <w:p w14:paraId="0AEC126B" w14:textId="01FB2704" w:rsidR="006B17F4" w:rsidRPr="00195127" w:rsidRDefault="006B17F4" w:rsidP="00EB59F1">
      <w:r w:rsidRPr="00195127">
        <w:t>No obstante, el país anfitrión aseguró a la UIT que el calendario del estudio de viabilidad y la aplicación de</w:t>
      </w:r>
      <w:r w:rsidR="0047515E" w:rsidRPr="00195127">
        <w:t xml:space="preserve"> las</w:t>
      </w:r>
      <w:r w:rsidRPr="00195127">
        <w:t xml:space="preserve"> medidas </w:t>
      </w:r>
      <w:r w:rsidR="0047515E" w:rsidRPr="00195127">
        <w:t>seguía</w:t>
      </w:r>
      <w:r w:rsidRPr="00195127">
        <w:t xml:space="preserve"> siendo plenamente compatible con la fecha de puesta en servicio prevista para el nuevo edificio.</w:t>
      </w:r>
    </w:p>
    <w:p w14:paraId="53B9A217" w14:textId="77E526A5" w:rsidR="006F64AE" w:rsidRPr="00195127" w:rsidRDefault="00DC442D" w:rsidP="00F75511">
      <w:pPr>
        <w:pStyle w:val="Heading2"/>
      </w:pPr>
      <w:r w:rsidRPr="00195127">
        <w:t>3.</w:t>
      </w:r>
      <w:r w:rsidR="00EB59F1" w:rsidRPr="00195127">
        <w:t>3</w:t>
      </w:r>
      <w:r w:rsidR="006F64AE" w:rsidRPr="00195127">
        <w:tab/>
      </w:r>
      <w:bookmarkStart w:id="26" w:name="lt_pId071"/>
      <w:r w:rsidR="008D5853" w:rsidRPr="00195127">
        <w:t>Patrocinio y donaciones</w:t>
      </w:r>
      <w:bookmarkEnd w:id="26"/>
    </w:p>
    <w:p w14:paraId="618CDE82" w14:textId="77777777" w:rsidR="008D5853" w:rsidRPr="00195127" w:rsidRDefault="008D5853" w:rsidP="00F75511">
      <w:bookmarkStart w:id="27" w:name="lt_pId072"/>
      <w:r w:rsidRPr="00195127">
        <w:t>Desde que se adoptara el Acuerdo</w:t>
      </w:r>
      <w:r w:rsidR="006F64AE" w:rsidRPr="00195127">
        <w:t xml:space="preserve"> 619, </w:t>
      </w:r>
      <w:r w:rsidRPr="00195127">
        <w:t>la UIT no ha recibido más patrocinios o donaciones.</w:t>
      </w:r>
    </w:p>
    <w:p w14:paraId="138C21ED" w14:textId="24783AB3" w:rsidR="006F64AE" w:rsidRPr="00195127" w:rsidRDefault="008D5853" w:rsidP="00F75511">
      <w:pPr>
        <w:rPr>
          <w:rFonts w:asciiTheme="minorHAnsi" w:hAnsiTheme="minorHAnsi" w:cstheme="minorHAnsi"/>
          <w:szCs w:val="24"/>
        </w:rPr>
      </w:pPr>
      <w:r w:rsidRPr="00195127">
        <w:t xml:space="preserve">De conformidad con el </w:t>
      </w:r>
      <w:r w:rsidRPr="00195127">
        <w:rPr>
          <w:i/>
          <w:iCs/>
        </w:rPr>
        <w:t xml:space="preserve">acuerda </w:t>
      </w:r>
      <w:r w:rsidRPr="00195127">
        <w:t>4 del Acuerdo 619</w:t>
      </w:r>
      <w:bookmarkStart w:id="28" w:name="lt_pId074"/>
      <w:bookmarkEnd w:id="27"/>
      <w:r w:rsidR="004E4657" w:rsidRPr="00195127">
        <w:t>, cualquier patrocinio o donación futura se utili</w:t>
      </w:r>
      <w:r w:rsidRPr="00195127">
        <w:t>zará</w:t>
      </w:r>
      <w:r w:rsidR="004E4657" w:rsidRPr="00195127">
        <w:t xml:space="preserve"> exclusivamente para compensar el coste final directo del proyecto sin crear nuevos costes indirectos o más retrasos en el proyecto, y no aument</w:t>
      </w:r>
      <w:r w:rsidRPr="00195127">
        <w:t>ará</w:t>
      </w:r>
      <w:r w:rsidR="004E4657" w:rsidRPr="00195127">
        <w:t xml:space="preserve"> el </w:t>
      </w:r>
      <w:r w:rsidRPr="00195127">
        <w:t>cost</w:t>
      </w:r>
      <w:r w:rsidR="00B506BD" w:rsidRPr="00195127">
        <w:t>e final directo aprobado de 170 139 000 </w:t>
      </w:r>
      <w:r w:rsidRPr="00195127">
        <w:t>CHF. Por este motivo es improbable que se reciban más patrocinios</w:t>
      </w:r>
      <w:r w:rsidR="006F64AE" w:rsidRPr="00195127">
        <w:rPr>
          <w:rFonts w:asciiTheme="minorHAnsi" w:hAnsiTheme="minorHAnsi" w:cstheme="minorHAnsi"/>
          <w:szCs w:val="24"/>
        </w:rPr>
        <w:t>.</w:t>
      </w:r>
      <w:bookmarkEnd w:id="28"/>
    </w:p>
    <w:p w14:paraId="01FE4536" w14:textId="366271F9" w:rsidR="006F64AE" w:rsidRPr="00195127" w:rsidRDefault="008D5853" w:rsidP="00F75511">
      <w:bookmarkStart w:id="29" w:name="lt_pId075"/>
      <w:r w:rsidRPr="00195127">
        <w:t>Por ejemplo, un patrocinador puede desear mejorar el edificio ofreciendo un suelo de mármol para la entrada, en lugar del recubrimiento de cemento básico. Esto aumentaría el costo del proyecto, pero no el costo para la UIT</w:t>
      </w:r>
      <w:r w:rsidR="00C51C6F" w:rsidRPr="00195127">
        <w:t>, que incluso podría reducirse, pues se deduciría el costo del recubrimiento de cemento del total para la UIT</w:t>
      </w:r>
      <w:bookmarkStart w:id="30" w:name="lt_pId076"/>
      <w:bookmarkEnd w:id="29"/>
      <w:r w:rsidR="006F64AE" w:rsidRPr="00195127">
        <w:t>.</w:t>
      </w:r>
      <w:bookmarkEnd w:id="30"/>
    </w:p>
    <w:p w14:paraId="12B1E05E" w14:textId="5E71FA90" w:rsidR="006F64AE" w:rsidRPr="00195127" w:rsidRDefault="00C51C6F" w:rsidP="00E13B86">
      <w:bookmarkStart w:id="31" w:name="lt_pId077"/>
      <w:r w:rsidRPr="00195127">
        <w:t xml:space="preserve">Por consiguiente, la </w:t>
      </w:r>
      <w:r w:rsidR="009F158B" w:rsidRPr="00195127">
        <w:t xml:space="preserve">Secretaría </w:t>
      </w:r>
      <w:r w:rsidRPr="00195127">
        <w:t xml:space="preserve">solicitó al GAEM que examinase este asunto y solicitase al Consejo la reconsideración del </w:t>
      </w:r>
      <w:r w:rsidRPr="00195127">
        <w:rPr>
          <w:i/>
          <w:iCs/>
        </w:rPr>
        <w:t>acuerda</w:t>
      </w:r>
      <w:r w:rsidR="006F64AE" w:rsidRPr="00195127">
        <w:t xml:space="preserve"> 4 </w:t>
      </w:r>
      <w:r w:rsidRPr="00195127">
        <w:t>a fin de poder aceptar futuros patrocinios y donaciones incluso si ello implica un aumento de los costes directos y/o indirectos del proyecto, siempre y cuando no se aumente el costo para la UIT</w:t>
      </w:r>
      <w:r w:rsidR="006F64AE" w:rsidRPr="00195127">
        <w:t>.</w:t>
      </w:r>
      <w:bookmarkEnd w:id="31"/>
      <w:r w:rsidR="006F64AE" w:rsidRPr="00195127">
        <w:t xml:space="preserve"> </w:t>
      </w:r>
      <w:r w:rsidR="00E13B86" w:rsidRPr="00195127">
        <w:t xml:space="preserve">El GAEM examinó este asunto en su reunión de julio y convino en </w:t>
      </w:r>
      <w:r w:rsidR="00E13B86" w:rsidRPr="00195127">
        <w:rPr>
          <w:i/>
          <w:iCs/>
        </w:rPr>
        <w:t>no llegar a ninguna conclusión respecto de esa solicitud, salvo la de estar de acuerdo con la importancia de alcanzar un acuerdo oportuno sobre la cuestión y de recordar a todos que las donaciones no repercuten en los costos</w:t>
      </w:r>
      <w:r w:rsidR="009F158B" w:rsidRPr="00195127">
        <w:rPr>
          <w:rFonts w:cstheme="minorHAnsi"/>
          <w:color w:val="000000" w:themeColor="text1"/>
          <w:position w:val="6"/>
          <w:sz w:val="16"/>
        </w:rPr>
        <w:footnoteReference w:id="2"/>
      </w:r>
      <w:r w:rsidR="00E13B86" w:rsidRPr="00195127">
        <w:t>.</w:t>
      </w:r>
    </w:p>
    <w:p w14:paraId="4CF92F05" w14:textId="35992709" w:rsidR="006F64AE" w:rsidRPr="00195127" w:rsidRDefault="00DC442D" w:rsidP="00F75511">
      <w:pPr>
        <w:pStyle w:val="Heading2"/>
      </w:pPr>
      <w:r w:rsidRPr="00195127">
        <w:lastRenderedPageBreak/>
        <w:t>3.</w:t>
      </w:r>
      <w:r w:rsidR="00EB59F1" w:rsidRPr="00195127">
        <w:t>4</w:t>
      </w:r>
      <w:r w:rsidR="006F64AE" w:rsidRPr="00195127">
        <w:tab/>
      </w:r>
      <w:bookmarkStart w:id="32" w:name="lt_pId079"/>
      <w:r w:rsidR="00C51C6F" w:rsidRPr="00195127">
        <w:t>Presentación de la segunda solicitud de préstamo</w:t>
      </w:r>
      <w:bookmarkEnd w:id="32"/>
    </w:p>
    <w:p w14:paraId="0E8DBE7E" w14:textId="33A3BF84" w:rsidR="006F64AE" w:rsidRPr="00195127" w:rsidRDefault="00C51C6F" w:rsidP="00F75511">
      <w:bookmarkStart w:id="33" w:name="lt_pId080"/>
      <w:r w:rsidRPr="00195127">
        <w:t>La documentación técnica para solicitar la segunda parte del préstamo de</w:t>
      </w:r>
      <w:r w:rsidR="006F64AE" w:rsidRPr="00195127">
        <w:t> 150</w:t>
      </w:r>
      <w:r w:rsidRPr="00195127">
        <w:t xml:space="preserve"> </w:t>
      </w:r>
      <w:r w:rsidR="006F64AE" w:rsidRPr="00195127">
        <w:t>000</w:t>
      </w:r>
      <w:r w:rsidRPr="00195127">
        <w:t xml:space="preserve"> </w:t>
      </w:r>
      <w:r w:rsidR="006F64AE" w:rsidRPr="00195127">
        <w:t xml:space="preserve">000 </w:t>
      </w:r>
      <w:r w:rsidRPr="00195127">
        <w:t>CHF (</w:t>
      </w:r>
      <w:r w:rsidR="006F64AE" w:rsidRPr="00195127">
        <w:t>138</w:t>
      </w:r>
      <w:r w:rsidR="00B506BD" w:rsidRPr="00195127">
        <w:t> </w:t>
      </w:r>
      <w:r w:rsidR="006F64AE" w:rsidRPr="00195127">
        <w:t>000</w:t>
      </w:r>
      <w:r w:rsidR="00B506BD" w:rsidRPr="00195127">
        <w:t> </w:t>
      </w:r>
      <w:r w:rsidR="006F64AE" w:rsidRPr="00195127">
        <w:t>000</w:t>
      </w:r>
      <w:r w:rsidR="00B506BD" w:rsidRPr="00195127">
        <w:t> </w:t>
      </w:r>
      <w:r w:rsidRPr="00195127">
        <w:t>CHF</w:t>
      </w:r>
      <w:r w:rsidR="006F64AE" w:rsidRPr="00195127">
        <w:t xml:space="preserve">) </w:t>
      </w:r>
      <w:r w:rsidRPr="00195127">
        <w:t>se presentó a las autoridades suizas el 9 de diciembre de 2019</w:t>
      </w:r>
      <w:r w:rsidR="006F64AE" w:rsidRPr="00195127">
        <w:t>.</w:t>
      </w:r>
      <w:bookmarkEnd w:id="33"/>
    </w:p>
    <w:p w14:paraId="524E7D2F" w14:textId="6B3AABC8" w:rsidR="00C823D4" w:rsidRPr="00195127" w:rsidRDefault="009A4E26" w:rsidP="009F158B">
      <w:r w:rsidRPr="00195127">
        <w:t>Estado del proceso de autorización:</w:t>
      </w:r>
    </w:p>
    <w:p w14:paraId="32D92849" w14:textId="77B95109" w:rsidR="009A4E26" w:rsidRPr="00195127" w:rsidRDefault="00C823D4">
      <w:pPr>
        <w:pStyle w:val="enumlev1"/>
      </w:pPr>
      <w:r w:rsidRPr="00195127">
        <w:t>•</w:t>
      </w:r>
      <w:r w:rsidRPr="00195127">
        <w:tab/>
      </w:r>
      <w:r w:rsidR="009A4E26" w:rsidRPr="00195127">
        <w:t xml:space="preserve">22 de abril de 2020 </w:t>
      </w:r>
      <w:r w:rsidR="00CC386B" w:rsidRPr="00195127">
        <w:rPr>
          <w:rFonts w:asciiTheme="minorHAnsi" w:hAnsiTheme="minorHAnsi" w:cstheme="minorHAnsi"/>
          <w:color w:val="000000" w:themeColor="text1"/>
        </w:rPr>
        <w:t>–</w:t>
      </w:r>
      <w:r w:rsidR="009A4E26" w:rsidRPr="00195127">
        <w:t xml:space="preserve"> El Consejo Federal aprueba la suma de 95,6 millones CHF.</w:t>
      </w:r>
    </w:p>
    <w:p w14:paraId="0FCEEF2C" w14:textId="50C32DA5" w:rsidR="00C823D4" w:rsidRPr="00195127" w:rsidRDefault="00DB218E" w:rsidP="0016030C">
      <w:pPr>
        <w:pStyle w:val="enumlev1"/>
      </w:pPr>
      <w:r w:rsidRPr="00195127">
        <w:t>•</w:t>
      </w:r>
      <w:r w:rsidR="00C823D4" w:rsidRPr="00195127">
        <w:rPr>
          <w:rFonts w:asciiTheme="minorHAnsi" w:hAnsiTheme="minorHAnsi" w:cstheme="minorHAnsi"/>
          <w:color w:val="000000" w:themeColor="text1"/>
        </w:rPr>
        <w:tab/>
      </w:r>
      <w:r w:rsidR="009A4E26" w:rsidRPr="00195127">
        <w:rPr>
          <w:rFonts w:asciiTheme="minorHAnsi" w:hAnsiTheme="minorHAnsi" w:cstheme="minorHAnsi"/>
          <w:color w:val="000000" w:themeColor="text1"/>
        </w:rPr>
        <w:t xml:space="preserve">1 de julio de 2020 </w:t>
      </w:r>
      <w:bookmarkStart w:id="34" w:name="_Hlk53749723"/>
      <w:r w:rsidR="009A4E26" w:rsidRPr="00195127">
        <w:rPr>
          <w:rFonts w:asciiTheme="minorHAnsi" w:hAnsiTheme="minorHAnsi" w:cstheme="minorHAnsi"/>
          <w:color w:val="000000" w:themeColor="text1"/>
        </w:rPr>
        <w:t>–</w:t>
      </w:r>
      <w:bookmarkEnd w:id="34"/>
      <w:r w:rsidR="009A4E26" w:rsidRPr="00195127">
        <w:rPr>
          <w:rFonts w:asciiTheme="minorHAnsi" w:hAnsiTheme="minorHAnsi" w:cstheme="minorHAnsi"/>
          <w:color w:val="000000" w:themeColor="text1"/>
        </w:rPr>
        <w:t xml:space="preserve"> El Consejo de </w:t>
      </w:r>
      <w:r w:rsidR="009A4E26" w:rsidRPr="00195127">
        <w:t>Estado</w:t>
      </w:r>
      <w:r w:rsidR="009A4E26" w:rsidRPr="00195127">
        <w:rPr>
          <w:rFonts w:asciiTheme="minorHAnsi" w:hAnsiTheme="minorHAnsi" w:cstheme="minorHAnsi"/>
          <w:color w:val="000000" w:themeColor="text1"/>
        </w:rPr>
        <w:t xml:space="preserve"> emite un comunicado de prensa relativo al apoyo financiero cantonal a su contribución por valor de</w:t>
      </w:r>
      <w:bookmarkStart w:id="35" w:name="lt_pId081"/>
      <w:r w:rsidR="0016030C" w:rsidRPr="00195127">
        <w:t xml:space="preserve"> </w:t>
      </w:r>
      <w:r w:rsidR="00B52BCF" w:rsidRPr="00195127">
        <w:t xml:space="preserve">los 42 400 000 CHF restantes, para la financiación del proyecto de demolición y reconstrucción de la Sede de la UIT. </w:t>
      </w:r>
      <w:r w:rsidR="009A4E26" w:rsidRPr="00195127">
        <w:t>Cabe prever que el Gran Consejo exam</w:t>
      </w:r>
      <w:r w:rsidR="00904E29" w:rsidRPr="00195127">
        <w:t>in</w:t>
      </w:r>
      <w:r w:rsidR="009A4E26" w:rsidRPr="00195127">
        <w:t>e el proyecto de ley y lo apruebe a finales de año</w:t>
      </w:r>
      <w:r w:rsidR="00C823D4" w:rsidRPr="00195127">
        <w:t>.</w:t>
      </w:r>
      <w:bookmarkEnd w:id="35"/>
    </w:p>
    <w:p w14:paraId="67132EE9" w14:textId="22CDF251" w:rsidR="00C823D4" w:rsidRPr="00195127" w:rsidRDefault="00C823D4" w:rsidP="0016030C">
      <w:pPr>
        <w:pStyle w:val="enumlev1"/>
      </w:pPr>
      <w:bookmarkStart w:id="36" w:name="_Hlk53749582"/>
      <w:r w:rsidRPr="00195127">
        <w:t>•</w:t>
      </w:r>
      <w:bookmarkEnd w:id="36"/>
      <w:r w:rsidRPr="00195127">
        <w:tab/>
      </w:r>
      <w:r w:rsidR="009A4E26" w:rsidRPr="00195127">
        <w:t xml:space="preserve">Agosto de 2020 </w:t>
      </w:r>
      <w:r w:rsidR="00CC386B" w:rsidRPr="00195127">
        <w:rPr>
          <w:rFonts w:asciiTheme="minorHAnsi" w:hAnsiTheme="minorHAnsi" w:cstheme="minorHAnsi"/>
          <w:color w:val="000000" w:themeColor="text1"/>
        </w:rPr>
        <w:t>–</w:t>
      </w:r>
      <w:r w:rsidR="009A4E26" w:rsidRPr="00195127">
        <w:t xml:space="preserve"> </w:t>
      </w:r>
      <w:r w:rsidR="000B6D97" w:rsidRPr="00195127">
        <w:t>Se recibe la aprobación unánime de la Comisión Financiera a</w:t>
      </w:r>
      <w:r w:rsidR="009A4E26" w:rsidRPr="00195127">
        <w:t xml:space="preserve"> la solicitud de préstamo</w:t>
      </w:r>
      <w:r w:rsidRPr="00195127">
        <w:t>.</w:t>
      </w:r>
    </w:p>
    <w:p w14:paraId="0D3F6B38" w14:textId="2333E2A3" w:rsidR="006F64AE" w:rsidRPr="00195127" w:rsidRDefault="00DB218E" w:rsidP="0016030C">
      <w:pPr>
        <w:pStyle w:val="enumlev1"/>
        <w:rPr>
          <w:rFonts w:asciiTheme="minorHAnsi" w:hAnsiTheme="minorHAnsi" w:cstheme="minorHAnsi"/>
          <w:color w:val="000000" w:themeColor="text1"/>
        </w:rPr>
      </w:pPr>
      <w:r w:rsidRPr="00195127">
        <w:t>•</w:t>
      </w:r>
      <w:r w:rsidR="00C823D4" w:rsidRPr="00195127">
        <w:rPr>
          <w:rFonts w:asciiTheme="minorHAnsi" w:hAnsiTheme="minorHAnsi" w:cstheme="minorHAnsi"/>
          <w:color w:val="000000" w:themeColor="text1"/>
        </w:rPr>
        <w:tab/>
      </w:r>
      <w:r w:rsidR="0016030C" w:rsidRPr="00195127">
        <w:rPr>
          <w:rFonts w:asciiTheme="minorHAnsi" w:hAnsiTheme="minorHAnsi" w:cstheme="minorHAnsi"/>
          <w:color w:val="000000" w:themeColor="text1"/>
        </w:rPr>
        <w:t xml:space="preserve">21 de septiembre de 2020 </w:t>
      </w:r>
      <w:r w:rsidR="00C823D4" w:rsidRPr="00195127">
        <w:rPr>
          <w:rFonts w:asciiTheme="minorHAnsi" w:hAnsiTheme="minorHAnsi" w:cstheme="minorHAnsi"/>
          <w:color w:val="000000" w:themeColor="text1"/>
        </w:rPr>
        <w:t>–</w:t>
      </w:r>
      <w:bookmarkStart w:id="37" w:name="lt_pId084"/>
      <w:r w:rsidR="0016030C" w:rsidRPr="00195127">
        <w:t>L</w:t>
      </w:r>
      <w:r w:rsidR="00B52BCF" w:rsidRPr="00195127">
        <w:t xml:space="preserve">a primera Cámara </w:t>
      </w:r>
      <w:r w:rsidR="0016030C" w:rsidRPr="00195127">
        <w:t>d</w:t>
      </w:r>
      <w:r w:rsidR="000B6D97" w:rsidRPr="00195127">
        <w:t>a</w:t>
      </w:r>
      <w:r w:rsidR="0016030C" w:rsidRPr="00195127">
        <w:t xml:space="preserve"> su aprobación </w:t>
      </w:r>
      <w:r w:rsidR="00B52BCF" w:rsidRPr="00195127">
        <w:t>en la sesión de otoño</w:t>
      </w:r>
      <w:bookmarkEnd w:id="37"/>
      <w:r w:rsidR="009F158B" w:rsidRPr="00195127">
        <w:rPr>
          <w:rFonts w:asciiTheme="minorHAnsi" w:hAnsiTheme="minorHAnsi" w:cstheme="minorHAnsi"/>
          <w:color w:val="000000" w:themeColor="text1"/>
        </w:rPr>
        <w:t>.</w:t>
      </w:r>
    </w:p>
    <w:p w14:paraId="5500F59F" w14:textId="1B9C369E" w:rsidR="006F64AE" w:rsidRPr="00195127" w:rsidRDefault="00DB218E" w:rsidP="00F75511">
      <w:pPr>
        <w:pStyle w:val="enumlev1"/>
        <w:rPr>
          <w:rFonts w:asciiTheme="minorHAnsi" w:hAnsiTheme="minorHAnsi" w:cstheme="minorHAnsi"/>
          <w:color w:val="000000" w:themeColor="text1"/>
        </w:rPr>
      </w:pPr>
      <w:bookmarkStart w:id="38" w:name="lt_pId085"/>
      <w:r w:rsidRPr="00195127">
        <w:t>•</w:t>
      </w:r>
      <w:r w:rsidR="004E4657" w:rsidRPr="00195127">
        <w:tab/>
      </w:r>
      <w:r w:rsidR="0016030C" w:rsidRPr="00195127">
        <w:t xml:space="preserve">Noviembre-diciembre de </w:t>
      </w:r>
      <w:r w:rsidR="00C823D4" w:rsidRPr="00195127">
        <w:t>2020 –</w:t>
      </w:r>
      <w:r w:rsidR="0016030C" w:rsidRPr="00195127">
        <w:t xml:space="preserve"> L</w:t>
      </w:r>
      <w:r w:rsidR="00B52BCF" w:rsidRPr="00195127">
        <w:t xml:space="preserve">a segunda Cámara </w:t>
      </w:r>
      <w:r w:rsidR="0016030C" w:rsidRPr="00195127">
        <w:rPr>
          <w:rFonts w:asciiTheme="minorHAnsi" w:hAnsiTheme="minorHAnsi" w:cstheme="minorHAnsi"/>
          <w:color w:val="000000" w:themeColor="text1"/>
        </w:rPr>
        <w:t>debat</w:t>
      </w:r>
      <w:r w:rsidR="000B6D97" w:rsidRPr="00195127">
        <w:rPr>
          <w:rFonts w:asciiTheme="minorHAnsi" w:hAnsiTheme="minorHAnsi" w:cstheme="minorHAnsi"/>
          <w:color w:val="000000" w:themeColor="text1"/>
        </w:rPr>
        <w:t>e</w:t>
      </w:r>
      <w:r w:rsidR="0016030C" w:rsidRPr="00195127">
        <w:rPr>
          <w:rFonts w:asciiTheme="minorHAnsi" w:hAnsiTheme="minorHAnsi" w:cstheme="minorHAnsi"/>
          <w:color w:val="000000" w:themeColor="text1"/>
        </w:rPr>
        <w:t xml:space="preserve"> la cuestión </w:t>
      </w:r>
      <w:r w:rsidR="00B52BCF" w:rsidRPr="00195127">
        <w:t>en la sesión de invierno</w:t>
      </w:r>
      <w:r w:rsidR="0016030C" w:rsidRPr="00195127">
        <w:t>.</w:t>
      </w:r>
      <w:bookmarkEnd w:id="38"/>
    </w:p>
    <w:p w14:paraId="20DBAA08" w14:textId="4D6B0B17" w:rsidR="006F64AE" w:rsidRPr="00195127" w:rsidRDefault="00B52BCF" w:rsidP="00F75511">
      <w:bookmarkStart w:id="39" w:name="lt_pId086"/>
      <w:r w:rsidRPr="00195127">
        <w:t>Se prevé que los fondos puedan estar disponibles a principios de 2021. Mientras tanto, la primera parte del préstamo del País Anfitrión permanecerá disponible hasta junio de</w:t>
      </w:r>
      <w:bookmarkStart w:id="40" w:name="lt_pId087"/>
      <w:bookmarkEnd w:id="39"/>
      <w:r w:rsidR="006F64AE" w:rsidRPr="00195127">
        <w:t xml:space="preserve"> 2021.</w:t>
      </w:r>
      <w:bookmarkEnd w:id="40"/>
    </w:p>
    <w:p w14:paraId="2616C382" w14:textId="36D4288D" w:rsidR="006F64AE" w:rsidRPr="00195127" w:rsidRDefault="00DC442D" w:rsidP="00F75511">
      <w:pPr>
        <w:pStyle w:val="Heading2"/>
      </w:pPr>
      <w:r w:rsidRPr="00195127">
        <w:t>3.</w:t>
      </w:r>
      <w:r w:rsidR="003D409D" w:rsidRPr="00195127">
        <w:t>5</w:t>
      </w:r>
      <w:r w:rsidR="006F64AE" w:rsidRPr="00195127">
        <w:tab/>
      </w:r>
      <w:bookmarkStart w:id="41" w:name="lt_pId089"/>
      <w:r w:rsidR="006F64AE" w:rsidRPr="00195127">
        <w:t>R</w:t>
      </w:r>
      <w:r w:rsidR="00B52BCF" w:rsidRPr="00195127">
        <w:t>egistro de riesgo</w:t>
      </w:r>
      <w:bookmarkEnd w:id="41"/>
    </w:p>
    <w:p w14:paraId="52571A75" w14:textId="2D1A9BA8" w:rsidR="006F64AE" w:rsidRPr="00195127" w:rsidRDefault="00F269FF" w:rsidP="00F75511">
      <w:bookmarkStart w:id="42" w:name="lt_pId090"/>
      <w:r w:rsidRPr="00195127">
        <w:t xml:space="preserve">Se preparó un </w:t>
      </w:r>
      <w:r w:rsidR="0016030C" w:rsidRPr="00195127">
        <w:t xml:space="preserve">Registro </w:t>
      </w:r>
      <w:r w:rsidRPr="00195127">
        <w:t xml:space="preserve">de </w:t>
      </w:r>
      <w:r w:rsidR="0016030C" w:rsidRPr="00195127">
        <w:t xml:space="preserve">Riesgos </w:t>
      </w:r>
      <w:r w:rsidRPr="00195127">
        <w:t>global para la reunión adicional del Consejo celebrada en septiembre de</w:t>
      </w:r>
      <w:r w:rsidR="006F64AE" w:rsidRPr="00195127">
        <w:t xml:space="preserve"> 2019</w:t>
      </w:r>
      <w:r w:rsidR="0016030C" w:rsidRPr="00195127">
        <w:t>,</w:t>
      </w:r>
      <w:bookmarkStart w:id="43" w:name="lt_pId091"/>
      <w:bookmarkEnd w:id="42"/>
      <w:r w:rsidRPr="00195127">
        <w:t xml:space="preserve"> que evalúa periódicamente el programa para identificar las posibles consecuencias de su ejecución futura</w:t>
      </w:r>
      <w:r w:rsidR="006F64AE" w:rsidRPr="00195127">
        <w:t>.</w:t>
      </w:r>
      <w:bookmarkEnd w:id="43"/>
    </w:p>
    <w:p w14:paraId="70D23A5E" w14:textId="595A7DF2" w:rsidR="00DB218E" w:rsidRPr="00195127" w:rsidRDefault="00DB218E" w:rsidP="00F75511">
      <w:r w:rsidRPr="00195127">
        <w:t>En su última reunión, el GAEM llevó a cabo un análisis pormenorizado del Registro de Riesgos. Este examen del Registro de Riesgos tuvo por objeto informar a la secretaría de todos los riesgos percibidos por los miembros que no figuraban en el registro, y solicitar aclaraciones sobre los riesgos incluidos.</w:t>
      </w:r>
    </w:p>
    <w:p w14:paraId="5DC6D66D" w14:textId="2C8CA160" w:rsidR="0016030C" w:rsidRPr="00195127" w:rsidRDefault="0016030C" w:rsidP="009F158B">
      <w:r w:rsidRPr="00195127">
        <w:t xml:space="preserve">Se observó que el Registro de </w:t>
      </w:r>
      <w:r w:rsidR="009B7AC0" w:rsidRPr="00195127">
        <w:t xml:space="preserve">Riesgos </w:t>
      </w:r>
      <w:r w:rsidRPr="00195127">
        <w:t>e</w:t>
      </w:r>
      <w:r w:rsidR="009B7AC0" w:rsidRPr="00195127">
        <w:t>ra</w:t>
      </w:r>
      <w:r w:rsidRPr="00195127">
        <w:t xml:space="preserve"> independiente del </w:t>
      </w:r>
      <w:r w:rsidR="009B7AC0" w:rsidRPr="00195127">
        <w:t>Fondo de</w:t>
      </w:r>
      <w:r w:rsidR="00AB204A" w:rsidRPr="00195127">
        <w:t>l</w:t>
      </w:r>
      <w:r w:rsidR="009B7AC0" w:rsidRPr="00195127">
        <w:t xml:space="preserve"> Registro de Riesgos</w:t>
      </w:r>
      <w:r w:rsidRPr="00195127">
        <w:t>,</w:t>
      </w:r>
      <w:r w:rsidR="009B7AC0" w:rsidRPr="00195127">
        <w:t xml:space="preserve"> creado y aprobado en virtud del Acuerdo</w:t>
      </w:r>
      <w:r w:rsidRPr="00195127">
        <w:t xml:space="preserve"> 619 del Consejo. Aunque las estimaciones de</w:t>
      </w:r>
      <w:r w:rsidR="00B01251" w:rsidRPr="00195127">
        <w:t xml:space="preserve"> los</w:t>
      </w:r>
      <w:r w:rsidRPr="00195127">
        <w:t xml:space="preserve"> cost</w:t>
      </w:r>
      <w:r w:rsidR="00AB204A" w:rsidRPr="00195127">
        <w:t>e</w:t>
      </w:r>
      <w:r w:rsidRPr="00195127">
        <w:t>s</w:t>
      </w:r>
      <w:r w:rsidR="00AB204A" w:rsidRPr="00195127">
        <w:t xml:space="preserve"> podían</w:t>
      </w:r>
      <w:r w:rsidRPr="00195127">
        <w:t xml:space="preserve"> var</w:t>
      </w:r>
      <w:r w:rsidR="00AB204A" w:rsidRPr="00195127">
        <w:t>iar</w:t>
      </w:r>
      <w:r w:rsidRPr="00195127">
        <w:t xml:space="preserve"> </w:t>
      </w:r>
      <w:r w:rsidR="00AB204A" w:rsidRPr="00195127">
        <w:t>en el transcurso</w:t>
      </w:r>
      <w:r w:rsidRPr="00195127">
        <w:t xml:space="preserve"> del proyecto, el porcentaje de incertidumbre vinculado al diseño del proyecto</w:t>
      </w:r>
      <w:r w:rsidR="00AB204A" w:rsidRPr="00195127">
        <w:t xml:space="preserve"> había sido </w:t>
      </w:r>
      <w:r w:rsidRPr="00195127">
        <w:t>definido y aprobado por el Consejo</w:t>
      </w:r>
      <w:r w:rsidR="00AB204A" w:rsidRPr="00195127">
        <w:t xml:space="preserve"> en su Acuerdo</w:t>
      </w:r>
      <w:r w:rsidRPr="00195127">
        <w:t xml:space="preserve"> 619 y se ajusta</w:t>
      </w:r>
      <w:r w:rsidR="00AB204A" w:rsidRPr="00195127">
        <w:t>ba</w:t>
      </w:r>
      <w:r w:rsidRPr="00195127">
        <w:t xml:space="preserve"> a los </w:t>
      </w:r>
      <w:r w:rsidR="00371D9B" w:rsidRPr="00195127">
        <w:t>parámetros</w:t>
      </w:r>
      <w:r w:rsidRPr="00195127">
        <w:t xml:space="preserve"> de referencia de</w:t>
      </w:r>
      <w:r w:rsidR="00B01251" w:rsidRPr="00195127">
        <w:t xml:space="preserve"> otros</w:t>
      </w:r>
      <w:r w:rsidRPr="00195127">
        <w:t xml:space="preserve"> proyectos de construcción similares.</w:t>
      </w:r>
    </w:p>
    <w:p w14:paraId="6910DB7A" w14:textId="0EBDD269" w:rsidR="006F64AE" w:rsidRPr="00195127" w:rsidRDefault="006F64AE" w:rsidP="00F75511">
      <w:bookmarkStart w:id="44" w:name="lt_pId104"/>
      <w:r w:rsidRPr="00195127">
        <w:t xml:space="preserve">A 31 </w:t>
      </w:r>
      <w:r w:rsidR="00C54241" w:rsidRPr="00195127">
        <w:t>de diciembre de</w:t>
      </w:r>
      <w:r w:rsidRPr="00195127">
        <w:t xml:space="preserve"> 2019</w:t>
      </w:r>
      <w:r w:rsidR="00C54241" w:rsidRPr="00195127">
        <w:t xml:space="preserve"> el Fondo del registro de riesgos arrojaba un saldo de </w:t>
      </w:r>
      <w:r w:rsidRPr="00195127">
        <w:t>1</w:t>
      </w:r>
      <w:r w:rsidR="00C54241" w:rsidRPr="00195127">
        <w:t xml:space="preserve"> </w:t>
      </w:r>
      <w:r w:rsidRPr="00195127">
        <w:t>425</w:t>
      </w:r>
      <w:r w:rsidR="00C54241" w:rsidRPr="00195127">
        <w:t xml:space="preserve"> </w:t>
      </w:r>
      <w:r w:rsidRPr="00195127">
        <w:t>000</w:t>
      </w:r>
      <w:r w:rsidR="00C54241" w:rsidRPr="00195127">
        <w:t xml:space="preserve"> CHF</w:t>
      </w:r>
      <w:r w:rsidRPr="00195127">
        <w:t>.</w:t>
      </w:r>
      <w:bookmarkEnd w:id="44"/>
    </w:p>
    <w:p w14:paraId="2D8A2782" w14:textId="15169D12" w:rsidR="00AB204A" w:rsidRPr="00195127" w:rsidRDefault="00AB204A" w:rsidP="009F158B">
      <w:bookmarkStart w:id="45" w:name="lt_pId105"/>
      <w:r w:rsidRPr="00195127">
        <w:t xml:space="preserve">A medida que el proyecto avanza y los costes se van precisando, el riesgo de error se reduce y el </w:t>
      </w:r>
      <w:r w:rsidR="00B01251" w:rsidRPr="00195127">
        <w:t>coste asociado</w:t>
      </w:r>
      <w:r w:rsidRPr="00195127">
        <w:t xml:space="preserve"> </w:t>
      </w:r>
      <w:r w:rsidR="00F34355" w:rsidRPr="00195127">
        <w:t>de</w:t>
      </w:r>
      <w:r w:rsidR="00B01251" w:rsidRPr="00195127">
        <w:t xml:space="preserve">crece </w:t>
      </w:r>
      <w:r w:rsidRPr="00195127">
        <w:t>automáticamente. Por tanto, el registro</w:t>
      </w:r>
      <w:r w:rsidR="00DF295B" w:rsidRPr="00195127">
        <w:t xml:space="preserve"> no se mantiene con el objetivo de </w:t>
      </w:r>
      <w:r w:rsidRPr="00195127">
        <w:t xml:space="preserve">revisar el presupuesto </w:t>
      </w:r>
      <w:r w:rsidR="00DF295B" w:rsidRPr="00195127">
        <w:t>constantemente, sino de contar con</w:t>
      </w:r>
      <w:r w:rsidRPr="00195127">
        <w:t xml:space="preserve"> un</w:t>
      </w:r>
      <w:r w:rsidR="00B01251" w:rsidRPr="00195127">
        <w:t>a</w:t>
      </w:r>
      <w:r w:rsidRPr="00195127">
        <w:t xml:space="preserve"> </w:t>
      </w:r>
      <w:r w:rsidR="00B01251" w:rsidRPr="00195127">
        <w:t>herramienta p</w:t>
      </w:r>
      <w:r w:rsidRPr="00195127">
        <w:t>ara comprobar si</w:t>
      </w:r>
      <w:r w:rsidR="00DF295B" w:rsidRPr="00195127">
        <w:t xml:space="preserve"> la suma prevista</w:t>
      </w:r>
      <w:r w:rsidRPr="00195127">
        <w:t xml:space="preserve"> </w:t>
      </w:r>
      <w:r w:rsidR="00DF295B" w:rsidRPr="00195127">
        <w:t>sería</w:t>
      </w:r>
      <w:r w:rsidRPr="00195127">
        <w:t xml:space="preserve"> suficiente en caso de que se produ</w:t>
      </w:r>
      <w:r w:rsidR="00DF295B" w:rsidRPr="00195127">
        <w:t>jese</w:t>
      </w:r>
      <w:r w:rsidRPr="00195127">
        <w:t>n los riesgos más probables.</w:t>
      </w:r>
    </w:p>
    <w:p w14:paraId="4B17C857" w14:textId="642C3690" w:rsidR="003D409D" w:rsidRPr="00195127" w:rsidRDefault="00584C37" w:rsidP="009F158B">
      <w:r w:rsidRPr="00195127">
        <w:t>Con la progresión d</w:t>
      </w:r>
      <w:r w:rsidR="00AB204A" w:rsidRPr="00195127">
        <w:t xml:space="preserve">el proyecto, algunos riesgos se </w:t>
      </w:r>
      <w:r w:rsidR="006E33E3" w:rsidRPr="00195127">
        <w:t>suprimen</w:t>
      </w:r>
      <w:r w:rsidR="00AB204A" w:rsidRPr="00195127">
        <w:t xml:space="preserve"> del cuadro (por ejemplo, la aprobación del proyecto por el Consejo el año pasado,</w:t>
      </w:r>
      <w:r w:rsidR="000331BF" w:rsidRPr="00195127">
        <w:t xml:space="preserve"> lo</w:t>
      </w:r>
      <w:r w:rsidR="00AB204A" w:rsidRPr="00195127">
        <w:t xml:space="preserve"> que </w:t>
      </w:r>
      <w:r w:rsidR="006E33E3" w:rsidRPr="00195127">
        <w:t>tuvo lugar en la sesión</w:t>
      </w:r>
      <w:r w:rsidR="00AB204A" w:rsidRPr="00195127">
        <w:t xml:space="preserve"> adicional de septiembre). </w:t>
      </w:r>
      <w:r w:rsidR="006E33E3" w:rsidRPr="00195127">
        <w:t>De</w:t>
      </w:r>
      <w:r w:rsidR="00CC386B" w:rsidRPr="00195127">
        <w:t>l</w:t>
      </w:r>
      <w:r w:rsidR="006E33E3" w:rsidRPr="00195127">
        <w:t xml:space="preserve"> mismo modo</w:t>
      </w:r>
      <w:r w:rsidR="00AB204A" w:rsidRPr="00195127">
        <w:t xml:space="preserve">, pueden incluirse nuevos riesgos, como la pandemia de </w:t>
      </w:r>
      <w:r w:rsidR="006E33E3" w:rsidRPr="00195127">
        <w:t>COVID</w:t>
      </w:r>
      <w:r w:rsidR="00AB204A" w:rsidRPr="00195127">
        <w:t xml:space="preserve">-19 y sus </w:t>
      </w:r>
      <w:r w:rsidR="006E33E3" w:rsidRPr="00195127">
        <w:t>repercusiones</w:t>
      </w:r>
      <w:r w:rsidR="00AB204A" w:rsidRPr="00195127">
        <w:t xml:space="preserve">. El </w:t>
      </w:r>
      <w:r w:rsidR="009F158B" w:rsidRPr="00195127">
        <w:t xml:space="preserve">Anexo </w:t>
      </w:r>
      <w:r w:rsidR="00AB204A" w:rsidRPr="00195127">
        <w:t xml:space="preserve">A </w:t>
      </w:r>
      <w:r w:rsidR="006E33E3" w:rsidRPr="00195127">
        <w:t>contiene</w:t>
      </w:r>
      <w:r w:rsidR="00AB204A" w:rsidRPr="00195127">
        <w:t xml:space="preserve"> un extracto </w:t>
      </w:r>
      <w:r w:rsidR="006E33E3" w:rsidRPr="00195127">
        <w:t>en el que figuran</w:t>
      </w:r>
      <w:r w:rsidR="00AB204A" w:rsidRPr="00195127">
        <w:t xml:space="preserve"> los riesgos más importantes y sus cost</w:t>
      </w:r>
      <w:r w:rsidR="006E33E3" w:rsidRPr="00195127">
        <w:t>e</w:t>
      </w:r>
      <w:r w:rsidR="00AB204A" w:rsidRPr="00195127">
        <w:t>s estimados.</w:t>
      </w:r>
    </w:p>
    <w:p w14:paraId="7F8A8CF2" w14:textId="77777777" w:rsidR="00DB218E" w:rsidRPr="00195127" w:rsidRDefault="0099433D" w:rsidP="00DB218E">
      <w:pPr>
        <w:pStyle w:val="FigureNo"/>
        <w:rPr>
          <w:lang w:eastAsia="zh-CN"/>
        </w:rPr>
      </w:pPr>
      <w:r w:rsidRPr="00195127">
        <w:rPr>
          <w:lang w:eastAsia="zh-CN"/>
        </w:rPr>
        <w:lastRenderedPageBreak/>
        <w:t>Figura</w:t>
      </w:r>
    </w:p>
    <w:p w14:paraId="6A6D90B0" w14:textId="7F3B23B7" w:rsidR="003D409D" w:rsidRPr="00195127" w:rsidRDefault="0099433D" w:rsidP="00880953">
      <w:pPr>
        <w:pStyle w:val="Figuretitle"/>
      </w:pPr>
      <w:r w:rsidRPr="00195127">
        <w:t xml:space="preserve">Los 10 riesgos más relevantes </w:t>
      </w:r>
      <w:r w:rsidR="000331BF" w:rsidRPr="00195127">
        <w:t>frente a</w:t>
      </w:r>
      <w:r w:rsidRPr="00195127">
        <w:t>l Fondo de Registro de Riesgos</w:t>
      </w:r>
    </w:p>
    <w:p w14:paraId="282F09FF" w14:textId="4A965693" w:rsidR="000B41BA" w:rsidRPr="00195127" w:rsidRDefault="000B41BA" w:rsidP="000B41BA">
      <w:pPr>
        <w:pStyle w:val="Figure"/>
        <w:rPr>
          <w:rFonts w:cs="Calibri"/>
          <w:szCs w:val="24"/>
          <w:lang w:eastAsia="zh-CN"/>
        </w:rPr>
      </w:pPr>
      <w:r w:rsidRPr="00195127">
        <w:rPr>
          <w:noProof/>
        </w:rPr>
        <w:drawing>
          <wp:inline distT="0" distB="0" distL="0" distR="0" wp14:anchorId="04843367" wp14:editId="6E205ED9">
            <wp:extent cx="6120765" cy="4145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4145915"/>
                    </a:xfrm>
                    <a:prstGeom prst="rect">
                      <a:avLst/>
                    </a:prstGeom>
                  </pic:spPr>
                </pic:pic>
              </a:graphicData>
            </a:graphic>
          </wp:inline>
        </w:drawing>
      </w:r>
    </w:p>
    <w:p w14:paraId="2B6D9B4D" w14:textId="3BA7C231" w:rsidR="004F543D" w:rsidRPr="00195127" w:rsidRDefault="004F543D" w:rsidP="009F158B">
      <w:pPr>
        <w:pStyle w:val="Note"/>
      </w:pPr>
      <w:r w:rsidRPr="00195127">
        <w:t>Nota: La probabilidad de que todos los riesgos presentados se produzcan al mismo tiempo no es realista.</w:t>
      </w:r>
    </w:p>
    <w:p w14:paraId="46C0D054" w14:textId="60915BE9" w:rsidR="006F64AE" w:rsidRPr="00195127" w:rsidRDefault="009B5D74" w:rsidP="009F158B">
      <w:r w:rsidRPr="00195127">
        <w:t xml:space="preserve">El Registro de riesgos </w:t>
      </w:r>
      <w:r w:rsidR="004F543D" w:rsidRPr="00195127">
        <w:t>completo</w:t>
      </w:r>
      <w:r w:rsidRPr="00195127">
        <w:t xml:space="preserve"> actualizado puede consultarse </w:t>
      </w:r>
      <w:hyperlink r:id="rId24" w:history="1">
        <w:r w:rsidRPr="00195127">
          <w:rPr>
            <w:rStyle w:val="Hyperlink"/>
          </w:rPr>
          <w:t>aquí</w:t>
        </w:r>
      </w:hyperlink>
      <w:r w:rsidR="003D409D" w:rsidRPr="00195127">
        <w:t>.</w:t>
      </w:r>
      <w:bookmarkEnd w:id="45"/>
    </w:p>
    <w:p w14:paraId="6E050DC4" w14:textId="54C12CA7" w:rsidR="006F64AE" w:rsidRPr="00195127" w:rsidRDefault="00DC442D" w:rsidP="00F75511">
      <w:pPr>
        <w:pStyle w:val="Heading2"/>
      </w:pPr>
      <w:r w:rsidRPr="00195127">
        <w:t>3.</w:t>
      </w:r>
      <w:r w:rsidR="009B5D74" w:rsidRPr="00195127">
        <w:t>6</w:t>
      </w:r>
      <w:r w:rsidR="006F64AE" w:rsidRPr="00195127">
        <w:tab/>
      </w:r>
      <w:bookmarkStart w:id="46" w:name="lt_pId107"/>
      <w:r w:rsidR="00BF3E8A" w:rsidRPr="00195127">
        <w:t>Programa</w:t>
      </w:r>
      <w:r w:rsidR="00C54241" w:rsidRPr="00195127">
        <w:t xml:space="preserve"> de gastos o rastreador de costos</w:t>
      </w:r>
      <w:bookmarkEnd w:id="46"/>
    </w:p>
    <w:p w14:paraId="52EDFD95" w14:textId="48939F0C" w:rsidR="006F64AE" w:rsidRPr="00195127" w:rsidRDefault="00C54241" w:rsidP="00F75511">
      <w:bookmarkStart w:id="47" w:name="lt_pId108"/>
      <w:r w:rsidRPr="00195127">
        <w:t xml:space="preserve">Desde el inicio del proyecto se rastrean y actualizan los avances en las tareas, es decir, </w:t>
      </w:r>
      <w:r w:rsidR="00BF3E8A" w:rsidRPr="00195127">
        <w:t>la cantidad de trabajo realizado en cada tarea o el porcentaje de tareas finalizadas</w:t>
      </w:r>
      <w:r w:rsidR="006F64AE" w:rsidRPr="00195127">
        <w:t>.</w:t>
      </w:r>
      <w:bookmarkEnd w:id="47"/>
    </w:p>
    <w:p w14:paraId="0F260DD4" w14:textId="1DC3545C" w:rsidR="006F64AE" w:rsidRPr="00195127" w:rsidRDefault="00BF3E8A" w:rsidP="00F75511">
      <w:bookmarkStart w:id="48" w:name="lt_pId109"/>
      <w:r w:rsidRPr="00195127">
        <w:t>Se ha creado un rastreador de costos combinando los costos reales de las tareas realizadas con los costos estimados de las tareas pendientes (costos programados y proyectados). Sobre todo calcula la diferencia entre los costos programados y los básicos. Esta diferencia, la varianza de costos, determina si el proyecto se ajusta al presupuesto</w:t>
      </w:r>
      <w:bookmarkStart w:id="49" w:name="lt_pId111"/>
      <w:bookmarkEnd w:id="48"/>
      <w:r w:rsidR="006F64AE" w:rsidRPr="00195127">
        <w:t>.</w:t>
      </w:r>
      <w:bookmarkEnd w:id="49"/>
    </w:p>
    <w:p w14:paraId="28DAB9AB" w14:textId="74FED1F7" w:rsidR="009B5D74" w:rsidRPr="00195127" w:rsidRDefault="004F543D" w:rsidP="009F158B">
      <w:bookmarkStart w:id="50" w:name="lt_pId112"/>
      <w:r w:rsidRPr="00195127">
        <w:t xml:space="preserve">El programa de gastos determina los gastos previstos para la UIT durante todo el periodo de concepción y ejecución de las obras del nuevo edificio, de conformidad con la distribución CGC, como solicitó el País Anfitrión. Algunas de las cifras que aparecen en el cuadro son efectivas (de 2017 hasta ahora), pero la mayoría son estimaciones basadas en la planificación provisional </w:t>
      </w:r>
      <w:r w:rsidR="00B3628F" w:rsidRPr="00195127">
        <w:t xml:space="preserve">de </w:t>
      </w:r>
      <w:r w:rsidRPr="00195127">
        <w:t>los estudios y obras comunicados por los diseñadores y en el presupuesto aprobado en la reunión adicional del Consejo celebrada en Ginebra el 27 de septiembre de 2019.</w:t>
      </w:r>
    </w:p>
    <w:p w14:paraId="41ED498B" w14:textId="5C58E936" w:rsidR="006F64AE" w:rsidRPr="00195127" w:rsidRDefault="00BF3E8A" w:rsidP="00F75511">
      <w:r w:rsidRPr="00195127">
        <w:t>El programa de gastos puede consultarse</w:t>
      </w:r>
      <w:r w:rsidR="006F64AE" w:rsidRPr="00195127">
        <w:t xml:space="preserve"> </w:t>
      </w:r>
      <w:hyperlink r:id="rId25" w:history="1">
        <w:r w:rsidRPr="00195127">
          <w:rPr>
            <w:rStyle w:val="Hyperlink"/>
          </w:rPr>
          <w:t>aquí</w:t>
        </w:r>
      </w:hyperlink>
      <w:r w:rsidR="006F64AE" w:rsidRPr="00195127">
        <w:t>.</w:t>
      </w:r>
      <w:bookmarkEnd w:id="50"/>
    </w:p>
    <w:p w14:paraId="472B36EE" w14:textId="76CB7D80" w:rsidR="006F64AE" w:rsidRPr="00195127" w:rsidRDefault="00DC442D" w:rsidP="00F75511">
      <w:pPr>
        <w:pStyle w:val="Heading2"/>
      </w:pPr>
      <w:r w:rsidRPr="00195127">
        <w:lastRenderedPageBreak/>
        <w:t>3.</w:t>
      </w:r>
      <w:r w:rsidR="000E362B" w:rsidRPr="00195127">
        <w:t>7</w:t>
      </w:r>
      <w:r w:rsidR="006F64AE" w:rsidRPr="00195127">
        <w:tab/>
      </w:r>
      <w:bookmarkStart w:id="51" w:name="lt_pId114"/>
      <w:r w:rsidR="00BF3E8A" w:rsidRPr="00195127">
        <w:t>Calendario preliminar del proyecto</w:t>
      </w:r>
      <w:bookmarkEnd w:id="51"/>
    </w:p>
    <w:p w14:paraId="5FE735B4" w14:textId="1DD02724" w:rsidR="006F64AE" w:rsidRPr="00195127" w:rsidRDefault="006F64AE" w:rsidP="00F75511">
      <w:bookmarkStart w:id="52" w:name="lt_pId115"/>
      <w:r w:rsidRPr="00195127">
        <w:t xml:space="preserve">Hill International, </w:t>
      </w:r>
      <w:r w:rsidR="00BF3E8A" w:rsidRPr="00195127">
        <w:t>con la participación del consorcio de diseño</w:t>
      </w:r>
      <w:r w:rsidRPr="00195127">
        <w:t xml:space="preserve"> CDTK </w:t>
      </w:r>
      <w:r w:rsidR="00BF3E8A" w:rsidRPr="00195127">
        <w:t>y en coordinación con la División del Proyecto de Sede, se ocupa del seguimiento, el examen y la actualización del calendario de diseño y construcción</w:t>
      </w:r>
      <w:r w:rsidRPr="00195127">
        <w:t>.</w:t>
      </w:r>
      <w:bookmarkEnd w:id="52"/>
    </w:p>
    <w:p w14:paraId="44043426" w14:textId="7DC91869" w:rsidR="006F64AE" w:rsidRPr="00195127" w:rsidRDefault="00BF3E8A" w:rsidP="00F75511">
      <w:bookmarkStart w:id="53" w:name="lt_pId116"/>
      <w:r w:rsidRPr="00195127">
        <w:t>El calendario preliminar del proyecto puede consultarse</w:t>
      </w:r>
      <w:r w:rsidR="006F64AE" w:rsidRPr="00195127">
        <w:t xml:space="preserve"> </w:t>
      </w:r>
      <w:hyperlink r:id="rId26" w:history="1">
        <w:r w:rsidRPr="00195127">
          <w:rPr>
            <w:rStyle w:val="Hyperlink"/>
          </w:rPr>
          <w:t>aquí</w:t>
        </w:r>
      </w:hyperlink>
      <w:r w:rsidR="006F64AE" w:rsidRPr="00195127">
        <w:t>.</w:t>
      </w:r>
      <w:bookmarkEnd w:id="53"/>
    </w:p>
    <w:p w14:paraId="70517603" w14:textId="1544475F" w:rsidR="006F64AE" w:rsidRPr="00195127" w:rsidRDefault="00DC442D" w:rsidP="00F75511">
      <w:pPr>
        <w:pStyle w:val="Heading2"/>
      </w:pPr>
      <w:r w:rsidRPr="00195127">
        <w:t>3.</w:t>
      </w:r>
      <w:r w:rsidR="004838A6" w:rsidRPr="00195127">
        <w:t>8</w:t>
      </w:r>
      <w:r w:rsidR="006F64AE" w:rsidRPr="00195127">
        <w:tab/>
      </w:r>
      <w:bookmarkStart w:id="54" w:name="lt_pId118"/>
      <w:r w:rsidR="004D7071" w:rsidRPr="00195127">
        <w:t>C</w:t>
      </w:r>
      <w:r w:rsidR="00D42628" w:rsidRPr="00195127">
        <w:t>onsecuencias financieras de la conservación de la sala Popov en el valor de la Torre</w:t>
      </w:r>
      <w:bookmarkEnd w:id="54"/>
    </w:p>
    <w:p w14:paraId="002933A0" w14:textId="557A4A4C" w:rsidR="006F64AE" w:rsidRPr="00195127" w:rsidRDefault="00B3628F" w:rsidP="00F75511">
      <w:bookmarkStart w:id="55" w:name="lt_pId119"/>
      <w:r w:rsidRPr="00195127">
        <w:t>S</w:t>
      </w:r>
      <w:r w:rsidR="00D42628" w:rsidRPr="00195127">
        <w:t>e cerró un contrato con</w:t>
      </w:r>
      <w:r w:rsidR="006F64AE" w:rsidRPr="00195127">
        <w:t xml:space="preserve"> SPG </w:t>
      </w:r>
      <w:proofErr w:type="spellStart"/>
      <w:r w:rsidR="006F64AE" w:rsidRPr="00195127">
        <w:t>Intercity</w:t>
      </w:r>
      <w:proofErr w:type="spellEnd"/>
      <w:r w:rsidR="00D42628" w:rsidRPr="00195127">
        <w:t>, experto inmobiliario, para la realización de un análisis financiero/económico de la conservación de la sala</w:t>
      </w:r>
      <w:r w:rsidR="004838A6" w:rsidRPr="00195127">
        <w:rPr>
          <w:rFonts w:asciiTheme="minorHAnsi" w:hAnsiTheme="minorHAnsi" w:cstheme="minorHAnsi"/>
          <w:color w:val="000000" w:themeColor="text1"/>
        </w:rPr>
        <w:t xml:space="preserve"> Popov</w:t>
      </w:r>
      <w:r w:rsidR="00D42628" w:rsidRPr="00195127">
        <w:t xml:space="preserve"> tras la venta de la Torre</w:t>
      </w:r>
      <w:r w:rsidR="006F64AE" w:rsidRPr="00195127">
        <w:t>.</w:t>
      </w:r>
      <w:bookmarkEnd w:id="55"/>
    </w:p>
    <w:p w14:paraId="47AE2F35" w14:textId="6C4B3A07" w:rsidR="006F64AE" w:rsidRPr="00195127" w:rsidRDefault="00D42628" w:rsidP="00F75511">
      <w:bookmarkStart w:id="56" w:name="lt_pId120"/>
      <w:r w:rsidRPr="00195127">
        <w:t>El resultado del estudio</w:t>
      </w:r>
      <w:r w:rsidR="00B3628F" w:rsidRPr="00195127">
        <w:t xml:space="preserve"> inicial</w:t>
      </w:r>
      <w:r w:rsidRPr="00195127">
        <w:t xml:space="preserve"> </w:t>
      </w:r>
      <w:r w:rsidR="00B3628F" w:rsidRPr="00195127">
        <w:t>demostró</w:t>
      </w:r>
      <w:r w:rsidRPr="00195127">
        <w:t xml:space="preserve"> que </w:t>
      </w:r>
      <w:r w:rsidR="00B3628F" w:rsidRPr="00195127">
        <w:t>la conservación de la sala</w:t>
      </w:r>
      <w:r w:rsidR="00B3628F" w:rsidRPr="00195127">
        <w:rPr>
          <w:rFonts w:asciiTheme="minorHAnsi" w:hAnsiTheme="minorHAnsi" w:cstheme="minorHAnsi"/>
          <w:color w:val="000000" w:themeColor="text1"/>
        </w:rPr>
        <w:t xml:space="preserve"> Popov</w:t>
      </w:r>
      <w:r w:rsidR="00B3628F" w:rsidRPr="00195127">
        <w:t xml:space="preserve"> tendría un</w:t>
      </w:r>
      <w:r w:rsidRPr="00195127">
        <w:t>as consecuencias financieras en el valor relativamente limitadas</w:t>
      </w:r>
      <w:r w:rsidR="00B3628F" w:rsidRPr="00195127">
        <w:t xml:space="preserve">, </w:t>
      </w:r>
      <w:r w:rsidRPr="00195127">
        <w:t>en el contexto del valor total del edificio</w:t>
      </w:r>
      <w:r w:rsidR="006F64AE" w:rsidRPr="00195127">
        <w:t>.</w:t>
      </w:r>
      <w:bookmarkEnd w:id="56"/>
    </w:p>
    <w:p w14:paraId="111CA933" w14:textId="7FD74DB6" w:rsidR="006F64AE" w:rsidRPr="00195127" w:rsidRDefault="00D42628" w:rsidP="00F75511">
      <w:bookmarkStart w:id="57" w:name="lt_pId128"/>
      <w:r w:rsidRPr="00195127">
        <w:t>En el estudio se destaca, no obstante, que los inversores pueden considerar la conservación de la Sala Popov como un factor negativo, pues impone una limitación a la explotación del sótano y a toda actividad, distinta de las salas de conferencias, que el propietario quisiera llevar a cabo</w:t>
      </w:r>
      <w:bookmarkStart w:id="58" w:name="lt_pId129"/>
      <w:bookmarkEnd w:id="57"/>
      <w:r w:rsidR="006F64AE" w:rsidRPr="00195127">
        <w:t>.</w:t>
      </w:r>
      <w:bookmarkEnd w:id="58"/>
    </w:p>
    <w:p w14:paraId="1393B357" w14:textId="61A4BD4A" w:rsidR="006F64AE" w:rsidRPr="00195127" w:rsidRDefault="00DE610B" w:rsidP="00F75511">
      <w:bookmarkStart w:id="59" w:name="lt_pId130"/>
      <w:r w:rsidRPr="00195127">
        <w:t>Al examinar la venta futura, el estudio recomenda</w:t>
      </w:r>
      <w:r w:rsidR="00B3628F" w:rsidRPr="00195127">
        <w:t>ba</w:t>
      </w:r>
      <w:r w:rsidRPr="00195127">
        <w:t xml:space="preserve"> la alternativa </w:t>
      </w:r>
      <w:r w:rsidR="004D7071" w:rsidRPr="00195127">
        <w:t>"</w:t>
      </w:r>
      <w:r w:rsidRPr="00195127">
        <w:t>venta en fi</w:t>
      </w:r>
      <w:r w:rsidR="004D7071" w:rsidRPr="00195127">
        <w:t>rme con arrendamiento posterior"</w:t>
      </w:r>
      <w:r w:rsidRPr="00195127">
        <w:t xml:space="preserve"> como estrategia cuya consideración sería interesante</w:t>
      </w:r>
      <w:r w:rsidR="00B3628F" w:rsidRPr="00195127">
        <w:t>.</w:t>
      </w:r>
      <w:bookmarkEnd w:id="59"/>
    </w:p>
    <w:p w14:paraId="313E7AB9" w14:textId="33793954" w:rsidR="00B3628F" w:rsidRPr="00195127" w:rsidRDefault="00AB5552" w:rsidP="00DB218E">
      <w:r w:rsidRPr="00195127">
        <w:t>Habida cuenta</w:t>
      </w:r>
      <w:r w:rsidR="00B3628F" w:rsidRPr="00195127">
        <w:t xml:space="preserve"> de lo anterior,</w:t>
      </w:r>
      <w:r w:rsidR="00D01BD7" w:rsidRPr="00195127">
        <w:t xml:space="preserve"> los participantes en</w:t>
      </w:r>
      <w:r w:rsidR="00B3628F" w:rsidRPr="00195127">
        <w:t xml:space="preserve"> la consulta virtual de los consejeros </w:t>
      </w:r>
      <w:r w:rsidR="00D01BD7" w:rsidRPr="00195127">
        <w:t>de</w:t>
      </w:r>
      <w:r w:rsidR="00B3628F" w:rsidRPr="00195127">
        <w:t xml:space="preserve"> junio de 2020</w:t>
      </w:r>
      <w:r w:rsidR="00B3628F" w:rsidRPr="00195127">
        <w:rPr>
          <w:rFonts w:cs="Calibri"/>
          <w:szCs w:val="24"/>
          <w:lang w:eastAsia="zh-CN"/>
        </w:rPr>
        <w:t xml:space="preserve"> alent</w:t>
      </w:r>
      <w:r w:rsidR="00D01BD7" w:rsidRPr="00195127">
        <w:rPr>
          <w:rFonts w:cs="Calibri"/>
          <w:szCs w:val="24"/>
          <w:lang w:eastAsia="zh-CN"/>
        </w:rPr>
        <w:t>aron</w:t>
      </w:r>
      <w:r w:rsidR="00B3628F" w:rsidRPr="00195127">
        <w:rPr>
          <w:rFonts w:cs="Calibri"/>
          <w:szCs w:val="24"/>
          <w:lang w:eastAsia="zh-CN"/>
        </w:rPr>
        <w:t xml:space="preserve"> a la secretaría a</w:t>
      </w:r>
      <w:r w:rsidR="00D01BD7" w:rsidRPr="00195127">
        <w:rPr>
          <w:rFonts w:cs="Calibri"/>
          <w:szCs w:val="24"/>
          <w:lang w:eastAsia="zh-CN"/>
        </w:rPr>
        <w:t xml:space="preserve"> que </w:t>
      </w:r>
      <w:r w:rsidR="00D01BD7" w:rsidRPr="00195127">
        <w:t>siguiera investigando diferentes opciones para la venta de la Torre de cara a la próxima reunión del GAEM e informara al Consejo al respecto en su próxima reunión presencial.</w:t>
      </w:r>
    </w:p>
    <w:p w14:paraId="4C1BD6C5" w14:textId="64B7876D" w:rsidR="00B3628F" w:rsidRPr="00195127" w:rsidRDefault="00B3628F" w:rsidP="00DB218E">
      <w:pPr>
        <w:rPr>
          <w:rFonts w:cs="Calibri"/>
          <w:szCs w:val="24"/>
          <w:lang w:eastAsia="zh-CN"/>
        </w:rPr>
      </w:pPr>
      <w:r w:rsidRPr="00195127">
        <w:t xml:space="preserve">Durante el verano se estableció un segundo mandato con SPG </w:t>
      </w:r>
      <w:proofErr w:type="spellStart"/>
      <w:r w:rsidRPr="00195127">
        <w:t>Intercity</w:t>
      </w:r>
      <w:proofErr w:type="spellEnd"/>
      <w:r w:rsidR="00AB5552" w:rsidRPr="00195127">
        <w:t>,</w:t>
      </w:r>
      <w:r w:rsidRPr="00195127">
        <w:t xml:space="preserve"> </w:t>
      </w:r>
      <w:r w:rsidR="00A9546E" w:rsidRPr="00195127">
        <w:t>para</w:t>
      </w:r>
      <w:r w:rsidRPr="00195127">
        <w:t xml:space="preserve"> que investigara</w:t>
      </w:r>
      <w:r w:rsidR="00AB5552" w:rsidRPr="00195127">
        <w:t xml:space="preserve"> as</w:t>
      </w:r>
      <w:r w:rsidR="00AB5552" w:rsidRPr="00195127">
        <w:rPr>
          <w:rFonts w:cs="Calibri"/>
          <w:szCs w:val="24"/>
          <w:lang w:eastAsia="zh-CN"/>
        </w:rPr>
        <w:t>pectos de</w:t>
      </w:r>
      <w:r w:rsidRPr="00195127">
        <w:rPr>
          <w:rFonts w:cs="Calibri"/>
          <w:szCs w:val="24"/>
          <w:lang w:eastAsia="zh-CN"/>
        </w:rPr>
        <w:t xml:space="preserve"> la opción de </w:t>
      </w:r>
      <w:r w:rsidR="00AB5552" w:rsidRPr="00195127">
        <w:rPr>
          <w:rFonts w:cs="Calibri"/>
          <w:szCs w:val="24"/>
          <w:lang w:eastAsia="zh-CN"/>
        </w:rPr>
        <w:t xml:space="preserve">venta en firme con arrendamiento posterior tales </w:t>
      </w:r>
      <w:r w:rsidRPr="00195127">
        <w:rPr>
          <w:rFonts w:cs="Calibri"/>
          <w:szCs w:val="24"/>
          <w:lang w:eastAsia="zh-CN"/>
        </w:rPr>
        <w:t xml:space="preserve">como su atractivo </w:t>
      </w:r>
      <w:r w:rsidR="00AB5552" w:rsidRPr="00195127">
        <w:rPr>
          <w:rFonts w:cs="Calibri"/>
          <w:szCs w:val="24"/>
          <w:lang w:eastAsia="zh-CN"/>
        </w:rPr>
        <w:t>comercial.</w:t>
      </w:r>
      <w:r w:rsidRPr="00195127">
        <w:rPr>
          <w:rFonts w:cs="Calibri"/>
          <w:szCs w:val="24"/>
          <w:lang w:eastAsia="zh-CN"/>
        </w:rPr>
        <w:t xml:space="preserve"> A finales de octubre se </w:t>
      </w:r>
      <w:r w:rsidR="00AB5552" w:rsidRPr="00195127">
        <w:rPr>
          <w:rFonts w:cs="Calibri"/>
          <w:szCs w:val="24"/>
          <w:lang w:eastAsia="zh-CN"/>
        </w:rPr>
        <w:t>concluirá</w:t>
      </w:r>
      <w:r w:rsidRPr="00195127">
        <w:rPr>
          <w:rFonts w:cs="Calibri"/>
          <w:szCs w:val="24"/>
          <w:lang w:eastAsia="zh-CN"/>
        </w:rPr>
        <w:t xml:space="preserve"> un informe a la secretaría</w:t>
      </w:r>
      <w:r w:rsidR="00AB5552" w:rsidRPr="00195127">
        <w:rPr>
          <w:rFonts w:cs="Calibri"/>
          <w:szCs w:val="24"/>
          <w:lang w:eastAsia="zh-CN"/>
        </w:rPr>
        <w:t>,</w:t>
      </w:r>
      <w:r w:rsidRPr="00195127">
        <w:rPr>
          <w:rFonts w:cs="Calibri"/>
          <w:szCs w:val="24"/>
          <w:lang w:eastAsia="zh-CN"/>
        </w:rPr>
        <w:t xml:space="preserve"> </w:t>
      </w:r>
      <w:r w:rsidR="001F4C39" w:rsidRPr="00195127">
        <w:rPr>
          <w:rFonts w:cs="Calibri"/>
          <w:szCs w:val="24"/>
          <w:lang w:eastAsia="zh-CN"/>
        </w:rPr>
        <w:t>en el que se incluirán</w:t>
      </w:r>
      <w:r w:rsidRPr="00195127">
        <w:rPr>
          <w:rFonts w:cs="Calibri"/>
          <w:szCs w:val="24"/>
          <w:lang w:eastAsia="zh-CN"/>
        </w:rPr>
        <w:t xml:space="preserve"> </w:t>
      </w:r>
      <w:r w:rsidR="00AB5552" w:rsidRPr="00195127">
        <w:rPr>
          <w:rFonts w:cs="Calibri"/>
          <w:szCs w:val="24"/>
          <w:lang w:eastAsia="zh-CN"/>
        </w:rPr>
        <w:t xml:space="preserve">las recomendaciones </w:t>
      </w:r>
      <w:r w:rsidR="00A9546E" w:rsidRPr="00195127">
        <w:rPr>
          <w:rFonts w:cs="Calibri"/>
          <w:szCs w:val="24"/>
          <w:lang w:eastAsia="zh-CN"/>
        </w:rPr>
        <w:t xml:space="preserve">estratégicas </w:t>
      </w:r>
      <w:r w:rsidRPr="00195127">
        <w:rPr>
          <w:rFonts w:cs="Calibri"/>
          <w:szCs w:val="24"/>
          <w:lang w:eastAsia="zh-CN"/>
        </w:rPr>
        <w:t>del experto</w:t>
      </w:r>
      <w:r w:rsidR="001F4C39" w:rsidRPr="00195127">
        <w:rPr>
          <w:rFonts w:cs="Calibri"/>
          <w:szCs w:val="24"/>
          <w:lang w:eastAsia="zh-CN"/>
        </w:rPr>
        <w:t xml:space="preserve"> a efectos de la comercialización óptima de</w:t>
      </w:r>
      <w:r w:rsidRPr="00195127">
        <w:rPr>
          <w:rFonts w:cs="Calibri"/>
          <w:szCs w:val="24"/>
          <w:lang w:eastAsia="zh-CN"/>
        </w:rPr>
        <w:t xml:space="preserve"> la Torre.</w:t>
      </w:r>
    </w:p>
    <w:p w14:paraId="60CBB708" w14:textId="0448BE95" w:rsidR="004838A6" w:rsidRPr="00195127" w:rsidRDefault="00B3628F" w:rsidP="001F4C39">
      <w:pPr>
        <w:tabs>
          <w:tab w:val="clear" w:pos="567"/>
          <w:tab w:val="clear" w:pos="1134"/>
          <w:tab w:val="clear" w:pos="1701"/>
          <w:tab w:val="clear" w:pos="2268"/>
          <w:tab w:val="clear" w:pos="2835"/>
        </w:tabs>
        <w:overflowPunct/>
        <w:spacing w:before="0" w:after="120"/>
        <w:jc w:val="both"/>
        <w:textAlignment w:val="auto"/>
        <w:rPr>
          <w:rFonts w:cs="Calibri"/>
          <w:szCs w:val="24"/>
          <w:lang w:eastAsia="zh-CN"/>
        </w:rPr>
      </w:pPr>
      <w:r w:rsidRPr="00195127">
        <w:rPr>
          <w:rFonts w:cs="Calibri"/>
          <w:szCs w:val="24"/>
          <w:lang w:eastAsia="zh-CN"/>
        </w:rPr>
        <w:t>Sus resultados y conclusiones se compartirán y examinarán en la próxima reunión del GA</w:t>
      </w:r>
      <w:r w:rsidR="001F4C39" w:rsidRPr="00195127">
        <w:rPr>
          <w:rFonts w:cs="Calibri"/>
          <w:szCs w:val="24"/>
          <w:lang w:eastAsia="zh-CN"/>
        </w:rPr>
        <w:t>EM</w:t>
      </w:r>
      <w:r w:rsidRPr="00195127">
        <w:rPr>
          <w:rFonts w:cs="Calibri"/>
          <w:szCs w:val="24"/>
          <w:lang w:eastAsia="zh-CN"/>
        </w:rPr>
        <w:t>, que tendrá lugar el 12 de noviembre de 2020.</w:t>
      </w:r>
    </w:p>
    <w:p w14:paraId="30D3B801" w14:textId="2A316B80" w:rsidR="006F64AE" w:rsidRPr="00195127" w:rsidRDefault="00DC442D" w:rsidP="00F75511">
      <w:pPr>
        <w:pStyle w:val="Heading2"/>
      </w:pPr>
      <w:r w:rsidRPr="00195127">
        <w:t>3.</w:t>
      </w:r>
      <w:r w:rsidR="00FF4D57" w:rsidRPr="00195127">
        <w:t>9</w:t>
      </w:r>
      <w:r w:rsidR="006F64AE" w:rsidRPr="00195127">
        <w:tab/>
      </w:r>
      <w:bookmarkStart w:id="60" w:name="lt_pId148"/>
      <w:r w:rsidR="006F64AE" w:rsidRPr="00195127">
        <w:t>Combina</w:t>
      </w:r>
      <w:r w:rsidR="00EF2EC8" w:rsidRPr="00195127">
        <w:t xml:space="preserve">ción de la División de Gestión de Instalaciones y de </w:t>
      </w:r>
      <w:r w:rsidR="004D7071" w:rsidRPr="00195127">
        <w:t>la División del Proyecto del </w:t>
      </w:r>
      <w:r w:rsidR="00EF2EC8" w:rsidRPr="00195127">
        <w:t>Edificio</w:t>
      </w:r>
      <w:bookmarkEnd w:id="60"/>
    </w:p>
    <w:p w14:paraId="3B304B58" w14:textId="4DACF9A3" w:rsidR="001A3E5B" w:rsidRPr="00195127" w:rsidRDefault="00EF2EC8" w:rsidP="009F158B">
      <w:pPr>
        <w:rPr>
          <w:rFonts w:asciiTheme="minorHAnsi" w:hAnsiTheme="minorHAnsi" w:cstheme="minorHAnsi"/>
          <w:color w:val="000000" w:themeColor="text1"/>
        </w:rPr>
      </w:pPr>
      <w:bookmarkStart w:id="61" w:name="lt_pId152"/>
      <w:r w:rsidRPr="00195127">
        <w:t xml:space="preserve">La </w:t>
      </w:r>
      <w:r w:rsidR="001F4C39" w:rsidRPr="00195127">
        <w:t>reciente fusión</w:t>
      </w:r>
      <w:r w:rsidRPr="00195127">
        <w:t xml:space="preserve"> de la Divisi</w:t>
      </w:r>
      <w:r w:rsidR="001F4C39" w:rsidRPr="00195127">
        <w:t>ón</w:t>
      </w:r>
      <w:r w:rsidRPr="00195127">
        <w:t xml:space="preserve"> </w:t>
      </w:r>
      <w:r w:rsidR="001F4C39" w:rsidRPr="00195127">
        <w:t>de Gestión de Instalaciones</w:t>
      </w:r>
      <w:r w:rsidR="00FF4D57" w:rsidRPr="00195127">
        <w:rPr>
          <w:rFonts w:asciiTheme="minorHAnsi" w:hAnsiTheme="minorHAnsi" w:cstheme="minorHAnsi"/>
          <w:color w:val="000000" w:themeColor="text1"/>
        </w:rPr>
        <w:t xml:space="preserve"> (FMD)</w:t>
      </w:r>
      <w:r w:rsidR="001F4C39" w:rsidRPr="00195127">
        <w:rPr>
          <w:rFonts w:asciiTheme="minorHAnsi" w:hAnsiTheme="minorHAnsi" w:cstheme="minorHAnsi"/>
          <w:color w:val="000000" w:themeColor="text1"/>
        </w:rPr>
        <w:t xml:space="preserve"> y la División del Proyecto del Edificio</w:t>
      </w:r>
      <w:r w:rsidR="00FF4D57" w:rsidRPr="00195127">
        <w:rPr>
          <w:rFonts w:asciiTheme="minorHAnsi" w:hAnsiTheme="minorHAnsi" w:cstheme="minorHAnsi"/>
          <w:color w:val="000000" w:themeColor="text1"/>
        </w:rPr>
        <w:t xml:space="preserve"> (BPD) </w:t>
      </w:r>
      <w:r w:rsidRPr="00195127">
        <w:t xml:space="preserve">ha generado ahorros con los que se financiará la creación de un puesto temporal (para la duración del proyecto) de un oficial de planificación del espacio. </w:t>
      </w:r>
      <w:r w:rsidR="001F4C39" w:rsidRPr="00195127">
        <w:t>El proceso de selección y contratación se llevó a cabo durante el verano. Desarrollo del proceso de contratación hasta la fecha:</w:t>
      </w:r>
    </w:p>
    <w:p w14:paraId="46C75326" w14:textId="779F4ED6" w:rsidR="001A3E5B" w:rsidRPr="00195127" w:rsidRDefault="009F158B" w:rsidP="009F158B">
      <w:pPr>
        <w:pStyle w:val="enumlev1"/>
      </w:pPr>
      <w:r w:rsidRPr="00195127">
        <w:t>•</w:t>
      </w:r>
      <w:r w:rsidRPr="00195127">
        <w:tab/>
      </w:r>
      <w:r w:rsidR="001F4C39" w:rsidRPr="00195127">
        <w:t>Junio de 2020: anuncio de la vacante.</w:t>
      </w:r>
    </w:p>
    <w:p w14:paraId="67CDAD06" w14:textId="35A04D0C" w:rsidR="001A3E5B" w:rsidRPr="00195127" w:rsidRDefault="009F158B" w:rsidP="009F158B">
      <w:pPr>
        <w:pStyle w:val="enumlev1"/>
      </w:pPr>
      <w:r w:rsidRPr="00195127">
        <w:t>•</w:t>
      </w:r>
      <w:r w:rsidRPr="00195127">
        <w:tab/>
      </w:r>
      <w:r w:rsidR="001F4C39" w:rsidRPr="00195127">
        <w:t xml:space="preserve">Julio </w:t>
      </w:r>
      <w:r w:rsidR="008629BC" w:rsidRPr="00195127">
        <w:t>–</w:t>
      </w:r>
      <w:r w:rsidR="001F4C39" w:rsidRPr="00195127">
        <w:t xml:space="preserve"> septiembre 2020: entrevista y selección de candidatos.</w:t>
      </w:r>
    </w:p>
    <w:p w14:paraId="58739F50" w14:textId="39E5D6D5" w:rsidR="001A3E5B" w:rsidRPr="00195127" w:rsidRDefault="001A3E5B" w:rsidP="009F158B">
      <w:pPr>
        <w:pStyle w:val="enumlev1"/>
      </w:pPr>
      <w:r w:rsidRPr="00195127">
        <w:t>•</w:t>
      </w:r>
      <w:r w:rsidRPr="00195127">
        <w:tab/>
      </w:r>
      <w:r w:rsidR="001F4C39" w:rsidRPr="00195127">
        <w:t>Octubre de 2020: nombramiento del candidato seleccionado.</w:t>
      </w:r>
    </w:p>
    <w:p w14:paraId="48A4E2CA" w14:textId="18F59AB3" w:rsidR="006F64AE" w:rsidRPr="00195127" w:rsidRDefault="00EF2EC8" w:rsidP="00F75511">
      <w:r w:rsidRPr="00195127">
        <w:t xml:space="preserve">Una vez contratado/a, </w:t>
      </w:r>
      <w:r w:rsidR="007D4F6A" w:rsidRPr="00195127">
        <w:t>se ocupará de conocer las necesidades del personal, de la aplicación de disposiciones temporales durante la reubicación y definirá la atribución definitiva del espacio en el nuevo edificio de conformidad con las recomendaciones en materia de espacio laboral</w:t>
      </w:r>
      <w:bookmarkStart w:id="62" w:name="lt_pId153"/>
      <w:bookmarkEnd w:id="61"/>
      <w:r w:rsidR="006F64AE" w:rsidRPr="00195127">
        <w:t>.</w:t>
      </w:r>
      <w:bookmarkEnd w:id="62"/>
    </w:p>
    <w:p w14:paraId="789D31BA" w14:textId="04627539" w:rsidR="006F64AE" w:rsidRPr="00195127" w:rsidRDefault="006F64AE" w:rsidP="00F75511">
      <w:pPr>
        <w:pStyle w:val="Heading1"/>
        <w:tabs>
          <w:tab w:val="left" w:pos="537"/>
        </w:tabs>
        <w:rPr>
          <w:lang w:eastAsia="ja-JP"/>
        </w:rPr>
      </w:pPr>
      <w:r w:rsidRPr="00195127">
        <w:rPr>
          <w:lang w:eastAsia="ja-JP"/>
        </w:rPr>
        <w:lastRenderedPageBreak/>
        <w:t>4</w:t>
      </w:r>
      <w:r w:rsidRPr="00195127">
        <w:rPr>
          <w:lang w:eastAsia="ja-JP"/>
        </w:rPr>
        <w:tab/>
      </w:r>
      <w:bookmarkStart w:id="63" w:name="lt_pId155"/>
      <w:r w:rsidR="007D4F6A" w:rsidRPr="00195127">
        <w:rPr>
          <w:lang w:eastAsia="ja-JP"/>
        </w:rPr>
        <w:t>Actualización financiera</w:t>
      </w:r>
      <w:bookmarkEnd w:id="63"/>
    </w:p>
    <w:p w14:paraId="41899E50" w14:textId="4F7E1E34" w:rsidR="006F64AE" w:rsidRPr="00195127" w:rsidRDefault="006F64AE" w:rsidP="00F75511">
      <w:pPr>
        <w:pStyle w:val="Heading2"/>
      </w:pPr>
      <w:r w:rsidRPr="00195127">
        <w:t>4.1</w:t>
      </w:r>
      <w:r w:rsidRPr="00195127">
        <w:tab/>
      </w:r>
      <w:bookmarkStart w:id="64" w:name="lt_pId157"/>
      <w:r w:rsidRPr="00195127">
        <w:t>Confirma</w:t>
      </w:r>
      <w:r w:rsidR="007D4F6A" w:rsidRPr="00195127">
        <w:t>ción del presupuesto disponible</w:t>
      </w:r>
      <w:bookmarkEnd w:id="64"/>
    </w:p>
    <w:p w14:paraId="578B32B6" w14:textId="7CACAAD2" w:rsidR="006F64AE" w:rsidRPr="00195127" w:rsidRDefault="007D4F6A" w:rsidP="00F75511">
      <w:bookmarkStart w:id="65" w:name="lt_pId158"/>
      <w:r w:rsidRPr="00195127">
        <w:t>En el Acuerdo</w:t>
      </w:r>
      <w:r w:rsidR="006F64AE" w:rsidRPr="00195127">
        <w:t xml:space="preserve"> 619</w:t>
      </w:r>
      <w:r w:rsidRPr="00195127">
        <w:t>, adoptado por el Consejo en su reunión adicional celebrada en Ginebra el 27 de septiembre de 2019, se aprueba el costo directo final del Proyecto de nueva Sede de la Unión de</w:t>
      </w:r>
      <w:r w:rsidR="006F64AE" w:rsidRPr="00195127">
        <w:t xml:space="preserve"> 170</w:t>
      </w:r>
      <w:r w:rsidRPr="00195127">
        <w:t xml:space="preserve"> </w:t>
      </w:r>
      <w:r w:rsidR="006F64AE" w:rsidRPr="00195127">
        <w:t>139</w:t>
      </w:r>
      <w:r w:rsidRPr="00195127">
        <w:t xml:space="preserve"> </w:t>
      </w:r>
      <w:r w:rsidR="006F64AE" w:rsidRPr="00195127">
        <w:t>000</w:t>
      </w:r>
      <w:r w:rsidRPr="00195127">
        <w:t xml:space="preserve"> CHF</w:t>
      </w:r>
      <w:r w:rsidR="006F64AE" w:rsidRPr="00195127">
        <w:t xml:space="preserve">, </w:t>
      </w:r>
      <w:r w:rsidRPr="00195127">
        <w:t>como se describe en</w:t>
      </w:r>
      <w:r w:rsidR="006F64AE" w:rsidRPr="00195127">
        <w:t xml:space="preserve"> </w:t>
      </w:r>
      <w:r w:rsidR="007E6F5C" w:rsidRPr="00195127">
        <w:t xml:space="preserve">el Documento </w:t>
      </w:r>
      <w:r w:rsidR="006F64AE" w:rsidRPr="00195127">
        <w:t xml:space="preserve">C19-ADD/2, </w:t>
      </w:r>
      <w:r w:rsidRPr="00195127">
        <w:t>financiado en su integridad de la siguiente manera</w:t>
      </w:r>
      <w:r w:rsidR="006F64AE" w:rsidRPr="00195127">
        <w:t>:</w:t>
      </w:r>
      <w:bookmarkEnd w:id="65"/>
    </w:p>
    <w:p w14:paraId="12254D2E" w14:textId="07222836" w:rsidR="006F64AE" w:rsidRPr="00195127" w:rsidRDefault="004E4657" w:rsidP="00F75511">
      <w:pPr>
        <w:pStyle w:val="enumlev1"/>
        <w:rPr>
          <w:lang w:eastAsia="ja-JP"/>
        </w:rPr>
      </w:pPr>
      <w:bookmarkStart w:id="66" w:name="lt_pId159"/>
      <w:r w:rsidRPr="00195127">
        <w:t>•</w:t>
      </w:r>
      <w:r w:rsidRPr="00195127">
        <w:tab/>
      </w:r>
      <w:r w:rsidR="006F64AE" w:rsidRPr="00195127">
        <w:t>15</w:t>
      </w:r>
      <w:r w:rsidR="007D4F6A" w:rsidRPr="00195127">
        <w:t xml:space="preserve">0 </w:t>
      </w:r>
      <w:r w:rsidR="006F64AE" w:rsidRPr="00195127">
        <w:t>000</w:t>
      </w:r>
      <w:r w:rsidR="007D4F6A" w:rsidRPr="00195127">
        <w:t xml:space="preserve"> </w:t>
      </w:r>
      <w:r w:rsidR="006F64AE" w:rsidRPr="00195127">
        <w:t xml:space="preserve">000 </w:t>
      </w:r>
      <w:r w:rsidR="007D4F6A" w:rsidRPr="00195127">
        <w:t>C</w:t>
      </w:r>
      <w:r w:rsidR="004D7071" w:rsidRPr="00195127">
        <w:t>HF del presupuesto del País Anfi</w:t>
      </w:r>
      <w:r w:rsidR="007D4F6A" w:rsidRPr="00195127">
        <w:t>trión – como se indica en el</w:t>
      </w:r>
      <w:r w:rsidR="006F64AE" w:rsidRPr="00195127">
        <w:rPr>
          <w:lang w:eastAsia="ja-JP"/>
        </w:rPr>
        <w:t xml:space="preserve"> §</w:t>
      </w:r>
      <w:r w:rsidR="007E6F5C" w:rsidRPr="00195127">
        <w:rPr>
          <w:lang w:eastAsia="ja-JP"/>
        </w:rPr>
        <w:t> </w:t>
      </w:r>
      <w:r w:rsidR="006F64AE" w:rsidRPr="00195127">
        <w:rPr>
          <w:lang w:eastAsia="ja-JP"/>
        </w:rPr>
        <w:t xml:space="preserve">3.7 </w:t>
      </w:r>
      <w:r w:rsidR="007D4F6A" w:rsidRPr="00195127">
        <w:rPr>
          <w:lang w:eastAsia="ja-JP"/>
        </w:rPr>
        <w:t>de este Informe, ya se ha presentado la solicitud para el préstamo de 150 millones CHF</w:t>
      </w:r>
      <w:r w:rsidR="006F64AE" w:rsidRPr="00195127">
        <w:rPr>
          <w:lang w:eastAsia="ja-JP"/>
        </w:rPr>
        <w:t>.</w:t>
      </w:r>
      <w:bookmarkEnd w:id="66"/>
    </w:p>
    <w:p w14:paraId="3C0EA81E" w14:textId="20D67C85" w:rsidR="006F64AE" w:rsidRPr="00195127" w:rsidRDefault="004E4657" w:rsidP="00F75511">
      <w:pPr>
        <w:pStyle w:val="enumlev1"/>
        <w:rPr>
          <w:rFonts w:asciiTheme="minorHAnsi" w:hAnsiTheme="minorHAnsi" w:cstheme="minorHAnsi"/>
          <w:color w:val="000000" w:themeColor="text1"/>
          <w:lang w:eastAsia="ja-JP"/>
        </w:rPr>
      </w:pPr>
      <w:bookmarkStart w:id="67" w:name="lt_pId160"/>
      <w:r w:rsidRPr="00195127">
        <w:t>•</w:t>
      </w:r>
      <w:r w:rsidRPr="00195127">
        <w:tab/>
      </w:r>
      <w:r w:rsidR="006F64AE" w:rsidRPr="00195127">
        <w:rPr>
          <w:rFonts w:asciiTheme="minorHAnsi" w:hAnsiTheme="minorHAnsi" w:cstheme="minorHAnsi"/>
          <w:color w:val="000000" w:themeColor="text1"/>
        </w:rPr>
        <w:t>5</w:t>
      </w:r>
      <w:r w:rsidR="007D4F6A" w:rsidRPr="00195127">
        <w:rPr>
          <w:rFonts w:asciiTheme="minorHAnsi" w:hAnsiTheme="minorHAnsi" w:cstheme="minorHAnsi"/>
          <w:color w:val="000000" w:themeColor="text1"/>
        </w:rPr>
        <w:t xml:space="preserve"> </w:t>
      </w:r>
      <w:r w:rsidR="006F64AE" w:rsidRPr="00195127">
        <w:rPr>
          <w:rFonts w:asciiTheme="minorHAnsi" w:hAnsiTheme="minorHAnsi" w:cstheme="minorHAnsi"/>
          <w:color w:val="000000" w:themeColor="text1"/>
        </w:rPr>
        <w:t>000</w:t>
      </w:r>
      <w:r w:rsidR="007D4F6A" w:rsidRPr="00195127">
        <w:rPr>
          <w:rFonts w:asciiTheme="minorHAnsi" w:hAnsiTheme="minorHAnsi" w:cstheme="minorHAnsi"/>
          <w:color w:val="000000" w:themeColor="text1"/>
        </w:rPr>
        <w:t xml:space="preserve"> </w:t>
      </w:r>
      <w:r w:rsidR="006F64AE" w:rsidRPr="00195127">
        <w:rPr>
          <w:rFonts w:asciiTheme="minorHAnsi" w:hAnsiTheme="minorHAnsi" w:cstheme="minorHAnsi"/>
          <w:color w:val="000000" w:themeColor="text1"/>
        </w:rPr>
        <w:t xml:space="preserve">000 </w:t>
      </w:r>
      <w:r w:rsidR="007D4F6A" w:rsidRPr="00195127">
        <w:rPr>
          <w:rFonts w:asciiTheme="minorHAnsi" w:hAnsiTheme="minorHAnsi" w:cstheme="minorHAnsi"/>
          <w:color w:val="000000" w:themeColor="text1"/>
        </w:rPr>
        <w:t>CHF del Fondo del nuevo edificio</w:t>
      </w:r>
      <w:r w:rsidR="006F64AE" w:rsidRPr="00195127">
        <w:rPr>
          <w:rFonts w:asciiTheme="minorHAnsi" w:hAnsiTheme="minorHAnsi" w:cstheme="minorHAnsi"/>
          <w:color w:val="000000" w:themeColor="text1"/>
        </w:rPr>
        <w:t>.</w:t>
      </w:r>
      <w:bookmarkEnd w:id="67"/>
    </w:p>
    <w:p w14:paraId="693B2068" w14:textId="432DB421" w:rsidR="001A3E5B" w:rsidRPr="00195127" w:rsidRDefault="004E4657" w:rsidP="00DB218E">
      <w:pPr>
        <w:pStyle w:val="enumlev1"/>
        <w:spacing w:after="240"/>
        <w:rPr>
          <w:rFonts w:asciiTheme="minorHAnsi" w:hAnsiTheme="minorHAnsi" w:cstheme="minorHAnsi"/>
          <w:color w:val="000000" w:themeColor="text1"/>
          <w:lang w:eastAsia="ja-JP"/>
        </w:rPr>
      </w:pPr>
      <w:bookmarkStart w:id="68" w:name="lt_pId161"/>
      <w:r w:rsidRPr="00195127">
        <w:t>•</w:t>
      </w:r>
      <w:r w:rsidRPr="00195127">
        <w:tab/>
      </w:r>
      <w:r w:rsidR="006F64AE" w:rsidRPr="00195127">
        <w:rPr>
          <w:rFonts w:asciiTheme="minorHAnsi" w:hAnsiTheme="minorHAnsi" w:cstheme="minorHAnsi"/>
          <w:color w:val="000000" w:themeColor="text1"/>
        </w:rPr>
        <w:t>15</w:t>
      </w:r>
      <w:r w:rsidR="007D4F6A" w:rsidRPr="00195127">
        <w:rPr>
          <w:rFonts w:asciiTheme="minorHAnsi" w:hAnsiTheme="minorHAnsi" w:cstheme="minorHAnsi"/>
          <w:color w:val="000000" w:themeColor="text1"/>
        </w:rPr>
        <w:t xml:space="preserve"> </w:t>
      </w:r>
      <w:r w:rsidR="006F64AE" w:rsidRPr="00195127">
        <w:rPr>
          <w:rFonts w:asciiTheme="minorHAnsi" w:hAnsiTheme="minorHAnsi" w:cstheme="minorHAnsi"/>
          <w:color w:val="000000" w:themeColor="text1"/>
        </w:rPr>
        <w:t>140</w:t>
      </w:r>
      <w:r w:rsidR="007D4F6A" w:rsidRPr="00195127">
        <w:rPr>
          <w:rFonts w:asciiTheme="minorHAnsi" w:hAnsiTheme="minorHAnsi" w:cstheme="minorHAnsi"/>
          <w:color w:val="000000" w:themeColor="text1"/>
        </w:rPr>
        <w:t xml:space="preserve"> </w:t>
      </w:r>
      <w:r w:rsidR="006F64AE" w:rsidRPr="00195127">
        <w:rPr>
          <w:rFonts w:asciiTheme="minorHAnsi" w:hAnsiTheme="minorHAnsi" w:cstheme="minorHAnsi"/>
          <w:color w:val="000000" w:themeColor="text1"/>
        </w:rPr>
        <w:t xml:space="preserve">000 </w:t>
      </w:r>
      <w:r w:rsidR="007D4F6A" w:rsidRPr="00195127">
        <w:rPr>
          <w:rFonts w:asciiTheme="minorHAnsi" w:hAnsiTheme="minorHAnsi" w:cstheme="minorHAnsi"/>
          <w:color w:val="000000" w:themeColor="text1"/>
        </w:rPr>
        <w:t>CH</w:t>
      </w:r>
      <w:r w:rsidR="004D7071" w:rsidRPr="00195127">
        <w:rPr>
          <w:rFonts w:asciiTheme="minorHAnsi" w:hAnsiTheme="minorHAnsi" w:cstheme="minorHAnsi"/>
          <w:color w:val="000000" w:themeColor="text1"/>
        </w:rPr>
        <w:t>F de patrocinios y donaciones –</w:t>
      </w:r>
      <w:r w:rsidR="007D4F6A" w:rsidRPr="00195127">
        <w:rPr>
          <w:rFonts w:asciiTheme="minorHAnsi" w:hAnsiTheme="minorHAnsi" w:cstheme="minorHAnsi"/>
          <w:color w:val="000000" w:themeColor="text1"/>
        </w:rPr>
        <w:t xml:space="preserve"> a continuación se desglosan los fondos actualmente disponibles y los patrocinios y donaciones efectivamente recibidos</w:t>
      </w:r>
      <w:r w:rsidR="006F64AE" w:rsidRPr="00195127">
        <w:rPr>
          <w:rFonts w:asciiTheme="minorHAnsi" w:hAnsiTheme="minorHAnsi" w:cstheme="minorHAnsi"/>
          <w:color w:val="000000" w:themeColor="text1"/>
          <w:lang w:eastAsia="ja-JP"/>
        </w:rPr>
        <w:t>:</w:t>
      </w:r>
      <w:bookmarkEnd w:id="68"/>
    </w:p>
    <w:tbl>
      <w:tblPr>
        <w:tblStyle w:val="TableGrid"/>
        <w:tblW w:w="9639" w:type="dxa"/>
        <w:tblLook w:val="04A0" w:firstRow="1" w:lastRow="0" w:firstColumn="1" w:lastColumn="0" w:noHBand="0" w:noVBand="1"/>
      </w:tblPr>
      <w:tblGrid>
        <w:gridCol w:w="2266"/>
        <w:gridCol w:w="4967"/>
        <w:gridCol w:w="2406"/>
      </w:tblGrid>
      <w:tr w:rsidR="001F4C39" w:rsidRPr="00195127" w14:paraId="56A73107" w14:textId="77777777" w:rsidTr="007E6F5C">
        <w:tc>
          <w:tcPr>
            <w:tcW w:w="2263" w:type="dxa"/>
            <w:tcBorders>
              <w:bottom w:val="single" w:sz="4" w:space="0" w:color="auto"/>
            </w:tcBorders>
            <w:vAlign w:val="bottom"/>
          </w:tcPr>
          <w:p w14:paraId="4A6ED5EA" w14:textId="77777777" w:rsidR="001F4C39" w:rsidRPr="00195127" w:rsidRDefault="001F4C39" w:rsidP="00DB218E">
            <w:pPr>
              <w:pStyle w:val="Tablehead"/>
            </w:pPr>
            <w:r w:rsidRPr="00195127">
              <w:t>Tipo de financiación</w:t>
            </w:r>
          </w:p>
        </w:tc>
        <w:tc>
          <w:tcPr>
            <w:tcW w:w="4962" w:type="dxa"/>
            <w:tcBorders>
              <w:bottom w:val="single" w:sz="4" w:space="0" w:color="auto"/>
            </w:tcBorders>
          </w:tcPr>
          <w:p w14:paraId="19114269" w14:textId="77777777" w:rsidR="001F4C39" w:rsidRPr="00195127" w:rsidRDefault="001F4C39" w:rsidP="00DB218E">
            <w:pPr>
              <w:pStyle w:val="Tablehead"/>
            </w:pPr>
            <w:r w:rsidRPr="00195127">
              <w:t>País</w:t>
            </w:r>
          </w:p>
        </w:tc>
        <w:tc>
          <w:tcPr>
            <w:tcW w:w="2404" w:type="dxa"/>
            <w:tcBorders>
              <w:bottom w:val="single" w:sz="4" w:space="0" w:color="auto"/>
            </w:tcBorders>
          </w:tcPr>
          <w:p w14:paraId="462D65CD" w14:textId="77777777" w:rsidR="001F4C39" w:rsidRPr="00195127" w:rsidRDefault="001F4C39" w:rsidP="00DB218E">
            <w:pPr>
              <w:pStyle w:val="Tablehead"/>
            </w:pPr>
            <w:r w:rsidRPr="00195127">
              <w:t>Importe recibido</w:t>
            </w:r>
          </w:p>
        </w:tc>
      </w:tr>
      <w:tr w:rsidR="001F4C39" w:rsidRPr="00195127" w14:paraId="6BAA2CF9" w14:textId="77777777" w:rsidTr="007E6F5C">
        <w:tc>
          <w:tcPr>
            <w:tcW w:w="2263" w:type="dxa"/>
            <w:tcBorders>
              <w:bottom w:val="single" w:sz="4" w:space="0" w:color="auto"/>
            </w:tcBorders>
          </w:tcPr>
          <w:p w14:paraId="6710C54A" w14:textId="522EDECC" w:rsidR="001F4C39" w:rsidRPr="00195127" w:rsidRDefault="001F4C39" w:rsidP="007E6F5C">
            <w:pPr>
              <w:pStyle w:val="Tabletext"/>
            </w:pPr>
            <w:r w:rsidRPr="00195127">
              <w:t>Patrocinio</w:t>
            </w:r>
          </w:p>
        </w:tc>
        <w:tc>
          <w:tcPr>
            <w:tcW w:w="4962" w:type="dxa"/>
            <w:tcBorders>
              <w:bottom w:val="single" w:sz="4" w:space="0" w:color="auto"/>
            </w:tcBorders>
            <w:vAlign w:val="bottom"/>
          </w:tcPr>
          <w:p w14:paraId="096D895E" w14:textId="6DC3CDF1" w:rsidR="001F4C39" w:rsidRPr="00195127" w:rsidRDefault="008B62F1" w:rsidP="007E6F5C">
            <w:pPr>
              <w:pStyle w:val="Tabletext"/>
            </w:pPr>
            <w:r w:rsidRPr="00195127">
              <w:t xml:space="preserve">Arabia Saudita </w:t>
            </w:r>
            <w:r w:rsidR="001F4C39" w:rsidRPr="00195127">
              <w:t>(10</w:t>
            </w:r>
            <w:r w:rsidRPr="00195127">
              <w:t xml:space="preserve"> </w:t>
            </w:r>
            <w:r w:rsidR="001F4C39" w:rsidRPr="00195127">
              <w:t>000</w:t>
            </w:r>
            <w:r w:rsidRPr="00195127">
              <w:t xml:space="preserve"> </w:t>
            </w:r>
            <w:r w:rsidR="001F4C39" w:rsidRPr="00195127">
              <w:t>000</w:t>
            </w:r>
            <w:r w:rsidRPr="00195127">
              <w:t xml:space="preserve"> CHF</w:t>
            </w:r>
            <w:r w:rsidR="001F4C39" w:rsidRPr="00195127">
              <w:t>)</w:t>
            </w:r>
          </w:p>
        </w:tc>
        <w:tc>
          <w:tcPr>
            <w:tcW w:w="2404" w:type="dxa"/>
            <w:tcBorders>
              <w:bottom w:val="single" w:sz="4" w:space="0" w:color="auto"/>
            </w:tcBorders>
          </w:tcPr>
          <w:p w14:paraId="4A3B9AB0" w14:textId="441A29DD" w:rsidR="001F4C39" w:rsidRPr="00195127" w:rsidRDefault="001F4C39" w:rsidP="007E6F5C">
            <w:pPr>
              <w:pStyle w:val="Tabletext"/>
              <w:jc w:val="center"/>
            </w:pPr>
            <w:r w:rsidRPr="00195127">
              <w:t>7</w:t>
            </w:r>
            <w:r w:rsidR="008B62F1" w:rsidRPr="00195127">
              <w:t xml:space="preserve"> </w:t>
            </w:r>
            <w:r w:rsidRPr="00195127">
              <w:t>000</w:t>
            </w:r>
            <w:r w:rsidR="008B62F1" w:rsidRPr="00195127">
              <w:t xml:space="preserve"> </w:t>
            </w:r>
            <w:r w:rsidRPr="00195127">
              <w:t>000</w:t>
            </w:r>
            <w:r w:rsidR="008B62F1" w:rsidRPr="00195127">
              <w:t>,</w:t>
            </w:r>
            <w:r w:rsidRPr="00195127">
              <w:t>00</w:t>
            </w:r>
          </w:p>
        </w:tc>
      </w:tr>
      <w:tr w:rsidR="008B62F1" w:rsidRPr="00195127" w14:paraId="48DC46CB" w14:textId="77777777" w:rsidTr="007E6F5C">
        <w:tc>
          <w:tcPr>
            <w:tcW w:w="2263" w:type="dxa"/>
            <w:tcBorders>
              <w:top w:val="single" w:sz="4" w:space="0" w:color="auto"/>
              <w:bottom w:val="single" w:sz="4" w:space="0" w:color="auto"/>
            </w:tcBorders>
          </w:tcPr>
          <w:p w14:paraId="7A8C40E4" w14:textId="2F771E59" w:rsidR="008B62F1" w:rsidRPr="00195127" w:rsidRDefault="008B62F1" w:rsidP="007E6F5C">
            <w:pPr>
              <w:pStyle w:val="Tabletext"/>
            </w:pPr>
            <w:r w:rsidRPr="00195127">
              <w:t>Patrocinio</w:t>
            </w:r>
          </w:p>
        </w:tc>
        <w:tc>
          <w:tcPr>
            <w:tcW w:w="4962" w:type="dxa"/>
            <w:tcBorders>
              <w:top w:val="single" w:sz="4" w:space="0" w:color="auto"/>
              <w:bottom w:val="single" w:sz="4" w:space="0" w:color="auto"/>
            </w:tcBorders>
          </w:tcPr>
          <w:p w14:paraId="71A27585" w14:textId="4787BFBA" w:rsidR="008B62F1" w:rsidRPr="00195127" w:rsidRDefault="008B62F1" w:rsidP="007E6F5C">
            <w:pPr>
              <w:pStyle w:val="Tabletext"/>
            </w:pPr>
            <w:r w:rsidRPr="00195127">
              <w:t>Emiratos Árabes Unidos (5 000 000 CHF)</w:t>
            </w:r>
          </w:p>
        </w:tc>
        <w:tc>
          <w:tcPr>
            <w:tcW w:w="2404" w:type="dxa"/>
            <w:tcBorders>
              <w:top w:val="single" w:sz="4" w:space="0" w:color="auto"/>
              <w:bottom w:val="single" w:sz="4" w:space="0" w:color="auto"/>
            </w:tcBorders>
          </w:tcPr>
          <w:p w14:paraId="0083518D" w14:textId="75E9E1DE" w:rsidR="008B62F1" w:rsidRPr="00195127" w:rsidRDefault="008B62F1" w:rsidP="007E6F5C">
            <w:pPr>
              <w:pStyle w:val="Tabletext"/>
              <w:jc w:val="center"/>
            </w:pPr>
            <w:r w:rsidRPr="00195127">
              <w:t>3 000 000,00</w:t>
            </w:r>
          </w:p>
        </w:tc>
      </w:tr>
      <w:tr w:rsidR="008B62F1" w:rsidRPr="00195127" w14:paraId="3D437546" w14:textId="77777777" w:rsidTr="007E6F5C">
        <w:tc>
          <w:tcPr>
            <w:tcW w:w="2263" w:type="dxa"/>
            <w:tcBorders>
              <w:top w:val="single" w:sz="4" w:space="0" w:color="auto"/>
              <w:bottom w:val="single" w:sz="4" w:space="0" w:color="auto"/>
            </w:tcBorders>
          </w:tcPr>
          <w:p w14:paraId="4594B8E8" w14:textId="69AC1DF9" w:rsidR="008B62F1" w:rsidRPr="00195127" w:rsidRDefault="008B62F1" w:rsidP="007E6F5C">
            <w:pPr>
              <w:pStyle w:val="Tabletext"/>
            </w:pPr>
            <w:r w:rsidRPr="00195127">
              <w:t>Donación</w:t>
            </w:r>
          </w:p>
        </w:tc>
        <w:tc>
          <w:tcPr>
            <w:tcW w:w="4962" w:type="dxa"/>
            <w:tcBorders>
              <w:top w:val="single" w:sz="4" w:space="0" w:color="auto"/>
              <w:bottom w:val="single" w:sz="4" w:space="0" w:color="auto"/>
            </w:tcBorders>
          </w:tcPr>
          <w:p w14:paraId="75867571" w14:textId="7D8F0A29" w:rsidR="008B62F1" w:rsidRPr="00195127" w:rsidRDefault="008B62F1" w:rsidP="007E6F5C">
            <w:pPr>
              <w:pStyle w:val="Tabletext"/>
            </w:pPr>
            <w:r w:rsidRPr="00195127">
              <w:t>República Checa (100 000 USD)</w:t>
            </w:r>
          </w:p>
        </w:tc>
        <w:tc>
          <w:tcPr>
            <w:tcW w:w="2404" w:type="dxa"/>
            <w:tcBorders>
              <w:top w:val="single" w:sz="4" w:space="0" w:color="auto"/>
              <w:bottom w:val="single" w:sz="4" w:space="0" w:color="auto"/>
            </w:tcBorders>
          </w:tcPr>
          <w:p w14:paraId="42547619" w14:textId="47EB28BC" w:rsidR="008B62F1" w:rsidRPr="00195127" w:rsidRDefault="008B62F1" w:rsidP="007E6F5C">
            <w:pPr>
              <w:pStyle w:val="Tabletext"/>
              <w:jc w:val="center"/>
            </w:pPr>
            <w:r w:rsidRPr="00195127">
              <w:t>95 251,40</w:t>
            </w:r>
          </w:p>
        </w:tc>
      </w:tr>
      <w:tr w:rsidR="008B62F1" w:rsidRPr="00195127" w14:paraId="2AEED741" w14:textId="77777777" w:rsidTr="007E6F5C">
        <w:tc>
          <w:tcPr>
            <w:tcW w:w="2263" w:type="dxa"/>
            <w:tcBorders>
              <w:top w:val="single" w:sz="4" w:space="0" w:color="auto"/>
              <w:bottom w:val="single" w:sz="4" w:space="0" w:color="auto"/>
            </w:tcBorders>
          </w:tcPr>
          <w:p w14:paraId="5FF6D040" w14:textId="1BB4754D" w:rsidR="008B62F1" w:rsidRPr="00195127" w:rsidRDefault="008B62F1" w:rsidP="007E6F5C">
            <w:pPr>
              <w:pStyle w:val="Tabletext"/>
            </w:pPr>
            <w:r w:rsidRPr="00195127">
              <w:t>Donación</w:t>
            </w:r>
          </w:p>
        </w:tc>
        <w:tc>
          <w:tcPr>
            <w:tcW w:w="4962" w:type="dxa"/>
            <w:tcBorders>
              <w:top w:val="single" w:sz="4" w:space="0" w:color="auto"/>
              <w:bottom w:val="single" w:sz="4" w:space="0" w:color="auto"/>
            </w:tcBorders>
          </w:tcPr>
          <w:p w14:paraId="1AA00E94" w14:textId="5D1D2076" w:rsidR="008B62F1" w:rsidRPr="00195127" w:rsidRDefault="008B62F1" w:rsidP="007E6F5C">
            <w:pPr>
              <w:pStyle w:val="Tabletext"/>
            </w:pPr>
            <w:r w:rsidRPr="00195127">
              <w:t>Ghana (40 000 USD)</w:t>
            </w:r>
          </w:p>
        </w:tc>
        <w:tc>
          <w:tcPr>
            <w:tcW w:w="2404" w:type="dxa"/>
            <w:tcBorders>
              <w:top w:val="single" w:sz="4" w:space="0" w:color="auto"/>
              <w:bottom w:val="single" w:sz="4" w:space="0" w:color="auto"/>
            </w:tcBorders>
          </w:tcPr>
          <w:p w14:paraId="095C09C1" w14:textId="72547288" w:rsidR="008B62F1" w:rsidRPr="00195127" w:rsidRDefault="008B62F1" w:rsidP="007E6F5C">
            <w:pPr>
              <w:pStyle w:val="Tabletext"/>
              <w:jc w:val="center"/>
            </w:pPr>
            <w:r w:rsidRPr="00195127">
              <w:t>39 920,16</w:t>
            </w:r>
          </w:p>
        </w:tc>
      </w:tr>
      <w:tr w:rsidR="008B62F1" w:rsidRPr="00195127" w14:paraId="35DFEF4B" w14:textId="77777777" w:rsidTr="007E6F5C">
        <w:tc>
          <w:tcPr>
            <w:tcW w:w="2263" w:type="dxa"/>
            <w:tcBorders>
              <w:top w:val="single" w:sz="4" w:space="0" w:color="auto"/>
              <w:bottom w:val="single" w:sz="4" w:space="0" w:color="auto"/>
            </w:tcBorders>
          </w:tcPr>
          <w:p w14:paraId="27C49D8D" w14:textId="531F0708" w:rsidR="008B62F1" w:rsidRPr="00195127" w:rsidRDefault="008B62F1" w:rsidP="007E6F5C">
            <w:pPr>
              <w:pStyle w:val="Tabletext"/>
            </w:pPr>
            <w:r w:rsidRPr="00195127">
              <w:t>Otros</w:t>
            </w:r>
          </w:p>
        </w:tc>
        <w:tc>
          <w:tcPr>
            <w:tcW w:w="4962" w:type="dxa"/>
            <w:tcBorders>
              <w:top w:val="single" w:sz="4" w:space="0" w:color="auto"/>
              <w:bottom w:val="single" w:sz="4" w:space="0" w:color="auto"/>
            </w:tcBorders>
          </w:tcPr>
          <w:p w14:paraId="3CDCE1E5" w14:textId="4DCA3C56" w:rsidR="008B62F1" w:rsidRPr="00195127" w:rsidRDefault="008B62F1" w:rsidP="007E6F5C">
            <w:pPr>
              <w:pStyle w:val="Tabletext"/>
            </w:pPr>
            <w:r w:rsidRPr="00195127">
              <w:t>Tasas de inscripción concurso de arquitectura (CHF)</w:t>
            </w:r>
          </w:p>
        </w:tc>
        <w:tc>
          <w:tcPr>
            <w:tcW w:w="2404" w:type="dxa"/>
            <w:tcBorders>
              <w:top w:val="single" w:sz="4" w:space="0" w:color="auto"/>
              <w:bottom w:val="single" w:sz="4" w:space="0" w:color="auto"/>
            </w:tcBorders>
          </w:tcPr>
          <w:p w14:paraId="00D2E676" w14:textId="1161DC9E" w:rsidR="008B62F1" w:rsidRPr="00195127" w:rsidRDefault="008B62F1" w:rsidP="007E6F5C">
            <w:pPr>
              <w:pStyle w:val="Tabletext"/>
              <w:jc w:val="center"/>
            </w:pPr>
            <w:r w:rsidRPr="00195127">
              <w:t>46 935,47</w:t>
            </w:r>
          </w:p>
        </w:tc>
      </w:tr>
      <w:tr w:rsidR="001F4C39" w:rsidRPr="00195127" w14:paraId="382470B9" w14:textId="77777777" w:rsidTr="007E6F5C">
        <w:tc>
          <w:tcPr>
            <w:tcW w:w="2263" w:type="dxa"/>
            <w:tcBorders>
              <w:top w:val="single" w:sz="4" w:space="0" w:color="auto"/>
              <w:left w:val="nil"/>
              <w:bottom w:val="nil"/>
              <w:right w:val="nil"/>
            </w:tcBorders>
          </w:tcPr>
          <w:p w14:paraId="6AEBF373" w14:textId="77777777" w:rsidR="001F4C39" w:rsidRPr="00195127" w:rsidRDefault="001F4C39" w:rsidP="007E6F5C">
            <w:pPr>
              <w:pStyle w:val="Tabletext"/>
            </w:pPr>
          </w:p>
        </w:tc>
        <w:tc>
          <w:tcPr>
            <w:tcW w:w="4962" w:type="dxa"/>
            <w:tcBorders>
              <w:top w:val="single" w:sz="4" w:space="0" w:color="auto"/>
              <w:left w:val="nil"/>
              <w:bottom w:val="nil"/>
              <w:right w:val="nil"/>
            </w:tcBorders>
          </w:tcPr>
          <w:p w14:paraId="78E77AF6" w14:textId="6D7B9F0D" w:rsidR="001F4C39" w:rsidRPr="00195127" w:rsidRDefault="001F4C39" w:rsidP="007E6F5C">
            <w:pPr>
              <w:pStyle w:val="Tabletext"/>
              <w:jc w:val="right"/>
              <w:rPr>
                <w:b/>
                <w:bCs/>
              </w:rPr>
            </w:pPr>
            <w:r w:rsidRPr="00195127">
              <w:rPr>
                <w:b/>
                <w:bCs/>
              </w:rPr>
              <w:t>TOTAL en CHF</w:t>
            </w:r>
          </w:p>
        </w:tc>
        <w:tc>
          <w:tcPr>
            <w:tcW w:w="2404" w:type="dxa"/>
            <w:tcBorders>
              <w:top w:val="single" w:sz="4" w:space="0" w:color="auto"/>
              <w:left w:val="nil"/>
              <w:bottom w:val="nil"/>
              <w:right w:val="nil"/>
            </w:tcBorders>
          </w:tcPr>
          <w:p w14:paraId="636516B1" w14:textId="36EAC1C4" w:rsidR="001F4C39" w:rsidRPr="00195127" w:rsidRDefault="001F4C39" w:rsidP="007E6F5C">
            <w:pPr>
              <w:pStyle w:val="Tabletext"/>
              <w:jc w:val="center"/>
              <w:rPr>
                <w:b/>
                <w:bCs/>
              </w:rPr>
            </w:pPr>
            <w:r w:rsidRPr="00195127">
              <w:rPr>
                <w:b/>
                <w:bCs/>
              </w:rPr>
              <w:t>10</w:t>
            </w:r>
            <w:r w:rsidR="008B62F1" w:rsidRPr="00195127">
              <w:rPr>
                <w:b/>
                <w:bCs/>
              </w:rPr>
              <w:t xml:space="preserve"> </w:t>
            </w:r>
            <w:r w:rsidRPr="00195127">
              <w:rPr>
                <w:b/>
                <w:bCs/>
              </w:rPr>
              <w:t>182</w:t>
            </w:r>
            <w:r w:rsidR="008B62F1" w:rsidRPr="00195127">
              <w:rPr>
                <w:b/>
                <w:bCs/>
              </w:rPr>
              <w:t xml:space="preserve"> </w:t>
            </w:r>
            <w:r w:rsidRPr="00195127">
              <w:rPr>
                <w:b/>
                <w:bCs/>
              </w:rPr>
              <w:t>107</w:t>
            </w:r>
            <w:r w:rsidR="008B62F1" w:rsidRPr="00195127">
              <w:rPr>
                <w:b/>
                <w:bCs/>
              </w:rPr>
              <w:t>,</w:t>
            </w:r>
            <w:r w:rsidRPr="00195127">
              <w:rPr>
                <w:b/>
                <w:bCs/>
              </w:rPr>
              <w:t>03</w:t>
            </w:r>
          </w:p>
        </w:tc>
      </w:tr>
    </w:tbl>
    <w:p w14:paraId="178473BB" w14:textId="33CB725A" w:rsidR="006F64AE" w:rsidRPr="00195127" w:rsidRDefault="007D4F6A" w:rsidP="007E6F5C">
      <w:pPr>
        <w:pStyle w:val="Normalaftertitle"/>
      </w:pPr>
      <w:bookmarkStart w:id="69" w:name="lt_pId182"/>
      <w:r w:rsidRPr="00195127">
        <w:rPr>
          <w:lang w:eastAsia="ja-JP"/>
        </w:rPr>
        <w:t xml:space="preserve">El Consejo decidió en su reunión </w:t>
      </w:r>
      <w:r w:rsidR="008B62F1" w:rsidRPr="00195127">
        <w:rPr>
          <w:lang w:eastAsia="ja-JP"/>
        </w:rPr>
        <w:t xml:space="preserve">adicional </w:t>
      </w:r>
      <w:r w:rsidRPr="00195127">
        <w:rPr>
          <w:lang w:eastAsia="ja-JP"/>
        </w:rPr>
        <w:t>de septiembre de 2019 crear un Fondo del registro de riesgos adicional (</w:t>
      </w:r>
      <w:r w:rsidRPr="00195127">
        <w:rPr>
          <w:i/>
          <w:iCs/>
          <w:lang w:eastAsia="ja-JP"/>
        </w:rPr>
        <w:t>acuerda</w:t>
      </w:r>
      <w:r w:rsidR="006F64AE" w:rsidRPr="00195127">
        <w:rPr>
          <w:lang w:eastAsia="ja-JP"/>
        </w:rPr>
        <w:t xml:space="preserve"> 3 </w:t>
      </w:r>
      <w:r w:rsidRPr="00195127">
        <w:rPr>
          <w:lang w:eastAsia="ja-JP"/>
        </w:rPr>
        <w:t>del Acuerdo</w:t>
      </w:r>
      <w:r w:rsidR="006F64AE" w:rsidRPr="00195127">
        <w:rPr>
          <w:lang w:eastAsia="ja-JP"/>
        </w:rPr>
        <w:t xml:space="preserve"> 619) </w:t>
      </w:r>
      <w:r w:rsidRPr="00195127">
        <w:rPr>
          <w:lang w:eastAsia="ja-JP"/>
        </w:rPr>
        <w:t>como provisión financiera adicional para los riesgos no mitigados y que se financiará</w:t>
      </w:r>
      <w:r w:rsidR="00CA75D9" w:rsidRPr="00195127">
        <w:rPr>
          <w:lang w:eastAsia="ja-JP"/>
        </w:rPr>
        <w:t xml:space="preserve"> mediante posteriores decisiones del Consejo a partir de 2020. En</w:t>
      </w:r>
      <w:r w:rsidR="007E6F5C" w:rsidRPr="00195127">
        <w:rPr>
          <w:lang w:eastAsia="ja-JP"/>
        </w:rPr>
        <w:t> </w:t>
      </w:r>
      <w:r w:rsidR="00CA75D9" w:rsidRPr="00195127">
        <w:rPr>
          <w:lang w:eastAsia="ja-JP"/>
        </w:rPr>
        <w:t>la actualidad del Fondo del registro de riesgos cuenta con</w:t>
      </w:r>
      <w:bookmarkStart w:id="70" w:name="lt_pId183"/>
      <w:bookmarkEnd w:id="69"/>
      <w:r w:rsidR="006F64AE" w:rsidRPr="00195127">
        <w:t xml:space="preserve"> 1</w:t>
      </w:r>
      <w:r w:rsidR="00CA75D9" w:rsidRPr="00195127">
        <w:t xml:space="preserve"> </w:t>
      </w:r>
      <w:r w:rsidR="006F64AE" w:rsidRPr="00195127">
        <w:t>425</w:t>
      </w:r>
      <w:r w:rsidR="00CA75D9" w:rsidRPr="00195127">
        <w:t xml:space="preserve"> </w:t>
      </w:r>
      <w:r w:rsidR="006F64AE" w:rsidRPr="00195127">
        <w:t xml:space="preserve">000 </w:t>
      </w:r>
      <w:r w:rsidR="00CA75D9" w:rsidRPr="00195127">
        <w:t>CHF</w:t>
      </w:r>
      <w:r w:rsidR="006F64AE" w:rsidRPr="00195127">
        <w:t>.</w:t>
      </w:r>
      <w:bookmarkEnd w:id="70"/>
    </w:p>
    <w:p w14:paraId="4F588714" w14:textId="031EC377" w:rsidR="006F64AE" w:rsidRPr="00195127" w:rsidRDefault="006F64AE" w:rsidP="00F75511">
      <w:pPr>
        <w:pStyle w:val="Heading2"/>
      </w:pPr>
      <w:r w:rsidRPr="00195127">
        <w:t>4.2</w:t>
      </w:r>
      <w:r w:rsidRPr="00195127">
        <w:tab/>
      </w:r>
      <w:bookmarkStart w:id="71" w:name="lt_pId185"/>
      <w:r w:rsidR="00CA75D9" w:rsidRPr="00195127">
        <w:t>Flujo de caja</w:t>
      </w:r>
      <w:bookmarkEnd w:id="71"/>
    </w:p>
    <w:p w14:paraId="1242E24F" w14:textId="3534F75C" w:rsidR="006F64AE" w:rsidRPr="00195127" w:rsidRDefault="00CA75D9" w:rsidP="00F75511">
      <w:pPr>
        <w:rPr>
          <w:lang w:eastAsia="zh-CN"/>
        </w:rPr>
      </w:pPr>
      <w:bookmarkStart w:id="72" w:name="lt_pId186"/>
      <w:r w:rsidRPr="00195127">
        <w:rPr>
          <w:lang w:eastAsia="zh-CN"/>
        </w:rPr>
        <w:t xml:space="preserve">El flujo de caja </w:t>
      </w:r>
      <w:r w:rsidR="00690593" w:rsidRPr="00195127">
        <w:rPr>
          <w:rFonts w:asciiTheme="minorHAnsi" w:hAnsiTheme="minorHAnsi" w:cstheme="minorHAnsi"/>
          <w:color w:val="000000"/>
          <w:szCs w:val="22"/>
          <w:lang w:eastAsia="zh-CN"/>
        </w:rPr>
        <w:t>(</w:t>
      </w:r>
      <w:r w:rsidR="008B62F1" w:rsidRPr="00195127">
        <w:rPr>
          <w:rFonts w:asciiTheme="minorHAnsi" w:hAnsiTheme="minorHAnsi" w:cstheme="minorHAnsi"/>
          <w:color w:val="000000"/>
          <w:szCs w:val="22"/>
          <w:lang w:eastAsia="zh-CN"/>
        </w:rPr>
        <w:t xml:space="preserve">véase el </w:t>
      </w:r>
      <w:hyperlink w:anchor="AnnexB" w:history="1">
        <w:r w:rsidR="008B62F1" w:rsidRPr="00195127">
          <w:rPr>
            <w:rStyle w:val="Hyperlink"/>
            <w:rFonts w:asciiTheme="minorHAnsi" w:hAnsiTheme="minorHAnsi" w:cstheme="minorHAnsi"/>
            <w:szCs w:val="22"/>
            <w:lang w:eastAsia="zh-CN"/>
          </w:rPr>
          <w:t>Anexo B</w:t>
        </w:r>
      </w:hyperlink>
      <w:r w:rsidR="00690593" w:rsidRPr="00195127">
        <w:rPr>
          <w:rFonts w:asciiTheme="minorHAnsi" w:hAnsiTheme="minorHAnsi" w:cstheme="minorHAnsi"/>
          <w:color w:val="000000"/>
          <w:szCs w:val="22"/>
          <w:lang w:eastAsia="zh-CN"/>
        </w:rPr>
        <w:t xml:space="preserve">) </w:t>
      </w:r>
      <w:r w:rsidRPr="00195127">
        <w:rPr>
          <w:lang w:eastAsia="zh-CN"/>
        </w:rPr>
        <w:t>y su seguimiento efectuado por</w:t>
      </w:r>
      <w:r w:rsidR="006F64AE" w:rsidRPr="00195127">
        <w:rPr>
          <w:lang w:eastAsia="zh-CN"/>
        </w:rPr>
        <w:t xml:space="preserve"> Hill </w:t>
      </w:r>
      <w:r w:rsidR="004D7071" w:rsidRPr="00195127">
        <w:rPr>
          <w:lang w:eastAsia="zh-CN"/>
        </w:rPr>
        <w:t>International</w:t>
      </w:r>
      <w:r w:rsidR="006F64AE" w:rsidRPr="00195127">
        <w:rPr>
          <w:lang w:eastAsia="zh-CN"/>
        </w:rPr>
        <w:t xml:space="preserve"> </w:t>
      </w:r>
      <w:r w:rsidRPr="00195127">
        <w:rPr>
          <w:lang w:eastAsia="zh-CN"/>
        </w:rPr>
        <w:t>es una de las actividades más importantes del proyecto. El flujo de caja indica claramente cuándo un proyecto se desvía de su evolución prevista. Para evitar tal desviación se emplea un informe comprobado que ilustra gráficamente las diferencias entre las previsiones y la realidad a fin de poder identificar los problemas con prontitud y tomar las medidas necesarias para ponerles remedio</w:t>
      </w:r>
      <w:bookmarkStart w:id="73" w:name="lt_pId188"/>
      <w:bookmarkEnd w:id="72"/>
      <w:r w:rsidR="006F64AE" w:rsidRPr="00195127">
        <w:rPr>
          <w:lang w:eastAsia="zh-CN"/>
        </w:rPr>
        <w:t>.</w:t>
      </w:r>
      <w:bookmarkEnd w:id="73"/>
    </w:p>
    <w:p w14:paraId="2AF0B496" w14:textId="0A1F466E" w:rsidR="006F64AE" w:rsidRPr="00195127" w:rsidRDefault="00CA75D9" w:rsidP="00F75511">
      <w:pPr>
        <w:rPr>
          <w:lang w:eastAsia="zh-CN"/>
        </w:rPr>
      </w:pPr>
      <w:bookmarkStart w:id="74" w:name="lt_pId189"/>
      <w:r w:rsidRPr="00195127">
        <w:rPr>
          <w:lang w:eastAsia="zh-CN"/>
        </w:rPr>
        <w:t>En la actualidad las actividades del proyecto se financian con el primer préstamo del País Anfitrión de 12 millones CHF. La disponibilidad de los fondos está garantizada hasta junio de</w:t>
      </w:r>
      <w:bookmarkStart w:id="75" w:name="lt_pId190"/>
      <w:bookmarkEnd w:id="74"/>
      <w:r w:rsidR="006F64AE" w:rsidRPr="00195127">
        <w:rPr>
          <w:lang w:eastAsia="zh-CN"/>
        </w:rPr>
        <w:t xml:space="preserve"> 2021 </w:t>
      </w:r>
      <w:r w:rsidRPr="00195127">
        <w:rPr>
          <w:lang w:eastAsia="zh-CN"/>
        </w:rPr>
        <w:t>a fin de contar con un flujo de caja continuo y permitir la aprobac</w:t>
      </w:r>
      <w:r w:rsidR="004D7071" w:rsidRPr="00195127">
        <w:rPr>
          <w:lang w:eastAsia="zh-CN"/>
        </w:rPr>
        <w:t>ión del segundo préstamo de 138 </w:t>
      </w:r>
      <w:r w:rsidRPr="00195127">
        <w:rPr>
          <w:lang w:eastAsia="zh-CN"/>
        </w:rPr>
        <w:t>millones CHF y la firma del contrato de préstamo con la</w:t>
      </w:r>
      <w:r w:rsidR="006F64AE" w:rsidRPr="00195127">
        <w:rPr>
          <w:lang w:eastAsia="zh-CN"/>
        </w:rPr>
        <w:t xml:space="preserve"> FIPOI.</w:t>
      </w:r>
      <w:bookmarkEnd w:id="75"/>
    </w:p>
    <w:p w14:paraId="6ACA4342" w14:textId="1116604D" w:rsidR="006F64AE" w:rsidRPr="00195127" w:rsidRDefault="006F64AE" w:rsidP="00F75511">
      <w:pPr>
        <w:pStyle w:val="Heading2"/>
      </w:pPr>
      <w:r w:rsidRPr="00195127">
        <w:t>4.3</w:t>
      </w:r>
      <w:r w:rsidRPr="00195127">
        <w:tab/>
      </w:r>
      <w:bookmarkStart w:id="76" w:name="lt_pId194"/>
      <w:r w:rsidR="00CA75D9" w:rsidRPr="00195127">
        <w:t>Gastos hasta la fecha</w:t>
      </w:r>
      <w:bookmarkEnd w:id="76"/>
    </w:p>
    <w:p w14:paraId="6C8334E2" w14:textId="1EEEC87B" w:rsidR="006F64AE" w:rsidRPr="00195127" w:rsidRDefault="00CA75D9" w:rsidP="00F75511">
      <w:pPr>
        <w:rPr>
          <w:color w:val="000000" w:themeColor="text1"/>
        </w:rPr>
      </w:pPr>
      <w:bookmarkStart w:id="77" w:name="lt_pId195"/>
      <w:r w:rsidRPr="00195127">
        <w:rPr>
          <w:lang w:eastAsia="zh-CN"/>
        </w:rPr>
        <w:t>En la actualidad los gastos responden únicamente a l</w:t>
      </w:r>
      <w:r w:rsidR="00362692" w:rsidRPr="00195127">
        <w:rPr>
          <w:lang w:eastAsia="zh-CN"/>
        </w:rPr>
        <w:t>os honorarios del consorcio de arquitectos</w:t>
      </w:r>
      <w:r w:rsidR="006F64AE" w:rsidRPr="00195127">
        <w:rPr>
          <w:lang w:eastAsia="zh-CN"/>
        </w:rPr>
        <w:t xml:space="preserve"> CDTK </w:t>
      </w:r>
      <w:r w:rsidR="00362692" w:rsidRPr="00195127">
        <w:rPr>
          <w:lang w:eastAsia="zh-CN"/>
        </w:rPr>
        <w:t>y del gestor de proyectos</w:t>
      </w:r>
      <w:r w:rsidR="006F64AE" w:rsidRPr="00195127">
        <w:rPr>
          <w:lang w:eastAsia="zh-CN"/>
        </w:rPr>
        <w:t xml:space="preserve"> Hill </w:t>
      </w:r>
      <w:bookmarkEnd w:id="77"/>
      <w:r w:rsidR="004D7071" w:rsidRPr="00195127">
        <w:rPr>
          <w:lang w:eastAsia="zh-CN"/>
        </w:rPr>
        <w:t>International.</w:t>
      </w:r>
      <w:r w:rsidR="006F64AE" w:rsidRPr="00195127">
        <w:rPr>
          <w:lang w:eastAsia="zh-CN"/>
        </w:rPr>
        <w:t xml:space="preserve"> </w:t>
      </w:r>
      <w:bookmarkStart w:id="78" w:name="lt_pId196"/>
      <w:r w:rsidR="00362692" w:rsidRPr="00195127">
        <w:rPr>
          <w:lang w:eastAsia="zh-CN"/>
        </w:rPr>
        <w:t>Estos gastos son conformes a las previsiones comunicadas trimestralmente al País Anfitrión y cada trimestre se procesan las solicitudes de financiación para cubrir los gastos corrientes del proyecto</w:t>
      </w:r>
      <w:r w:rsidR="006F64AE" w:rsidRPr="00195127">
        <w:rPr>
          <w:color w:val="000000" w:themeColor="text1"/>
        </w:rPr>
        <w:t>.</w:t>
      </w:r>
      <w:bookmarkEnd w:id="78"/>
    </w:p>
    <w:p w14:paraId="43224C3B" w14:textId="5F10E7F5" w:rsidR="006F64AE" w:rsidRPr="00195127" w:rsidRDefault="006F64AE" w:rsidP="00F75511">
      <w:pPr>
        <w:pStyle w:val="Heading2"/>
      </w:pPr>
      <w:r w:rsidRPr="00195127">
        <w:lastRenderedPageBreak/>
        <w:t>4.4</w:t>
      </w:r>
      <w:r w:rsidRPr="00195127">
        <w:tab/>
      </w:r>
      <w:bookmarkStart w:id="79" w:name="lt_pId201"/>
      <w:r w:rsidR="00362692" w:rsidRPr="00195127">
        <w:t>Gastos previstos y reales</w:t>
      </w:r>
      <w:bookmarkEnd w:id="79"/>
    </w:p>
    <w:p w14:paraId="15D33BD1" w14:textId="3FFA758D" w:rsidR="006F64AE" w:rsidRPr="00195127" w:rsidRDefault="00362692" w:rsidP="00F75511">
      <w:pPr>
        <w:rPr>
          <w:lang w:eastAsia="zh-CN"/>
        </w:rPr>
      </w:pPr>
      <w:bookmarkStart w:id="80" w:name="lt_pId202"/>
      <w:r w:rsidRPr="00195127">
        <w:rPr>
          <w:lang w:eastAsia="zh-CN"/>
        </w:rPr>
        <w:t xml:space="preserve">En el gráfico del </w:t>
      </w:r>
      <w:hyperlink w:anchor="AnnexC" w:history="1">
        <w:r w:rsidR="006F64AE" w:rsidRPr="00195127">
          <w:rPr>
            <w:rStyle w:val="Hyperlink"/>
            <w:rFonts w:asciiTheme="minorHAnsi" w:hAnsiTheme="minorHAnsi" w:cstheme="minorHAnsi"/>
            <w:szCs w:val="22"/>
            <w:lang w:eastAsia="zh-CN"/>
          </w:rPr>
          <w:t>Anex</w:t>
        </w:r>
        <w:r w:rsidRPr="00195127">
          <w:rPr>
            <w:rStyle w:val="Hyperlink"/>
            <w:rFonts w:asciiTheme="minorHAnsi" w:hAnsiTheme="minorHAnsi" w:cstheme="minorHAnsi"/>
            <w:szCs w:val="22"/>
            <w:lang w:eastAsia="zh-CN"/>
          </w:rPr>
          <w:t>o</w:t>
        </w:r>
        <w:r w:rsidR="006F64AE" w:rsidRPr="00195127">
          <w:rPr>
            <w:rStyle w:val="Hyperlink"/>
            <w:rFonts w:asciiTheme="minorHAnsi" w:hAnsiTheme="minorHAnsi" w:cstheme="minorHAnsi"/>
            <w:szCs w:val="22"/>
            <w:lang w:eastAsia="zh-CN"/>
          </w:rPr>
          <w:t xml:space="preserve"> C</w:t>
        </w:r>
      </w:hyperlink>
      <w:r w:rsidR="006F64AE" w:rsidRPr="00195127">
        <w:rPr>
          <w:lang w:eastAsia="zh-CN"/>
        </w:rPr>
        <w:t xml:space="preserve"> </w:t>
      </w:r>
      <w:r w:rsidRPr="00195127">
        <w:rPr>
          <w:lang w:eastAsia="zh-CN"/>
        </w:rPr>
        <w:t xml:space="preserve">se muestran los gastos reales (barras rojas) y los gastos previstos (barras azules). Este gráfico permite efectuar un seguimiento mensual y mensurable de los gastos a fin de tomar, de ser necesario, las medidas correctivas necesarias lo antes posible. Además, permite conocer la cuantía vinculada al </w:t>
      </w:r>
      <w:r w:rsidR="008B62F1" w:rsidRPr="00195127">
        <w:rPr>
          <w:lang w:eastAsia="zh-CN"/>
        </w:rPr>
        <w:t xml:space="preserve">Registro </w:t>
      </w:r>
      <w:r w:rsidRPr="00195127">
        <w:rPr>
          <w:lang w:eastAsia="zh-CN"/>
        </w:rPr>
        <w:t xml:space="preserve">de </w:t>
      </w:r>
      <w:r w:rsidR="008B62F1" w:rsidRPr="00195127">
        <w:rPr>
          <w:lang w:eastAsia="zh-CN"/>
        </w:rPr>
        <w:t xml:space="preserve">Riesgos </w:t>
      </w:r>
      <w:r w:rsidRPr="00195127">
        <w:rPr>
          <w:lang w:eastAsia="zh-CN"/>
        </w:rPr>
        <w:t>(línea negra discontinua) a medida que avanza el proyecto. La contingencia (línea verde) se modificará cuando se recurra, llegado el caso, a los fondos de contingencia</w:t>
      </w:r>
      <w:bookmarkStart w:id="81" w:name="lt_pId205"/>
      <w:bookmarkEnd w:id="80"/>
      <w:r w:rsidR="006F64AE" w:rsidRPr="00195127">
        <w:rPr>
          <w:lang w:eastAsia="zh-CN"/>
        </w:rPr>
        <w:t>.</w:t>
      </w:r>
      <w:bookmarkEnd w:id="81"/>
    </w:p>
    <w:p w14:paraId="63AA863C" w14:textId="0F4C9B54" w:rsidR="006F64AE" w:rsidRPr="00195127" w:rsidRDefault="006F64AE" w:rsidP="00F75511">
      <w:pPr>
        <w:pStyle w:val="Heading2"/>
      </w:pPr>
      <w:r w:rsidRPr="00195127">
        <w:t>4.5</w:t>
      </w:r>
      <w:r w:rsidRPr="00195127">
        <w:tab/>
      </w:r>
      <w:bookmarkStart w:id="82" w:name="lt_pId207"/>
      <w:r w:rsidR="00362692" w:rsidRPr="00195127">
        <w:t>Costes indirectos del proyecto</w:t>
      </w:r>
      <w:bookmarkEnd w:id="82"/>
    </w:p>
    <w:p w14:paraId="1FEC8650" w14:textId="632CD596" w:rsidR="006F64AE" w:rsidRPr="00195127" w:rsidRDefault="00A67939" w:rsidP="00DF5725">
      <w:pPr>
        <w:rPr>
          <w:rFonts w:asciiTheme="minorHAnsi" w:hAnsiTheme="minorHAnsi" w:cstheme="minorHAnsi"/>
          <w:color w:val="000000"/>
          <w:szCs w:val="22"/>
          <w:lang w:eastAsia="zh-CN"/>
        </w:rPr>
      </w:pPr>
      <w:bookmarkStart w:id="83" w:name="lt_pId208"/>
      <w:r w:rsidRPr="00195127">
        <w:rPr>
          <w:lang w:eastAsia="zh-CN"/>
        </w:rPr>
        <w:t xml:space="preserve">De </w:t>
      </w:r>
      <w:r w:rsidRPr="00195127">
        <w:t>conformidad</w:t>
      </w:r>
      <w:r w:rsidRPr="00195127">
        <w:rPr>
          <w:lang w:eastAsia="zh-CN"/>
        </w:rPr>
        <w:t xml:space="preserve"> </w:t>
      </w:r>
      <w:r w:rsidR="00362692" w:rsidRPr="00195127">
        <w:rPr>
          <w:lang w:eastAsia="zh-CN"/>
        </w:rPr>
        <w:t>con el Acuerdo 619 del Consejo y con el cuadro presentado al GTC-RHF en febrero de</w:t>
      </w:r>
      <w:r w:rsidR="006F64AE" w:rsidRPr="00195127">
        <w:rPr>
          <w:lang w:eastAsia="zh-CN"/>
        </w:rPr>
        <w:t xml:space="preserve"> 2020, </w:t>
      </w:r>
      <w:r w:rsidR="00362692" w:rsidRPr="00195127">
        <w:rPr>
          <w:lang w:eastAsia="zh-CN"/>
        </w:rPr>
        <w:t xml:space="preserve">se atribuirán </w:t>
      </w:r>
      <w:r w:rsidR="006F64AE" w:rsidRPr="00195127">
        <w:rPr>
          <w:lang w:eastAsia="zh-CN"/>
        </w:rPr>
        <w:t>935</w:t>
      </w:r>
      <w:r w:rsidR="00607A68" w:rsidRPr="00195127">
        <w:rPr>
          <w:lang w:eastAsia="zh-CN"/>
        </w:rPr>
        <w:t> 000 </w:t>
      </w:r>
      <w:r w:rsidR="00362692" w:rsidRPr="00195127">
        <w:rPr>
          <w:lang w:eastAsia="zh-CN"/>
        </w:rPr>
        <w:t>CHF a los costes indirectos</w:t>
      </w:r>
      <w:r w:rsidR="006F64AE" w:rsidRPr="00195127">
        <w:rPr>
          <w:lang w:eastAsia="zh-CN"/>
        </w:rPr>
        <w:t>.</w:t>
      </w:r>
      <w:bookmarkEnd w:id="83"/>
    </w:p>
    <w:p w14:paraId="494989DF" w14:textId="2C262738" w:rsidR="006F64AE" w:rsidRPr="00195127" w:rsidRDefault="004E4657" w:rsidP="00F75511">
      <w:pPr>
        <w:pStyle w:val="Heading1"/>
        <w:rPr>
          <w:lang w:eastAsia="ja-JP"/>
        </w:rPr>
      </w:pPr>
      <w:bookmarkStart w:id="84" w:name="lt_pId210"/>
      <w:r w:rsidRPr="00195127">
        <w:rPr>
          <w:lang w:eastAsia="ja-JP"/>
        </w:rPr>
        <w:t>5</w:t>
      </w:r>
      <w:r w:rsidRPr="00195127">
        <w:rPr>
          <w:lang w:eastAsia="ja-JP"/>
        </w:rPr>
        <w:tab/>
      </w:r>
      <w:r w:rsidR="006F64AE" w:rsidRPr="00195127">
        <w:rPr>
          <w:lang w:eastAsia="ja-JP"/>
        </w:rPr>
        <w:t>Defini</w:t>
      </w:r>
      <w:r w:rsidR="00AC25D9" w:rsidRPr="00195127">
        <w:rPr>
          <w:lang w:eastAsia="ja-JP"/>
        </w:rPr>
        <w:t>ción de las cuotas de servidumbre antes de la presentación</w:t>
      </w:r>
      <w:r w:rsidR="00727955" w:rsidRPr="00195127">
        <w:rPr>
          <w:lang w:eastAsia="ja-JP"/>
        </w:rPr>
        <w:br/>
      </w:r>
      <w:r w:rsidR="00AC25D9" w:rsidRPr="00195127">
        <w:rPr>
          <w:lang w:eastAsia="ja-JP"/>
        </w:rPr>
        <w:t>de la solicitud de permiso</w:t>
      </w:r>
      <w:bookmarkEnd w:id="84"/>
    </w:p>
    <w:p w14:paraId="253B019C" w14:textId="00470EAE" w:rsidR="006F64AE" w:rsidRPr="00195127" w:rsidRDefault="00AC25D9" w:rsidP="007A12A4">
      <w:pPr>
        <w:rPr>
          <w:lang w:eastAsia="zh-CN"/>
        </w:rPr>
      </w:pPr>
      <w:bookmarkStart w:id="85" w:name="lt_pId211"/>
      <w:r w:rsidRPr="00195127">
        <w:rPr>
          <w:lang w:eastAsia="zh-CN"/>
        </w:rPr>
        <w:t xml:space="preserve">Antes de presentar la solicitud de permiso de construir se deben identificar y resolver las cuotas de servidumbre nuevas y existentes. </w:t>
      </w:r>
      <w:r w:rsidR="008B62F1" w:rsidRPr="00195127">
        <w:rPr>
          <w:lang w:eastAsia="zh-CN"/>
        </w:rPr>
        <w:t>A finales de junio de 2020, la s</w:t>
      </w:r>
      <w:r w:rsidRPr="00195127">
        <w:rPr>
          <w:lang w:eastAsia="zh-CN"/>
        </w:rPr>
        <w:t>ecretaría</w:t>
      </w:r>
      <w:r w:rsidR="008B62F1" w:rsidRPr="00195127">
        <w:rPr>
          <w:lang w:eastAsia="zh-CN"/>
        </w:rPr>
        <w:t xml:space="preserve"> contrató a</w:t>
      </w:r>
      <w:r w:rsidRPr="00195127">
        <w:rPr>
          <w:lang w:eastAsia="zh-CN"/>
        </w:rPr>
        <w:t xml:space="preserve"> un notario familiarizado con la historia de los edificios de la UIT, así como del estatus, los privilegios </w:t>
      </w:r>
      <w:r w:rsidR="008B62F1" w:rsidRPr="00195127">
        <w:rPr>
          <w:lang w:eastAsia="zh-CN"/>
        </w:rPr>
        <w:t>y las</w:t>
      </w:r>
      <w:r w:rsidRPr="00195127">
        <w:rPr>
          <w:lang w:eastAsia="zh-CN"/>
        </w:rPr>
        <w:t xml:space="preserve"> inmunidades de que goza la Unión. </w:t>
      </w:r>
      <w:r w:rsidR="007A12A4" w:rsidRPr="00195127">
        <w:rPr>
          <w:lang w:eastAsia="zh-CN"/>
        </w:rPr>
        <w:t xml:space="preserve">Se están celebrando </w:t>
      </w:r>
      <w:r w:rsidRPr="00195127">
        <w:rPr>
          <w:lang w:eastAsia="zh-CN"/>
        </w:rPr>
        <w:t>consultas con los distintos propietarios del suelo y/o beneficiarios para acordar las modalidades</w:t>
      </w:r>
      <w:r w:rsidR="007A12A4" w:rsidRPr="00195127">
        <w:rPr>
          <w:lang w:eastAsia="zh-CN"/>
        </w:rPr>
        <w:t xml:space="preserve"> antes de realizar las actas notariales. En el contexto de</w:t>
      </w:r>
      <w:r w:rsidRPr="00195127">
        <w:rPr>
          <w:lang w:eastAsia="zh-CN"/>
        </w:rPr>
        <w:t xml:space="preserve"> la solicitud de permiso</w:t>
      </w:r>
      <w:r w:rsidR="007A12A4" w:rsidRPr="00195127">
        <w:rPr>
          <w:lang w:eastAsia="zh-CN"/>
        </w:rPr>
        <w:t>, e</w:t>
      </w:r>
      <w:r w:rsidRPr="00195127">
        <w:rPr>
          <w:lang w:eastAsia="zh-CN"/>
        </w:rPr>
        <w:t>l notario certificará el acuerdo y procederá al establecimiento de todas y cada una de las cuotas de servidumbre</w:t>
      </w:r>
      <w:bookmarkStart w:id="86" w:name="lt_pId214"/>
      <w:bookmarkEnd w:id="85"/>
      <w:r w:rsidR="007A12A4" w:rsidRPr="00195127">
        <w:t xml:space="preserve"> </w:t>
      </w:r>
      <w:r w:rsidR="007A12A4" w:rsidRPr="00195127">
        <w:rPr>
          <w:lang w:eastAsia="zh-CN"/>
        </w:rPr>
        <w:t>una vez finalizado el edificio</w:t>
      </w:r>
      <w:r w:rsidR="006F64AE" w:rsidRPr="00195127">
        <w:rPr>
          <w:lang w:eastAsia="zh-CN"/>
        </w:rPr>
        <w:t>.</w:t>
      </w:r>
      <w:bookmarkEnd w:id="86"/>
    </w:p>
    <w:p w14:paraId="63B99017" w14:textId="720F6D98" w:rsidR="006F64AE" w:rsidRPr="00195127" w:rsidRDefault="004E4657" w:rsidP="00DF5725">
      <w:pPr>
        <w:pStyle w:val="Heading1"/>
        <w:rPr>
          <w:lang w:eastAsia="ja-JP"/>
        </w:rPr>
      </w:pPr>
      <w:bookmarkStart w:id="87" w:name="lt_pId215"/>
      <w:r w:rsidRPr="00195127">
        <w:rPr>
          <w:lang w:eastAsia="ja-JP"/>
        </w:rPr>
        <w:t>6</w:t>
      </w:r>
      <w:r w:rsidRPr="00195127">
        <w:rPr>
          <w:lang w:eastAsia="ja-JP"/>
        </w:rPr>
        <w:tab/>
      </w:r>
      <w:r w:rsidR="00AC25D9" w:rsidRPr="00195127">
        <w:rPr>
          <w:lang w:eastAsia="ja-JP"/>
        </w:rPr>
        <w:t xml:space="preserve">Creación de un sistema de clasificación de archivos previo a </w:t>
      </w:r>
      <w:r w:rsidR="00727955" w:rsidRPr="00195127">
        <w:rPr>
          <w:lang w:eastAsia="ja-JP"/>
        </w:rPr>
        <w:t>la instauración</w:t>
      </w:r>
      <w:r w:rsidR="00727955" w:rsidRPr="00195127">
        <w:rPr>
          <w:lang w:eastAsia="ja-JP"/>
        </w:rPr>
        <w:br/>
      </w:r>
      <w:r w:rsidR="00AC25D9" w:rsidRPr="00195127">
        <w:rPr>
          <w:lang w:eastAsia="ja-JP"/>
        </w:rPr>
        <w:t>de un entorno sin papel</w:t>
      </w:r>
      <w:bookmarkEnd w:id="87"/>
    </w:p>
    <w:p w14:paraId="60D9BB10" w14:textId="294C5AA4" w:rsidR="006F64AE" w:rsidRPr="00195127" w:rsidRDefault="00D72461" w:rsidP="00F75511">
      <w:r w:rsidRPr="00195127">
        <w:t>A medida que la UIT lleva a cabo la transición a su nuevo edificio, la necesidad de contar con procedimientos de trabajo flexibles y sin soporte de papel se torna apremiante y, si bien la Unión lleva años adoptando métodos de trabajo electrónicos, muchos procesos siguen sin ser plenamente digitales, tal y como ha puesto de relieve la crisis actual. El personal, los miembros y otras partes interesadas de la UIT necesitan acceder a información en línea de múltiples fuentes y utilizarla, en tiempo real y en cualquier momento (24 horas al día, 7 días a la semana), y existe una creciente demanda de más herramientas de colaboración.</w:t>
      </w:r>
      <w:r w:rsidR="00AC25D9" w:rsidRPr="00195127">
        <w:t xml:space="preserve"> Puede encontrarse más información al respecto en el</w:t>
      </w:r>
      <w:r w:rsidRPr="00195127">
        <w:t xml:space="preserve"> </w:t>
      </w:r>
      <w:hyperlink r:id="rId27" w:history="1">
        <w:r w:rsidRPr="00195127">
          <w:rPr>
            <w:rStyle w:val="Hyperlink"/>
          </w:rPr>
          <w:t>Document</w:t>
        </w:r>
        <w:r w:rsidR="00AC25D9" w:rsidRPr="00195127">
          <w:rPr>
            <w:rStyle w:val="Hyperlink"/>
          </w:rPr>
          <w:t>o</w:t>
        </w:r>
        <w:r w:rsidRPr="00195127">
          <w:rPr>
            <w:rStyle w:val="Hyperlink"/>
          </w:rPr>
          <w:t xml:space="preserve"> C20/53</w:t>
        </w:r>
      </w:hyperlink>
      <w:r w:rsidRPr="00195127">
        <w:t xml:space="preserve"> </w:t>
      </w:r>
      <w:r w:rsidR="00607A68" w:rsidRPr="00195127">
        <w:t>(</w:t>
      </w:r>
      <w:r w:rsidRPr="00195127">
        <w:t>Continuidad de las actividades – gestión de la información</w:t>
      </w:r>
      <w:r w:rsidR="00607A68" w:rsidRPr="00195127">
        <w:t>)</w:t>
      </w:r>
      <w:r w:rsidRPr="00195127">
        <w:t xml:space="preserve"> </w:t>
      </w:r>
      <w:r w:rsidR="00AC25D9" w:rsidRPr="00195127">
        <w:t>y el</w:t>
      </w:r>
      <w:r w:rsidRPr="00195127">
        <w:t xml:space="preserve"> </w:t>
      </w:r>
      <w:hyperlink r:id="rId28" w:history="1">
        <w:r w:rsidRPr="00195127">
          <w:rPr>
            <w:rStyle w:val="Hyperlink"/>
          </w:rPr>
          <w:t>Document</w:t>
        </w:r>
        <w:r w:rsidR="00AC25D9" w:rsidRPr="00195127">
          <w:rPr>
            <w:rStyle w:val="Hyperlink"/>
          </w:rPr>
          <w:t>o</w:t>
        </w:r>
        <w:r w:rsidRPr="00195127">
          <w:rPr>
            <w:rStyle w:val="Hyperlink"/>
          </w:rPr>
          <w:t xml:space="preserve"> C20/15</w:t>
        </w:r>
      </w:hyperlink>
      <w:r w:rsidRPr="00195127">
        <w:t xml:space="preserve"> </w:t>
      </w:r>
      <w:r w:rsidR="00607A68" w:rsidRPr="00195127">
        <w:t>(</w:t>
      </w:r>
      <w:r w:rsidR="00AC25D9" w:rsidRPr="00195127">
        <w:t>Informe sobre el SGRI</w:t>
      </w:r>
      <w:r w:rsidR="00607A68" w:rsidRPr="00195127">
        <w:t>)</w:t>
      </w:r>
      <w:r w:rsidRPr="00195127">
        <w:t>.</w:t>
      </w:r>
    </w:p>
    <w:p w14:paraId="713DFBC0" w14:textId="7B4E0428" w:rsidR="009C70AF" w:rsidRPr="00195127" w:rsidRDefault="007A12A4" w:rsidP="007E6F5C">
      <w:r w:rsidRPr="00195127">
        <w:t xml:space="preserve">El proyecto de archivo de la BR se ha retrasado </w:t>
      </w:r>
      <w:r w:rsidR="00580434" w:rsidRPr="00195127">
        <w:t>a causa de</w:t>
      </w:r>
      <w:r w:rsidRPr="00195127">
        <w:t>l c</w:t>
      </w:r>
      <w:r w:rsidR="00580434" w:rsidRPr="00195127">
        <w:t>onfinamiento</w:t>
      </w:r>
      <w:r w:rsidRPr="00195127">
        <w:t xml:space="preserve"> (16 de marzo </w:t>
      </w:r>
      <w:r w:rsidR="007E6F5C" w:rsidRPr="00195127">
        <w:t>–</w:t>
      </w:r>
      <w:r w:rsidRPr="00195127">
        <w:t xml:space="preserve"> 30 de junio de 2020) y la </w:t>
      </w:r>
      <w:r w:rsidR="00580434" w:rsidRPr="00195127">
        <w:t>continuidad</w:t>
      </w:r>
      <w:r w:rsidRPr="00195127">
        <w:t xml:space="preserve"> de las medidas de mitigación de</w:t>
      </w:r>
      <w:r w:rsidR="00580434" w:rsidRPr="00195127">
        <w:t xml:space="preserve"> la</w:t>
      </w:r>
      <w:r w:rsidRPr="00195127">
        <w:t xml:space="preserve"> COVID-19. Se ha dado prioridad a las colecciones de </w:t>
      </w:r>
      <w:r w:rsidR="00580434" w:rsidRPr="00195127">
        <w:t>ficheros</w:t>
      </w:r>
      <w:r w:rsidRPr="00195127">
        <w:t xml:space="preserve"> y se ha </w:t>
      </w:r>
      <w:r w:rsidR="00FB736D" w:rsidRPr="00195127">
        <w:t>empezado</w:t>
      </w:r>
      <w:r w:rsidRPr="00195127">
        <w:t xml:space="preserve"> a trabajar en la transferencia física de los </w:t>
      </w:r>
      <w:r w:rsidR="00FB736D" w:rsidRPr="00195127">
        <w:t>ficheros</w:t>
      </w:r>
      <w:r w:rsidRPr="00195127">
        <w:t xml:space="preserve"> de satélite</w:t>
      </w:r>
      <w:r w:rsidR="00FB736D" w:rsidRPr="00195127">
        <w:t>s</w:t>
      </w:r>
      <w:r w:rsidRPr="00195127">
        <w:t xml:space="preserve"> al depósito de archivos. Un equipo </w:t>
      </w:r>
      <w:r w:rsidR="00FB736D" w:rsidRPr="00195127">
        <w:t>especializado</w:t>
      </w:r>
      <w:r w:rsidRPr="00195127">
        <w:t xml:space="preserve"> del proyecto comenzará la </w:t>
      </w:r>
      <w:r w:rsidR="00FB736D" w:rsidRPr="00195127">
        <w:t>indexación</w:t>
      </w:r>
      <w:r w:rsidRPr="00195127">
        <w:t xml:space="preserve"> en octubre de 2020</w:t>
      </w:r>
      <w:r w:rsidR="00FB736D" w:rsidRPr="00195127">
        <w:t xml:space="preserve">, labor que se extenderá </w:t>
      </w:r>
      <w:r w:rsidR="00427FB3" w:rsidRPr="00195127">
        <w:t>durante todo</w:t>
      </w:r>
      <w:r w:rsidR="00FB736D" w:rsidRPr="00195127">
        <w:t xml:space="preserve"> </w:t>
      </w:r>
      <w:r w:rsidRPr="00195127">
        <w:t>2021.</w:t>
      </w:r>
    </w:p>
    <w:p w14:paraId="1BEA468E" w14:textId="68BBCC94" w:rsidR="00D72461" w:rsidRPr="00195127" w:rsidRDefault="00D72461" w:rsidP="00B14057">
      <w:pPr>
        <w:pStyle w:val="Heading1"/>
        <w:rPr>
          <w:lang w:eastAsia="ja-JP"/>
        </w:rPr>
      </w:pPr>
      <w:bookmarkStart w:id="88" w:name="lt_pId219"/>
      <w:r w:rsidRPr="00195127">
        <w:rPr>
          <w:lang w:eastAsia="ja-JP"/>
        </w:rPr>
        <w:lastRenderedPageBreak/>
        <w:t>7</w:t>
      </w:r>
      <w:r w:rsidRPr="00195127">
        <w:rPr>
          <w:lang w:eastAsia="ja-JP"/>
        </w:rPr>
        <w:tab/>
      </w:r>
      <w:r w:rsidR="00AC25D9" w:rsidRPr="00195127">
        <w:t>Continuidad</w:t>
      </w:r>
      <w:r w:rsidR="00AC25D9" w:rsidRPr="00195127">
        <w:rPr>
          <w:lang w:eastAsia="ja-JP"/>
        </w:rPr>
        <w:t xml:space="preserve"> de las actividades – Conferencias durante la demolición</w:t>
      </w:r>
      <w:r w:rsidR="0079403B" w:rsidRPr="00195127">
        <w:rPr>
          <w:lang w:eastAsia="ja-JP"/>
        </w:rPr>
        <w:t xml:space="preserve"> </w:t>
      </w:r>
      <w:r w:rsidR="00AC25D9" w:rsidRPr="00195127">
        <w:rPr>
          <w:lang w:eastAsia="ja-JP"/>
        </w:rPr>
        <w:t xml:space="preserve">de </w:t>
      </w:r>
      <w:proofErr w:type="spellStart"/>
      <w:r w:rsidRPr="00195127">
        <w:rPr>
          <w:lang w:eastAsia="ja-JP"/>
        </w:rPr>
        <w:t>Varembé</w:t>
      </w:r>
      <w:proofErr w:type="spellEnd"/>
      <w:r w:rsidRPr="00195127">
        <w:rPr>
          <w:lang w:eastAsia="ja-JP"/>
        </w:rPr>
        <w:t xml:space="preserve"> </w:t>
      </w:r>
      <w:r w:rsidR="00AC25D9" w:rsidRPr="00195127">
        <w:rPr>
          <w:lang w:eastAsia="ja-JP"/>
        </w:rPr>
        <w:t>y la construcción del nuevo edificio</w:t>
      </w:r>
      <w:bookmarkEnd w:id="88"/>
    </w:p>
    <w:p w14:paraId="5D01939B" w14:textId="4394D80A" w:rsidR="007A12A4" w:rsidRPr="00195127" w:rsidRDefault="00FB736D" w:rsidP="007E6F5C">
      <w:bookmarkStart w:id="89" w:name="lt_pId220"/>
      <w:r w:rsidRPr="00195127">
        <w:t>Habida cuenta de que los</w:t>
      </w:r>
      <w:r w:rsidR="007A12A4" w:rsidRPr="00195127">
        <w:t xml:space="preserve"> </w:t>
      </w:r>
      <w:r w:rsidRPr="00195127">
        <w:t>Estados Miembros aprobaron</w:t>
      </w:r>
      <w:r w:rsidR="007A12A4" w:rsidRPr="00195127">
        <w:t xml:space="preserve"> las fechas de l</w:t>
      </w:r>
      <w:r w:rsidRPr="00195127">
        <w:t>a</w:t>
      </w:r>
      <w:r w:rsidR="007A12A4" w:rsidRPr="00195127">
        <w:t>s próxim</w:t>
      </w:r>
      <w:r w:rsidRPr="00195127">
        <w:t>a</w:t>
      </w:r>
      <w:r w:rsidR="007A12A4" w:rsidRPr="00195127">
        <w:t>s</w:t>
      </w:r>
      <w:r w:rsidRPr="00195127">
        <w:t xml:space="preserve"> reuniones</w:t>
      </w:r>
      <w:r w:rsidR="007A12A4" w:rsidRPr="00195127">
        <w:t xml:space="preserve"> del Consejo d</w:t>
      </w:r>
      <w:r w:rsidRPr="00195127">
        <w:t>urante</w:t>
      </w:r>
      <w:r w:rsidR="000E0DFF" w:rsidRPr="00195127">
        <w:t xml:space="preserve"> la</w:t>
      </w:r>
      <w:r w:rsidR="007A12A4" w:rsidRPr="00195127">
        <w:t xml:space="preserve"> consulta virtual celebrada en junio de 2020, el</w:t>
      </w:r>
      <w:r w:rsidRPr="00195127">
        <w:t xml:space="preserve"> </w:t>
      </w:r>
      <w:r w:rsidR="00F93B50" w:rsidRPr="00195127">
        <w:t xml:space="preserve">Departamento de Conferencias y Publicaciones (C&amp;P) </w:t>
      </w:r>
      <w:r w:rsidR="00C00B73" w:rsidRPr="00195127">
        <w:t>puede</w:t>
      </w:r>
      <w:r w:rsidR="007A12A4" w:rsidRPr="00195127">
        <w:t xml:space="preserve"> ahora </w:t>
      </w:r>
      <w:r w:rsidR="00F93B50" w:rsidRPr="00195127">
        <w:t>proponer</w:t>
      </w:r>
      <w:r w:rsidR="007A12A4" w:rsidRPr="00195127">
        <w:t xml:space="preserve"> a los Sectores </w:t>
      </w:r>
      <w:r w:rsidR="00F93B50" w:rsidRPr="00195127">
        <w:t xml:space="preserve">fechas y </w:t>
      </w:r>
      <w:r w:rsidR="007A12A4" w:rsidRPr="00195127">
        <w:t xml:space="preserve">salas en el CICG </w:t>
      </w:r>
      <w:r w:rsidR="00F93B50" w:rsidRPr="00195127">
        <w:t>para</w:t>
      </w:r>
      <w:r w:rsidR="007A12A4" w:rsidRPr="00195127">
        <w:t xml:space="preserve"> el período de trabajo </w:t>
      </w:r>
      <w:r w:rsidR="000E0DFF" w:rsidRPr="00195127">
        <w:t>comprendido entre</w:t>
      </w:r>
      <w:r w:rsidR="007A12A4" w:rsidRPr="00195127">
        <w:t xml:space="preserve"> 2022 </w:t>
      </w:r>
      <w:r w:rsidR="000E0DFF" w:rsidRPr="00195127">
        <w:t>y</w:t>
      </w:r>
      <w:r w:rsidR="007A12A4" w:rsidRPr="00195127">
        <w:t xml:space="preserve"> 2026. Lamentablemente, el CICG no </w:t>
      </w:r>
      <w:r w:rsidR="00F93B50" w:rsidRPr="00195127">
        <w:t>puede</w:t>
      </w:r>
      <w:r w:rsidR="007A12A4" w:rsidRPr="00195127">
        <w:t xml:space="preserve"> responder a todas nuestras solicitudes de fechas, </w:t>
      </w:r>
      <w:r w:rsidR="000E0DFF" w:rsidRPr="00195127">
        <w:t xml:space="preserve">sin embargo, proseguimos </w:t>
      </w:r>
      <w:r w:rsidR="007A12A4" w:rsidRPr="00195127">
        <w:t xml:space="preserve">nuestra labor de consulta con ellos para encontrar alternativas sabiendo que, en lo que respecta a los GTC, las fechas no pueden confirmarse </w:t>
      </w:r>
      <w:r w:rsidR="000E0DFF" w:rsidRPr="00195127">
        <w:t xml:space="preserve">hasta </w:t>
      </w:r>
      <w:r w:rsidR="007A12A4" w:rsidRPr="00195127">
        <w:t>2021,</w:t>
      </w:r>
      <w:r w:rsidR="000E0DFF" w:rsidRPr="00195127">
        <w:t xml:space="preserve"> por</w:t>
      </w:r>
      <w:r w:rsidR="007A12A4" w:rsidRPr="00195127">
        <w:t xml:space="preserve"> lo que se esperan cambios </w:t>
      </w:r>
      <w:r w:rsidR="000E0DFF" w:rsidRPr="00195127">
        <w:t>de</w:t>
      </w:r>
      <w:r w:rsidR="007A12A4" w:rsidRPr="00195127">
        <w:t xml:space="preserve"> fechas que</w:t>
      </w:r>
      <w:r w:rsidR="000E0DFF" w:rsidRPr="00195127">
        <w:t xml:space="preserve"> repercutirán en</w:t>
      </w:r>
      <w:r w:rsidR="007A12A4" w:rsidRPr="00195127">
        <w:t xml:space="preserve"> la planificación de las reuniones de los Sectores.</w:t>
      </w:r>
    </w:p>
    <w:p w14:paraId="47C8D998" w14:textId="6C66F27B" w:rsidR="007A12A4" w:rsidRPr="00195127" w:rsidRDefault="000E0DFF" w:rsidP="007E6F5C">
      <w:r w:rsidRPr="00195127">
        <w:t xml:space="preserve">A raíz de las restricciones aplicadas a los viajes a causa de </w:t>
      </w:r>
      <w:r w:rsidR="007A12A4" w:rsidRPr="00195127">
        <w:t>l</w:t>
      </w:r>
      <w:r w:rsidRPr="00195127">
        <w:t>a</w:t>
      </w:r>
      <w:r w:rsidR="007A12A4" w:rsidRPr="00195127">
        <w:t xml:space="preserve"> </w:t>
      </w:r>
      <w:r w:rsidRPr="00195127">
        <w:t>COVID</w:t>
      </w:r>
      <w:r w:rsidR="007A12A4" w:rsidRPr="00195127">
        <w:t xml:space="preserve">-19, </w:t>
      </w:r>
      <w:r w:rsidR="00F93B50" w:rsidRPr="00195127">
        <w:t>entre</w:t>
      </w:r>
      <w:r w:rsidRPr="00195127">
        <w:t xml:space="preserve"> abril </w:t>
      </w:r>
      <w:r w:rsidR="00F93B50" w:rsidRPr="00195127">
        <w:t>y</w:t>
      </w:r>
      <w:r w:rsidRPr="00195127">
        <w:t xml:space="preserve"> septiembre de 2020</w:t>
      </w:r>
      <w:r w:rsidR="00F93B50" w:rsidRPr="00195127">
        <w:t xml:space="preserve"> </w:t>
      </w:r>
      <w:r w:rsidR="007A12A4" w:rsidRPr="00195127">
        <w:t>se celebraron</w:t>
      </w:r>
      <w:r w:rsidR="00F93B50" w:rsidRPr="00195127">
        <w:t xml:space="preserve"> diversos eventos y</w:t>
      </w:r>
      <w:r w:rsidR="007A12A4" w:rsidRPr="00195127">
        <w:t xml:space="preserve"> reuniones</w:t>
      </w:r>
      <w:r w:rsidR="00F93B50" w:rsidRPr="00195127">
        <w:t xml:space="preserve"> </w:t>
      </w:r>
      <w:r w:rsidR="007A12A4" w:rsidRPr="00195127">
        <w:t xml:space="preserve">virtuales. La pandemia puso claramente de </w:t>
      </w:r>
      <w:r w:rsidRPr="00195127">
        <w:t>manifiesto</w:t>
      </w:r>
      <w:r w:rsidR="007A12A4" w:rsidRPr="00195127">
        <w:t xml:space="preserve"> la importancia de </w:t>
      </w:r>
      <w:r w:rsidR="00F93B50" w:rsidRPr="00195127">
        <w:t>los medios</w:t>
      </w:r>
      <w:r w:rsidR="007A12A4" w:rsidRPr="00195127">
        <w:t xml:space="preserve"> de participación a distancia y demostró que las reuniones virtuales </w:t>
      </w:r>
      <w:r w:rsidR="00F93B50" w:rsidRPr="00195127">
        <w:t>era</w:t>
      </w:r>
      <w:r w:rsidR="007A12A4" w:rsidRPr="00195127">
        <w:t>n una alternativa viable a</w:t>
      </w:r>
      <w:r w:rsidR="00F93B50" w:rsidRPr="00195127">
        <w:t xml:space="preserve"> los eventos</w:t>
      </w:r>
      <w:r w:rsidRPr="00195127">
        <w:t xml:space="preserve"> presencial</w:t>
      </w:r>
      <w:r w:rsidR="00F93B50" w:rsidRPr="00195127">
        <w:t>es</w:t>
      </w:r>
      <w:r w:rsidRPr="00195127">
        <w:t xml:space="preserve"> para la mayor</w:t>
      </w:r>
      <w:r w:rsidR="00F93B50" w:rsidRPr="00195127">
        <w:t>ía</w:t>
      </w:r>
      <w:r w:rsidRPr="00195127">
        <w:t xml:space="preserve"> </w:t>
      </w:r>
      <w:r w:rsidR="007A12A4" w:rsidRPr="00195127">
        <w:t xml:space="preserve">de las reuniones de la UIT. </w:t>
      </w:r>
      <w:r w:rsidR="00477CBB" w:rsidRPr="00195127">
        <w:t>Entre</w:t>
      </w:r>
      <w:r w:rsidR="007A12A4" w:rsidRPr="00195127">
        <w:t xml:space="preserve"> </w:t>
      </w:r>
      <w:r w:rsidR="00477CBB" w:rsidRPr="00195127">
        <w:t>las</w:t>
      </w:r>
      <w:r w:rsidR="007A12A4" w:rsidRPr="00195127">
        <w:t xml:space="preserve"> reuniones </w:t>
      </w:r>
      <w:r w:rsidR="00477CBB" w:rsidRPr="00195127">
        <w:t>celebradas de forma satisfactoria figuran</w:t>
      </w:r>
      <w:r w:rsidR="007A12A4" w:rsidRPr="00195127">
        <w:t xml:space="preserve"> la Consulta Virtual de</w:t>
      </w:r>
      <w:r w:rsidR="00477CBB" w:rsidRPr="00195127">
        <w:t xml:space="preserve"> los</w:t>
      </w:r>
      <w:r w:rsidR="007A12A4" w:rsidRPr="00195127">
        <w:t xml:space="preserve"> Consejeros </w:t>
      </w:r>
      <w:r w:rsidR="00477CBB" w:rsidRPr="00195127">
        <w:t xml:space="preserve">de </w:t>
      </w:r>
      <w:r w:rsidR="007A12A4" w:rsidRPr="00195127">
        <w:t>2020</w:t>
      </w:r>
      <w:r w:rsidR="00477CBB" w:rsidRPr="00195127">
        <w:t xml:space="preserve"> y las reuniones</w:t>
      </w:r>
      <w:r w:rsidR="007A12A4" w:rsidRPr="00195127">
        <w:t xml:space="preserve"> </w:t>
      </w:r>
      <w:r w:rsidR="00477CBB" w:rsidRPr="00195127">
        <w:t>d</w:t>
      </w:r>
      <w:r w:rsidR="007A12A4" w:rsidRPr="00195127">
        <w:t>el GAR, el GADT, el GANT</w:t>
      </w:r>
      <w:r w:rsidR="00477CBB" w:rsidRPr="00195127">
        <w:t xml:space="preserve"> y</w:t>
      </w:r>
      <w:r w:rsidR="007A12A4" w:rsidRPr="00195127">
        <w:t xml:space="preserve"> las Comisiones de Estudio, las cuales </w:t>
      </w:r>
      <w:r w:rsidR="00477CBB" w:rsidRPr="00195127">
        <w:t xml:space="preserve">tuvieron lugar a </w:t>
      </w:r>
      <w:r w:rsidR="007A12A4" w:rsidRPr="00195127">
        <w:t>distancia debido a</w:t>
      </w:r>
      <w:r w:rsidR="00477CBB" w:rsidRPr="00195127">
        <w:t xml:space="preserve"> </w:t>
      </w:r>
      <w:r w:rsidR="007A12A4" w:rsidRPr="00195127">
        <w:t>l</w:t>
      </w:r>
      <w:r w:rsidR="00477CBB" w:rsidRPr="00195127">
        <w:t>a</w:t>
      </w:r>
      <w:r w:rsidR="007A12A4" w:rsidRPr="00195127">
        <w:t xml:space="preserve"> </w:t>
      </w:r>
      <w:r w:rsidR="00477CBB" w:rsidRPr="00195127">
        <w:t>COVID</w:t>
      </w:r>
      <w:r w:rsidR="007A12A4" w:rsidRPr="00195127">
        <w:t xml:space="preserve">-19. La situación actual </w:t>
      </w:r>
      <w:r w:rsidR="00477CBB" w:rsidRPr="00195127">
        <w:t>brinda a la UIT l</w:t>
      </w:r>
      <w:r w:rsidR="007A12A4" w:rsidRPr="00195127">
        <w:t>a oportunidad</w:t>
      </w:r>
      <w:r w:rsidR="00477CBB" w:rsidRPr="00195127">
        <w:t xml:space="preserve"> de</w:t>
      </w:r>
      <w:r w:rsidR="007A12A4" w:rsidRPr="00195127">
        <w:t xml:space="preserve"> s</w:t>
      </w:r>
      <w:r w:rsidR="00477CBB" w:rsidRPr="00195127">
        <w:t>eguir</w:t>
      </w:r>
      <w:r w:rsidR="007A12A4" w:rsidRPr="00195127">
        <w:t xml:space="preserve"> consolidando su papel </w:t>
      </w:r>
      <w:r w:rsidR="00477CBB" w:rsidRPr="00195127">
        <w:t xml:space="preserve">como organismo líder en </w:t>
      </w:r>
      <w:r w:rsidR="007A12A4" w:rsidRPr="00195127">
        <w:t>tecnologías de participación a distancia, a</w:t>
      </w:r>
      <w:r w:rsidR="00477CBB" w:rsidRPr="00195127">
        <w:t xml:space="preserve">yudando </w:t>
      </w:r>
      <w:r w:rsidR="007A12A4" w:rsidRPr="00195127">
        <w:t>a los Miembros de la UIT</w:t>
      </w:r>
      <w:r w:rsidR="00477CBB" w:rsidRPr="00195127">
        <w:t xml:space="preserve"> y</w:t>
      </w:r>
      <w:r w:rsidR="007A12A4" w:rsidRPr="00195127">
        <w:t xml:space="preserve"> a otras organizaciones de las Naciones Unidas a ampliar su</w:t>
      </w:r>
      <w:r w:rsidR="00C54F9D" w:rsidRPr="00195127">
        <w:t>s</w:t>
      </w:r>
      <w:r w:rsidR="007A12A4" w:rsidRPr="00195127">
        <w:t xml:space="preserve"> infraestructura</w:t>
      </w:r>
      <w:r w:rsidR="00C54F9D" w:rsidRPr="00195127">
        <w:t>s</w:t>
      </w:r>
      <w:r w:rsidR="007A12A4" w:rsidRPr="00195127">
        <w:t xml:space="preserve"> y</w:t>
      </w:r>
      <w:r w:rsidR="00C54F9D" w:rsidRPr="00195127">
        <w:t xml:space="preserve"> competencias </w:t>
      </w:r>
      <w:r w:rsidR="007A12A4" w:rsidRPr="00195127">
        <w:t xml:space="preserve">para la participación a distancia. Ello permitiría </w:t>
      </w:r>
      <w:r w:rsidR="00C54F9D" w:rsidRPr="00195127">
        <w:t>dotar a</w:t>
      </w:r>
      <w:r w:rsidR="007A12A4" w:rsidRPr="00195127">
        <w:t xml:space="preserve"> </w:t>
      </w:r>
      <w:r w:rsidR="00C54F9D" w:rsidRPr="00195127">
        <w:t>toda la red de la UIT de</w:t>
      </w:r>
      <w:r w:rsidR="007A12A4" w:rsidRPr="00195127">
        <w:t xml:space="preserve"> una infraestructura de reuniones homogénea, </w:t>
      </w:r>
      <w:r w:rsidR="00C54F9D" w:rsidRPr="00195127">
        <w:t>reforzar</w:t>
      </w:r>
      <w:r w:rsidR="007A12A4" w:rsidRPr="00195127">
        <w:t xml:space="preserve"> la eficacia de las reuniones virtuales y, en última instancia, reduci</w:t>
      </w:r>
      <w:r w:rsidR="00C54F9D" w:rsidRPr="00195127">
        <w:t>r</w:t>
      </w:r>
      <w:r w:rsidR="007A12A4" w:rsidRPr="00195127">
        <w:t xml:space="preserve"> al mínimo la necesidad de </w:t>
      </w:r>
      <w:r w:rsidR="00C54F9D" w:rsidRPr="00195127">
        <w:t xml:space="preserve">celebrar </w:t>
      </w:r>
      <w:r w:rsidR="007A12A4" w:rsidRPr="00195127">
        <w:t>reuniones presenciales.</w:t>
      </w:r>
    </w:p>
    <w:p w14:paraId="407E0FAB" w14:textId="78F81454" w:rsidR="007A12A4" w:rsidRPr="00195127" w:rsidRDefault="007A12A4" w:rsidP="009C70AF">
      <w:r w:rsidRPr="00195127">
        <w:t xml:space="preserve">La ampliación de las reuniones virtuales y la participación a distancia en las conferencias, asambleas y reuniones de la UIT, </w:t>
      </w:r>
      <w:r w:rsidR="00C54F9D" w:rsidRPr="00195127">
        <w:t xml:space="preserve">incluso en </w:t>
      </w:r>
      <w:r w:rsidR="00F93B50" w:rsidRPr="00195127">
        <w:t>la era</w:t>
      </w:r>
      <w:r w:rsidR="00C54F9D" w:rsidRPr="00195127">
        <w:t xml:space="preserve"> </w:t>
      </w:r>
      <w:proofErr w:type="spellStart"/>
      <w:r w:rsidR="00F93B50" w:rsidRPr="00195127">
        <w:t>pos</w:t>
      </w:r>
      <w:proofErr w:type="spellEnd"/>
      <w:r w:rsidR="00F93B50" w:rsidRPr="00195127">
        <w:t>-</w:t>
      </w:r>
      <w:r w:rsidR="00C54F9D" w:rsidRPr="00195127">
        <w:t>COVID,</w:t>
      </w:r>
      <w:r w:rsidRPr="00195127">
        <w:t xml:space="preserve"> </w:t>
      </w:r>
      <w:r w:rsidR="00C54F9D" w:rsidRPr="00195127">
        <w:t>permitirá</w:t>
      </w:r>
      <w:r w:rsidR="00E2596D" w:rsidRPr="00195127">
        <w:t>n</w:t>
      </w:r>
      <w:r w:rsidR="00C54F9D" w:rsidRPr="00195127">
        <w:t xml:space="preserve"> </w:t>
      </w:r>
      <w:r w:rsidRPr="00195127">
        <w:t>no s</w:t>
      </w:r>
      <w:r w:rsidR="00C54F9D" w:rsidRPr="00195127">
        <w:t>o</w:t>
      </w:r>
      <w:r w:rsidRPr="00195127">
        <w:t xml:space="preserve">lo reducir considerablemente las emisiones </w:t>
      </w:r>
      <w:r w:rsidR="00C54F9D" w:rsidRPr="00195127">
        <w:t xml:space="preserve">imputables a los viajes aéreos </w:t>
      </w:r>
      <w:r w:rsidRPr="00195127">
        <w:t>y el envío de mercancías, sino también disminuir la necesidad de</w:t>
      </w:r>
      <w:r w:rsidR="00C54F9D" w:rsidRPr="00195127">
        <w:t xml:space="preserve"> contar con</w:t>
      </w:r>
      <w:r w:rsidRPr="00195127">
        <w:t xml:space="preserve"> instalaciones para conferencias y reuniones durante la</w:t>
      </w:r>
      <w:r w:rsidR="00C54F9D" w:rsidRPr="00195127">
        <w:t xml:space="preserve"> fase de</w:t>
      </w:r>
      <w:r w:rsidRPr="00195127">
        <w:t xml:space="preserve"> demolición de</w:t>
      </w:r>
      <w:r w:rsidR="00C54F9D" w:rsidRPr="00195127">
        <w:t>l edificio de</w:t>
      </w:r>
      <w:r w:rsidRPr="00195127">
        <w:t xml:space="preserve"> </w:t>
      </w:r>
      <w:proofErr w:type="spellStart"/>
      <w:r w:rsidRPr="00195127">
        <w:t>Varembé</w:t>
      </w:r>
      <w:proofErr w:type="spellEnd"/>
      <w:r w:rsidRPr="00195127">
        <w:t xml:space="preserve"> y construcción de</w:t>
      </w:r>
      <w:r w:rsidR="00C54F9D" w:rsidRPr="00195127">
        <w:t>l</w:t>
      </w:r>
      <w:r w:rsidRPr="00195127">
        <w:t xml:space="preserve"> nuevo edificio.</w:t>
      </w:r>
    </w:p>
    <w:p w14:paraId="207B6C1E" w14:textId="3B934733" w:rsidR="00D72461" w:rsidRPr="00195127" w:rsidRDefault="00D72461" w:rsidP="00F75511">
      <w:pPr>
        <w:pStyle w:val="Heading1"/>
        <w:rPr>
          <w:lang w:eastAsia="ja-JP"/>
        </w:rPr>
      </w:pPr>
      <w:bookmarkStart w:id="90" w:name="lt_pId224"/>
      <w:bookmarkEnd w:id="89"/>
      <w:r w:rsidRPr="00195127">
        <w:rPr>
          <w:lang w:eastAsia="ja-JP"/>
        </w:rPr>
        <w:t>8</w:t>
      </w:r>
      <w:r w:rsidRPr="00195127">
        <w:rPr>
          <w:lang w:eastAsia="ja-JP"/>
        </w:rPr>
        <w:tab/>
      </w:r>
      <w:r w:rsidR="003C4E9E" w:rsidRPr="00195127">
        <w:rPr>
          <w:lang w:eastAsia="ja-JP"/>
        </w:rPr>
        <w:t>Comunicación interna y externa en el contexto de la construcción</w:t>
      </w:r>
      <w:r w:rsidR="004000AA" w:rsidRPr="00195127">
        <w:rPr>
          <w:lang w:eastAsia="ja-JP"/>
        </w:rPr>
        <w:br/>
      </w:r>
      <w:r w:rsidR="003C4E9E" w:rsidRPr="00195127">
        <w:rPr>
          <w:lang w:eastAsia="ja-JP"/>
        </w:rPr>
        <w:t>del nuevo edificio</w:t>
      </w:r>
      <w:bookmarkEnd w:id="90"/>
    </w:p>
    <w:p w14:paraId="39EF8D8C" w14:textId="3760562C" w:rsidR="00D72461" w:rsidRPr="00195127" w:rsidRDefault="003C4E9E" w:rsidP="00CD055E">
      <w:pPr>
        <w:rPr>
          <w:lang w:eastAsia="zh-CN"/>
        </w:rPr>
      </w:pPr>
      <w:bookmarkStart w:id="91" w:name="lt_pId225"/>
      <w:r w:rsidRPr="00195127">
        <w:rPr>
          <w:lang w:eastAsia="zh-CN"/>
        </w:rPr>
        <w:t xml:space="preserve">La UIT ha preparado una estrategia de comunicación interna y externa acerca de la futura Sede de la UIT y la gestión del cambio conexa en el contexto de la Estrategia sobre las condiciones de trabajo del personal y plan de ejecución. </w:t>
      </w:r>
      <w:r w:rsidR="00310BAB" w:rsidRPr="00195127">
        <w:rPr>
          <w:lang w:eastAsia="zh-CN"/>
        </w:rPr>
        <w:t>La</w:t>
      </w:r>
      <w:r w:rsidRPr="00195127">
        <w:rPr>
          <w:lang w:eastAsia="zh-CN"/>
        </w:rPr>
        <w:t xml:space="preserve"> contratación temporal de un funcionario P3, Oficial de comunicaciones internas y externas, </w:t>
      </w:r>
      <w:r w:rsidR="00CD055E" w:rsidRPr="00195127">
        <w:rPr>
          <w:lang w:eastAsia="zh-CN"/>
        </w:rPr>
        <w:t>es inminente; el candidato ha sido seleccionado y ha recibido la aprobación del Secretario General. Entretanto, se han reforzado las comunicaciones internas mediante la creación de un Grupo de Trabajo sobre Comunicaciones Internas, que ha</w:t>
      </w:r>
      <w:r w:rsidR="00310BAB" w:rsidRPr="00195127">
        <w:rPr>
          <w:lang w:eastAsia="zh-CN"/>
        </w:rPr>
        <w:t xml:space="preserve"> venido reuniéndose</w:t>
      </w:r>
      <w:r w:rsidR="00CD055E" w:rsidRPr="00195127">
        <w:rPr>
          <w:lang w:eastAsia="zh-CN"/>
        </w:rPr>
        <w:t xml:space="preserve"> con carácter semanal desde el 20 de mayo de 2020 y</w:t>
      </w:r>
      <w:r w:rsidR="00310BAB" w:rsidRPr="00195127">
        <w:rPr>
          <w:lang w:eastAsia="zh-CN"/>
        </w:rPr>
        <w:t xml:space="preserve"> que</w:t>
      </w:r>
      <w:r w:rsidR="00CD055E" w:rsidRPr="00195127">
        <w:rPr>
          <w:lang w:eastAsia="zh-CN"/>
        </w:rPr>
        <w:t xml:space="preserve"> </w:t>
      </w:r>
      <w:r w:rsidR="00310BAB" w:rsidRPr="00195127">
        <w:rPr>
          <w:lang w:eastAsia="zh-CN"/>
        </w:rPr>
        <w:t>responde ante</w:t>
      </w:r>
      <w:r w:rsidR="00CD055E" w:rsidRPr="00195127">
        <w:rPr>
          <w:lang w:eastAsia="zh-CN"/>
        </w:rPr>
        <w:t xml:space="preserve"> al Equipo de Respuesta Operacional. A mediados de agosto de 2020, se publicó un boletín digital elaborado por y para el personal, </w:t>
      </w:r>
      <w:r w:rsidR="00CD055E" w:rsidRPr="00195127">
        <w:rPr>
          <w:i/>
          <w:iCs/>
          <w:lang w:eastAsia="zh-CN"/>
        </w:rPr>
        <w:t xml:space="preserve">ITU </w:t>
      </w:r>
      <w:proofErr w:type="spellStart"/>
      <w:r w:rsidR="00CD055E" w:rsidRPr="00195127">
        <w:rPr>
          <w:i/>
          <w:iCs/>
          <w:lang w:eastAsia="zh-CN"/>
        </w:rPr>
        <w:t>Connections</w:t>
      </w:r>
      <w:proofErr w:type="spellEnd"/>
      <w:r w:rsidR="00CD055E" w:rsidRPr="00195127">
        <w:rPr>
          <w:lang w:eastAsia="zh-CN"/>
        </w:rPr>
        <w:t>, con el fin de promover la comunicaci</w:t>
      </w:r>
      <w:r w:rsidR="00310BAB" w:rsidRPr="00195127">
        <w:rPr>
          <w:lang w:eastAsia="zh-CN"/>
        </w:rPr>
        <w:t>ón</w:t>
      </w:r>
      <w:r w:rsidR="00CD055E" w:rsidRPr="00195127">
        <w:rPr>
          <w:lang w:eastAsia="zh-CN"/>
        </w:rPr>
        <w:t xml:space="preserve"> y </w:t>
      </w:r>
      <w:r w:rsidR="00E0018E" w:rsidRPr="00195127">
        <w:rPr>
          <w:lang w:eastAsia="zh-CN"/>
        </w:rPr>
        <w:t>allanar</w:t>
      </w:r>
      <w:r w:rsidR="00CD055E" w:rsidRPr="00195127">
        <w:rPr>
          <w:lang w:eastAsia="zh-CN"/>
        </w:rPr>
        <w:t xml:space="preserve"> el terreno para un</w:t>
      </w:r>
      <w:r w:rsidR="00E0018E" w:rsidRPr="00195127">
        <w:rPr>
          <w:lang w:eastAsia="zh-CN"/>
        </w:rPr>
        <w:t>a herramienta</w:t>
      </w:r>
      <w:r w:rsidR="00CD055E" w:rsidRPr="00195127">
        <w:rPr>
          <w:lang w:eastAsia="zh-CN"/>
        </w:rPr>
        <w:t xml:space="preserve"> de colaboración social descentralizada que </w:t>
      </w:r>
      <w:r w:rsidR="00E0018E" w:rsidRPr="00195127">
        <w:rPr>
          <w:lang w:eastAsia="zh-CN"/>
        </w:rPr>
        <w:t>garantice una mejor atención a</w:t>
      </w:r>
      <w:r w:rsidR="00CD055E" w:rsidRPr="00195127">
        <w:rPr>
          <w:lang w:eastAsia="zh-CN"/>
        </w:rPr>
        <w:t xml:space="preserve"> las</w:t>
      </w:r>
      <w:r w:rsidR="00E0018E" w:rsidRPr="00195127">
        <w:rPr>
          <w:lang w:eastAsia="zh-CN"/>
        </w:rPr>
        <w:t xml:space="preserve"> inquietudes</w:t>
      </w:r>
      <w:r w:rsidR="00CD055E" w:rsidRPr="00195127">
        <w:rPr>
          <w:lang w:eastAsia="zh-CN"/>
        </w:rPr>
        <w:t xml:space="preserve"> del personal</w:t>
      </w:r>
      <w:r w:rsidR="00E0018E" w:rsidRPr="00195127">
        <w:rPr>
          <w:lang w:eastAsia="zh-CN"/>
        </w:rPr>
        <w:t>,</w:t>
      </w:r>
      <w:r w:rsidR="00CD055E" w:rsidRPr="00195127">
        <w:rPr>
          <w:lang w:eastAsia="zh-CN"/>
        </w:rPr>
        <w:t xml:space="preserve"> foment</w:t>
      </w:r>
      <w:r w:rsidR="00E0018E" w:rsidRPr="00195127">
        <w:rPr>
          <w:lang w:eastAsia="zh-CN"/>
        </w:rPr>
        <w:t>e</w:t>
      </w:r>
      <w:r w:rsidR="00CD055E" w:rsidRPr="00195127">
        <w:rPr>
          <w:lang w:eastAsia="zh-CN"/>
        </w:rPr>
        <w:t xml:space="preserve"> la confianza y </w:t>
      </w:r>
      <w:r w:rsidR="00E0018E" w:rsidRPr="00195127">
        <w:rPr>
          <w:lang w:eastAsia="zh-CN"/>
        </w:rPr>
        <w:t xml:space="preserve">afiance </w:t>
      </w:r>
      <w:r w:rsidR="00CD055E" w:rsidRPr="00195127">
        <w:rPr>
          <w:lang w:eastAsia="zh-CN"/>
        </w:rPr>
        <w:t>una cultura de</w:t>
      </w:r>
      <w:r w:rsidR="00310BAB" w:rsidRPr="00195127">
        <w:rPr>
          <w:lang w:eastAsia="zh-CN"/>
        </w:rPr>
        <w:t>l</w:t>
      </w:r>
      <w:r w:rsidR="00CD055E" w:rsidRPr="00195127">
        <w:rPr>
          <w:lang w:eastAsia="zh-CN"/>
        </w:rPr>
        <w:t xml:space="preserve"> compromiso.</w:t>
      </w:r>
      <w:bookmarkEnd w:id="91"/>
    </w:p>
    <w:p w14:paraId="3615F4C0" w14:textId="4DEC6071" w:rsidR="00D72461" w:rsidRPr="00195127" w:rsidRDefault="00D72461" w:rsidP="00F75511">
      <w:pPr>
        <w:pStyle w:val="Heading1"/>
        <w:rPr>
          <w:lang w:eastAsia="ja-JP"/>
        </w:rPr>
      </w:pPr>
      <w:r w:rsidRPr="00195127">
        <w:rPr>
          <w:lang w:eastAsia="ja-JP"/>
        </w:rPr>
        <w:lastRenderedPageBreak/>
        <w:t>9</w:t>
      </w:r>
      <w:r w:rsidRPr="00195127">
        <w:rPr>
          <w:lang w:eastAsia="ja-JP"/>
        </w:rPr>
        <w:tab/>
      </w:r>
      <w:bookmarkStart w:id="92" w:name="lt_pId228"/>
      <w:r w:rsidR="003C4E9E" w:rsidRPr="00195127">
        <w:rPr>
          <w:lang w:eastAsia="ja-JP"/>
        </w:rPr>
        <w:t>Consecuencias de la</w:t>
      </w:r>
      <w:r w:rsidRPr="00195127">
        <w:rPr>
          <w:lang w:eastAsia="ja-JP"/>
        </w:rPr>
        <w:t xml:space="preserve"> </w:t>
      </w:r>
      <w:r w:rsidR="00BD457A" w:rsidRPr="00195127">
        <w:rPr>
          <w:lang w:eastAsia="ja-JP"/>
        </w:rPr>
        <w:t>COVID</w:t>
      </w:r>
      <w:r w:rsidRPr="00195127">
        <w:rPr>
          <w:lang w:eastAsia="ja-JP"/>
        </w:rPr>
        <w:t>-19</w:t>
      </w:r>
      <w:bookmarkEnd w:id="92"/>
    </w:p>
    <w:p w14:paraId="035B28C5" w14:textId="1C1F567B" w:rsidR="00D72461" w:rsidRPr="00195127" w:rsidRDefault="003C4E9E" w:rsidP="00F75511">
      <w:pPr>
        <w:rPr>
          <w:lang w:eastAsia="zh-CN"/>
        </w:rPr>
      </w:pPr>
      <w:bookmarkStart w:id="93" w:name="lt_pId229"/>
      <w:r w:rsidRPr="00195127">
        <w:rPr>
          <w:lang w:eastAsia="zh-CN"/>
        </w:rPr>
        <w:t>Al igual que toda la UIT, el equipo</w:t>
      </w:r>
      <w:r w:rsidR="00D72461" w:rsidRPr="00195127">
        <w:rPr>
          <w:lang w:eastAsia="zh-CN"/>
        </w:rPr>
        <w:t xml:space="preserve"> BPD </w:t>
      </w:r>
      <w:r w:rsidRPr="00195127">
        <w:rPr>
          <w:lang w:eastAsia="zh-CN"/>
        </w:rPr>
        <w:t xml:space="preserve">ha </w:t>
      </w:r>
      <w:r w:rsidR="00310BAB" w:rsidRPr="00195127">
        <w:rPr>
          <w:lang w:eastAsia="zh-CN"/>
        </w:rPr>
        <w:t xml:space="preserve">seguido </w:t>
      </w:r>
      <w:r w:rsidRPr="00195127">
        <w:rPr>
          <w:lang w:eastAsia="zh-CN"/>
        </w:rPr>
        <w:t>teletrabajando desde mediados de marzo. Todas las actividades relacionadas con el diseño, incluidos los talleres temáticos, las reuniones de coordinación técnica con</w:t>
      </w:r>
      <w:bookmarkStart w:id="94" w:name="lt_pId230"/>
      <w:bookmarkEnd w:id="93"/>
      <w:r w:rsidR="00D72461" w:rsidRPr="00195127">
        <w:rPr>
          <w:lang w:eastAsia="zh-CN"/>
        </w:rPr>
        <w:t xml:space="preserve"> CDTK </w:t>
      </w:r>
      <w:r w:rsidRPr="00195127">
        <w:rPr>
          <w:lang w:eastAsia="zh-CN"/>
        </w:rPr>
        <w:t xml:space="preserve">y sus </w:t>
      </w:r>
      <w:r w:rsidR="009D64DB" w:rsidRPr="00195127">
        <w:rPr>
          <w:lang w:eastAsia="zh-CN"/>
        </w:rPr>
        <w:t>sub</w:t>
      </w:r>
      <w:r w:rsidRPr="00195127">
        <w:rPr>
          <w:lang w:eastAsia="zh-CN"/>
        </w:rPr>
        <w:t>contratistas y las consultas con las partes interesadas internas para la confirmación de los requisitos</w:t>
      </w:r>
      <w:r w:rsidR="009D64DB" w:rsidRPr="00195127">
        <w:rPr>
          <w:lang w:eastAsia="zh-CN"/>
        </w:rPr>
        <w:t xml:space="preserve"> funcionales específicamente técnicos, se han seguido llevando a cabo a distancia.</w:t>
      </w:r>
      <w:bookmarkEnd w:id="94"/>
    </w:p>
    <w:p w14:paraId="5B37B7D3" w14:textId="21D30788" w:rsidR="00D72461" w:rsidRPr="00195127" w:rsidRDefault="009D64DB" w:rsidP="00F75511">
      <w:pPr>
        <w:rPr>
          <w:lang w:eastAsia="zh-CN"/>
        </w:rPr>
      </w:pPr>
      <w:bookmarkStart w:id="95" w:name="lt_pId232"/>
      <w:r w:rsidRPr="00195127">
        <w:rPr>
          <w:lang w:eastAsia="zh-CN"/>
        </w:rPr>
        <w:t>Otro de los acontecimientos clave de este año es la presentación del permiso de construir a finales de</w:t>
      </w:r>
      <w:r w:rsidR="00D72461" w:rsidRPr="00195127">
        <w:rPr>
          <w:lang w:eastAsia="zh-CN"/>
        </w:rPr>
        <w:t xml:space="preserve"> 2020.</w:t>
      </w:r>
      <w:bookmarkEnd w:id="95"/>
      <w:r w:rsidR="00D72461" w:rsidRPr="00195127">
        <w:rPr>
          <w:lang w:eastAsia="zh-CN"/>
        </w:rPr>
        <w:t xml:space="preserve"> </w:t>
      </w:r>
      <w:bookmarkStart w:id="96" w:name="lt_pId233"/>
      <w:r w:rsidR="00310BAB" w:rsidRPr="00195127">
        <w:rPr>
          <w:lang w:eastAsia="zh-CN"/>
        </w:rPr>
        <w:t>En este contexto</w:t>
      </w:r>
      <w:r w:rsidR="003D1C7B" w:rsidRPr="00195127">
        <w:rPr>
          <w:lang w:eastAsia="zh-CN"/>
        </w:rPr>
        <w:t>,</w:t>
      </w:r>
      <w:r w:rsidRPr="00195127">
        <w:rPr>
          <w:lang w:eastAsia="zh-CN"/>
        </w:rPr>
        <w:t xml:space="preserve"> la UIT</w:t>
      </w:r>
      <w:r w:rsidR="003D1C7B" w:rsidRPr="00195127">
        <w:rPr>
          <w:lang w:eastAsia="zh-CN"/>
        </w:rPr>
        <w:t xml:space="preserve"> </w:t>
      </w:r>
      <w:r w:rsidR="00310BAB" w:rsidRPr="00195127">
        <w:rPr>
          <w:lang w:eastAsia="zh-CN"/>
        </w:rPr>
        <w:t>ha llevado</w:t>
      </w:r>
      <w:r w:rsidR="003D1C7B" w:rsidRPr="00195127">
        <w:rPr>
          <w:lang w:eastAsia="zh-CN"/>
        </w:rPr>
        <w:t xml:space="preserve"> a cabo </w:t>
      </w:r>
      <w:r w:rsidR="00310BAB" w:rsidRPr="00195127">
        <w:rPr>
          <w:lang w:eastAsia="zh-CN"/>
        </w:rPr>
        <w:t xml:space="preserve">con éxito </w:t>
      </w:r>
      <w:r w:rsidR="003D1C7B" w:rsidRPr="00195127">
        <w:rPr>
          <w:lang w:eastAsia="zh-CN"/>
        </w:rPr>
        <w:t xml:space="preserve">una consulta </w:t>
      </w:r>
      <w:r w:rsidR="00310BAB" w:rsidRPr="00195127">
        <w:rPr>
          <w:lang w:eastAsia="zh-CN"/>
        </w:rPr>
        <w:t>a distancia</w:t>
      </w:r>
      <w:r w:rsidRPr="00195127">
        <w:rPr>
          <w:lang w:eastAsia="zh-CN"/>
        </w:rPr>
        <w:t xml:space="preserve"> con las autoridades locales</w:t>
      </w:r>
      <w:r w:rsidR="003D1C7B" w:rsidRPr="00195127">
        <w:rPr>
          <w:lang w:eastAsia="zh-CN"/>
        </w:rPr>
        <w:t>.</w:t>
      </w:r>
      <w:bookmarkEnd w:id="96"/>
    </w:p>
    <w:p w14:paraId="2A90F00D" w14:textId="5F174016" w:rsidR="00D51BC1" w:rsidRPr="00195127" w:rsidRDefault="00D51BC1" w:rsidP="007E6F5C">
      <w:pPr>
        <w:rPr>
          <w:lang w:eastAsia="zh-CN"/>
        </w:rPr>
      </w:pPr>
      <w:bookmarkStart w:id="97" w:name="lt_pId247"/>
      <w:r w:rsidRPr="00195127">
        <w:rPr>
          <w:lang w:eastAsia="zh-CN"/>
        </w:rPr>
        <w:t xml:space="preserve">Los riesgos han cambiado y se está actualizando el </w:t>
      </w:r>
      <w:r w:rsidR="00D26C96" w:rsidRPr="00195127">
        <w:rPr>
          <w:lang w:eastAsia="zh-CN"/>
        </w:rPr>
        <w:t xml:space="preserve">Registro </w:t>
      </w:r>
      <w:r w:rsidRPr="00195127">
        <w:rPr>
          <w:lang w:eastAsia="zh-CN"/>
        </w:rPr>
        <w:t xml:space="preserve">de </w:t>
      </w:r>
      <w:r w:rsidR="00D26C96" w:rsidRPr="00195127">
        <w:rPr>
          <w:lang w:eastAsia="zh-CN"/>
        </w:rPr>
        <w:t xml:space="preserve">Riesgos </w:t>
      </w:r>
      <w:r w:rsidRPr="00195127">
        <w:rPr>
          <w:lang w:eastAsia="zh-CN"/>
        </w:rPr>
        <w:t xml:space="preserve">tomando en consideración la crisis actual, reevaluando las probabilidades y consecuencias, así como las medidas paliativas. </w:t>
      </w:r>
      <w:r w:rsidR="00E72652" w:rsidRPr="00195127">
        <w:rPr>
          <w:lang w:eastAsia="zh-CN"/>
        </w:rPr>
        <w:t>S</w:t>
      </w:r>
      <w:r w:rsidR="00B10B95" w:rsidRPr="00195127">
        <w:rPr>
          <w:lang w:eastAsia="zh-CN"/>
        </w:rPr>
        <w:t>e ha</w:t>
      </w:r>
      <w:r w:rsidR="00E72652" w:rsidRPr="00195127">
        <w:rPr>
          <w:lang w:eastAsia="zh-CN"/>
        </w:rPr>
        <w:t>n</w:t>
      </w:r>
      <w:r w:rsidR="00B10B95" w:rsidRPr="00195127">
        <w:rPr>
          <w:lang w:eastAsia="zh-CN"/>
        </w:rPr>
        <w:t xml:space="preserve"> añadido al </w:t>
      </w:r>
      <w:r w:rsidR="00D26C96" w:rsidRPr="00195127">
        <w:rPr>
          <w:lang w:eastAsia="zh-CN"/>
        </w:rPr>
        <w:t xml:space="preserve">Registro </w:t>
      </w:r>
      <w:r w:rsidR="00B10B95" w:rsidRPr="00195127">
        <w:rPr>
          <w:lang w:eastAsia="zh-CN"/>
        </w:rPr>
        <w:t xml:space="preserve">de </w:t>
      </w:r>
      <w:r w:rsidR="00D26C96" w:rsidRPr="00195127">
        <w:rPr>
          <w:lang w:eastAsia="zh-CN"/>
        </w:rPr>
        <w:t>Riesgos</w:t>
      </w:r>
      <w:r w:rsidR="00B10B95" w:rsidRPr="00195127">
        <w:rPr>
          <w:lang w:eastAsia="zh-CN"/>
        </w:rPr>
        <w:t xml:space="preserve"> punto</w:t>
      </w:r>
      <w:r w:rsidR="00E72652" w:rsidRPr="00195127">
        <w:rPr>
          <w:lang w:eastAsia="zh-CN"/>
        </w:rPr>
        <w:t>s</w:t>
      </w:r>
      <w:r w:rsidR="00B10B95" w:rsidRPr="00195127">
        <w:rPr>
          <w:lang w:eastAsia="zh-CN"/>
        </w:rPr>
        <w:t xml:space="preserve"> que comprende</w:t>
      </w:r>
      <w:r w:rsidR="00E72652" w:rsidRPr="00195127">
        <w:rPr>
          <w:lang w:eastAsia="zh-CN"/>
        </w:rPr>
        <w:t>n</w:t>
      </w:r>
      <w:r w:rsidR="00B10B95" w:rsidRPr="00195127">
        <w:rPr>
          <w:lang w:eastAsia="zh-CN"/>
        </w:rPr>
        <w:t xml:space="preserve"> y prevé</w:t>
      </w:r>
      <w:r w:rsidR="00E72652" w:rsidRPr="00195127">
        <w:rPr>
          <w:lang w:eastAsia="zh-CN"/>
        </w:rPr>
        <w:t>n</w:t>
      </w:r>
      <w:r w:rsidR="00B10B95" w:rsidRPr="00195127">
        <w:rPr>
          <w:lang w:eastAsia="zh-CN"/>
        </w:rPr>
        <w:t xml:space="preserve"> los cambios que pudiera ser necesario realizar en el diseño</w:t>
      </w:r>
      <w:r w:rsidR="006832A3" w:rsidRPr="00195127">
        <w:rPr>
          <w:lang w:eastAsia="zh-CN"/>
        </w:rPr>
        <w:t xml:space="preserve"> a raíz de los requisitos que para el nuevo edificio impongan los resultados del análisis de consecuencias de la</w:t>
      </w:r>
      <w:r w:rsidR="00D72461" w:rsidRPr="00195127">
        <w:rPr>
          <w:lang w:eastAsia="zh-CN"/>
        </w:rPr>
        <w:t xml:space="preserve"> </w:t>
      </w:r>
      <w:r w:rsidR="007E6F5C" w:rsidRPr="00195127">
        <w:rPr>
          <w:lang w:eastAsia="zh-CN"/>
        </w:rPr>
        <w:t>COVID</w:t>
      </w:r>
      <w:r w:rsidR="00FB664E" w:rsidRPr="00195127">
        <w:rPr>
          <w:lang w:eastAsia="zh-CN"/>
        </w:rPr>
        <w:t>-</w:t>
      </w:r>
      <w:r w:rsidR="00D72461" w:rsidRPr="00195127">
        <w:rPr>
          <w:lang w:eastAsia="zh-CN"/>
        </w:rPr>
        <w:t>19.</w:t>
      </w:r>
      <w:bookmarkEnd w:id="97"/>
      <w:r w:rsidR="00E72652" w:rsidRPr="00195127">
        <w:rPr>
          <w:lang w:eastAsia="zh-CN"/>
        </w:rPr>
        <w:t xml:space="preserve"> S</w:t>
      </w:r>
      <w:r w:rsidR="00D26C96" w:rsidRPr="00195127">
        <w:rPr>
          <w:lang w:eastAsia="zh-CN"/>
        </w:rPr>
        <w:t>i bien s</w:t>
      </w:r>
      <w:r w:rsidR="00E72652" w:rsidRPr="00195127">
        <w:rPr>
          <w:lang w:eastAsia="zh-CN"/>
        </w:rPr>
        <w:t>e ha</w:t>
      </w:r>
      <w:r w:rsidR="007465C5" w:rsidRPr="00195127">
        <w:rPr>
          <w:lang w:eastAsia="zh-CN"/>
        </w:rPr>
        <w:t>n calculado los</w:t>
      </w:r>
      <w:r w:rsidR="00E72652" w:rsidRPr="00195127">
        <w:rPr>
          <w:lang w:eastAsia="zh-CN"/>
        </w:rPr>
        <w:t xml:space="preserve"> cost</w:t>
      </w:r>
      <w:r w:rsidR="007465C5" w:rsidRPr="00195127">
        <w:rPr>
          <w:lang w:eastAsia="zh-CN"/>
        </w:rPr>
        <w:t>e</w:t>
      </w:r>
      <w:r w:rsidR="00E72652" w:rsidRPr="00195127">
        <w:rPr>
          <w:lang w:eastAsia="zh-CN"/>
        </w:rPr>
        <w:t>s aproximados</w:t>
      </w:r>
      <w:r w:rsidR="007465C5" w:rsidRPr="00195127">
        <w:rPr>
          <w:lang w:eastAsia="zh-CN"/>
        </w:rPr>
        <w:t>, estos deberán</w:t>
      </w:r>
      <w:r w:rsidR="00E72652" w:rsidRPr="00195127">
        <w:rPr>
          <w:lang w:eastAsia="zh-CN"/>
        </w:rPr>
        <w:t xml:space="preserve"> confirma</w:t>
      </w:r>
      <w:r w:rsidR="007465C5" w:rsidRPr="00195127">
        <w:rPr>
          <w:lang w:eastAsia="zh-CN"/>
        </w:rPr>
        <w:t>rse</w:t>
      </w:r>
      <w:r w:rsidR="00E72652" w:rsidRPr="00195127">
        <w:rPr>
          <w:lang w:eastAsia="zh-CN"/>
        </w:rPr>
        <w:t xml:space="preserve"> una vez que se conozca</w:t>
      </w:r>
      <w:r w:rsidR="007465C5" w:rsidRPr="00195127">
        <w:rPr>
          <w:lang w:eastAsia="zh-CN"/>
        </w:rPr>
        <w:t>n las repercusiones</w:t>
      </w:r>
      <w:r w:rsidR="00E72652" w:rsidRPr="00195127">
        <w:rPr>
          <w:lang w:eastAsia="zh-CN"/>
        </w:rPr>
        <w:t xml:space="preserve"> en el diseño de la</w:t>
      </w:r>
      <w:r w:rsidR="007465C5" w:rsidRPr="00195127">
        <w:rPr>
          <w:lang w:eastAsia="zh-CN"/>
        </w:rPr>
        <w:t>s</w:t>
      </w:r>
      <w:r w:rsidR="00E72652" w:rsidRPr="00195127">
        <w:rPr>
          <w:lang w:eastAsia="zh-CN"/>
        </w:rPr>
        <w:t xml:space="preserve"> oficina</w:t>
      </w:r>
      <w:r w:rsidR="007465C5" w:rsidRPr="00195127">
        <w:rPr>
          <w:lang w:eastAsia="zh-CN"/>
        </w:rPr>
        <w:t>s</w:t>
      </w:r>
      <w:r w:rsidR="00E72652" w:rsidRPr="00195127">
        <w:rPr>
          <w:lang w:eastAsia="zh-CN"/>
        </w:rPr>
        <w:t>.</w:t>
      </w:r>
    </w:p>
    <w:p w14:paraId="106D6E51" w14:textId="43CFF8C7" w:rsidR="00E72652" w:rsidRPr="00195127" w:rsidRDefault="0072119B" w:rsidP="007E6F5C">
      <w:pPr>
        <w:rPr>
          <w:lang w:eastAsia="zh-CN"/>
        </w:rPr>
      </w:pPr>
      <w:r w:rsidRPr="00195127">
        <w:rPr>
          <w:lang w:eastAsia="zh-CN"/>
        </w:rPr>
        <w:t>En la reunión que el GAEM celebró en julio, s</w:t>
      </w:r>
      <w:r w:rsidR="00E72652" w:rsidRPr="00195127">
        <w:rPr>
          <w:lang w:eastAsia="zh-CN"/>
        </w:rPr>
        <w:t xml:space="preserve">e </w:t>
      </w:r>
      <w:r w:rsidR="00D26C96" w:rsidRPr="00195127">
        <w:rPr>
          <w:lang w:eastAsia="zh-CN"/>
        </w:rPr>
        <w:t>distribuyó</w:t>
      </w:r>
      <w:r w:rsidR="00E72652" w:rsidRPr="00195127">
        <w:rPr>
          <w:lang w:eastAsia="zh-CN"/>
        </w:rPr>
        <w:t xml:space="preserve"> </w:t>
      </w:r>
      <w:r w:rsidRPr="00195127">
        <w:rPr>
          <w:lang w:eastAsia="zh-CN"/>
        </w:rPr>
        <w:t xml:space="preserve">y presentó </w:t>
      </w:r>
      <w:r w:rsidR="00E72652" w:rsidRPr="00195127">
        <w:rPr>
          <w:lang w:eastAsia="zh-CN"/>
        </w:rPr>
        <w:t>un documento que inclu</w:t>
      </w:r>
      <w:r w:rsidRPr="00195127">
        <w:rPr>
          <w:lang w:eastAsia="zh-CN"/>
        </w:rPr>
        <w:t>ía una serie de</w:t>
      </w:r>
      <w:r w:rsidR="00E72652" w:rsidRPr="00195127">
        <w:rPr>
          <w:lang w:eastAsia="zh-CN"/>
        </w:rPr>
        <w:t xml:space="preserve"> investigaciones de </w:t>
      </w:r>
      <w:r w:rsidRPr="00195127">
        <w:rPr>
          <w:lang w:eastAsia="zh-CN"/>
        </w:rPr>
        <w:t xml:space="preserve">varios </w:t>
      </w:r>
      <w:r w:rsidR="00E72652" w:rsidRPr="00195127">
        <w:rPr>
          <w:lang w:eastAsia="zh-CN"/>
        </w:rPr>
        <w:t>especialistas en lugar</w:t>
      </w:r>
      <w:r w:rsidR="00D26C96" w:rsidRPr="00195127">
        <w:rPr>
          <w:lang w:eastAsia="zh-CN"/>
        </w:rPr>
        <w:t>es</w:t>
      </w:r>
      <w:r w:rsidR="00E72652" w:rsidRPr="00195127">
        <w:rPr>
          <w:lang w:eastAsia="zh-CN"/>
        </w:rPr>
        <w:t xml:space="preserve"> de trabajo sobre </w:t>
      </w:r>
      <w:r w:rsidR="00D26C96" w:rsidRPr="00195127">
        <w:rPr>
          <w:lang w:eastAsia="zh-CN"/>
        </w:rPr>
        <w:t>el</w:t>
      </w:r>
      <w:r w:rsidR="00E72652" w:rsidRPr="00195127">
        <w:rPr>
          <w:lang w:eastAsia="zh-CN"/>
        </w:rPr>
        <w:t xml:space="preserve"> ambiente </w:t>
      </w:r>
      <w:r w:rsidRPr="00195127">
        <w:rPr>
          <w:lang w:eastAsia="zh-CN"/>
        </w:rPr>
        <w:t>laboral</w:t>
      </w:r>
      <w:r w:rsidR="00E72652" w:rsidRPr="00195127">
        <w:rPr>
          <w:lang w:eastAsia="zh-CN"/>
        </w:rPr>
        <w:t xml:space="preserve"> </w:t>
      </w:r>
      <w:proofErr w:type="spellStart"/>
      <w:r w:rsidRPr="00195127">
        <w:rPr>
          <w:lang w:eastAsia="zh-CN"/>
        </w:rPr>
        <w:t>pos</w:t>
      </w:r>
      <w:proofErr w:type="spellEnd"/>
      <w:r w:rsidRPr="00195127">
        <w:rPr>
          <w:lang w:eastAsia="zh-CN"/>
        </w:rPr>
        <w:t>-COVID</w:t>
      </w:r>
      <w:r w:rsidR="00E72652" w:rsidRPr="00195127">
        <w:rPr>
          <w:lang w:eastAsia="zh-CN"/>
        </w:rPr>
        <w:t>. Para abordar e</w:t>
      </w:r>
      <w:r w:rsidRPr="00195127">
        <w:rPr>
          <w:lang w:eastAsia="zh-CN"/>
        </w:rPr>
        <w:t>l</w:t>
      </w:r>
      <w:r w:rsidR="00E72652" w:rsidRPr="00195127">
        <w:rPr>
          <w:lang w:eastAsia="zh-CN"/>
        </w:rPr>
        <w:t xml:space="preserve"> último de los aspectos que deben tratarse en este contexto, tal vez sea necesario contratar a los </w:t>
      </w:r>
      <w:r w:rsidRPr="00195127">
        <w:rPr>
          <w:lang w:eastAsia="zh-CN"/>
        </w:rPr>
        <w:t>asesores</w:t>
      </w:r>
      <w:r w:rsidR="00E72652" w:rsidRPr="00195127">
        <w:rPr>
          <w:lang w:eastAsia="zh-CN"/>
        </w:rPr>
        <w:t xml:space="preserve"> recomendados por la secretaría. La prestación de esos servicios se sufraga con cargo al presupuesto </w:t>
      </w:r>
      <w:r w:rsidRPr="00195127">
        <w:rPr>
          <w:lang w:eastAsia="zh-CN"/>
        </w:rPr>
        <w:t>para</w:t>
      </w:r>
      <w:r w:rsidR="00E72652" w:rsidRPr="00195127">
        <w:rPr>
          <w:lang w:eastAsia="zh-CN"/>
        </w:rPr>
        <w:t xml:space="preserve"> gastos indirectos del proyecto </w:t>
      </w:r>
      <w:r w:rsidRPr="00195127">
        <w:rPr>
          <w:lang w:eastAsia="zh-CN"/>
        </w:rPr>
        <w:t>que</w:t>
      </w:r>
      <w:r w:rsidR="00E72652" w:rsidRPr="00195127">
        <w:rPr>
          <w:lang w:eastAsia="zh-CN"/>
        </w:rPr>
        <w:t xml:space="preserve"> los consejeros </w:t>
      </w:r>
      <w:r w:rsidRPr="00195127">
        <w:rPr>
          <w:lang w:eastAsia="zh-CN"/>
        </w:rPr>
        <w:t xml:space="preserve">aprobaron </w:t>
      </w:r>
      <w:r w:rsidR="00E72652" w:rsidRPr="00195127">
        <w:rPr>
          <w:lang w:eastAsia="zh-CN"/>
        </w:rPr>
        <w:t xml:space="preserve">en </w:t>
      </w:r>
      <w:r w:rsidRPr="00195127">
        <w:rPr>
          <w:lang w:eastAsia="zh-CN"/>
        </w:rPr>
        <w:t>el Acuerdo</w:t>
      </w:r>
      <w:r w:rsidR="00E72652" w:rsidRPr="00195127">
        <w:rPr>
          <w:lang w:eastAsia="zh-CN"/>
        </w:rPr>
        <w:t xml:space="preserve"> 619.</w:t>
      </w:r>
    </w:p>
    <w:p w14:paraId="16E49F07" w14:textId="77777777" w:rsidR="00F76018" w:rsidRPr="00195127" w:rsidRDefault="0072119B" w:rsidP="007E6F5C">
      <w:pPr>
        <w:rPr>
          <w:lang w:eastAsia="zh-CN"/>
        </w:rPr>
      </w:pPr>
      <w:r w:rsidRPr="00195127">
        <w:rPr>
          <w:lang w:eastAsia="zh-CN"/>
        </w:rPr>
        <w:t>En consecuencia</w:t>
      </w:r>
      <w:r w:rsidR="00E72652" w:rsidRPr="00195127">
        <w:rPr>
          <w:lang w:eastAsia="zh-CN"/>
        </w:rPr>
        <w:t xml:space="preserve">, a principios de septiembre se publicó una licitación </w:t>
      </w:r>
      <w:r w:rsidR="002647E5" w:rsidRPr="00195127">
        <w:rPr>
          <w:lang w:eastAsia="zh-CN"/>
        </w:rPr>
        <w:t>con el objetivo de designar a</w:t>
      </w:r>
      <w:r w:rsidR="00E72652" w:rsidRPr="00195127">
        <w:rPr>
          <w:lang w:eastAsia="zh-CN"/>
        </w:rPr>
        <w:t xml:space="preserve"> </w:t>
      </w:r>
      <w:r w:rsidR="002647E5" w:rsidRPr="00195127">
        <w:rPr>
          <w:lang w:eastAsia="zh-CN"/>
        </w:rPr>
        <w:t>la</w:t>
      </w:r>
      <w:r w:rsidR="00E72652" w:rsidRPr="00195127">
        <w:rPr>
          <w:lang w:eastAsia="zh-CN"/>
        </w:rPr>
        <w:t xml:space="preserve"> empresa especializada</w:t>
      </w:r>
      <w:r w:rsidR="002647E5" w:rsidRPr="00195127">
        <w:rPr>
          <w:lang w:eastAsia="zh-CN"/>
        </w:rPr>
        <w:t xml:space="preserve"> que se encargaría de elaborar el plan de ejecución </w:t>
      </w:r>
      <w:r w:rsidR="00E72652" w:rsidRPr="00195127">
        <w:rPr>
          <w:lang w:eastAsia="zh-CN"/>
        </w:rPr>
        <w:t>de las condiciones de trabajo del personal. Habida cuenta de las repercusiones más recientes de</w:t>
      </w:r>
      <w:r w:rsidR="002647E5" w:rsidRPr="00195127">
        <w:rPr>
          <w:lang w:eastAsia="zh-CN"/>
        </w:rPr>
        <w:t xml:space="preserve"> </w:t>
      </w:r>
      <w:r w:rsidR="00E72652" w:rsidRPr="00195127">
        <w:rPr>
          <w:lang w:eastAsia="zh-CN"/>
        </w:rPr>
        <w:t>l</w:t>
      </w:r>
      <w:r w:rsidR="002647E5" w:rsidRPr="00195127">
        <w:rPr>
          <w:lang w:eastAsia="zh-CN"/>
        </w:rPr>
        <w:t>a</w:t>
      </w:r>
      <w:r w:rsidR="00E72652" w:rsidRPr="00195127">
        <w:rPr>
          <w:lang w:eastAsia="zh-CN"/>
        </w:rPr>
        <w:t xml:space="preserve"> </w:t>
      </w:r>
      <w:r w:rsidR="002647E5" w:rsidRPr="00195127">
        <w:rPr>
          <w:lang w:eastAsia="zh-CN"/>
        </w:rPr>
        <w:t>COVID</w:t>
      </w:r>
      <w:r w:rsidR="00E72652" w:rsidRPr="00195127">
        <w:rPr>
          <w:lang w:eastAsia="zh-CN"/>
        </w:rPr>
        <w:t>-19 en las prácticas de trabajo, entre las cuales se</w:t>
      </w:r>
      <w:r w:rsidR="002647E5" w:rsidRPr="00195127">
        <w:rPr>
          <w:lang w:eastAsia="zh-CN"/>
        </w:rPr>
        <w:t xml:space="preserve"> han impuesto</w:t>
      </w:r>
      <w:r w:rsidR="00E72652" w:rsidRPr="00195127">
        <w:rPr>
          <w:lang w:eastAsia="zh-CN"/>
        </w:rPr>
        <w:t xml:space="preserve"> el teletrabajo y el trabajo </w:t>
      </w:r>
      <w:r w:rsidR="002647E5" w:rsidRPr="00195127">
        <w:rPr>
          <w:lang w:eastAsia="zh-CN"/>
        </w:rPr>
        <w:t>dese</w:t>
      </w:r>
      <w:r w:rsidR="00E72652" w:rsidRPr="00195127">
        <w:rPr>
          <w:lang w:eastAsia="zh-CN"/>
        </w:rPr>
        <w:t xml:space="preserve"> el hogar, el primer </w:t>
      </w:r>
      <w:r w:rsidR="002647E5" w:rsidRPr="00195127">
        <w:rPr>
          <w:lang w:eastAsia="zh-CN"/>
        </w:rPr>
        <w:t>producto</w:t>
      </w:r>
      <w:r w:rsidR="00E72652" w:rsidRPr="00195127">
        <w:rPr>
          <w:lang w:eastAsia="zh-CN"/>
        </w:rPr>
        <w:t xml:space="preserve"> incluirá los resultados y conclusiones iniciales sobre los perfiles de trabajo de la UIT, las prácticas de trabajo y las recomendaciones</w:t>
      </w:r>
      <w:r w:rsidR="00F76018" w:rsidRPr="00195127">
        <w:rPr>
          <w:lang w:eastAsia="zh-CN"/>
        </w:rPr>
        <w:t xml:space="preserve"> que se considerará aplicar en </w:t>
      </w:r>
      <w:r w:rsidR="00E72652" w:rsidRPr="00195127">
        <w:rPr>
          <w:lang w:eastAsia="zh-CN"/>
        </w:rPr>
        <w:t xml:space="preserve">la propuesta de </w:t>
      </w:r>
      <w:r w:rsidR="00F76018" w:rsidRPr="00195127">
        <w:rPr>
          <w:lang w:eastAsia="zh-CN"/>
        </w:rPr>
        <w:t xml:space="preserve">reubicación del personal </w:t>
      </w:r>
      <w:r w:rsidR="00E72652" w:rsidRPr="00195127">
        <w:rPr>
          <w:lang w:eastAsia="zh-CN"/>
        </w:rPr>
        <w:t>y la asignación y/o el diseño del espacio de oficinas del nuevo edificio. Aunque no correspondía al mandato del GA</w:t>
      </w:r>
      <w:r w:rsidR="00F76018" w:rsidRPr="00195127">
        <w:rPr>
          <w:lang w:eastAsia="zh-CN"/>
        </w:rPr>
        <w:t>EM</w:t>
      </w:r>
      <w:r w:rsidR="00E72652" w:rsidRPr="00195127">
        <w:rPr>
          <w:lang w:eastAsia="zh-CN"/>
        </w:rPr>
        <w:t>, algunos miembros recomendaron que las solicitudes normalizadas de teletrabajo en la UIT se examinaran conjuntamente con las</w:t>
      </w:r>
      <w:r w:rsidR="00F76018" w:rsidRPr="00195127">
        <w:rPr>
          <w:lang w:eastAsia="zh-CN"/>
        </w:rPr>
        <w:t xml:space="preserve"> relativas a </w:t>
      </w:r>
      <w:r w:rsidR="00E72652" w:rsidRPr="00195127">
        <w:rPr>
          <w:lang w:eastAsia="zh-CN"/>
        </w:rPr>
        <w:t>las reuniones virtuales de los miembros.</w:t>
      </w:r>
    </w:p>
    <w:p w14:paraId="610DC969" w14:textId="333B4486" w:rsidR="00E72652" w:rsidRPr="00195127" w:rsidRDefault="00E72652" w:rsidP="007E6F5C">
      <w:pPr>
        <w:rPr>
          <w:lang w:eastAsia="zh-CN"/>
        </w:rPr>
      </w:pPr>
      <w:r w:rsidRPr="00195127">
        <w:rPr>
          <w:lang w:eastAsia="zh-CN"/>
        </w:rPr>
        <w:t>El objetivo de la licitación es garantizar el apoyo y el acompañamiento de una empresa profesional</w:t>
      </w:r>
      <w:r w:rsidR="00A2106D" w:rsidRPr="00195127">
        <w:rPr>
          <w:lang w:eastAsia="zh-CN"/>
        </w:rPr>
        <w:t>,</w:t>
      </w:r>
      <w:r w:rsidRPr="00195127">
        <w:rPr>
          <w:lang w:eastAsia="zh-CN"/>
        </w:rPr>
        <w:t xml:space="preserve"> que </w:t>
      </w:r>
      <w:r w:rsidR="00F76018" w:rsidRPr="00195127">
        <w:rPr>
          <w:lang w:eastAsia="zh-CN"/>
        </w:rPr>
        <w:t>abarque</w:t>
      </w:r>
      <w:r w:rsidRPr="00195127">
        <w:rPr>
          <w:lang w:eastAsia="zh-CN"/>
        </w:rPr>
        <w:t xml:space="preserve"> todos los perfiles y competencias profesionales necesarios para </w:t>
      </w:r>
      <w:r w:rsidR="00A2106D" w:rsidRPr="00195127">
        <w:rPr>
          <w:lang w:eastAsia="zh-CN"/>
        </w:rPr>
        <w:t>respaldar</w:t>
      </w:r>
      <w:r w:rsidRPr="00195127">
        <w:rPr>
          <w:lang w:eastAsia="zh-CN"/>
        </w:rPr>
        <w:t xml:space="preserve"> al equipo de recursos humanos y </w:t>
      </w:r>
      <w:r w:rsidR="00AA0EF2" w:rsidRPr="00195127">
        <w:rPr>
          <w:lang w:eastAsia="zh-CN"/>
        </w:rPr>
        <w:t xml:space="preserve">del proyecto </w:t>
      </w:r>
      <w:r w:rsidRPr="00195127">
        <w:rPr>
          <w:lang w:eastAsia="zh-CN"/>
        </w:rPr>
        <w:t>de nuevo edificio durante toda la duración del proyecto, desde el otoño de 2020 hasta mediados de 2027.</w:t>
      </w:r>
    </w:p>
    <w:p w14:paraId="10C57DC4" w14:textId="1AB6C2EA" w:rsidR="00E72652" w:rsidRPr="00195127" w:rsidRDefault="00E72652" w:rsidP="007E6F5C">
      <w:pPr>
        <w:rPr>
          <w:rFonts w:asciiTheme="minorHAnsi" w:hAnsiTheme="minorHAnsi" w:cstheme="minorHAnsi"/>
          <w:color w:val="000000"/>
          <w:szCs w:val="22"/>
          <w:lang w:eastAsia="zh-CN"/>
        </w:rPr>
      </w:pPr>
      <w:r w:rsidRPr="00195127">
        <w:rPr>
          <w:rFonts w:asciiTheme="minorHAnsi" w:hAnsiTheme="minorHAnsi" w:cstheme="minorHAnsi"/>
          <w:color w:val="000000"/>
          <w:szCs w:val="22"/>
          <w:lang w:eastAsia="zh-CN"/>
        </w:rPr>
        <w:t>Lamentablemente, ni las autoridades suizas ni las de la Unión Europea han formulado recomendaciones</w:t>
      </w:r>
      <w:r w:rsidR="00AA0EF2" w:rsidRPr="00195127">
        <w:rPr>
          <w:rFonts w:asciiTheme="minorHAnsi" w:hAnsiTheme="minorHAnsi" w:cstheme="minorHAnsi"/>
          <w:color w:val="000000"/>
          <w:szCs w:val="22"/>
          <w:lang w:eastAsia="zh-CN"/>
        </w:rPr>
        <w:t xml:space="preserve"> </w:t>
      </w:r>
      <w:r w:rsidRPr="00195127">
        <w:rPr>
          <w:rFonts w:asciiTheme="minorHAnsi" w:hAnsiTheme="minorHAnsi" w:cstheme="minorHAnsi"/>
          <w:color w:val="000000"/>
          <w:szCs w:val="22"/>
          <w:lang w:eastAsia="zh-CN"/>
        </w:rPr>
        <w:t>de diseño</w:t>
      </w:r>
      <w:r w:rsidR="00AA0EF2" w:rsidRPr="00195127">
        <w:rPr>
          <w:rFonts w:asciiTheme="minorHAnsi" w:hAnsiTheme="minorHAnsi" w:cstheme="minorHAnsi"/>
          <w:color w:val="000000"/>
          <w:szCs w:val="22"/>
          <w:lang w:eastAsia="zh-CN"/>
        </w:rPr>
        <w:t xml:space="preserve"> pos-COVID-19</w:t>
      </w:r>
      <w:r w:rsidRPr="00195127">
        <w:rPr>
          <w:rFonts w:asciiTheme="minorHAnsi" w:hAnsiTheme="minorHAnsi" w:cstheme="minorHAnsi"/>
          <w:color w:val="000000"/>
          <w:szCs w:val="22"/>
          <w:lang w:eastAsia="zh-CN"/>
        </w:rPr>
        <w:t xml:space="preserve"> en</w:t>
      </w:r>
      <w:r w:rsidR="00A2106D" w:rsidRPr="00195127">
        <w:rPr>
          <w:rFonts w:asciiTheme="minorHAnsi" w:hAnsiTheme="minorHAnsi" w:cstheme="minorHAnsi"/>
          <w:color w:val="000000"/>
          <w:szCs w:val="22"/>
          <w:lang w:eastAsia="zh-CN"/>
        </w:rPr>
        <w:t xml:space="preserve"> lo que atañe a</w:t>
      </w:r>
      <w:r w:rsidRPr="00195127">
        <w:rPr>
          <w:rFonts w:asciiTheme="minorHAnsi" w:hAnsiTheme="minorHAnsi" w:cstheme="minorHAnsi"/>
          <w:color w:val="000000"/>
          <w:szCs w:val="22"/>
          <w:lang w:eastAsia="zh-CN"/>
        </w:rPr>
        <w:t xml:space="preserve">l espacio </w:t>
      </w:r>
      <w:r w:rsidR="00A2106D" w:rsidRPr="00195127">
        <w:rPr>
          <w:rFonts w:asciiTheme="minorHAnsi" w:hAnsiTheme="minorHAnsi" w:cstheme="minorHAnsi"/>
          <w:color w:val="000000"/>
          <w:szCs w:val="22"/>
          <w:lang w:eastAsia="zh-CN"/>
        </w:rPr>
        <w:t xml:space="preserve">mínimo </w:t>
      </w:r>
      <w:r w:rsidRPr="00195127">
        <w:rPr>
          <w:rFonts w:asciiTheme="minorHAnsi" w:hAnsiTheme="minorHAnsi" w:cstheme="minorHAnsi"/>
          <w:color w:val="000000"/>
          <w:szCs w:val="22"/>
          <w:lang w:eastAsia="zh-CN"/>
        </w:rPr>
        <w:t xml:space="preserve">necesario entre estaciones de trabajo. No obstante, el equipo de diseño </w:t>
      </w:r>
      <w:r w:rsidR="00AA0EF2" w:rsidRPr="00195127">
        <w:rPr>
          <w:rFonts w:asciiTheme="minorHAnsi" w:hAnsiTheme="minorHAnsi" w:cstheme="minorHAnsi"/>
          <w:color w:val="000000"/>
          <w:szCs w:val="22"/>
          <w:lang w:eastAsia="zh-CN"/>
        </w:rPr>
        <w:t>comprobó</w:t>
      </w:r>
      <w:r w:rsidRPr="00195127">
        <w:rPr>
          <w:rFonts w:asciiTheme="minorHAnsi" w:hAnsiTheme="minorHAnsi" w:cstheme="minorHAnsi"/>
          <w:color w:val="000000"/>
          <w:szCs w:val="22"/>
          <w:lang w:eastAsia="zh-CN"/>
        </w:rPr>
        <w:t xml:space="preserve"> si la capacidad actual del nuevo edificio </w:t>
      </w:r>
      <w:r w:rsidR="00AA0EF2" w:rsidRPr="00195127">
        <w:rPr>
          <w:rFonts w:asciiTheme="minorHAnsi" w:hAnsiTheme="minorHAnsi" w:cstheme="minorHAnsi"/>
          <w:color w:val="000000"/>
          <w:szCs w:val="22"/>
          <w:lang w:eastAsia="zh-CN"/>
        </w:rPr>
        <w:t>bastaría para albergar a</w:t>
      </w:r>
      <w:r w:rsidRPr="00195127">
        <w:rPr>
          <w:rFonts w:asciiTheme="minorHAnsi" w:hAnsiTheme="minorHAnsi" w:cstheme="minorHAnsi"/>
          <w:color w:val="000000"/>
          <w:szCs w:val="22"/>
          <w:lang w:eastAsia="zh-CN"/>
        </w:rPr>
        <w:t xml:space="preserve">l personal </w:t>
      </w:r>
      <w:r w:rsidR="00AA0EF2" w:rsidRPr="00195127">
        <w:rPr>
          <w:rFonts w:asciiTheme="minorHAnsi" w:hAnsiTheme="minorHAnsi" w:cstheme="minorHAnsi"/>
          <w:color w:val="000000"/>
          <w:szCs w:val="22"/>
          <w:lang w:eastAsia="zh-CN"/>
        </w:rPr>
        <w:t xml:space="preserve">existente </w:t>
      </w:r>
      <w:r w:rsidRPr="00195127">
        <w:rPr>
          <w:rFonts w:asciiTheme="minorHAnsi" w:hAnsiTheme="minorHAnsi" w:cstheme="minorHAnsi"/>
          <w:color w:val="000000"/>
          <w:szCs w:val="22"/>
          <w:lang w:eastAsia="zh-CN"/>
        </w:rPr>
        <w:t>en caso de que fuera necesario</w:t>
      </w:r>
      <w:r w:rsidR="00AA0EF2" w:rsidRPr="00195127">
        <w:rPr>
          <w:rFonts w:asciiTheme="minorHAnsi" w:hAnsiTheme="minorHAnsi" w:cstheme="minorHAnsi"/>
          <w:color w:val="000000"/>
          <w:szCs w:val="22"/>
          <w:lang w:eastAsia="zh-CN"/>
        </w:rPr>
        <w:t xml:space="preserve"> prever una separación de al</w:t>
      </w:r>
      <w:r w:rsidRPr="00195127">
        <w:rPr>
          <w:rFonts w:asciiTheme="minorHAnsi" w:hAnsiTheme="minorHAnsi" w:cstheme="minorHAnsi"/>
          <w:color w:val="000000"/>
          <w:szCs w:val="22"/>
          <w:lang w:eastAsia="zh-CN"/>
        </w:rPr>
        <w:t xml:space="preserve"> menos dos metros</w:t>
      </w:r>
      <w:r w:rsidR="00AA0EF2" w:rsidRPr="00195127">
        <w:rPr>
          <w:rFonts w:asciiTheme="minorHAnsi" w:hAnsiTheme="minorHAnsi" w:cstheme="minorHAnsi"/>
          <w:color w:val="000000"/>
          <w:szCs w:val="22"/>
          <w:lang w:eastAsia="zh-CN"/>
        </w:rPr>
        <w:t xml:space="preserve"> en un trabajador y otro</w:t>
      </w:r>
      <w:r w:rsidRPr="00195127">
        <w:rPr>
          <w:rFonts w:asciiTheme="minorHAnsi" w:hAnsiTheme="minorHAnsi" w:cstheme="minorHAnsi"/>
          <w:color w:val="000000"/>
          <w:szCs w:val="22"/>
          <w:lang w:eastAsia="zh-CN"/>
        </w:rPr>
        <w:t>. La secretaría confirma que e</w:t>
      </w:r>
      <w:r w:rsidR="00AA0EF2" w:rsidRPr="00195127">
        <w:rPr>
          <w:rFonts w:asciiTheme="minorHAnsi" w:hAnsiTheme="minorHAnsi" w:cstheme="minorHAnsi"/>
          <w:color w:val="000000"/>
          <w:szCs w:val="22"/>
          <w:lang w:eastAsia="zh-CN"/>
        </w:rPr>
        <w:t>ll</w:t>
      </w:r>
      <w:r w:rsidRPr="00195127">
        <w:rPr>
          <w:rFonts w:asciiTheme="minorHAnsi" w:hAnsiTheme="minorHAnsi" w:cstheme="minorHAnsi"/>
          <w:color w:val="000000"/>
          <w:szCs w:val="22"/>
          <w:lang w:eastAsia="zh-CN"/>
        </w:rPr>
        <w:t xml:space="preserve">o no sería posible a menos que el promedio diario de trabajadores </w:t>
      </w:r>
      <w:r w:rsidR="00AA0EF2" w:rsidRPr="00195127">
        <w:rPr>
          <w:rFonts w:asciiTheme="minorHAnsi" w:hAnsiTheme="minorHAnsi" w:cstheme="minorHAnsi"/>
          <w:i/>
          <w:iCs/>
          <w:color w:val="000000"/>
          <w:szCs w:val="22"/>
          <w:lang w:eastAsia="zh-CN"/>
        </w:rPr>
        <w:t>in situ</w:t>
      </w:r>
      <w:r w:rsidRPr="00195127">
        <w:rPr>
          <w:rFonts w:asciiTheme="minorHAnsi" w:hAnsiTheme="minorHAnsi" w:cstheme="minorHAnsi"/>
          <w:color w:val="000000"/>
          <w:szCs w:val="22"/>
          <w:lang w:eastAsia="zh-CN"/>
        </w:rPr>
        <w:t xml:space="preserve"> </w:t>
      </w:r>
      <w:r w:rsidR="00AA0EF2" w:rsidRPr="00195127">
        <w:rPr>
          <w:rFonts w:asciiTheme="minorHAnsi" w:hAnsiTheme="minorHAnsi" w:cstheme="minorHAnsi"/>
          <w:color w:val="000000"/>
          <w:szCs w:val="22"/>
          <w:lang w:eastAsia="zh-CN"/>
        </w:rPr>
        <w:t>se</w:t>
      </w:r>
      <w:r w:rsidRPr="00195127">
        <w:rPr>
          <w:rFonts w:asciiTheme="minorHAnsi" w:hAnsiTheme="minorHAnsi" w:cstheme="minorHAnsi"/>
          <w:color w:val="000000"/>
          <w:szCs w:val="22"/>
          <w:lang w:eastAsia="zh-CN"/>
        </w:rPr>
        <w:t xml:space="preserve"> redu</w:t>
      </w:r>
      <w:r w:rsidR="00AA0EF2" w:rsidRPr="00195127">
        <w:rPr>
          <w:rFonts w:asciiTheme="minorHAnsi" w:hAnsiTheme="minorHAnsi" w:cstheme="minorHAnsi"/>
          <w:color w:val="000000"/>
          <w:szCs w:val="22"/>
          <w:lang w:eastAsia="zh-CN"/>
        </w:rPr>
        <w:t>jese</w:t>
      </w:r>
      <w:r w:rsidRPr="00195127">
        <w:rPr>
          <w:rFonts w:asciiTheme="minorHAnsi" w:hAnsiTheme="minorHAnsi" w:cstheme="minorHAnsi"/>
          <w:color w:val="000000"/>
          <w:szCs w:val="22"/>
          <w:lang w:eastAsia="zh-CN"/>
        </w:rPr>
        <w:t xml:space="preserve"> mediante la modificación de la política de</w:t>
      </w:r>
      <w:r w:rsidR="00AA0EF2" w:rsidRPr="00195127">
        <w:rPr>
          <w:rFonts w:asciiTheme="minorHAnsi" w:hAnsiTheme="minorHAnsi" w:cstheme="minorHAnsi"/>
          <w:color w:val="000000"/>
          <w:szCs w:val="22"/>
          <w:lang w:eastAsia="zh-CN"/>
        </w:rPr>
        <w:t xml:space="preserve"> asignación de</w:t>
      </w:r>
      <w:r w:rsidRPr="00195127">
        <w:rPr>
          <w:rFonts w:asciiTheme="minorHAnsi" w:hAnsiTheme="minorHAnsi" w:cstheme="minorHAnsi"/>
          <w:color w:val="000000"/>
          <w:szCs w:val="22"/>
          <w:lang w:eastAsia="zh-CN"/>
        </w:rPr>
        <w:t xml:space="preserve"> escritorio</w:t>
      </w:r>
      <w:r w:rsidR="00AA0EF2" w:rsidRPr="00195127">
        <w:rPr>
          <w:rFonts w:asciiTheme="minorHAnsi" w:hAnsiTheme="minorHAnsi" w:cstheme="minorHAnsi"/>
          <w:color w:val="000000"/>
          <w:szCs w:val="22"/>
          <w:lang w:eastAsia="zh-CN"/>
        </w:rPr>
        <w:t xml:space="preserve">s </w:t>
      </w:r>
      <w:r w:rsidRPr="00195127">
        <w:rPr>
          <w:rFonts w:asciiTheme="minorHAnsi" w:hAnsiTheme="minorHAnsi" w:cstheme="minorHAnsi"/>
          <w:color w:val="000000"/>
          <w:szCs w:val="22"/>
          <w:lang w:eastAsia="zh-CN"/>
        </w:rPr>
        <w:t>y la aplicación de la política de teletrabajo.</w:t>
      </w:r>
    </w:p>
    <w:p w14:paraId="472BF4B7" w14:textId="3A83BF47" w:rsidR="00E72652" w:rsidRPr="00195127" w:rsidRDefault="00E72652" w:rsidP="00D51BC1">
      <w:pPr>
        <w:rPr>
          <w:lang w:eastAsia="zh-CN"/>
        </w:rPr>
      </w:pPr>
      <w:r w:rsidRPr="00195127">
        <w:rPr>
          <w:lang w:eastAsia="zh-CN"/>
        </w:rPr>
        <w:lastRenderedPageBreak/>
        <w:t>En este momento, y hasta</w:t>
      </w:r>
      <w:r w:rsidR="00711101" w:rsidRPr="00195127">
        <w:rPr>
          <w:lang w:eastAsia="zh-CN"/>
        </w:rPr>
        <w:t xml:space="preserve"> que no se disponga</w:t>
      </w:r>
      <w:r w:rsidRPr="00195127">
        <w:rPr>
          <w:lang w:eastAsia="zh-CN"/>
        </w:rPr>
        <w:t xml:space="preserve"> </w:t>
      </w:r>
      <w:r w:rsidR="00711101" w:rsidRPr="00195127">
        <w:rPr>
          <w:lang w:eastAsia="zh-CN"/>
        </w:rPr>
        <w:t>d</w:t>
      </w:r>
      <w:r w:rsidRPr="00195127">
        <w:rPr>
          <w:lang w:eastAsia="zh-CN"/>
        </w:rPr>
        <w:t xml:space="preserve">el resultado del análisis del lugar de trabajo </w:t>
      </w:r>
      <w:r w:rsidR="00711101" w:rsidRPr="00195127">
        <w:rPr>
          <w:lang w:eastAsia="zh-CN"/>
        </w:rPr>
        <w:t>que realizarán</w:t>
      </w:r>
      <w:r w:rsidRPr="00195127">
        <w:rPr>
          <w:lang w:eastAsia="zh-CN"/>
        </w:rPr>
        <w:t xml:space="preserve"> los especialistas, sigue siendo difícil </w:t>
      </w:r>
      <w:r w:rsidR="00711101" w:rsidRPr="00195127">
        <w:rPr>
          <w:lang w:eastAsia="zh-CN"/>
        </w:rPr>
        <w:t>prever las repercusiones r</w:t>
      </w:r>
      <w:r w:rsidRPr="00195127">
        <w:rPr>
          <w:lang w:eastAsia="zh-CN"/>
        </w:rPr>
        <w:t>eal</w:t>
      </w:r>
      <w:r w:rsidR="00711101" w:rsidRPr="00195127">
        <w:rPr>
          <w:lang w:eastAsia="zh-CN"/>
        </w:rPr>
        <w:t xml:space="preserve">es </w:t>
      </w:r>
      <w:r w:rsidRPr="00195127">
        <w:rPr>
          <w:lang w:eastAsia="zh-CN"/>
        </w:rPr>
        <w:t>de</w:t>
      </w:r>
      <w:r w:rsidR="00711101" w:rsidRPr="00195127">
        <w:rPr>
          <w:lang w:eastAsia="zh-CN"/>
        </w:rPr>
        <w:t xml:space="preserve"> la</w:t>
      </w:r>
      <w:r w:rsidRPr="00195127">
        <w:rPr>
          <w:lang w:eastAsia="zh-CN"/>
        </w:rPr>
        <w:t xml:space="preserve"> C</w:t>
      </w:r>
      <w:r w:rsidR="00711101" w:rsidRPr="00195127">
        <w:rPr>
          <w:lang w:eastAsia="zh-CN"/>
        </w:rPr>
        <w:t>OVID</w:t>
      </w:r>
      <w:r w:rsidRPr="00195127">
        <w:rPr>
          <w:lang w:eastAsia="zh-CN"/>
        </w:rPr>
        <w:t xml:space="preserve">-19. La UIT </w:t>
      </w:r>
      <w:r w:rsidR="00711101" w:rsidRPr="00195127">
        <w:rPr>
          <w:lang w:eastAsia="zh-CN"/>
        </w:rPr>
        <w:t>reitera</w:t>
      </w:r>
      <w:r w:rsidRPr="00195127">
        <w:rPr>
          <w:lang w:eastAsia="zh-CN"/>
        </w:rPr>
        <w:t xml:space="preserve"> que hará todo lo posible por reducir al mínimo </w:t>
      </w:r>
      <w:r w:rsidR="00711101" w:rsidRPr="00195127">
        <w:rPr>
          <w:lang w:eastAsia="zh-CN"/>
        </w:rPr>
        <w:t>posible su incidencia</w:t>
      </w:r>
      <w:r w:rsidRPr="00195127">
        <w:rPr>
          <w:lang w:eastAsia="zh-CN"/>
        </w:rPr>
        <w:t xml:space="preserve"> en la duración del proyecto, así como sus eventuales repercusiones financieras en el cost</w:t>
      </w:r>
      <w:r w:rsidR="00711101" w:rsidRPr="00195127">
        <w:rPr>
          <w:lang w:eastAsia="zh-CN"/>
        </w:rPr>
        <w:t>e</w:t>
      </w:r>
      <w:r w:rsidRPr="00195127">
        <w:rPr>
          <w:lang w:eastAsia="zh-CN"/>
        </w:rPr>
        <w:t xml:space="preserve"> del proyecto.</w:t>
      </w:r>
    </w:p>
    <w:p w14:paraId="6B4DE7BF" w14:textId="43D0D1C2" w:rsidR="007E6F5C" w:rsidRPr="00195127" w:rsidRDefault="007E6F5C" w:rsidP="00D51BC1">
      <w:pPr>
        <w:rPr>
          <w:lang w:eastAsia="zh-CN"/>
        </w:rPr>
      </w:pPr>
      <w:r w:rsidRPr="00195127">
        <w:rPr>
          <w:lang w:eastAsia="zh-CN"/>
        </w:rPr>
        <w:br w:type="page"/>
      </w:r>
    </w:p>
    <w:p w14:paraId="1432CAF4" w14:textId="22F02DC9" w:rsidR="00D72461" w:rsidRPr="00195127" w:rsidRDefault="00D72461" w:rsidP="00B14057">
      <w:pPr>
        <w:pStyle w:val="AnnexNo"/>
        <w:spacing w:before="0"/>
      </w:pPr>
      <w:bookmarkStart w:id="98" w:name="lt_pId249"/>
      <w:r w:rsidRPr="00195127">
        <w:lastRenderedPageBreak/>
        <w:t>Anexo A</w:t>
      </w:r>
      <w:bookmarkEnd w:id="98"/>
    </w:p>
    <w:p w14:paraId="71C8A651" w14:textId="38398839" w:rsidR="003A04E7" w:rsidRPr="00195127" w:rsidRDefault="003A04E7" w:rsidP="006E15DC">
      <w:pPr>
        <w:pStyle w:val="Annextitle"/>
      </w:pPr>
      <w:r w:rsidRPr="00195127">
        <w:t>Extracto del Registro de Riesgos – Los 10 riesgos más relevantes</w:t>
      </w:r>
    </w:p>
    <w:tbl>
      <w:tblPr>
        <w:tblW w:w="10915" w:type="dxa"/>
        <w:jc w:val="center"/>
        <w:tblLayout w:type="fixed"/>
        <w:tblCellMar>
          <w:left w:w="70" w:type="dxa"/>
          <w:right w:w="70" w:type="dxa"/>
        </w:tblCellMar>
        <w:tblLook w:val="04A0" w:firstRow="1" w:lastRow="0" w:firstColumn="1" w:lastColumn="0" w:noHBand="0" w:noVBand="1"/>
      </w:tblPr>
      <w:tblGrid>
        <w:gridCol w:w="552"/>
        <w:gridCol w:w="1560"/>
        <w:gridCol w:w="15"/>
        <w:gridCol w:w="1984"/>
        <w:gridCol w:w="2268"/>
        <w:gridCol w:w="851"/>
        <w:gridCol w:w="567"/>
        <w:gridCol w:w="859"/>
        <w:gridCol w:w="2259"/>
      </w:tblGrid>
      <w:tr w:rsidR="003A04E7" w:rsidRPr="00195127" w14:paraId="3FD680A0" w14:textId="77777777" w:rsidTr="008D2E8D">
        <w:trPr>
          <w:trHeight w:val="614"/>
          <w:jc w:val="center"/>
        </w:trPr>
        <w:tc>
          <w:tcPr>
            <w:tcW w:w="552"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01E73B5C" w14:textId="4BA7E35E" w:rsidR="003A04E7" w:rsidRPr="00195127" w:rsidRDefault="003A04E7" w:rsidP="0079403B">
            <w:pPr>
              <w:spacing w:before="0"/>
              <w:rPr>
                <w:rFonts w:cs="Calibri"/>
                <w:b/>
                <w:bCs/>
                <w:color w:val="000000"/>
                <w:sz w:val="14"/>
                <w:szCs w:val="18"/>
                <w:lang w:eastAsia="es-ES"/>
              </w:rPr>
            </w:pPr>
            <w:r w:rsidRPr="00195127">
              <w:rPr>
                <w:rFonts w:cs="Calibri"/>
                <w:b/>
                <w:bCs/>
                <w:color w:val="000000"/>
                <w:sz w:val="14"/>
                <w:szCs w:val="18"/>
                <w:lang w:eastAsia="es-ES"/>
              </w:rPr>
              <w:t>Código de riesgo</w:t>
            </w:r>
          </w:p>
        </w:tc>
        <w:tc>
          <w:tcPr>
            <w:tcW w:w="1575" w:type="dxa"/>
            <w:gridSpan w:val="2"/>
            <w:tcBorders>
              <w:top w:val="single" w:sz="8" w:space="0" w:color="FFFFFF"/>
              <w:left w:val="nil"/>
              <w:bottom w:val="single" w:sz="8" w:space="0" w:color="FFFFFF"/>
              <w:right w:val="single" w:sz="12" w:space="0" w:color="FFFFFF"/>
            </w:tcBorders>
            <w:shd w:val="clear" w:color="auto" w:fill="D9D9D9" w:themeFill="background1" w:themeFillShade="D9"/>
            <w:vAlign w:val="center"/>
            <w:hideMark/>
          </w:tcPr>
          <w:p w14:paraId="1EDCE9E0" w14:textId="51B52629" w:rsidR="003A04E7" w:rsidRPr="00195127" w:rsidRDefault="003E4613" w:rsidP="0079403B">
            <w:pPr>
              <w:spacing w:before="0"/>
              <w:jc w:val="center"/>
              <w:rPr>
                <w:rFonts w:cs="Calibri"/>
                <w:b/>
                <w:bCs/>
                <w:color w:val="000000"/>
                <w:sz w:val="14"/>
                <w:szCs w:val="18"/>
                <w:lang w:eastAsia="es-ES"/>
              </w:rPr>
            </w:pPr>
            <w:r w:rsidRPr="00195127">
              <w:rPr>
                <w:rFonts w:cs="Calibri"/>
                <w:b/>
                <w:bCs/>
                <w:color w:val="000000"/>
                <w:sz w:val="14"/>
                <w:szCs w:val="18"/>
                <w:lang w:eastAsia="es-ES"/>
              </w:rPr>
              <w:t>Denominación del</w:t>
            </w:r>
            <w:r w:rsidR="00466E0A">
              <w:rPr>
                <w:rFonts w:cs="Calibri"/>
                <w:b/>
                <w:bCs/>
                <w:color w:val="000000"/>
                <w:sz w:val="14"/>
                <w:szCs w:val="18"/>
                <w:lang w:eastAsia="es-ES"/>
              </w:rPr>
              <w:t> </w:t>
            </w:r>
            <w:r w:rsidRPr="00195127">
              <w:rPr>
                <w:rFonts w:cs="Calibri"/>
                <w:b/>
                <w:bCs/>
                <w:color w:val="000000"/>
                <w:sz w:val="14"/>
                <w:szCs w:val="18"/>
                <w:lang w:eastAsia="es-ES"/>
              </w:rPr>
              <w:t>riesgo</w:t>
            </w:r>
          </w:p>
        </w:tc>
        <w:tc>
          <w:tcPr>
            <w:tcW w:w="1984"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1C050BB9" w14:textId="2D85C684" w:rsidR="003A04E7" w:rsidRPr="00195127" w:rsidRDefault="003A04E7" w:rsidP="0079403B">
            <w:pPr>
              <w:spacing w:before="0"/>
              <w:jc w:val="center"/>
              <w:rPr>
                <w:rFonts w:cs="Calibri"/>
                <w:b/>
                <w:bCs/>
                <w:color w:val="000000"/>
                <w:sz w:val="14"/>
                <w:szCs w:val="18"/>
                <w:lang w:eastAsia="es-ES"/>
              </w:rPr>
            </w:pPr>
            <w:r w:rsidRPr="00195127">
              <w:rPr>
                <w:rFonts w:cs="Calibri"/>
                <w:b/>
                <w:bCs/>
                <w:color w:val="000000"/>
                <w:sz w:val="14"/>
                <w:szCs w:val="18"/>
                <w:lang w:eastAsia="es-ES"/>
              </w:rPr>
              <w:t>Caus</w:t>
            </w:r>
            <w:r w:rsidR="003E4613" w:rsidRPr="00195127">
              <w:rPr>
                <w:rFonts w:cs="Calibri"/>
                <w:b/>
                <w:bCs/>
                <w:color w:val="000000"/>
                <w:sz w:val="14"/>
                <w:szCs w:val="18"/>
                <w:lang w:eastAsia="es-ES"/>
              </w:rPr>
              <w:t>a</w:t>
            </w:r>
          </w:p>
        </w:tc>
        <w:tc>
          <w:tcPr>
            <w:tcW w:w="2268"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089F7E6B" w14:textId="7C76082D" w:rsidR="003A04E7" w:rsidRPr="00195127" w:rsidRDefault="003E4613" w:rsidP="0079403B">
            <w:pPr>
              <w:spacing w:before="0"/>
              <w:jc w:val="center"/>
              <w:rPr>
                <w:rFonts w:cs="Calibri"/>
                <w:b/>
                <w:bCs/>
                <w:color w:val="000000"/>
                <w:sz w:val="14"/>
                <w:szCs w:val="18"/>
                <w:lang w:eastAsia="es-ES"/>
              </w:rPr>
            </w:pPr>
            <w:r w:rsidRPr="00195127">
              <w:rPr>
                <w:rFonts w:cs="Calibri"/>
                <w:b/>
                <w:bCs/>
                <w:color w:val="000000"/>
                <w:sz w:val="14"/>
                <w:szCs w:val="18"/>
                <w:lang w:eastAsia="es-ES"/>
              </w:rPr>
              <w:t>Mitigación</w:t>
            </w:r>
          </w:p>
        </w:tc>
        <w:tc>
          <w:tcPr>
            <w:tcW w:w="851"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69C189EA" w14:textId="4567B3CB" w:rsidR="003A04E7" w:rsidRPr="00195127" w:rsidRDefault="003E4613" w:rsidP="0079403B">
            <w:pPr>
              <w:spacing w:before="0"/>
              <w:jc w:val="center"/>
              <w:rPr>
                <w:rFonts w:cs="Calibri"/>
                <w:b/>
                <w:bCs/>
                <w:color w:val="000000"/>
                <w:sz w:val="14"/>
                <w:szCs w:val="18"/>
                <w:lang w:eastAsia="es-ES"/>
              </w:rPr>
            </w:pPr>
            <w:proofErr w:type="spellStart"/>
            <w:r w:rsidRPr="00195127">
              <w:rPr>
                <w:rFonts w:cs="Calibri"/>
                <w:b/>
                <w:bCs/>
                <w:color w:val="000000"/>
                <w:sz w:val="14"/>
                <w:szCs w:val="18"/>
                <w:lang w:eastAsia="es-ES"/>
              </w:rPr>
              <w:t>Probabili</w:t>
            </w:r>
            <w:proofErr w:type="spellEnd"/>
            <w:r w:rsidR="008629BC" w:rsidRPr="00195127">
              <w:rPr>
                <w:rFonts w:cs="Calibri"/>
                <w:b/>
                <w:bCs/>
                <w:color w:val="000000"/>
                <w:sz w:val="14"/>
                <w:szCs w:val="18"/>
                <w:lang w:eastAsia="es-ES"/>
              </w:rPr>
              <w:t>-</w:t>
            </w:r>
            <w:r w:rsidRPr="00195127">
              <w:rPr>
                <w:rFonts w:cs="Calibri"/>
                <w:b/>
                <w:bCs/>
                <w:color w:val="000000"/>
                <w:sz w:val="14"/>
                <w:szCs w:val="18"/>
                <w:lang w:eastAsia="es-ES"/>
              </w:rPr>
              <w:t>dad</w:t>
            </w:r>
            <w:r w:rsidR="003A04E7" w:rsidRPr="00195127">
              <w:rPr>
                <w:rFonts w:cs="Calibri"/>
                <w:b/>
                <w:bCs/>
                <w:color w:val="000000"/>
                <w:sz w:val="14"/>
                <w:szCs w:val="18"/>
                <w:lang w:eastAsia="es-ES"/>
              </w:rPr>
              <w:br/>
              <w:t>(A)</w:t>
            </w:r>
          </w:p>
        </w:tc>
        <w:tc>
          <w:tcPr>
            <w:tcW w:w="567"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40D4B4F1" w14:textId="5B931428" w:rsidR="003A04E7" w:rsidRPr="00195127" w:rsidRDefault="003A04E7" w:rsidP="0079403B">
            <w:pPr>
              <w:spacing w:before="0"/>
              <w:jc w:val="center"/>
              <w:rPr>
                <w:rFonts w:cs="Calibri"/>
                <w:b/>
                <w:bCs/>
                <w:color w:val="000000"/>
                <w:sz w:val="14"/>
                <w:szCs w:val="18"/>
                <w:lang w:eastAsia="es-ES"/>
              </w:rPr>
            </w:pPr>
            <w:proofErr w:type="spellStart"/>
            <w:r w:rsidRPr="00195127">
              <w:rPr>
                <w:rFonts w:cs="Calibri"/>
                <w:b/>
                <w:bCs/>
                <w:color w:val="000000"/>
                <w:sz w:val="14"/>
                <w:szCs w:val="18"/>
                <w:lang w:eastAsia="es-ES"/>
              </w:rPr>
              <w:t>I</w:t>
            </w:r>
            <w:r w:rsidR="004107D6" w:rsidRPr="00195127">
              <w:rPr>
                <w:rFonts w:cs="Calibri"/>
                <w:b/>
                <w:bCs/>
                <w:color w:val="000000"/>
                <w:sz w:val="14"/>
                <w:szCs w:val="18"/>
                <w:lang w:eastAsia="es-ES"/>
              </w:rPr>
              <w:t>nci</w:t>
            </w:r>
            <w:r w:rsidR="008629BC" w:rsidRPr="00195127">
              <w:rPr>
                <w:rFonts w:cs="Calibri"/>
                <w:b/>
                <w:bCs/>
                <w:color w:val="000000"/>
                <w:sz w:val="14"/>
                <w:szCs w:val="18"/>
                <w:lang w:eastAsia="es-ES"/>
              </w:rPr>
              <w:t>-</w:t>
            </w:r>
            <w:r w:rsidR="004107D6" w:rsidRPr="00195127">
              <w:rPr>
                <w:rFonts w:cs="Calibri"/>
                <w:b/>
                <w:bCs/>
                <w:color w:val="000000"/>
                <w:sz w:val="14"/>
                <w:szCs w:val="18"/>
                <w:lang w:eastAsia="es-ES"/>
              </w:rPr>
              <w:t>dencia</w:t>
            </w:r>
            <w:proofErr w:type="spellEnd"/>
          </w:p>
        </w:tc>
        <w:tc>
          <w:tcPr>
            <w:tcW w:w="8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3B2E60B6" w14:textId="347917F4" w:rsidR="003A04E7" w:rsidRPr="00195127" w:rsidRDefault="003E4613" w:rsidP="0079403B">
            <w:pPr>
              <w:spacing w:before="0"/>
              <w:jc w:val="center"/>
              <w:rPr>
                <w:rFonts w:cs="Calibri"/>
                <w:b/>
                <w:bCs/>
                <w:color w:val="000000"/>
                <w:sz w:val="14"/>
                <w:szCs w:val="18"/>
                <w:lang w:eastAsia="es-ES"/>
              </w:rPr>
            </w:pPr>
            <w:r w:rsidRPr="00195127">
              <w:rPr>
                <w:rFonts w:cs="Calibri"/>
                <w:b/>
                <w:bCs/>
                <w:color w:val="000000"/>
                <w:sz w:val="14"/>
                <w:szCs w:val="18"/>
                <w:lang w:eastAsia="es-ES"/>
              </w:rPr>
              <w:t>Coste ponderado</w:t>
            </w:r>
            <w:r w:rsidR="003A04E7" w:rsidRPr="00195127">
              <w:rPr>
                <w:rFonts w:cs="Calibri"/>
                <w:b/>
                <w:bCs/>
                <w:color w:val="000000"/>
                <w:sz w:val="14"/>
                <w:szCs w:val="18"/>
                <w:lang w:eastAsia="es-ES"/>
              </w:rPr>
              <w:br/>
            </w:r>
            <w:r w:rsidRPr="00195127">
              <w:rPr>
                <w:rFonts w:cs="Calibri"/>
                <w:b/>
                <w:bCs/>
                <w:color w:val="000000"/>
                <w:sz w:val="14"/>
                <w:szCs w:val="18"/>
                <w:lang w:eastAsia="es-ES"/>
              </w:rPr>
              <w:t xml:space="preserve">en </w:t>
            </w:r>
            <w:r w:rsidR="003A04E7" w:rsidRPr="00195127">
              <w:rPr>
                <w:rFonts w:cs="Calibri"/>
                <w:b/>
                <w:bCs/>
                <w:color w:val="000000"/>
                <w:sz w:val="14"/>
                <w:szCs w:val="18"/>
                <w:lang w:eastAsia="es-ES"/>
              </w:rPr>
              <w:t>CHF</w:t>
            </w:r>
          </w:p>
        </w:tc>
        <w:tc>
          <w:tcPr>
            <w:tcW w:w="22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7D40F3D0" w14:textId="000EAD5C" w:rsidR="003A04E7" w:rsidRPr="00195127" w:rsidRDefault="003E4613" w:rsidP="0079403B">
            <w:pPr>
              <w:spacing w:before="0"/>
              <w:jc w:val="center"/>
              <w:rPr>
                <w:rFonts w:cs="Calibri"/>
                <w:b/>
                <w:bCs/>
                <w:color w:val="000000"/>
                <w:sz w:val="14"/>
                <w:szCs w:val="18"/>
                <w:lang w:eastAsia="es-ES"/>
              </w:rPr>
            </w:pPr>
            <w:r w:rsidRPr="00195127">
              <w:rPr>
                <w:rFonts w:cs="Calibri"/>
                <w:b/>
                <w:bCs/>
                <w:color w:val="000000"/>
                <w:sz w:val="14"/>
                <w:szCs w:val="18"/>
                <w:lang w:eastAsia="es-ES"/>
              </w:rPr>
              <w:t>Comentario sobre los costes</w:t>
            </w:r>
          </w:p>
        </w:tc>
      </w:tr>
      <w:tr w:rsidR="003A04E7" w:rsidRPr="00195127" w14:paraId="48A539A8" w14:textId="77777777" w:rsidTr="006E15DC">
        <w:trPr>
          <w:trHeight w:val="294"/>
          <w:jc w:val="center"/>
        </w:trPr>
        <w:tc>
          <w:tcPr>
            <w:tcW w:w="2112"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31162F4" w14:textId="2A2B42E1" w:rsidR="003A04E7" w:rsidRPr="00195127" w:rsidRDefault="003E4613" w:rsidP="0079403B">
            <w:pPr>
              <w:spacing w:before="0"/>
              <w:rPr>
                <w:rFonts w:cs="Calibri"/>
                <w:sz w:val="14"/>
                <w:szCs w:val="18"/>
                <w:lang w:eastAsia="es-ES"/>
              </w:rPr>
            </w:pPr>
            <w:r w:rsidRPr="00195127">
              <w:rPr>
                <w:rFonts w:cs="Calibri"/>
                <w:b/>
                <w:bCs/>
                <w:color w:val="000000"/>
                <w:sz w:val="20"/>
                <w:lang w:eastAsia="es-ES"/>
              </w:rPr>
              <w:t>Continuidad de las</w:t>
            </w:r>
            <w:r w:rsidR="00B14057" w:rsidRPr="00195127">
              <w:rPr>
                <w:rFonts w:cs="Calibri"/>
                <w:b/>
                <w:bCs/>
                <w:color w:val="000000"/>
                <w:sz w:val="20"/>
                <w:lang w:eastAsia="es-ES"/>
              </w:rPr>
              <w:t xml:space="preserve"> a</w:t>
            </w:r>
            <w:r w:rsidRPr="00195127">
              <w:rPr>
                <w:rFonts w:cs="Calibri"/>
                <w:b/>
                <w:bCs/>
                <w:color w:val="000000"/>
                <w:sz w:val="20"/>
                <w:lang w:eastAsia="es-ES"/>
              </w:rPr>
              <w:t>ctividades</w:t>
            </w:r>
          </w:p>
        </w:tc>
        <w:tc>
          <w:tcPr>
            <w:tcW w:w="1999" w:type="dxa"/>
            <w:gridSpan w:val="2"/>
            <w:tcBorders>
              <w:top w:val="single" w:sz="12" w:space="0" w:color="FFFFFF" w:themeColor="background1"/>
              <w:bottom w:val="single" w:sz="12" w:space="0" w:color="FFFFFF" w:themeColor="background1"/>
            </w:tcBorders>
            <w:shd w:val="clear" w:color="auto" w:fill="D9D9D9" w:themeFill="background1" w:themeFillShade="D9"/>
          </w:tcPr>
          <w:p w14:paraId="6D0DE289" w14:textId="77777777" w:rsidR="003A04E7" w:rsidRPr="00195127" w:rsidRDefault="003A04E7" w:rsidP="0079403B">
            <w:pPr>
              <w:spacing w:before="0"/>
              <w:jc w:val="center"/>
              <w:rPr>
                <w:rFonts w:cs="Calibri"/>
                <w:sz w:val="14"/>
                <w:szCs w:val="18"/>
                <w:lang w:eastAsia="es-ES"/>
              </w:rPr>
            </w:pPr>
          </w:p>
        </w:tc>
        <w:tc>
          <w:tcPr>
            <w:tcW w:w="2268" w:type="dxa"/>
            <w:tcBorders>
              <w:top w:val="single" w:sz="12" w:space="0" w:color="FFFFFF" w:themeColor="background1"/>
              <w:bottom w:val="single" w:sz="12" w:space="0" w:color="FFFFFF" w:themeColor="background1"/>
            </w:tcBorders>
            <w:shd w:val="clear" w:color="auto" w:fill="D9D9D9" w:themeFill="background1" w:themeFillShade="D9"/>
          </w:tcPr>
          <w:p w14:paraId="48B88EF1" w14:textId="77777777" w:rsidR="003A04E7" w:rsidRPr="00195127" w:rsidRDefault="003A04E7" w:rsidP="0079403B">
            <w:pPr>
              <w:spacing w:before="0"/>
              <w:jc w:val="center"/>
              <w:rPr>
                <w:rFonts w:cs="Calibri"/>
                <w:sz w:val="14"/>
                <w:szCs w:val="18"/>
                <w:lang w:eastAsia="es-ES"/>
              </w:rPr>
            </w:pPr>
          </w:p>
        </w:tc>
        <w:tc>
          <w:tcPr>
            <w:tcW w:w="851" w:type="dxa"/>
            <w:tcBorders>
              <w:top w:val="single" w:sz="12" w:space="0" w:color="FFFFFF" w:themeColor="background1"/>
              <w:bottom w:val="single" w:sz="12" w:space="0" w:color="FFFFFF" w:themeColor="background1"/>
            </w:tcBorders>
            <w:shd w:val="clear" w:color="auto" w:fill="D9D9D9" w:themeFill="background1" w:themeFillShade="D9"/>
          </w:tcPr>
          <w:p w14:paraId="6B50800D" w14:textId="77777777" w:rsidR="003A04E7" w:rsidRPr="00195127" w:rsidRDefault="003A04E7" w:rsidP="0079403B">
            <w:pPr>
              <w:spacing w:before="0"/>
              <w:jc w:val="center"/>
              <w:rPr>
                <w:rFonts w:cs="Calibri"/>
                <w:sz w:val="14"/>
                <w:szCs w:val="18"/>
                <w:lang w:eastAsia="es-ES"/>
              </w:rPr>
            </w:pPr>
          </w:p>
        </w:tc>
        <w:tc>
          <w:tcPr>
            <w:tcW w:w="567" w:type="dxa"/>
            <w:tcBorders>
              <w:top w:val="single" w:sz="12" w:space="0" w:color="FFFFFF" w:themeColor="background1"/>
              <w:bottom w:val="single" w:sz="12" w:space="0" w:color="FFFFFF" w:themeColor="background1"/>
            </w:tcBorders>
            <w:shd w:val="clear" w:color="auto" w:fill="D9D9D9" w:themeFill="background1" w:themeFillShade="D9"/>
            <w:noWrap/>
          </w:tcPr>
          <w:p w14:paraId="0A4D5E06" w14:textId="77777777" w:rsidR="003A04E7" w:rsidRPr="00195127" w:rsidRDefault="003A04E7" w:rsidP="0079403B">
            <w:pPr>
              <w:spacing w:before="0"/>
              <w:jc w:val="center"/>
              <w:rPr>
                <w:rFonts w:cs="Calibri"/>
                <w:sz w:val="14"/>
                <w:szCs w:val="18"/>
                <w:lang w:eastAsia="es-ES"/>
              </w:rPr>
            </w:pPr>
          </w:p>
        </w:tc>
        <w:tc>
          <w:tcPr>
            <w:tcW w:w="859" w:type="dxa"/>
            <w:tcBorders>
              <w:top w:val="single" w:sz="12" w:space="0" w:color="FFFFFF" w:themeColor="background1"/>
              <w:bottom w:val="single" w:sz="12" w:space="0" w:color="FFFFFF" w:themeColor="background1"/>
            </w:tcBorders>
            <w:shd w:val="clear" w:color="auto" w:fill="D9D9D9" w:themeFill="background1" w:themeFillShade="D9"/>
          </w:tcPr>
          <w:p w14:paraId="551CC3DA" w14:textId="77777777" w:rsidR="003A04E7" w:rsidRPr="00195127" w:rsidRDefault="003A04E7" w:rsidP="0079403B">
            <w:pPr>
              <w:spacing w:before="0"/>
              <w:rPr>
                <w:rFonts w:cs="Calibri"/>
                <w:sz w:val="14"/>
                <w:szCs w:val="18"/>
                <w:lang w:eastAsia="es-ES"/>
              </w:rPr>
            </w:pPr>
          </w:p>
        </w:tc>
        <w:tc>
          <w:tcPr>
            <w:tcW w:w="22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925A76" w14:textId="77777777" w:rsidR="003A04E7" w:rsidRPr="00195127" w:rsidRDefault="003A04E7" w:rsidP="0079403B">
            <w:pPr>
              <w:spacing w:before="0"/>
              <w:rPr>
                <w:rFonts w:cs="Calibri"/>
                <w:sz w:val="14"/>
                <w:szCs w:val="18"/>
                <w:lang w:eastAsia="es-ES"/>
              </w:rPr>
            </w:pPr>
          </w:p>
        </w:tc>
      </w:tr>
      <w:tr w:rsidR="003A04E7" w:rsidRPr="00195127" w14:paraId="084C8C3E" w14:textId="77777777" w:rsidTr="008D2E8D">
        <w:trPr>
          <w:trHeight w:val="2656"/>
          <w:jc w:val="center"/>
        </w:trPr>
        <w:tc>
          <w:tcPr>
            <w:tcW w:w="552" w:type="dxa"/>
            <w:tcBorders>
              <w:top w:val="single" w:sz="12" w:space="0" w:color="FFFFFF" w:themeColor="background1"/>
              <w:left w:val="single" w:sz="4" w:space="0" w:color="BFBFBF"/>
              <w:bottom w:val="single" w:sz="4" w:space="0" w:color="BFBFBF"/>
              <w:right w:val="single" w:sz="4" w:space="0" w:color="BFBFBF"/>
            </w:tcBorders>
            <w:shd w:val="clear" w:color="auto" w:fill="auto"/>
            <w:hideMark/>
          </w:tcPr>
          <w:p w14:paraId="05A1C53D"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0066</w:t>
            </w:r>
          </w:p>
        </w:tc>
        <w:tc>
          <w:tcPr>
            <w:tcW w:w="1575" w:type="dxa"/>
            <w:gridSpan w:val="2"/>
            <w:tcBorders>
              <w:top w:val="single" w:sz="12" w:space="0" w:color="FFFFFF" w:themeColor="background1"/>
              <w:left w:val="nil"/>
              <w:bottom w:val="single" w:sz="4" w:space="0" w:color="BFBFBF"/>
              <w:right w:val="single" w:sz="4" w:space="0" w:color="BFBFBF"/>
            </w:tcBorders>
            <w:shd w:val="clear" w:color="auto" w:fill="auto"/>
            <w:hideMark/>
          </w:tcPr>
          <w:p w14:paraId="2A187B85" w14:textId="0F4A52F0" w:rsidR="003A04E7" w:rsidRPr="00195127" w:rsidRDefault="003A04E7" w:rsidP="0079403B">
            <w:pPr>
              <w:spacing w:before="0"/>
              <w:rPr>
                <w:rFonts w:cs="Calibri"/>
                <w:sz w:val="14"/>
                <w:szCs w:val="18"/>
                <w:lang w:eastAsia="es-ES"/>
              </w:rPr>
            </w:pPr>
            <w:bookmarkStart w:id="99" w:name="lt_pId780"/>
            <w:bookmarkStart w:id="100" w:name="_Hlk52980249"/>
            <w:r w:rsidRPr="00195127">
              <w:rPr>
                <w:rFonts w:cs="Calibri"/>
                <w:sz w:val="14"/>
                <w:szCs w:val="18"/>
                <w:lang w:eastAsia="es-ES"/>
              </w:rPr>
              <w:t>Disponibilidad de las instalaciones de conferencias en Ginebra durante el período inicial de construcción (duración aproximada: 18 meses)</w:t>
            </w:r>
            <w:bookmarkEnd w:id="99"/>
            <w:bookmarkEnd w:id="100"/>
            <w:r w:rsidR="00466E0A">
              <w:rPr>
                <w:rFonts w:cs="Calibri"/>
                <w:sz w:val="14"/>
                <w:szCs w:val="18"/>
                <w:lang w:eastAsia="es-ES"/>
              </w:rPr>
              <w:t>.</w:t>
            </w:r>
          </w:p>
        </w:tc>
        <w:tc>
          <w:tcPr>
            <w:tcW w:w="1984" w:type="dxa"/>
            <w:tcBorders>
              <w:top w:val="single" w:sz="12" w:space="0" w:color="FFFFFF" w:themeColor="background1"/>
              <w:left w:val="nil"/>
              <w:bottom w:val="single" w:sz="4" w:space="0" w:color="BFBFBF"/>
              <w:right w:val="single" w:sz="8" w:space="0" w:color="BFBFBF" w:themeColor="background1" w:themeShade="BF"/>
            </w:tcBorders>
          </w:tcPr>
          <w:p w14:paraId="0847664D" w14:textId="77777777" w:rsidR="003A04E7" w:rsidRPr="00195127" w:rsidRDefault="003A04E7" w:rsidP="0079403B">
            <w:pPr>
              <w:spacing w:before="0"/>
              <w:rPr>
                <w:rFonts w:cs="Calibri"/>
                <w:sz w:val="14"/>
                <w:szCs w:val="18"/>
                <w:lang w:eastAsia="es-ES"/>
              </w:rPr>
            </w:pPr>
            <w:bookmarkStart w:id="101" w:name="lt_pId781"/>
            <w:r w:rsidRPr="00195127">
              <w:rPr>
                <w:rFonts w:cs="Calibri"/>
                <w:sz w:val="14"/>
                <w:szCs w:val="18"/>
                <w:lang w:eastAsia="es-ES"/>
              </w:rPr>
              <w:t>Información sobre requisitos de la UIT no facilitada a tiempo.</w:t>
            </w:r>
            <w:bookmarkEnd w:id="101"/>
          </w:p>
          <w:p w14:paraId="5BDE91E1" w14:textId="480DB628" w:rsidR="003A04E7" w:rsidRPr="00195127" w:rsidRDefault="003A04E7" w:rsidP="0079403B">
            <w:pPr>
              <w:spacing w:before="0"/>
              <w:rPr>
                <w:rFonts w:cs="Calibri"/>
                <w:sz w:val="16"/>
                <w:szCs w:val="16"/>
                <w:lang w:eastAsia="es-ES"/>
              </w:rPr>
            </w:pPr>
            <w:bookmarkStart w:id="102" w:name="lt_pId782"/>
            <w:r w:rsidRPr="00195127">
              <w:rPr>
                <w:rFonts w:cs="Calibri"/>
                <w:sz w:val="14"/>
                <w:szCs w:val="18"/>
                <w:lang w:eastAsia="es-ES"/>
              </w:rPr>
              <w:t>Donante para acoger conferencias de la UIT no identificado.</w:t>
            </w:r>
            <w:bookmarkEnd w:id="102"/>
          </w:p>
        </w:tc>
        <w:tc>
          <w:tcPr>
            <w:tcW w:w="2268" w:type="dxa"/>
            <w:tcBorders>
              <w:top w:val="single" w:sz="12" w:space="0" w:color="FFFFFF" w:themeColor="background1"/>
              <w:left w:val="single" w:sz="8" w:space="0" w:color="BFBFBF" w:themeColor="background1" w:themeShade="BF"/>
              <w:bottom w:val="single" w:sz="4" w:space="0" w:color="BFBFBF"/>
              <w:right w:val="single" w:sz="8" w:space="0" w:color="BFBFBF" w:themeColor="background1" w:themeShade="BF"/>
            </w:tcBorders>
          </w:tcPr>
          <w:p w14:paraId="048F51C3" w14:textId="2DFD92E0" w:rsidR="003A04E7" w:rsidRPr="00195127" w:rsidRDefault="008D2E8D" w:rsidP="0079403B">
            <w:pPr>
              <w:spacing w:before="0"/>
              <w:rPr>
                <w:rFonts w:cs="Calibri"/>
                <w:sz w:val="16"/>
                <w:szCs w:val="16"/>
                <w:lang w:eastAsia="es-ES"/>
              </w:rPr>
            </w:pPr>
            <w:bookmarkStart w:id="103" w:name="lt_pId791"/>
            <w:r w:rsidRPr="00195127">
              <w:rPr>
                <w:rFonts w:cs="Calibri"/>
                <w:sz w:val="14"/>
                <w:szCs w:val="18"/>
                <w:lang w:eastAsia="es-ES"/>
              </w:rPr>
              <w:t xml:space="preserve">C&amp;P colabora con los Sectores de la UIT y la Secretaría General para proporcionar </w:t>
            </w:r>
            <w:r w:rsidR="003A04E7" w:rsidRPr="00195127">
              <w:rPr>
                <w:rFonts w:cs="Calibri"/>
                <w:sz w:val="14"/>
                <w:szCs w:val="18"/>
                <w:lang w:eastAsia="es-ES"/>
              </w:rPr>
              <w:t>el calendario completo con la solicitud de las salas de conferencia de la UIT tan pronto como sea posible</w:t>
            </w:r>
            <w:r w:rsidR="003A04E7" w:rsidRPr="00195127">
              <w:rPr>
                <w:rFonts w:cs="Calibri"/>
                <w:sz w:val="16"/>
                <w:szCs w:val="16"/>
                <w:lang w:eastAsia="es-ES"/>
              </w:rPr>
              <w:t>.</w:t>
            </w:r>
            <w:bookmarkEnd w:id="103"/>
          </w:p>
          <w:p w14:paraId="7958D3BD" w14:textId="77777777" w:rsidR="008D2E8D" w:rsidRPr="00195127" w:rsidRDefault="003A04E7" w:rsidP="0079403B">
            <w:pPr>
              <w:spacing w:before="0"/>
              <w:rPr>
                <w:rFonts w:cs="Calibri"/>
                <w:sz w:val="14"/>
                <w:szCs w:val="18"/>
                <w:lang w:eastAsia="es-ES"/>
              </w:rPr>
            </w:pPr>
            <w:bookmarkStart w:id="104" w:name="lt_pId792"/>
            <w:r w:rsidRPr="00195127">
              <w:rPr>
                <w:rFonts w:cs="Calibri"/>
                <w:sz w:val="14"/>
                <w:szCs w:val="18"/>
                <w:lang w:eastAsia="es-ES"/>
              </w:rPr>
              <w:t>Buscar donantes para acoger las conferencias de la UIT.</w:t>
            </w:r>
            <w:bookmarkEnd w:id="104"/>
          </w:p>
          <w:p w14:paraId="09406455" w14:textId="5F6BCD49" w:rsidR="003A04E7" w:rsidRPr="00195127" w:rsidRDefault="008D2E8D" w:rsidP="0079403B">
            <w:pPr>
              <w:spacing w:before="0"/>
              <w:rPr>
                <w:rFonts w:cs="Calibri"/>
                <w:sz w:val="14"/>
                <w:szCs w:val="18"/>
                <w:lang w:eastAsia="es-ES"/>
              </w:rPr>
            </w:pPr>
            <w:r w:rsidRPr="00195127">
              <w:rPr>
                <w:rFonts w:cs="Calibri"/>
                <w:sz w:val="14"/>
                <w:szCs w:val="18"/>
                <w:lang w:eastAsia="es-ES"/>
              </w:rPr>
              <w:t xml:space="preserve">Oportunidad: el uso generalizado de </w:t>
            </w:r>
            <w:r w:rsidR="00556B10" w:rsidRPr="00195127">
              <w:rPr>
                <w:rFonts w:cs="Calibri"/>
                <w:sz w:val="14"/>
                <w:szCs w:val="18"/>
                <w:lang w:eastAsia="es-ES"/>
              </w:rPr>
              <w:t xml:space="preserve">las </w:t>
            </w:r>
            <w:r w:rsidRPr="00195127">
              <w:rPr>
                <w:rFonts w:cs="Calibri"/>
                <w:sz w:val="14"/>
                <w:szCs w:val="18"/>
                <w:lang w:eastAsia="es-ES"/>
              </w:rPr>
              <w:t xml:space="preserve">teleconferencias y </w:t>
            </w:r>
            <w:r w:rsidR="00556B10" w:rsidRPr="00195127">
              <w:rPr>
                <w:rFonts w:cs="Calibri"/>
                <w:sz w:val="14"/>
                <w:szCs w:val="18"/>
                <w:lang w:eastAsia="es-ES"/>
              </w:rPr>
              <w:t xml:space="preserve">las </w:t>
            </w:r>
            <w:r w:rsidRPr="00195127">
              <w:rPr>
                <w:rFonts w:cs="Calibri"/>
                <w:sz w:val="14"/>
                <w:szCs w:val="18"/>
                <w:lang w:eastAsia="es-ES"/>
              </w:rPr>
              <w:t xml:space="preserve">reuniones virtuales podría convertirse en una oportunidad para </w:t>
            </w:r>
            <w:r w:rsidR="00556B10" w:rsidRPr="00195127">
              <w:rPr>
                <w:rFonts w:cs="Calibri"/>
                <w:sz w:val="14"/>
                <w:szCs w:val="18"/>
                <w:lang w:eastAsia="es-ES"/>
              </w:rPr>
              <w:t>atenuar</w:t>
            </w:r>
            <w:r w:rsidRPr="00195127">
              <w:rPr>
                <w:rFonts w:cs="Calibri"/>
                <w:sz w:val="14"/>
                <w:szCs w:val="18"/>
                <w:lang w:eastAsia="es-ES"/>
              </w:rPr>
              <w:t xml:space="preserve"> la petición de acoger conferencias durante la</w:t>
            </w:r>
            <w:r w:rsidR="00556B10" w:rsidRPr="00195127">
              <w:rPr>
                <w:rFonts w:cs="Calibri"/>
                <w:sz w:val="14"/>
                <w:szCs w:val="18"/>
                <w:lang w:eastAsia="es-ES"/>
              </w:rPr>
              <w:t xml:space="preserve"> fas</w:t>
            </w:r>
            <w:r w:rsidR="0041722E" w:rsidRPr="00195127">
              <w:rPr>
                <w:rFonts w:cs="Calibri"/>
                <w:sz w:val="14"/>
                <w:szCs w:val="18"/>
                <w:lang w:eastAsia="es-ES"/>
              </w:rPr>
              <w:t>e</w:t>
            </w:r>
            <w:r w:rsidR="00556B10" w:rsidRPr="00195127">
              <w:rPr>
                <w:rFonts w:cs="Calibri"/>
                <w:sz w:val="14"/>
                <w:szCs w:val="18"/>
                <w:lang w:eastAsia="es-ES"/>
              </w:rPr>
              <w:t xml:space="preserve"> de</w:t>
            </w:r>
            <w:r w:rsidRPr="00195127">
              <w:rPr>
                <w:rFonts w:cs="Calibri"/>
                <w:sz w:val="14"/>
                <w:szCs w:val="18"/>
                <w:lang w:eastAsia="es-ES"/>
              </w:rPr>
              <w:t xml:space="preserve"> demolición de </w:t>
            </w:r>
            <w:proofErr w:type="spellStart"/>
            <w:r w:rsidRPr="00195127">
              <w:rPr>
                <w:rFonts w:cs="Calibri"/>
                <w:sz w:val="14"/>
                <w:szCs w:val="18"/>
                <w:lang w:eastAsia="es-ES"/>
              </w:rPr>
              <w:t>Varembé</w:t>
            </w:r>
            <w:proofErr w:type="spellEnd"/>
            <w:r w:rsidRPr="00195127">
              <w:rPr>
                <w:rFonts w:cs="Calibri"/>
                <w:sz w:val="14"/>
                <w:szCs w:val="18"/>
                <w:lang w:eastAsia="es-ES"/>
              </w:rPr>
              <w:t xml:space="preserve"> y construcción de</w:t>
            </w:r>
            <w:r w:rsidR="00556B10" w:rsidRPr="00195127">
              <w:rPr>
                <w:rFonts w:cs="Calibri"/>
                <w:sz w:val="14"/>
                <w:szCs w:val="18"/>
                <w:lang w:eastAsia="es-ES"/>
              </w:rPr>
              <w:t>l</w:t>
            </w:r>
            <w:r w:rsidRPr="00195127">
              <w:rPr>
                <w:rFonts w:cs="Calibri"/>
                <w:sz w:val="14"/>
                <w:szCs w:val="18"/>
                <w:lang w:eastAsia="es-ES"/>
              </w:rPr>
              <w:t xml:space="preserve"> nuevo edificio.</w:t>
            </w:r>
          </w:p>
        </w:tc>
        <w:tc>
          <w:tcPr>
            <w:tcW w:w="851" w:type="dxa"/>
            <w:tcBorders>
              <w:top w:val="single" w:sz="12" w:space="0" w:color="FFFFFF" w:themeColor="background1"/>
              <w:left w:val="single" w:sz="8" w:space="0" w:color="BFBFBF" w:themeColor="background1" w:themeShade="BF"/>
              <w:bottom w:val="single" w:sz="4" w:space="0" w:color="BFBFBF"/>
              <w:right w:val="single" w:sz="4" w:space="0" w:color="BFBFBF"/>
            </w:tcBorders>
            <w:shd w:val="clear" w:color="auto" w:fill="auto"/>
            <w:hideMark/>
          </w:tcPr>
          <w:p w14:paraId="0655D717"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0,50</w:t>
            </w:r>
          </w:p>
        </w:tc>
        <w:tc>
          <w:tcPr>
            <w:tcW w:w="567" w:type="dxa"/>
            <w:tcBorders>
              <w:top w:val="single" w:sz="12" w:space="0" w:color="FFFFFF" w:themeColor="background1"/>
              <w:left w:val="nil"/>
              <w:bottom w:val="single" w:sz="4" w:space="0" w:color="BFBFBF"/>
              <w:right w:val="single" w:sz="4" w:space="0" w:color="BFBFBF"/>
            </w:tcBorders>
            <w:shd w:val="clear" w:color="auto" w:fill="auto"/>
            <w:noWrap/>
            <w:hideMark/>
          </w:tcPr>
          <w:p w14:paraId="26294867"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single" w:sz="12" w:space="0" w:color="FFFFFF" w:themeColor="background1"/>
              <w:left w:val="nil"/>
              <w:bottom w:val="single" w:sz="4" w:space="0" w:color="BFBFBF"/>
              <w:right w:val="single" w:sz="4" w:space="0" w:color="BFBFBF"/>
            </w:tcBorders>
            <w:shd w:val="clear" w:color="auto" w:fill="auto"/>
            <w:hideMark/>
          </w:tcPr>
          <w:p w14:paraId="18CB4FFE" w14:textId="3EF31A72"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1</w:t>
            </w:r>
            <w:r w:rsidR="008629BC" w:rsidRPr="00195127">
              <w:rPr>
                <w:rFonts w:cs="Calibri"/>
                <w:sz w:val="14"/>
                <w:szCs w:val="18"/>
                <w:lang w:eastAsia="es-ES"/>
              </w:rPr>
              <w:t> </w:t>
            </w:r>
            <w:r w:rsidRPr="00195127">
              <w:rPr>
                <w:rFonts w:cs="Calibri"/>
                <w:sz w:val="14"/>
                <w:szCs w:val="18"/>
                <w:lang w:eastAsia="es-ES"/>
              </w:rPr>
              <w:t>215</w:t>
            </w:r>
            <w:r w:rsidR="00466E0A">
              <w:rPr>
                <w:rFonts w:cs="Calibri"/>
                <w:sz w:val="14"/>
                <w:szCs w:val="18"/>
                <w:lang w:eastAsia="es-ES"/>
              </w:rPr>
              <w:t> </w:t>
            </w:r>
            <w:r w:rsidRPr="00195127">
              <w:rPr>
                <w:rFonts w:cs="Calibri"/>
                <w:sz w:val="14"/>
                <w:szCs w:val="18"/>
                <w:lang w:eastAsia="es-ES"/>
              </w:rPr>
              <w:t>667</w:t>
            </w:r>
          </w:p>
        </w:tc>
        <w:tc>
          <w:tcPr>
            <w:tcW w:w="2259" w:type="dxa"/>
            <w:tcBorders>
              <w:top w:val="single" w:sz="12" w:space="0" w:color="FFFFFF" w:themeColor="background1"/>
              <w:left w:val="nil"/>
              <w:bottom w:val="single" w:sz="4" w:space="0" w:color="BFBFBF"/>
              <w:right w:val="single" w:sz="4" w:space="0" w:color="BFBFBF"/>
            </w:tcBorders>
            <w:shd w:val="clear" w:color="auto" w:fill="auto"/>
          </w:tcPr>
          <w:p w14:paraId="4AC87C12" w14:textId="48362342" w:rsidR="003A04E7" w:rsidRPr="00195127" w:rsidRDefault="008D2E8D" w:rsidP="0079403B">
            <w:pPr>
              <w:spacing w:before="0"/>
              <w:rPr>
                <w:rFonts w:cs="Calibri"/>
                <w:sz w:val="14"/>
                <w:szCs w:val="18"/>
                <w:lang w:eastAsia="es-ES"/>
              </w:rPr>
            </w:pPr>
            <w:r w:rsidRPr="00195127">
              <w:rPr>
                <w:rFonts w:cs="Calibri"/>
                <w:sz w:val="14"/>
                <w:szCs w:val="18"/>
                <w:lang w:eastAsia="es-ES"/>
              </w:rPr>
              <w:t>Suma destinada a cubrir los gastos de aplicación de</w:t>
            </w:r>
            <w:r w:rsidR="0041722E" w:rsidRPr="00195127">
              <w:rPr>
                <w:rFonts w:cs="Calibri"/>
                <w:sz w:val="14"/>
                <w:szCs w:val="18"/>
                <w:lang w:eastAsia="es-ES"/>
              </w:rPr>
              <w:t xml:space="preserve"> los requisitos estipulados en las MOSS</w:t>
            </w:r>
            <w:r w:rsidRPr="00195127">
              <w:rPr>
                <w:rFonts w:cs="Calibri"/>
                <w:sz w:val="14"/>
                <w:szCs w:val="18"/>
                <w:lang w:eastAsia="es-ES"/>
              </w:rPr>
              <w:t xml:space="preserve"> de las Naciones Unidas en un</w:t>
            </w:r>
            <w:r w:rsidR="0041722E" w:rsidRPr="00195127">
              <w:rPr>
                <w:rFonts w:cs="Calibri"/>
                <w:sz w:val="14"/>
                <w:szCs w:val="18"/>
                <w:lang w:eastAsia="es-ES"/>
              </w:rPr>
              <w:t xml:space="preserve"> espacio</w:t>
            </w:r>
            <w:r w:rsidRPr="00195127">
              <w:rPr>
                <w:rFonts w:cs="Calibri"/>
                <w:sz w:val="14"/>
                <w:szCs w:val="18"/>
                <w:lang w:eastAsia="es-ES"/>
              </w:rPr>
              <w:t xml:space="preserve"> de conferencias alquilad</w:t>
            </w:r>
            <w:r w:rsidR="0041722E" w:rsidRPr="00195127">
              <w:rPr>
                <w:rFonts w:cs="Calibri"/>
                <w:sz w:val="14"/>
                <w:szCs w:val="18"/>
                <w:lang w:eastAsia="es-ES"/>
              </w:rPr>
              <w:t>o</w:t>
            </w:r>
            <w:r w:rsidRPr="00195127">
              <w:rPr>
                <w:rFonts w:cs="Calibri"/>
                <w:sz w:val="14"/>
                <w:szCs w:val="18"/>
                <w:lang w:eastAsia="es-ES"/>
              </w:rPr>
              <w:t>.</w:t>
            </w:r>
          </w:p>
        </w:tc>
      </w:tr>
      <w:tr w:rsidR="003A04E7" w:rsidRPr="00195127" w14:paraId="5D1E4916" w14:textId="77777777" w:rsidTr="00477436">
        <w:trPr>
          <w:trHeight w:val="198"/>
          <w:jc w:val="center"/>
        </w:trPr>
        <w:tc>
          <w:tcPr>
            <w:tcW w:w="2127" w:type="dxa"/>
            <w:gridSpan w:val="3"/>
            <w:tcBorders>
              <w:top w:val="nil"/>
              <w:left w:val="single" w:sz="4" w:space="0" w:color="BFBFBF"/>
              <w:bottom w:val="single" w:sz="4" w:space="0" w:color="BFBFBF"/>
              <w:right w:val="single" w:sz="4" w:space="0" w:color="BFBFBF"/>
            </w:tcBorders>
            <w:shd w:val="clear" w:color="auto" w:fill="D9D9D9" w:themeFill="background1" w:themeFillShade="D9"/>
          </w:tcPr>
          <w:p w14:paraId="7BACE7DC" w14:textId="77777777" w:rsidR="003A04E7" w:rsidRPr="00195127" w:rsidRDefault="003A04E7" w:rsidP="0079403B">
            <w:pPr>
              <w:spacing w:before="0"/>
              <w:rPr>
                <w:rFonts w:cs="Calibri"/>
                <w:sz w:val="14"/>
                <w:szCs w:val="18"/>
                <w:lang w:eastAsia="es-ES"/>
              </w:rPr>
            </w:pPr>
            <w:r w:rsidRPr="00195127">
              <w:rPr>
                <w:rFonts w:cs="Calibri"/>
                <w:b/>
                <w:bCs/>
                <w:color w:val="000000"/>
                <w:sz w:val="20"/>
                <w:lang w:eastAsia="es-ES"/>
              </w:rPr>
              <w:t>COVID-19</w:t>
            </w:r>
          </w:p>
        </w:tc>
        <w:tc>
          <w:tcPr>
            <w:tcW w:w="1984" w:type="dxa"/>
            <w:tcBorders>
              <w:top w:val="nil"/>
              <w:left w:val="nil"/>
              <w:bottom w:val="single" w:sz="8" w:space="0" w:color="BFBFBF"/>
              <w:right w:val="nil"/>
            </w:tcBorders>
            <w:shd w:val="clear" w:color="auto" w:fill="D9D9D9" w:themeFill="background1" w:themeFillShade="D9"/>
          </w:tcPr>
          <w:p w14:paraId="3347CBBF" w14:textId="77777777" w:rsidR="003A04E7" w:rsidRPr="00195127" w:rsidRDefault="003A04E7" w:rsidP="0079403B">
            <w:pPr>
              <w:spacing w:before="0"/>
              <w:jc w:val="center"/>
              <w:rPr>
                <w:rFonts w:cs="Calibri"/>
                <w:sz w:val="14"/>
                <w:szCs w:val="18"/>
                <w:lang w:eastAsia="es-ES"/>
              </w:rPr>
            </w:pPr>
          </w:p>
        </w:tc>
        <w:tc>
          <w:tcPr>
            <w:tcW w:w="2268" w:type="dxa"/>
            <w:tcBorders>
              <w:top w:val="nil"/>
              <w:left w:val="nil"/>
              <w:bottom w:val="single" w:sz="8" w:space="0" w:color="BFBFBF"/>
              <w:right w:val="nil"/>
            </w:tcBorders>
            <w:shd w:val="clear" w:color="auto" w:fill="D9D9D9" w:themeFill="background1" w:themeFillShade="D9"/>
          </w:tcPr>
          <w:p w14:paraId="64603CB8" w14:textId="77777777" w:rsidR="003A04E7" w:rsidRPr="00195127" w:rsidRDefault="003A04E7" w:rsidP="0079403B">
            <w:pPr>
              <w:spacing w:before="0"/>
              <w:jc w:val="center"/>
              <w:rPr>
                <w:rFonts w:cs="Calibri"/>
                <w:sz w:val="14"/>
                <w:szCs w:val="18"/>
                <w:lang w:eastAsia="es-ES"/>
              </w:rPr>
            </w:pPr>
          </w:p>
        </w:tc>
        <w:tc>
          <w:tcPr>
            <w:tcW w:w="851" w:type="dxa"/>
            <w:tcBorders>
              <w:top w:val="nil"/>
              <w:left w:val="nil"/>
              <w:bottom w:val="single" w:sz="4" w:space="0" w:color="BFBFBF"/>
              <w:right w:val="single" w:sz="4" w:space="0" w:color="BFBFBF"/>
            </w:tcBorders>
            <w:shd w:val="clear" w:color="auto" w:fill="D9D9D9" w:themeFill="background1" w:themeFillShade="D9"/>
          </w:tcPr>
          <w:p w14:paraId="5B0652FB" w14:textId="77777777" w:rsidR="003A04E7" w:rsidRPr="00195127" w:rsidRDefault="003A04E7" w:rsidP="0079403B">
            <w:pPr>
              <w:spacing w:before="0"/>
              <w:jc w:val="center"/>
              <w:rPr>
                <w:rFonts w:cs="Calibri"/>
                <w:sz w:val="14"/>
                <w:szCs w:val="18"/>
                <w:lang w:eastAsia="es-ES"/>
              </w:rPr>
            </w:pPr>
          </w:p>
        </w:tc>
        <w:tc>
          <w:tcPr>
            <w:tcW w:w="567" w:type="dxa"/>
            <w:tcBorders>
              <w:top w:val="nil"/>
              <w:left w:val="nil"/>
              <w:bottom w:val="single" w:sz="4" w:space="0" w:color="BFBFBF"/>
              <w:right w:val="single" w:sz="4" w:space="0" w:color="BFBFBF"/>
            </w:tcBorders>
            <w:shd w:val="clear" w:color="auto" w:fill="D9D9D9" w:themeFill="background1" w:themeFillShade="D9"/>
            <w:noWrap/>
          </w:tcPr>
          <w:p w14:paraId="1CAA55DB" w14:textId="77777777" w:rsidR="003A04E7" w:rsidRPr="00195127" w:rsidRDefault="003A04E7" w:rsidP="0079403B">
            <w:pPr>
              <w:spacing w:before="0"/>
              <w:jc w:val="center"/>
              <w:rPr>
                <w:rFonts w:cs="Calibri"/>
                <w:sz w:val="14"/>
                <w:szCs w:val="18"/>
                <w:lang w:eastAsia="es-ES"/>
              </w:rPr>
            </w:pPr>
          </w:p>
        </w:tc>
        <w:tc>
          <w:tcPr>
            <w:tcW w:w="859" w:type="dxa"/>
            <w:tcBorders>
              <w:top w:val="nil"/>
              <w:left w:val="nil"/>
              <w:bottom w:val="single" w:sz="4" w:space="0" w:color="BFBFBF"/>
              <w:right w:val="single" w:sz="4" w:space="0" w:color="BFBFBF"/>
            </w:tcBorders>
            <w:shd w:val="clear" w:color="auto" w:fill="D9D9D9" w:themeFill="background1" w:themeFillShade="D9"/>
          </w:tcPr>
          <w:p w14:paraId="4DAC70E6" w14:textId="77777777" w:rsidR="003A04E7" w:rsidRPr="00195127" w:rsidRDefault="003A04E7" w:rsidP="0079403B">
            <w:pPr>
              <w:spacing w:before="0"/>
              <w:jc w:val="center"/>
              <w:rPr>
                <w:rFonts w:cs="Calibri"/>
                <w:sz w:val="14"/>
                <w:szCs w:val="18"/>
                <w:lang w:eastAsia="es-ES"/>
              </w:rPr>
            </w:pPr>
          </w:p>
        </w:tc>
        <w:tc>
          <w:tcPr>
            <w:tcW w:w="2259" w:type="dxa"/>
            <w:tcBorders>
              <w:top w:val="nil"/>
              <w:left w:val="nil"/>
              <w:bottom w:val="single" w:sz="4" w:space="0" w:color="BFBFBF"/>
              <w:right w:val="single" w:sz="4" w:space="0" w:color="BFBFBF"/>
            </w:tcBorders>
            <w:shd w:val="clear" w:color="auto" w:fill="D9D9D9" w:themeFill="background1" w:themeFillShade="D9"/>
          </w:tcPr>
          <w:p w14:paraId="6B740630" w14:textId="77777777" w:rsidR="003A04E7" w:rsidRPr="00195127" w:rsidRDefault="003A04E7" w:rsidP="0079403B">
            <w:pPr>
              <w:spacing w:before="0"/>
              <w:rPr>
                <w:rFonts w:cs="Calibri"/>
                <w:sz w:val="14"/>
                <w:szCs w:val="18"/>
                <w:lang w:eastAsia="es-ES"/>
              </w:rPr>
            </w:pPr>
          </w:p>
        </w:tc>
      </w:tr>
      <w:tr w:rsidR="003A04E7" w:rsidRPr="00195127" w14:paraId="2EB87D0D" w14:textId="77777777" w:rsidTr="00556B10">
        <w:trPr>
          <w:trHeight w:val="480"/>
          <w:jc w:val="center"/>
        </w:trPr>
        <w:tc>
          <w:tcPr>
            <w:tcW w:w="552" w:type="dxa"/>
            <w:tcBorders>
              <w:top w:val="nil"/>
              <w:left w:val="single" w:sz="4" w:space="0" w:color="BFBFBF"/>
              <w:bottom w:val="single" w:sz="4" w:space="0" w:color="BFBFBF"/>
              <w:right w:val="single" w:sz="4" w:space="0" w:color="BFBFBF"/>
            </w:tcBorders>
            <w:shd w:val="clear" w:color="000000" w:fill="FFFFFF"/>
            <w:hideMark/>
          </w:tcPr>
          <w:p w14:paraId="6DE6AF53"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0034</w:t>
            </w:r>
          </w:p>
        </w:tc>
        <w:tc>
          <w:tcPr>
            <w:tcW w:w="1575" w:type="dxa"/>
            <w:gridSpan w:val="2"/>
            <w:tcBorders>
              <w:top w:val="nil"/>
              <w:left w:val="nil"/>
              <w:bottom w:val="single" w:sz="4" w:space="0" w:color="BFBFBF"/>
              <w:right w:val="single" w:sz="4" w:space="0" w:color="BFBFBF"/>
            </w:tcBorders>
            <w:shd w:val="clear" w:color="auto" w:fill="auto"/>
            <w:hideMark/>
          </w:tcPr>
          <w:p w14:paraId="45E0F74B" w14:textId="242B603B" w:rsidR="003A04E7" w:rsidRPr="00195127" w:rsidRDefault="0041722E" w:rsidP="0079403B">
            <w:pPr>
              <w:spacing w:before="0"/>
              <w:rPr>
                <w:rFonts w:cs="Calibri"/>
                <w:sz w:val="14"/>
                <w:szCs w:val="18"/>
                <w:lang w:eastAsia="es-ES"/>
              </w:rPr>
            </w:pPr>
            <w:r w:rsidRPr="00195127">
              <w:rPr>
                <w:rFonts w:cs="Calibri"/>
                <w:sz w:val="14"/>
                <w:szCs w:val="18"/>
                <w:lang w:eastAsia="es-ES"/>
              </w:rPr>
              <w:t>Coste adicional de reubicación del personal durante la fase de demolición y construcción</w:t>
            </w:r>
            <w:r w:rsidR="003A04E7" w:rsidRPr="00195127">
              <w:rPr>
                <w:rFonts w:cs="Calibri"/>
                <w:sz w:val="14"/>
                <w:szCs w:val="18"/>
                <w:lang w:eastAsia="es-ES"/>
              </w:rPr>
              <w:t>.</w:t>
            </w:r>
          </w:p>
        </w:tc>
        <w:tc>
          <w:tcPr>
            <w:tcW w:w="1984" w:type="dxa"/>
            <w:tcBorders>
              <w:top w:val="single" w:sz="8" w:space="0" w:color="BFBFBF"/>
              <w:left w:val="nil"/>
              <w:bottom w:val="single" w:sz="8" w:space="0" w:color="BFBFBF"/>
              <w:right w:val="single" w:sz="8" w:space="0" w:color="BFBFBF"/>
            </w:tcBorders>
          </w:tcPr>
          <w:p w14:paraId="409C85AB" w14:textId="7D657253" w:rsidR="003A04E7" w:rsidRPr="00195127" w:rsidRDefault="0041722E" w:rsidP="0079403B">
            <w:pPr>
              <w:spacing w:before="0"/>
              <w:rPr>
                <w:rFonts w:cs="Calibri"/>
                <w:sz w:val="14"/>
                <w:szCs w:val="18"/>
                <w:lang w:eastAsia="es-ES"/>
              </w:rPr>
            </w:pPr>
            <w:r w:rsidRPr="00195127">
              <w:rPr>
                <w:rFonts w:cs="Calibri"/>
                <w:sz w:val="14"/>
                <w:szCs w:val="18"/>
                <w:lang w:eastAsia="es-ES"/>
              </w:rPr>
              <w:t>Espacio insuficiente para ubicar un escritorio para cada funcionario manteniendo el distanciamiento social.</w:t>
            </w:r>
          </w:p>
        </w:tc>
        <w:tc>
          <w:tcPr>
            <w:tcW w:w="2268" w:type="dxa"/>
            <w:tcBorders>
              <w:top w:val="single" w:sz="8" w:space="0" w:color="BFBFBF"/>
              <w:left w:val="single" w:sz="8" w:space="0" w:color="BFBFBF"/>
              <w:bottom w:val="single" w:sz="8" w:space="0" w:color="BFBFBF"/>
              <w:right w:val="single" w:sz="4" w:space="0" w:color="BFBFBF"/>
            </w:tcBorders>
          </w:tcPr>
          <w:p w14:paraId="4FC0C783" w14:textId="14CF3678" w:rsidR="003A04E7" w:rsidRPr="00195127" w:rsidRDefault="0041722E" w:rsidP="0079403B">
            <w:pPr>
              <w:spacing w:before="0"/>
              <w:rPr>
                <w:rFonts w:cs="Calibri"/>
                <w:sz w:val="14"/>
                <w:szCs w:val="18"/>
                <w:lang w:eastAsia="es-ES"/>
              </w:rPr>
            </w:pPr>
            <w:r w:rsidRPr="00195127">
              <w:rPr>
                <w:rFonts w:cs="Calibri"/>
                <w:sz w:val="14"/>
                <w:szCs w:val="18"/>
                <w:lang w:eastAsia="es-ES"/>
              </w:rPr>
              <w:t>Aplicación de la</w:t>
            </w:r>
            <w:r w:rsidR="00997701" w:rsidRPr="00195127">
              <w:rPr>
                <w:rFonts w:cs="Calibri"/>
                <w:sz w:val="14"/>
                <w:szCs w:val="18"/>
                <w:lang w:eastAsia="es-ES"/>
              </w:rPr>
              <w:t>s</w:t>
            </w:r>
            <w:r w:rsidRPr="00195127">
              <w:rPr>
                <w:rFonts w:cs="Calibri"/>
                <w:sz w:val="14"/>
                <w:szCs w:val="18"/>
                <w:lang w:eastAsia="es-ES"/>
              </w:rPr>
              <w:t xml:space="preserve"> política</w:t>
            </w:r>
            <w:r w:rsidR="00997701" w:rsidRPr="00195127">
              <w:rPr>
                <w:rFonts w:cs="Calibri"/>
                <w:sz w:val="14"/>
                <w:szCs w:val="18"/>
                <w:lang w:eastAsia="es-ES"/>
              </w:rPr>
              <w:t>s</w:t>
            </w:r>
            <w:r w:rsidRPr="00195127">
              <w:rPr>
                <w:rFonts w:cs="Calibri"/>
                <w:sz w:val="14"/>
                <w:szCs w:val="18"/>
                <w:lang w:eastAsia="es-ES"/>
              </w:rPr>
              <w:t xml:space="preserve"> de </w:t>
            </w:r>
            <w:r w:rsidR="00997701" w:rsidRPr="00195127">
              <w:rPr>
                <w:rFonts w:cs="Calibri"/>
                <w:sz w:val="14"/>
                <w:szCs w:val="18"/>
                <w:lang w:eastAsia="es-ES"/>
              </w:rPr>
              <w:t xml:space="preserve">no asignación de </w:t>
            </w:r>
            <w:r w:rsidRPr="00195127">
              <w:rPr>
                <w:rFonts w:cs="Calibri"/>
                <w:sz w:val="14"/>
                <w:szCs w:val="18"/>
                <w:lang w:eastAsia="es-ES"/>
              </w:rPr>
              <w:t>escritorio</w:t>
            </w:r>
            <w:r w:rsidR="00997701" w:rsidRPr="00195127">
              <w:rPr>
                <w:rFonts w:cs="Calibri"/>
                <w:sz w:val="14"/>
                <w:szCs w:val="18"/>
                <w:lang w:eastAsia="es-ES"/>
              </w:rPr>
              <w:t>s</w:t>
            </w:r>
            <w:r w:rsidRPr="00195127">
              <w:rPr>
                <w:rFonts w:cs="Calibri"/>
                <w:sz w:val="14"/>
                <w:szCs w:val="18"/>
                <w:lang w:eastAsia="es-ES"/>
              </w:rPr>
              <w:t xml:space="preserve"> y teletrabajo.</w:t>
            </w:r>
          </w:p>
        </w:tc>
        <w:tc>
          <w:tcPr>
            <w:tcW w:w="851" w:type="dxa"/>
            <w:tcBorders>
              <w:top w:val="nil"/>
              <w:left w:val="single" w:sz="4" w:space="0" w:color="BFBFBF"/>
              <w:bottom w:val="single" w:sz="4" w:space="0" w:color="BFBFBF"/>
              <w:right w:val="single" w:sz="4" w:space="0" w:color="BFBFBF"/>
            </w:tcBorders>
            <w:shd w:val="clear" w:color="auto" w:fill="auto"/>
            <w:hideMark/>
          </w:tcPr>
          <w:p w14:paraId="31B2D6FD"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0,50</w:t>
            </w:r>
          </w:p>
        </w:tc>
        <w:tc>
          <w:tcPr>
            <w:tcW w:w="567" w:type="dxa"/>
            <w:tcBorders>
              <w:top w:val="nil"/>
              <w:left w:val="nil"/>
              <w:bottom w:val="single" w:sz="4" w:space="0" w:color="BFBFBF"/>
              <w:right w:val="single" w:sz="4" w:space="0" w:color="BFBFBF"/>
            </w:tcBorders>
            <w:shd w:val="clear" w:color="auto" w:fill="auto"/>
            <w:noWrap/>
            <w:hideMark/>
          </w:tcPr>
          <w:p w14:paraId="34EE7F0E"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3C8CF914" w14:textId="3B666728"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2</w:t>
            </w:r>
            <w:r w:rsidR="008629BC" w:rsidRPr="00195127">
              <w:rPr>
                <w:rFonts w:cs="Calibri"/>
                <w:sz w:val="14"/>
                <w:szCs w:val="18"/>
                <w:lang w:eastAsia="es-ES"/>
              </w:rPr>
              <w:t> </w:t>
            </w:r>
            <w:r w:rsidRPr="00195127">
              <w:rPr>
                <w:rFonts w:cs="Calibri"/>
                <w:sz w:val="14"/>
                <w:szCs w:val="18"/>
                <w:lang w:eastAsia="es-ES"/>
              </w:rPr>
              <w:t>966</w:t>
            </w:r>
            <w:r w:rsidR="008629BC" w:rsidRPr="00195127">
              <w:rPr>
                <w:rFonts w:cs="Calibri"/>
                <w:sz w:val="14"/>
                <w:szCs w:val="18"/>
                <w:lang w:eastAsia="es-ES"/>
              </w:rPr>
              <w:t> </w:t>
            </w:r>
            <w:r w:rsidRPr="00195127">
              <w:rPr>
                <w:rFonts w:cs="Calibri"/>
                <w:sz w:val="14"/>
                <w:szCs w:val="18"/>
                <w:lang w:eastAsia="es-ES"/>
              </w:rPr>
              <w:t>667</w:t>
            </w:r>
          </w:p>
        </w:tc>
        <w:tc>
          <w:tcPr>
            <w:tcW w:w="2259" w:type="dxa"/>
            <w:tcBorders>
              <w:top w:val="nil"/>
              <w:left w:val="nil"/>
              <w:bottom w:val="single" w:sz="4" w:space="0" w:color="BFBFBF"/>
              <w:right w:val="single" w:sz="4" w:space="0" w:color="BFBFBF"/>
            </w:tcBorders>
            <w:shd w:val="clear" w:color="auto" w:fill="auto"/>
          </w:tcPr>
          <w:p w14:paraId="073C4890" w14:textId="321B6DB6" w:rsidR="003A04E7" w:rsidRPr="00195127" w:rsidRDefault="0041722E" w:rsidP="0079403B">
            <w:pPr>
              <w:spacing w:before="0"/>
              <w:rPr>
                <w:rFonts w:cs="Calibri"/>
                <w:sz w:val="14"/>
                <w:szCs w:val="18"/>
                <w:lang w:eastAsia="es-ES"/>
              </w:rPr>
            </w:pPr>
            <w:r w:rsidRPr="00195127">
              <w:rPr>
                <w:rFonts w:cs="Calibri"/>
                <w:sz w:val="14"/>
                <w:szCs w:val="18"/>
                <w:lang w:eastAsia="es-ES"/>
              </w:rPr>
              <w:t>Suma media ponderada prevista para el traslado y la reubicación (temporal) del personal.</w:t>
            </w:r>
          </w:p>
        </w:tc>
      </w:tr>
      <w:tr w:rsidR="003A04E7" w:rsidRPr="00195127" w14:paraId="60DCBAC3" w14:textId="77777777" w:rsidTr="00556B10">
        <w:trPr>
          <w:trHeight w:val="1083"/>
          <w:jc w:val="center"/>
        </w:trPr>
        <w:tc>
          <w:tcPr>
            <w:tcW w:w="552" w:type="dxa"/>
            <w:tcBorders>
              <w:top w:val="nil"/>
              <w:left w:val="single" w:sz="4" w:space="0" w:color="BFBFBF"/>
              <w:bottom w:val="single" w:sz="4" w:space="0" w:color="BFBFBF"/>
              <w:right w:val="single" w:sz="4" w:space="0" w:color="BFBFBF"/>
            </w:tcBorders>
            <w:shd w:val="clear" w:color="auto" w:fill="auto"/>
            <w:hideMark/>
          </w:tcPr>
          <w:p w14:paraId="76A23329"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0092</w:t>
            </w:r>
          </w:p>
        </w:tc>
        <w:tc>
          <w:tcPr>
            <w:tcW w:w="1575" w:type="dxa"/>
            <w:gridSpan w:val="2"/>
            <w:tcBorders>
              <w:top w:val="nil"/>
              <w:left w:val="nil"/>
              <w:bottom w:val="single" w:sz="4" w:space="0" w:color="BFBFBF"/>
              <w:right w:val="single" w:sz="4" w:space="0" w:color="BFBFBF"/>
            </w:tcBorders>
            <w:shd w:val="clear" w:color="000000" w:fill="FFFFFF"/>
            <w:hideMark/>
          </w:tcPr>
          <w:p w14:paraId="4791AB1F" w14:textId="32330E53" w:rsidR="003A04E7" w:rsidRPr="00195127" w:rsidRDefault="0041722E" w:rsidP="0079403B">
            <w:pPr>
              <w:spacing w:before="0"/>
              <w:rPr>
                <w:rFonts w:cs="Calibri"/>
                <w:sz w:val="14"/>
                <w:szCs w:val="18"/>
                <w:lang w:eastAsia="es-ES"/>
              </w:rPr>
            </w:pPr>
            <w:r w:rsidRPr="00195127">
              <w:rPr>
                <w:rFonts w:cs="Calibri"/>
                <w:sz w:val="14"/>
                <w:szCs w:val="18"/>
                <w:lang w:eastAsia="es-ES"/>
              </w:rPr>
              <w:t>Repercusiones desconocidas de la pandemia de COVID-19 en el calendario previsto para el proyecto de construcción</w:t>
            </w:r>
            <w:r w:rsidR="003A04E7" w:rsidRPr="00195127">
              <w:rPr>
                <w:rFonts w:cs="Calibri"/>
                <w:sz w:val="14"/>
                <w:szCs w:val="18"/>
                <w:lang w:eastAsia="es-ES"/>
              </w:rPr>
              <w:t>.</w:t>
            </w:r>
          </w:p>
        </w:tc>
        <w:tc>
          <w:tcPr>
            <w:tcW w:w="1984" w:type="dxa"/>
            <w:tcBorders>
              <w:top w:val="single" w:sz="8" w:space="0" w:color="BFBFBF"/>
              <w:left w:val="nil"/>
              <w:bottom w:val="single" w:sz="8" w:space="0" w:color="BFBFBF"/>
              <w:right w:val="single" w:sz="8" w:space="0" w:color="BFBFBF"/>
            </w:tcBorders>
            <w:shd w:val="clear" w:color="000000" w:fill="FFFFFF"/>
          </w:tcPr>
          <w:p w14:paraId="3A5EAE96" w14:textId="25DA9114" w:rsidR="003A04E7" w:rsidRPr="00195127" w:rsidRDefault="00E409CD" w:rsidP="0079403B">
            <w:pPr>
              <w:spacing w:before="0"/>
              <w:rPr>
                <w:rFonts w:cs="Calibri"/>
                <w:sz w:val="14"/>
                <w:szCs w:val="18"/>
                <w:lang w:eastAsia="es-ES"/>
              </w:rPr>
            </w:pPr>
            <w:r w:rsidRPr="00195127">
              <w:rPr>
                <w:rFonts w:cs="Calibri"/>
                <w:sz w:val="14"/>
                <w:szCs w:val="18"/>
                <w:lang w:eastAsia="es-ES"/>
              </w:rPr>
              <w:t>Carácter impredecible de la p</w:t>
            </w:r>
            <w:r w:rsidR="0041722E" w:rsidRPr="00195127">
              <w:rPr>
                <w:rFonts w:cs="Calibri"/>
                <w:sz w:val="14"/>
                <w:szCs w:val="18"/>
                <w:lang w:eastAsia="es-ES"/>
              </w:rPr>
              <w:t>andemia</w:t>
            </w:r>
            <w:r w:rsidRPr="00195127">
              <w:rPr>
                <w:rFonts w:cs="Calibri"/>
                <w:sz w:val="14"/>
                <w:szCs w:val="18"/>
                <w:lang w:eastAsia="es-ES"/>
              </w:rPr>
              <w:t>.</w:t>
            </w:r>
          </w:p>
        </w:tc>
        <w:tc>
          <w:tcPr>
            <w:tcW w:w="2268" w:type="dxa"/>
            <w:tcBorders>
              <w:top w:val="single" w:sz="8" w:space="0" w:color="BFBFBF"/>
              <w:left w:val="single" w:sz="8" w:space="0" w:color="BFBFBF"/>
              <w:bottom w:val="single" w:sz="8" w:space="0" w:color="BFBFBF"/>
              <w:right w:val="single" w:sz="4" w:space="0" w:color="BFBFBF"/>
            </w:tcBorders>
            <w:shd w:val="clear" w:color="000000" w:fill="FFFFFF"/>
          </w:tcPr>
          <w:p w14:paraId="6C03E473" w14:textId="77777777" w:rsidR="006E15DC" w:rsidRPr="00195127" w:rsidRDefault="00E409CD" w:rsidP="0079403B">
            <w:pPr>
              <w:spacing w:before="0"/>
              <w:rPr>
                <w:rFonts w:cs="Calibri"/>
                <w:sz w:val="14"/>
                <w:szCs w:val="18"/>
                <w:lang w:eastAsia="es-ES"/>
              </w:rPr>
            </w:pPr>
            <w:r w:rsidRPr="00195127">
              <w:rPr>
                <w:rFonts w:cs="Calibri"/>
                <w:sz w:val="14"/>
                <w:szCs w:val="18"/>
                <w:lang w:eastAsia="es-ES"/>
              </w:rPr>
              <w:t>Establecimiento y cuantificación de las medidas de mitigación.</w:t>
            </w:r>
          </w:p>
          <w:p w14:paraId="5D5C80AA" w14:textId="396C434C" w:rsidR="003A04E7" w:rsidRPr="00195127" w:rsidRDefault="00E409CD" w:rsidP="0079403B">
            <w:pPr>
              <w:spacing w:before="0"/>
              <w:rPr>
                <w:rFonts w:cs="Calibri"/>
                <w:sz w:val="14"/>
                <w:szCs w:val="18"/>
                <w:lang w:eastAsia="es-ES"/>
              </w:rPr>
            </w:pPr>
            <w:r w:rsidRPr="00195127">
              <w:rPr>
                <w:rFonts w:cs="Calibri"/>
                <w:sz w:val="14"/>
                <w:szCs w:val="18"/>
                <w:lang w:eastAsia="es-ES"/>
              </w:rPr>
              <w:t>Inclusión de las mejores prácticas aplicadas en otras organizaciones y en el sector privado</w:t>
            </w:r>
            <w:r w:rsidR="003A04E7" w:rsidRPr="00195127">
              <w:rPr>
                <w:rFonts w:cs="Calibri"/>
                <w:sz w:val="14"/>
                <w:szCs w:val="18"/>
                <w:lang w:eastAsia="es-ES"/>
              </w:rPr>
              <w:t>.</w:t>
            </w:r>
          </w:p>
        </w:tc>
        <w:tc>
          <w:tcPr>
            <w:tcW w:w="851" w:type="dxa"/>
            <w:tcBorders>
              <w:top w:val="nil"/>
              <w:left w:val="single" w:sz="4" w:space="0" w:color="BFBFBF"/>
              <w:bottom w:val="single" w:sz="4" w:space="0" w:color="BFBFBF"/>
              <w:right w:val="single" w:sz="4" w:space="0" w:color="BFBFBF"/>
            </w:tcBorders>
            <w:shd w:val="clear" w:color="000000" w:fill="FFFFFF"/>
            <w:hideMark/>
          </w:tcPr>
          <w:p w14:paraId="40C0E13C"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0,70</w:t>
            </w:r>
          </w:p>
        </w:tc>
        <w:tc>
          <w:tcPr>
            <w:tcW w:w="567" w:type="dxa"/>
            <w:tcBorders>
              <w:top w:val="nil"/>
              <w:left w:val="nil"/>
              <w:bottom w:val="single" w:sz="4" w:space="0" w:color="BFBFBF"/>
              <w:right w:val="single" w:sz="4" w:space="0" w:color="BFBFBF"/>
            </w:tcBorders>
            <w:shd w:val="clear" w:color="000000" w:fill="FFFFFF"/>
            <w:noWrap/>
            <w:hideMark/>
          </w:tcPr>
          <w:p w14:paraId="428D8EB7"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4BA8ED1A" w14:textId="18593059"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1</w:t>
            </w:r>
            <w:r w:rsidR="00DB218E" w:rsidRPr="00195127">
              <w:rPr>
                <w:rFonts w:cs="Calibri"/>
                <w:sz w:val="14"/>
                <w:szCs w:val="18"/>
                <w:lang w:eastAsia="es-ES"/>
              </w:rPr>
              <w:t> </w:t>
            </w:r>
            <w:r w:rsidRPr="00195127">
              <w:rPr>
                <w:rFonts w:cs="Calibri"/>
                <w:sz w:val="14"/>
                <w:szCs w:val="18"/>
                <w:lang w:eastAsia="es-ES"/>
              </w:rPr>
              <w:t>572</w:t>
            </w:r>
            <w:r w:rsidR="00DB218E" w:rsidRPr="00195127">
              <w:rPr>
                <w:rFonts w:cs="Calibri"/>
                <w:sz w:val="14"/>
                <w:szCs w:val="18"/>
                <w:lang w:eastAsia="es-ES"/>
              </w:rPr>
              <w:t> </w:t>
            </w:r>
            <w:r w:rsidRPr="00195127">
              <w:rPr>
                <w:rFonts w:cs="Calibri"/>
                <w:sz w:val="14"/>
                <w:szCs w:val="18"/>
                <w:lang w:eastAsia="es-ES"/>
              </w:rPr>
              <w:t>583</w:t>
            </w:r>
          </w:p>
        </w:tc>
        <w:tc>
          <w:tcPr>
            <w:tcW w:w="2259" w:type="dxa"/>
            <w:tcBorders>
              <w:top w:val="nil"/>
              <w:left w:val="nil"/>
              <w:bottom w:val="single" w:sz="4" w:space="0" w:color="BFBFBF"/>
              <w:right w:val="single" w:sz="4" w:space="0" w:color="BFBFBF"/>
            </w:tcBorders>
            <w:shd w:val="clear" w:color="000000" w:fill="FFFFFF"/>
          </w:tcPr>
          <w:p w14:paraId="2A9CEA7E" w14:textId="795458B1" w:rsidR="003A04E7" w:rsidRPr="00195127" w:rsidRDefault="00E409CD" w:rsidP="0079403B">
            <w:pPr>
              <w:spacing w:before="0"/>
              <w:rPr>
                <w:rFonts w:cs="Calibri"/>
                <w:sz w:val="14"/>
                <w:szCs w:val="18"/>
                <w:lang w:eastAsia="es-ES"/>
              </w:rPr>
            </w:pPr>
            <w:r w:rsidRPr="00195127">
              <w:rPr>
                <w:rFonts w:cs="Calibri"/>
                <w:sz w:val="14"/>
                <w:szCs w:val="18"/>
                <w:lang w:eastAsia="es-ES"/>
              </w:rPr>
              <w:t>Aplicación de medidas de mitigación con arreglo al actual protocolo de COVID-19.</w:t>
            </w:r>
          </w:p>
        </w:tc>
      </w:tr>
      <w:tr w:rsidR="003A04E7" w:rsidRPr="00195127" w14:paraId="085AC846" w14:textId="77777777" w:rsidTr="00556B10">
        <w:trPr>
          <w:trHeight w:val="480"/>
          <w:jc w:val="center"/>
        </w:trPr>
        <w:tc>
          <w:tcPr>
            <w:tcW w:w="552" w:type="dxa"/>
            <w:tcBorders>
              <w:top w:val="nil"/>
              <w:left w:val="single" w:sz="4" w:space="0" w:color="BFBFBF"/>
              <w:bottom w:val="single" w:sz="4" w:space="0" w:color="BFBFBF"/>
              <w:right w:val="single" w:sz="4" w:space="0" w:color="BFBFBF"/>
            </w:tcBorders>
            <w:shd w:val="clear" w:color="auto" w:fill="auto"/>
            <w:hideMark/>
          </w:tcPr>
          <w:p w14:paraId="0EF5C6A0"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0094</w:t>
            </w:r>
          </w:p>
        </w:tc>
        <w:tc>
          <w:tcPr>
            <w:tcW w:w="1575" w:type="dxa"/>
            <w:gridSpan w:val="2"/>
            <w:tcBorders>
              <w:top w:val="nil"/>
              <w:left w:val="nil"/>
              <w:bottom w:val="single" w:sz="4" w:space="0" w:color="BFBFBF"/>
              <w:right w:val="single" w:sz="4" w:space="0" w:color="BFBFBF"/>
            </w:tcBorders>
            <w:shd w:val="clear" w:color="auto" w:fill="auto"/>
            <w:hideMark/>
          </w:tcPr>
          <w:p w14:paraId="05D19E4D" w14:textId="315C68FA" w:rsidR="003A04E7" w:rsidRPr="00195127" w:rsidRDefault="00E409CD" w:rsidP="0079403B">
            <w:pPr>
              <w:spacing w:before="0"/>
              <w:rPr>
                <w:rFonts w:cs="Calibri"/>
                <w:sz w:val="14"/>
                <w:szCs w:val="18"/>
                <w:lang w:eastAsia="es-ES"/>
              </w:rPr>
            </w:pPr>
            <w:r w:rsidRPr="00195127">
              <w:rPr>
                <w:rFonts w:cs="Calibri"/>
                <w:sz w:val="14"/>
                <w:szCs w:val="18"/>
                <w:lang w:eastAsia="es-ES"/>
              </w:rPr>
              <w:t>Aceptación por el personal de la disposición de las oficinas pos-</w:t>
            </w:r>
            <w:r w:rsidR="003A04E7" w:rsidRPr="00195127">
              <w:rPr>
                <w:rFonts w:cs="Calibri"/>
                <w:sz w:val="14"/>
                <w:szCs w:val="18"/>
                <w:lang w:eastAsia="es-ES"/>
              </w:rPr>
              <w:t>COVID-19</w:t>
            </w:r>
            <w:r w:rsidR="00466E0A">
              <w:rPr>
                <w:rFonts w:cs="Calibri"/>
                <w:sz w:val="14"/>
                <w:szCs w:val="18"/>
                <w:lang w:eastAsia="es-ES"/>
              </w:rPr>
              <w:t>.</w:t>
            </w:r>
          </w:p>
        </w:tc>
        <w:tc>
          <w:tcPr>
            <w:tcW w:w="1984" w:type="dxa"/>
            <w:tcBorders>
              <w:top w:val="single" w:sz="8" w:space="0" w:color="BFBFBF"/>
              <w:left w:val="nil"/>
              <w:bottom w:val="single" w:sz="4" w:space="0" w:color="BFBFBF"/>
              <w:right w:val="single" w:sz="8" w:space="0" w:color="BFBFBF"/>
            </w:tcBorders>
          </w:tcPr>
          <w:p w14:paraId="55B2AFF6" w14:textId="0C72607D" w:rsidR="003A04E7" w:rsidRPr="00195127" w:rsidRDefault="00E409CD" w:rsidP="0079403B">
            <w:pPr>
              <w:spacing w:before="0"/>
              <w:rPr>
                <w:rFonts w:cs="Calibri"/>
                <w:sz w:val="14"/>
                <w:szCs w:val="18"/>
                <w:lang w:eastAsia="es-ES"/>
              </w:rPr>
            </w:pPr>
            <w:r w:rsidRPr="00195127">
              <w:rPr>
                <w:rFonts w:cs="Calibri"/>
                <w:sz w:val="14"/>
                <w:szCs w:val="18"/>
                <w:lang w:eastAsia="es-ES"/>
              </w:rPr>
              <w:t>Concienciación de la propagación de las enfermedades.</w:t>
            </w:r>
          </w:p>
        </w:tc>
        <w:tc>
          <w:tcPr>
            <w:tcW w:w="2268" w:type="dxa"/>
            <w:tcBorders>
              <w:top w:val="single" w:sz="8" w:space="0" w:color="BFBFBF"/>
              <w:left w:val="single" w:sz="8" w:space="0" w:color="BFBFBF"/>
              <w:bottom w:val="single" w:sz="4" w:space="0" w:color="BFBFBF"/>
              <w:right w:val="single" w:sz="4" w:space="0" w:color="BFBFBF"/>
            </w:tcBorders>
          </w:tcPr>
          <w:p w14:paraId="43154EDA" w14:textId="2B1E5CEA" w:rsidR="003A04E7" w:rsidRPr="00195127" w:rsidRDefault="00E409CD" w:rsidP="0079403B">
            <w:pPr>
              <w:spacing w:before="0"/>
              <w:rPr>
                <w:rFonts w:cs="Calibri"/>
                <w:sz w:val="14"/>
                <w:szCs w:val="18"/>
                <w:lang w:eastAsia="es-ES"/>
              </w:rPr>
            </w:pPr>
            <w:r w:rsidRPr="00195127">
              <w:rPr>
                <w:rFonts w:cs="Calibri"/>
                <w:sz w:val="14"/>
                <w:szCs w:val="18"/>
                <w:lang w:eastAsia="es-ES"/>
              </w:rPr>
              <w:t>Comunicación adecuada basada en datos empíricos y decisiones de gestión</w:t>
            </w:r>
            <w:r w:rsidR="003A04E7" w:rsidRPr="00195127">
              <w:rPr>
                <w:rFonts w:cs="Calibri"/>
                <w:sz w:val="14"/>
                <w:szCs w:val="18"/>
                <w:lang w:eastAsia="es-ES"/>
              </w:rPr>
              <w:t>.</w:t>
            </w:r>
          </w:p>
        </w:tc>
        <w:tc>
          <w:tcPr>
            <w:tcW w:w="851" w:type="dxa"/>
            <w:tcBorders>
              <w:top w:val="nil"/>
              <w:left w:val="single" w:sz="4" w:space="0" w:color="BFBFBF"/>
              <w:bottom w:val="single" w:sz="4" w:space="0" w:color="BFBFBF"/>
              <w:right w:val="single" w:sz="4" w:space="0" w:color="BFBFBF"/>
            </w:tcBorders>
            <w:shd w:val="clear" w:color="auto" w:fill="auto"/>
            <w:hideMark/>
          </w:tcPr>
          <w:p w14:paraId="237EDCE9"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0,50</w:t>
            </w:r>
          </w:p>
        </w:tc>
        <w:tc>
          <w:tcPr>
            <w:tcW w:w="567" w:type="dxa"/>
            <w:tcBorders>
              <w:top w:val="nil"/>
              <w:left w:val="nil"/>
              <w:bottom w:val="single" w:sz="4" w:space="0" w:color="BFBFBF"/>
              <w:right w:val="single" w:sz="4" w:space="0" w:color="BFBFBF"/>
            </w:tcBorders>
            <w:shd w:val="clear" w:color="auto" w:fill="auto"/>
            <w:noWrap/>
            <w:hideMark/>
          </w:tcPr>
          <w:p w14:paraId="54ED96B5"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39BB8335"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w:t>
            </w:r>
          </w:p>
        </w:tc>
        <w:tc>
          <w:tcPr>
            <w:tcW w:w="2259" w:type="dxa"/>
            <w:tcBorders>
              <w:top w:val="nil"/>
              <w:left w:val="nil"/>
              <w:bottom w:val="single" w:sz="4" w:space="0" w:color="BFBFBF"/>
              <w:right w:val="single" w:sz="4" w:space="0" w:color="BFBFBF"/>
            </w:tcBorders>
            <w:shd w:val="clear" w:color="auto" w:fill="auto"/>
          </w:tcPr>
          <w:p w14:paraId="69A55FD8" w14:textId="4134039B" w:rsidR="003A04E7" w:rsidRPr="00195127" w:rsidRDefault="00E409CD" w:rsidP="0079403B">
            <w:pPr>
              <w:spacing w:before="0"/>
              <w:rPr>
                <w:rFonts w:cs="Calibri"/>
                <w:sz w:val="14"/>
                <w:szCs w:val="18"/>
                <w:lang w:eastAsia="es-ES"/>
              </w:rPr>
            </w:pPr>
            <w:r w:rsidRPr="00195127">
              <w:rPr>
                <w:rFonts w:cs="Calibri"/>
                <w:sz w:val="14"/>
                <w:szCs w:val="18"/>
                <w:lang w:eastAsia="es-ES"/>
              </w:rPr>
              <w:t>Incalculable</w:t>
            </w:r>
            <w:r w:rsidR="00466E0A">
              <w:rPr>
                <w:rFonts w:cs="Calibri"/>
                <w:sz w:val="14"/>
                <w:szCs w:val="18"/>
                <w:lang w:eastAsia="es-ES"/>
              </w:rPr>
              <w:t>.</w:t>
            </w:r>
          </w:p>
        </w:tc>
      </w:tr>
      <w:tr w:rsidR="003A04E7" w:rsidRPr="00195127" w14:paraId="31E17FFD" w14:textId="77777777" w:rsidTr="00477436">
        <w:trPr>
          <w:trHeight w:val="208"/>
          <w:jc w:val="center"/>
        </w:trPr>
        <w:tc>
          <w:tcPr>
            <w:tcW w:w="10915" w:type="dxa"/>
            <w:gridSpan w:val="9"/>
            <w:tcBorders>
              <w:top w:val="nil"/>
              <w:left w:val="single" w:sz="4" w:space="0" w:color="BFBFBF"/>
              <w:bottom w:val="single" w:sz="8" w:space="0" w:color="BFBFBF"/>
              <w:right w:val="single" w:sz="4" w:space="0" w:color="BFBFBF"/>
            </w:tcBorders>
            <w:shd w:val="clear" w:color="auto" w:fill="D9D9D9" w:themeFill="background1" w:themeFillShade="D9"/>
          </w:tcPr>
          <w:p w14:paraId="1DC1E100" w14:textId="7E651408" w:rsidR="003A04E7" w:rsidRPr="00195127" w:rsidRDefault="008746AE" w:rsidP="0079403B">
            <w:pPr>
              <w:spacing w:before="0"/>
              <w:rPr>
                <w:rFonts w:cs="Calibri"/>
                <w:sz w:val="14"/>
                <w:szCs w:val="18"/>
                <w:lang w:eastAsia="es-ES"/>
              </w:rPr>
            </w:pPr>
            <w:r w:rsidRPr="00195127">
              <w:rPr>
                <w:rFonts w:cs="Calibri"/>
                <w:b/>
                <w:bCs/>
                <w:color w:val="000000"/>
                <w:sz w:val="20"/>
                <w:lang w:eastAsia="es-ES"/>
              </w:rPr>
              <w:t>Gestión del cambio y comunicaciones</w:t>
            </w:r>
          </w:p>
        </w:tc>
      </w:tr>
      <w:tr w:rsidR="003A04E7" w:rsidRPr="00195127" w14:paraId="00D8F2E4" w14:textId="77777777" w:rsidTr="00E409CD">
        <w:trPr>
          <w:trHeight w:val="1145"/>
          <w:jc w:val="center"/>
        </w:trPr>
        <w:tc>
          <w:tcPr>
            <w:tcW w:w="552" w:type="dxa"/>
            <w:tcBorders>
              <w:top w:val="single" w:sz="8" w:space="0" w:color="BFBFBF"/>
              <w:left w:val="single" w:sz="4" w:space="0" w:color="BFBFBF"/>
              <w:bottom w:val="single" w:sz="8" w:space="0" w:color="BFBFBF"/>
              <w:right w:val="single" w:sz="8" w:space="0" w:color="BFBFBF"/>
            </w:tcBorders>
            <w:shd w:val="clear" w:color="000000" w:fill="FFFFFF"/>
            <w:hideMark/>
          </w:tcPr>
          <w:p w14:paraId="32F7CF39"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0068</w:t>
            </w:r>
          </w:p>
        </w:tc>
        <w:tc>
          <w:tcPr>
            <w:tcW w:w="1575" w:type="dxa"/>
            <w:gridSpan w:val="2"/>
            <w:tcBorders>
              <w:top w:val="single" w:sz="8" w:space="0" w:color="BFBFBF"/>
              <w:left w:val="single" w:sz="8" w:space="0" w:color="BFBFBF"/>
              <w:bottom w:val="single" w:sz="8" w:space="0" w:color="BFBFBF"/>
              <w:right w:val="single" w:sz="8" w:space="0" w:color="BFBFBF"/>
            </w:tcBorders>
            <w:shd w:val="clear" w:color="auto" w:fill="auto"/>
            <w:hideMark/>
          </w:tcPr>
          <w:p w14:paraId="67D58E07" w14:textId="363D7567" w:rsidR="003A04E7" w:rsidRPr="00195127" w:rsidRDefault="003A04E7" w:rsidP="0079403B">
            <w:pPr>
              <w:spacing w:before="0"/>
              <w:rPr>
                <w:rFonts w:cs="Calibri"/>
                <w:sz w:val="14"/>
                <w:szCs w:val="18"/>
                <w:lang w:eastAsia="es-ES"/>
              </w:rPr>
            </w:pPr>
            <w:bookmarkStart w:id="105" w:name="lt_pId952"/>
            <w:r w:rsidRPr="00195127">
              <w:rPr>
                <w:rFonts w:cs="Calibri"/>
                <w:sz w:val="14"/>
                <w:szCs w:val="18"/>
                <w:lang w:eastAsia="es-ES"/>
              </w:rPr>
              <w:t>Los directivos no respaldan el proyecto.</w:t>
            </w:r>
            <w:bookmarkEnd w:id="105"/>
            <w:r w:rsidRPr="00195127">
              <w:rPr>
                <w:rFonts w:cs="Calibri"/>
                <w:sz w:val="14"/>
                <w:szCs w:val="18"/>
                <w:lang w:eastAsia="es-ES"/>
              </w:rPr>
              <w:t xml:space="preserve"> No recibir apoyo y patrocinio de los dirigentes.</w:t>
            </w:r>
          </w:p>
        </w:tc>
        <w:tc>
          <w:tcPr>
            <w:tcW w:w="1984" w:type="dxa"/>
            <w:tcBorders>
              <w:top w:val="single" w:sz="8" w:space="0" w:color="BFBFBF"/>
              <w:left w:val="single" w:sz="8" w:space="0" w:color="BFBFBF"/>
              <w:bottom w:val="single" w:sz="8" w:space="0" w:color="BFBFBF"/>
              <w:right w:val="single" w:sz="8" w:space="0" w:color="BFBFBF"/>
            </w:tcBorders>
          </w:tcPr>
          <w:p w14:paraId="25F05DAF" w14:textId="6662F532" w:rsidR="003A04E7" w:rsidRPr="00195127" w:rsidRDefault="003A04E7" w:rsidP="0079403B">
            <w:pPr>
              <w:spacing w:before="0"/>
              <w:rPr>
                <w:rFonts w:cs="Calibri"/>
                <w:sz w:val="16"/>
                <w:szCs w:val="16"/>
                <w:lang w:eastAsia="es-ES"/>
              </w:rPr>
            </w:pPr>
            <w:bookmarkStart w:id="106" w:name="lt_pId954"/>
            <w:r w:rsidRPr="00195127">
              <w:rPr>
                <w:rFonts w:cs="Calibri"/>
                <w:sz w:val="14"/>
                <w:szCs w:val="18"/>
                <w:lang w:eastAsia="es-ES"/>
              </w:rPr>
              <w:t>El equipo del proyecto puede carecer de autoridad para alcanzar los objetivos del proyecto</w:t>
            </w:r>
            <w:bookmarkStart w:id="107" w:name="lt_pId955"/>
            <w:bookmarkEnd w:id="106"/>
            <w:r w:rsidRPr="00195127">
              <w:rPr>
                <w:rFonts w:cs="Calibri"/>
                <w:sz w:val="14"/>
                <w:szCs w:val="18"/>
                <w:lang w:eastAsia="es-ES"/>
              </w:rPr>
              <w:t>, en cuyo caso, el apoyo de los directivos es fundamental para el éxito del proyecto</w:t>
            </w:r>
            <w:r w:rsidRPr="00195127">
              <w:rPr>
                <w:rFonts w:cs="Calibri"/>
                <w:sz w:val="16"/>
                <w:szCs w:val="16"/>
                <w:lang w:eastAsia="es-ES"/>
              </w:rPr>
              <w:t>.</w:t>
            </w:r>
            <w:bookmarkEnd w:id="107"/>
          </w:p>
        </w:tc>
        <w:tc>
          <w:tcPr>
            <w:tcW w:w="2268" w:type="dxa"/>
            <w:tcBorders>
              <w:top w:val="single" w:sz="8" w:space="0" w:color="BFBFBF"/>
              <w:left w:val="single" w:sz="8" w:space="0" w:color="BFBFBF"/>
              <w:bottom w:val="single" w:sz="8" w:space="0" w:color="BFBFBF"/>
              <w:right w:val="single" w:sz="8" w:space="0" w:color="BFBFBF"/>
            </w:tcBorders>
          </w:tcPr>
          <w:p w14:paraId="1146C796" w14:textId="25EE9701" w:rsidR="003A04E7" w:rsidRPr="00195127" w:rsidRDefault="00923793" w:rsidP="0079403B">
            <w:pPr>
              <w:spacing w:before="0"/>
              <w:rPr>
                <w:rFonts w:cs="Calibri"/>
                <w:sz w:val="14"/>
                <w:szCs w:val="18"/>
                <w:lang w:eastAsia="es-ES"/>
              </w:rPr>
            </w:pPr>
            <w:bookmarkStart w:id="108" w:name="lt_pId962"/>
            <w:r w:rsidRPr="00195127">
              <w:rPr>
                <w:rFonts w:cs="Calibri"/>
                <w:sz w:val="14"/>
                <w:szCs w:val="18"/>
                <w:lang w:eastAsia="es-ES"/>
              </w:rPr>
              <w:t xml:space="preserve">Participación de </w:t>
            </w:r>
            <w:r w:rsidR="003A04E7" w:rsidRPr="00195127">
              <w:rPr>
                <w:rFonts w:cs="Calibri"/>
                <w:sz w:val="14"/>
                <w:szCs w:val="18"/>
                <w:lang w:eastAsia="es-ES"/>
              </w:rPr>
              <w:t>los dirigentes desde las primeras fases del pro</w:t>
            </w:r>
            <w:r w:rsidR="004107D6" w:rsidRPr="00195127">
              <w:rPr>
                <w:rFonts w:cs="Calibri"/>
                <w:sz w:val="14"/>
                <w:szCs w:val="18"/>
                <w:lang w:eastAsia="es-ES"/>
              </w:rPr>
              <w:t>ceso</w:t>
            </w:r>
            <w:r w:rsidR="003A04E7" w:rsidRPr="00195127">
              <w:rPr>
                <w:rFonts w:cs="Calibri"/>
                <w:sz w:val="14"/>
                <w:szCs w:val="18"/>
                <w:lang w:eastAsia="es-ES"/>
              </w:rPr>
              <w:t>, ya que infunden la autoridad y la influencia necesarias para lograr con éxito introducir cambios en el lugar de trabajo</w:t>
            </w:r>
            <w:r w:rsidR="004107D6" w:rsidRPr="00195127">
              <w:rPr>
                <w:rFonts w:cs="Calibri"/>
                <w:sz w:val="14"/>
                <w:szCs w:val="18"/>
                <w:lang w:eastAsia="es-ES"/>
              </w:rPr>
              <w:t xml:space="preserve"> y</w:t>
            </w:r>
            <w:bookmarkStart w:id="109" w:name="lt_pId963"/>
            <w:bookmarkEnd w:id="108"/>
            <w:r w:rsidR="003A04E7" w:rsidRPr="00195127">
              <w:rPr>
                <w:rFonts w:cs="Calibri"/>
                <w:sz w:val="14"/>
                <w:szCs w:val="18"/>
                <w:lang w:eastAsia="es-ES"/>
              </w:rPr>
              <w:t xml:space="preserve"> desempeñan una función esencial en tiempos de cambio.</w:t>
            </w:r>
            <w:bookmarkEnd w:id="109"/>
          </w:p>
        </w:tc>
        <w:tc>
          <w:tcPr>
            <w:tcW w:w="851" w:type="dxa"/>
            <w:tcBorders>
              <w:top w:val="single" w:sz="8" w:space="0" w:color="BFBFBF"/>
              <w:left w:val="single" w:sz="8" w:space="0" w:color="BFBFBF"/>
              <w:bottom w:val="single" w:sz="8" w:space="0" w:color="BFBFBF"/>
              <w:right w:val="single" w:sz="8" w:space="0" w:color="BFBFBF"/>
            </w:tcBorders>
            <w:shd w:val="clear" w:color="auto" w:fill="auto"/>
            <w:hideMark/>
          </w:tcPr>
          <w:p w14:paraId="63638421"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0,30</w:t>
            </w:r>
          </w:p>
        </w:tc>
        <w:tc>
          <w:tcPr>
            <w:tcW w:w="567" w:type="dxa"/>
            <w:tcBorders>
              <w:top w:val="single" w:sz="8" w:space="0" w:color="BFBFBF"/>
              <w:left w:val="single" w:sz="8" w:space="0" w:color="BFBFBF"/>
              <w:bottom w:val="single" w:sz="8" w:space="0" w:color="BFBFBF"/>
              <w:right w:val="single" w:sz="8" w:space="0" w:color="BFBFBF"/>
            </w:tcBorders>
            <w:shd w:val="clear" w:color="auto" w:fill="auto"/>
            <w:noWrap/>
            <w:hideMark/>
          </w:tcPr>
          <w:p w14:paraId="7BD0E07E"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0,70</w:t>
            </w:r>
          </w:p>
        </w:tc>
        <w:tc>
          <w:tcPr>
            <w:tcW w:w="859" w:type="dxa"/>
            <w:tcBorders>
              <w:top w:val="single" w:sz="8" w:space="0" w:color="BFBFBF"/>
              <w:left w:val="single" w:sz="8" w:space="0" w:color="BFBFBF"/>
              <w:bottom w:val="single" w:sz="8" w:space="0" w:color="BFBFBF"/>
              <w:right w:val="single" w:sz="8" w:space="0" w:color="BFBFBF"/>
            </w:tcBorders>
            <w:shd w:val="clear" w:color="000000" w:fill="FFFFFF"/>
            <w:hideMark/>
          </w:tcPr>
          <w:p w14:paraId="1741414E"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w:t>
            </w:r>
          </w:p>
        </w:tc>
        <w:tc>
          <w:tcPr>
            <w:tcW w:w="2259" w:type="dxa"/>
            <w:tcBorders>
              <w:top w:val="single" w:sz="8" w:space="0" w:color="BFBFBF"/>
              <w:left w:val="single" w:sz="8" w:space="0" w:color="BFBFBF"/>
              <w:bottom w:val="single" w:sz="8" w:space="0" w:color="BFBFBF"/>
              <w:right w:val="single" w:sz="4" w:space="0" w:color="BFBFBF"/>
            </w:tcBorders>
            <w:shd w:val="clear" w:color="auto" w:fill="auto"/>
          </w:tcPr>
          <w:p w14:paraId="3D7306CE" w14:textId="6FFCB5EC" w:rsidR="003A04E7" w:rsidRPr="00195127" w:rsidRDefault="00E409CD" w:rsidP="0079403B">
            <w:pPr>
              <w:spacing w:before="0"/>
              <w:rPr>
                <w:rFonts w:cs="Calibri"/>
                <w:sz w:val="14"/>
                <w:szCs w:val="18"/>
                <w:lang w:eastAsia="es-ES"/>
              </w:rPr>
            </w:pPr>
            <w:r w:rsidRPr="00195127">
              <w:rPr>
                <w:rFonts w:cs="Calibri"/>
                <w:sz w:val="14"/>
                <w:szCs w:val="18"/>
                <w:lang w:eastAsia="es-ES"/>
              </w:rPr>
              <w:t>Incalculable</w:t>
            </w:r>
            <w:r w:rsidR="00466E0A">
              <w:rPr>
                <w:rFonts w:cs="Calibri"/>
                <w:sz w:val="14"/>
                <w:szCs w:val="18"/>
                <w:lang w:eastAsia="es-ES"/>
              </w:rPr>
              <w:t>.</w:t>
            </w:r>
          </w:p>
        </w:tc>
      </w:tr>
      <w:tr w:rsidR="003A04E7" w:rsidRPr="00195127" w14:paraId="1DB3A455" w14:textId="77777777" w:rsidTr="00E409CD">
        <w:trPr>
          <w:trHeight w:val="615"/>
          <w:jc w:val="center"/>
        </w:trPr>
        <w:tc>
          <w:tcPr>
            <w:tcW w:w="552" w:type="dxa"/>
            <w:tcBorders>
              <w:top w:val="single" w:sz="8" w:space="0" w:color="BFBFBF"/>
              <w:left w:val="single" w:sz="4" w:space="0" w:color="BFBFBF"/>
              <w:bottom w:val="single" w:sz="4" w:space="0" w:color="BFBFBF"/>
              <w:right w:val="single" w:sz="8" w:space="0" w:color="BFBFBF"/>
            </w:tcBorders>
            <w:shd w:val="clear" w:color="000000" w:fill="FFFFFF"/>
          </w:tcPr>
          <w:p w14:paraId="1DEAD771"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0070</w:t>
            </w:r>
          </w:p>
        </w:tc>
        <w:tc>
          <w:tcPr>
            <w:tcW w:w="1575" w:type="dxa"/>
            <w:gridSpan w:val="2"/>
            <w:tcBorders>
              <w:top w:val="single" w:sz="8" w:space="0" w:color="BFBFBF"/>
              <w:left w:val="single" w:sz="8" w:space="0" w:color="BFBFBF"/>
              <w:bottom w:val="single" w:sz="4" w:space="0" w:color="BFBFBF"/>
              <w:right w:val="single" w:sz="8" w:space="0" w:color="BFBFBF"/>
            </w:tcBorders>
            <w:shd w:val="clear" w:color="auto" w:fill="auto"/>
          </w:tcPr>
          <w:p w14:paraId="5557CFE2" w14:textId="037B2169" w:rsidR="003A04E7" w:rsidRPr="00195127" w:rsidRDefault="004107D6" w:rsidP="0079403B">
            <w:pPr>
              <w:spacing w:before="0"/>
              <w:rPr>
                <w:rFonts w:cs="Calibri"/>
                <w:sz w:val="14"/>
                <w:szCs w:val="18"/>
                <w:lang w:eastAsia="es-ES"/>
              </w:rPr>
            </w:pPr>
            <w:r w:rsidRPr="00195127">
              <w:rPr>
                <w:rFonts w:cs="Calibri"/>
                <w:sz w:val="14"/>
                <w:szCs w:val="18"/>
                <w:lang w:eastAsia="es-ES"/>
              </w:rPr>
              <w:t>Comunicación inadecuada</w:t>
            </w:r>
            <w:r w:rsidR="00466E0A">
              <w:rPr>
                <w:rFonts w:cs="Calibri"/>
                <w:sz w:val="14"/>
                <w:szCs w:val="18"/>
                <w:lang w:eastAsia="es-ES"/>
              </w:rPr>
              <w:t>.</w:t>
            </w:r>
          </w:p>
        </w:tc>
        <w:tc>
          <w:tcPr>
            <w:tcW w:w="1984" w:type="dxa"/>
            <w:tcBorders>
              <w:top w:val="single" w:sz="8" w:space="0" w:color="BFBFBF"/>
              <w:left w:val="single" w:sz="8" w:space="0" w:color="BFBFBF"/>
              <w:bottom w:val="single" w:sz="4" w:space="0" w:color="BFBFBF"/>
              <w:right w:val="single" w:sz="8" w:space="0" w:color="BFBFBF"/>
            </w:tcBorders>
          </w:tcPr>
          <w:p w14:paraId="24CF0189" w14:textId="701317BA" w:rsidR="003A04E7" w:rsidRPr="00195127" w:rsidRDefault="004107D6" w:rsidP="0079403B">
            <w:pPr>
              <w:spacing w:before="0"/>
              <w:rPr>
                <w:rFonts w:cs="Calibri"/>
                <w:sz w:val="14"/>
                <w:szCs w:val="18"/>
                <w:lang w:eastAsia="es-ES"/>
              </w:rPr>
            </w:pPr>
            <w:r w:rsidRPr="00195127">
              <w:rPr>
                <w:rFonts w:cs="Calibri"/>
                <w:sz w:val="14"/>
                <w:szCs w:val="18"/>
                <w:lang w:eastAsia="es-ES"/>
              </w:rPr>
              <w:t>Subestimación de la importancia de una comunicación adecuada</w:t>
            </w:r>
            <w:r w:rsidR="003A04E7" w:rsidRPr="00195127">
              <w:rPr>
                <w:rFonts w:cs="Calibri"/>
                <w:sz w:val="14"/>
                <w:szCs w:val="18"/>
                <w:lang w:eastAsia="es-ES"/>
              </w:rPr>
              <w:t>.</w:t>
            </w:r>
          </w:p>
        </w:tc>
        <w:tc>
          <w:tcPr>
            <w:tcW w:w="2268" w:type="dxa"/>
            <w:tcBorders>
              <w:top w:val="single" w:sz="8" w:space="0" w:color="BFBFBF"/>
              <w:left w:val="single" w:sz="8" w:space="0" w:color="BFBFBF"/>
              <w:bottom w:val="single" w:sz="4" w:space="0" w:color="BFBFBF"/>
              <w:right w:val="single" w:sz="8" w:space="0" w:color="BFBFBF"/>
            </w:tcBorders>
          </w:tcPr>
          <w:p w14:paraId="5E7D1711" w14:textId="613C6E5E" w:rsidR="003A04E7" w:rsidRPr="00195127" w:rsidRDefault="004107D6" w:rsidP="0079403B">
            <w:pPr>
              <w:spacing w:before="0"/>
              <w:rPr>
                <w:rFonts w:cs="Calibri"/>
                <w:sz w:val="14"/>
                <w:szCs w:val="18"/>
                <w:lang w:eastAsia="es-ES"/>
              </w:rPr>
            </w:pPr>
            <w:r w:rsidRPr="00195127">
              <w:rPr>
                <w:rFonts w:cs="Calibri"/>
                <w:sz w:val="14"/>
                <w:szCs w:val="18"/>
                <w:lang w:eastAsia="es-ES"/>
              </w:rPr>
              <w:t>Contratación de un experto en comunicación dedicado al establecimiento de una comunicación adecuada.</w:t>
            </w:r>
          </w:p>
        </w:tc>
        <w:tc>
          <w:tcPr>
            <w:tcW w:w="851" w:type="dxa"/>
            <w:tcBorders>
              <w:top w:val="single" w:sz="8" w:space="0" w:color="BFBFBF"/>
              <w:left w:val="single" w:sz="8" w:space="0" w:color="BFBFBF"/>
              <w:bottom w:val="single" w:sz="4" w:space="0" w:color="BFBFBF"/>
              <w:right w:val="single" w:sz="8" w:space="0" w:color="BFBFBF"/>
            </w:tcBorders>
            <w:shd w:val="clear" w:color="auto" w:fill="auto"/>
          </w:tcPr>
          <w:p w14:paraId="7FEAC462"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0,30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tcPr>
          <w:p w14:paraId="6C7CE24E"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0,60</w:t>
            </w:r>
          </w:p>
        </w:tc>
        <w:tc>
          <w:tcPr>
            <w:tcW w:w="859" w:type="dxa"/>
            <w:tcBorders>
              <w:top w:val="single" w:sz="8" w:space="0" w:color="BFBFBF"/>
              <w:left w:val="single" w:sz="8" w:space="0" w:color="BFBFBF"/>
              <w:bottom w:val="single" w:sz="4" w:space="0" w:color="BFBFBF"/>
              <w:right w:val="single" w:sz="8" w:space="0" w:color="BFBFBF"/>
            </w:tcBorders>
            <w:shd w:val="clear" w:color="000000" w:fill="FFFFFF"/>
          </w:tcPr>
          <w:p w14:paraId="0E02AA2C"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w:t>
            </w:r>
          </w:p>
        </w:tc>
        <w:tc>
          <w:tcPr>
            <w:tcW w:w="2259" w:type="dxa"/>
            <w:tcBorders>
              <w:top w:val="single" w:sz="8" w:space="0" w:color="BFBFBF"/>
              <w:left w:val="single" w:sz="8" w:space="0" w:color="BFBFBF"/>
              <w:bottom w:val="single" w:sz="4" w:space="0" w:color="BFBFBF"/>
              <w:right w:val="single" w:sz="4" w:space="0" w:color="BFBFBF"/>
            </w:tcBorders>
            <w:shd w:val="clear" w:color="auto" w:fill="auto"/>
          </w:tcPr>
          <w:p w14:paraId="174719C0" w14:textId="25BD734A" w:rsidR="003A04E7" w:rsidRPr="00195127" w:rsidRDefault="00E409CD" w:rsidP="0079403B">
            <w:pPr>
              <w:spacing w:before="0"/>
              <w:rPr>
                <w:rFonts w:cs="Calibri"/>
                <w:sz w:val="14"/>
                <w:szCs w:val="18"/>
                <w:lang w:eastAsia="es-ES"/>
              </w:rPr>
            </w:pPr>
            <w:r w:rsidRPr="00195127">
              <w:rPr>
                <w:rFonts w:cs="Calibri"/>
                <w:sz w:val="14"/>
                <w:szCs w:val="18"/>
                <w:lang w:eastAsia="es-ES"/>
              </w:rPr>
              <w:t>Incalculable</w:t>
            </w:r>
            <w:r w:rsidR="00466E0A">
              <w:rPr>
                <w:rFonts w:cs="Calibri"/>
                <w:sz w:val="14"/>
                <w:szCs w:val="18"/>
                <w:lang w:eastAsia="es-ES"/>
              </w:rPr>
              <w:t>.</w:t>
            </w:r>
          </w:p>
        </w:tc>
      </w:tr>
      <w:tr w:rsidR="003A04E7" w:rsidRPr="00195127" w14:paraId="2DC795AB" w14:textId="77777777" w:rsidTr="00477436">
        <w:trPr>
          <w:trHeight w:val="296"/>
          <w:jc w:val="center"/>
        </w:trPr>
        <w:tc>
          <w:tcPr>
            <w:tcW w:w="2127" w:type="dxa"/>
            <w:gridSpan w:val="3"/>
            <w:tcBorders>
              <w:top w:val="nil"/>
              <w:left w:val="single" w:sz="4" w:space="0" w:color="BFBFBF"/>
              <w:bottom w:val="single" w:sz="8" w:space="0" w:color="BFBFBF"/>
              <w:right w:val="single" w:sz="4" w:space="0" w:color="BFBFBF"/>
            </w:tcBorders>
            <w:shd w:val="clear" w:color="auto" w:fill="D9D9D9" w:themeFill="background1" w:themeFillShade="D9"/>
          </w:tcPr>
          <w:p w14:paraId="0FB41298" w14:textId="128DAB80" w:rsidR="003A04E7" w:rsidRPr="00195127" w:rsidRDefault="004107D6" w:rsidP="0079403B">
            <w:pPr>
              <w:spacing w:before="0"/>
              <w:rPr>
                <w:rFonts w:cs="Calibri"/>
                <w:sz w:val="14"/>
                <w:szCs w:val="18"/>
                <w:lang w:eastAsia="es-ES"/>
              </w:rPr>
            </w:pPr>
            <w:r w:rsidRPr="00195127">
              <w:rPr>
                <w:rFonts w:cs="Calibri"/>
                <w:b/>
                <w:bCs/>
                <w:color w:val="000000"/>
                <w:sz w:val="20"/>
                <w:lang w:eastAsia="es-ES"/>
              </w:rPr>
              <w:t>Programa</w:t>
            </w:r>
          </w:p>
        </w:tc>
        <w:tc>
          <w:tcPr>
            <w:tcW w:w="1984" w:type="dxa"/>
            <w:tcBorders>
              <w:top w:val="nil"/>
              <w:left w:val="nil"/>
              <w:bottom w:val="single" w:sz="8" w:space="0" w:color="BFBFBF"/>
              <w:right w:val="nil"/>
            </w:tcBorders>
            <w:shd w:val="clear" w:color="auto" w:fill="D9D9D9" w:themeFill="background1" w:themeFillShade="D9"/>
          </w:tcPr>
          <w:p w14:paraId="0A3A102A" w14:textId="77777777" w:rsidR="003A04E7" w:rsidRPr="00195127" w:rsidRDefault="003A04E7" w:rsidP="0079403B">
            <w:pPr>
              <w:spacing w:before="0"/>
              <w:jc w:val="center"/>
              <w:rPr>
                <w:rFonts w:cs="Calibri"/>
                <w:sz w:val="14"/>
                <w:szCs w:val="18"/>
                <w:lang w:eastAsia="es-ES"/>
              </w:rPr>
            </w:pPr>
          </w:p>
        </w:tc>
        <w:tc>
          <w:tcPr>
            <w:tcW w:w="2268" w:type="dxa"/>
            <w:tcBorders>
              <w:top w:val="nil"/>
              <w:left w:val="nil"/>
              <w:bottom w:val="single" w:sz="8" w:space="0" w:color="BFBFBF"/>
              <w:right w:val="nil"/>
            </w:tcBorders>
            <w:shd w:val="clear" w:color="auto" w:fill="D9D9D9" w:themeFill="background1" w:themeFillShade="D9"/>
          </w:tcPr>
          <w:p w14:paraId="708ABE8C" w14:textId="77777777" w:rsidR="003A04E7" w:rsidRPr="00195127" w:rsidRDefault="003A04E7" w:rsidP="0079403B">
            <w:pPr>
              <w:spacing w:before="0"/>
              <w:rPr>
                <w:rFonts w:cs="Calibri"/>
                <w:sz w:val="14"/>
                <w:szCs w:val="18"/>
                <w:lang w:eastAsia="es-ES"/>
              </w:rPr>
            </w:pPr>
          </w:p>
        </w:tc>
        <w:tc>
          <w:tcPr>
            <w:tcW w:w="851" w:type="dxa"/>
            <w:tcBorders>
              <w:top w:val="nil"/>
              <w:left w:val="nil"/>
              <w:bottom w:val="single" w:sz="8" w:space="0" w:color="BFBFBF"/>
              <w:right w:val="single" w:sz="4" w:space="0" w:color="BFBFBF"/>
            </w:tcBorders>
            <w:shd w:val="clear" w:color="auto" w:fill="D9D9D9" w:themeFill="background1" w:themeFillShade="D9"/>
          </w:tcPr>
          <w:p w14:paraId="15BCEFE8" w14:textId="77777777" w:rsidR="003A04E7" w:rsidRPr="00195127" w:rsidRDefault="003A04E7" w:rsidP="0079403B">
            <w:pPr>
              <w:spacing w:before="0"/>
              <w:jc w:val="center"/>
              <w:rPr>
                <w:rFonts w:cs="Calibri"/>
                <w:sz w:val="14"/>
                <w:szCs w:val="18"/>
                <w:lang w:eastAsia="es-ES"/>
              </w:rPr>
            </w:pPr>
          </w:p>
        </w:tc>
        <w:tc>
          <w:tcPr>
            <w:tcW w:w="567" w:type="dxa"/>
            <w:tcBorders>
              <w:top w:val="nil"/>
              <w:left w:val="nil"/>
              <w:bottom w:val="single" w:sz="8" w:space="0" w:color="BFBFBF"/>
              <w:right w:val="single" w:sz="4" w:space="0" w:color="BFBFBF"/>
            </w:tcBorders>
            <w:shd w:val="clear" w:color="auto" w:fill="D9D9D9" w:themeFill="background1" w:themeFillShade="D9"/>
            <w:noWrap/>
          </w:tcPr>
          <w:p w14:paraId="0C4C5241" w14:textId="77777777" w:rsidR="003A04E7" w:rsidRPr="00195127" w:rsidRDefault="003A04E7" w:rsidP="0079403B">
            <w:pPr>
              <w:spacing w:before="0"/>
              <w:jc w:val="center"/>
              <w:rPr>
                <w:rFonts w:cs="Calibri"/>
                <w:sz w:val="14"/>
                <w:szCs w:val="18"/>
                <w:lang w:eastAsia="es-ES"/>
              </w:rPr>
            </w:pPr>
          </w:p>
        </w:tc>
        <w:tc>
          <w:tcPr>
            <w:tcW w:w="859" w:type="dxa"/>
            <w:tcBorders>
              <w:top w:val="nil"/>
              <w:left w:val="nil"/>
              <w:bottom w:val="single" w:sz="8" w:space="0" w:color="BFBFBF"/>
              <w:right w:val="single" w:sz="4" w:space="0" w:color="BFBFBF"/>
            </w:tcBorders>
            <w:shd w:val="clear" w:color="auto" w:fill="D9D9D9" w:themeFill="background1" w:themeFillShade="D9"/>
          </w:tcPr>
          <w:p w14:paraId="66FC3937" w14:textId="77777777" w:rsidR="003A04E7" w:rsidRPr="00195127" w:rsidRDefault="003A04E7" w:rsidP="0079403B">
            <w:pPr>
              <w:spacing w:before="0"/>
              <w:jc w:val="center"/>
              <w:rPr>
                <w:rFonts w:cs="Calibri"/>
                <w:sz w:val="14"/>
                <w:szCs w:val="18"/>
                <w:lang w:eastAsia="es-ES"/>
              </w:rPr>
            </w:pPr>
          </w:p>
        </w:tc>
        <w:tc>
          <w:tcPr>
            <w:tcW w:w="2259" w:type="dxa"/>
            <w:tcBorders>
              <w:top w:val="nil"/>
              <w:left w:val="nil"/>
              <w:bottom w:val="single" w:sz="8" w:space="0" w:color="BFBFBF"/>
              <w:right w:val="single" w:sz="4" w:space="0" w:color="BFBFBF"/>
            </w:tcBorders>
            <w:shd w:val="clear" w:color="auto" w:fill="D9D9D9" w:themeFill="background1" w:themeFillShade="D9"/>
          </w:tcPr>
          <w:p w14:paraId="752BD642" w14:textId="77777777" w:rsidR="003A04E7" w:rsidRPr="00195127" w:rsidRDefault="003A04E7" w:rsidP="0079403B">
            <w:pPr>
              <w:spacing w:before="0"/>
              <w:rPr>
                <w:rFonts w:cs="Calibri"/>
                <w:sz w:val="14"/>
                <w:szCs w:val="18"/>
                <w:lang w:eastAsia="es-ES"/>
              </w:rPr>
            </w:pPr>
          </w:p>
        </w:tc>
      </w:tr>
      <w:tr w:rsidR="003A04E7" w:rsidRPr="00195127" w14:paraId="04FE519E" w14:textId="77777777" w:rsidTr="008746AE">
        <w:trPr>
          <w:trHeight w:val="960"/>
          <w:jc w:val="center"/>
        </w:trPr>
        <w:tc>
          <w:tcPr>
            <w:tcW w:w="552" w:type="dxa"/>
            <w:tcBorders>
              <w:top w:val="single" w:sz="8" w:space="0" w:color="BFBFBF"/>
              <w:left w:val="single" w:sz="4" w:space="0" w:color="BFBFBF"/>
              <w:bottom w:val="single" w:sz="4" w:space="0" w:color="BFBFBF"/>
              <w:right w:val="single" w:sz="8" w:space="0" w:color="BFBFBF"/>
            </w:tcBorders>
            <w:shd w:val="clear" w:color="auto" w:fill="auto"/>
            <w:hideMark/>
          </w:tcPr>
          <w:p w14:paraId="5CC585FB"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0088</w:t>
            </w:r>
          </w:p>
        </w:tc>
        <w:tc>
          <w:tcPr>
            <w:tcW w:w="1575" w:type="dxa"/>
            <w:gridSpan w:val="2"/>
            <w:tcBorders>
              <w:top w:val="single" w:sz="8" w:space="0" w:color="BFBFBF"/>
              <w:left w:val="single" w:sz="8" w:space="0" w:color="BFBFBF"/>
              <w:bottom w:val="single" w:sz="4" w:space="0" w:color="BFBFBF"/>
              <w:right w:val="single" w:sz="8" w:space="0" w:color="BFBFBF"/>
            </w:tcBorders>
            <w:shd w:val="clear" w:color="000000" w:fill="FFFFFF"/>
            <w:hideMark/>
          </w:tcPr>
          <w:p w14:paraId="20B1C541" w14:textId="7F256A66" w:rsidR="003A04E7" w:rsidRPr="00195127" w:rsidRDefault="004107D6" w:rsidP="0079403B">
            <w:pPr>
              <w:spacing w:before="0"/>
              <w:rPr>
                <w:rFonts w:cs="Calibri"/>
                <w:sz w:val="14"/>
                <w:szCs w:val="18"/>
                <w:lang w:eastAsia="es-ES"/>
              </w:rPr>
            </w:pPr>
            <w:r w:rsidRPr="00195127">
              <w:rPr>
                <w:rFonts w:cs="Calibri"/>
                <w:sz w:val="14"/>
                <w:szCs w:val="18"/>
                <w:lang w:eastAsia="es-ES"/>
              </w:rPr>
              <w:t>Fallo en la impermeabilización y/o posible contaminación del suelo en el sótano de la Torre.</w:t>
            </w:r>
            <w:r w:rsidR="003A04E7" w:rsidRPr="00195127">
              <w:rPr>
                <w:rFonts w:cs="Calibri"/>
                <w:sz w:val="14"/>
                <w:szCs w:val="18"/>
                <w:lang w:eastAsia="es-ES"/>
              </w:rPr>
              <w:t xml:space="preserve"> </w:t>
            </w:r>
          </w:p>
        </w:tc>
        <w:tc>
          <w:tcPr>
            <w:tcW w:w="1984" w:type="dxa"/>
            <w:tcBorders>
              <w:top w:val="single" w:sz="8" w:space="0" w:color="BFBFBF"/>
              <w:left w:val="single" w:sz="8" w:space="0" w:color="BFBFBF"/>
              <w:bottom w:val="single" w:sz="4" w:space="0" w:color="BFBFBF"/>
              <w:right w:val="single" w:sz="8" w:space="0" w:color="BFBFBF"/>
            </w:tcBorders>
          </w:tcPr>
          <w:p w14:paraId="5EE904A3" w14:textId="7D95357F" w:rsidR="003A04E7" w:rsidRPr="00195127" w:rsidRDefault="008054D6" w:rsidP="0079403B">
            <w:pPr>
              <w:spacing w:before="0"/>
              <w:rPr>
                <w:rFonts w:cs="Calibri"/>
                <w:sz w:val="14"/>
                <w:szCs w:val="18"/>
                <w:lang w:eastAsia="es-ES"/>
              </w:rPr>
            </w:pPr>
            <w:r w:rsidRPr="00195127">
              <w:rPr>
                <w:rFonts w:cs="Calibri"/>
                <w:sz w:val="14"/>
                <w:szCs w:val="18"/>
                <w:lang w:eastAsia="es-ES"/>
              </w:rPr>
              <w:t xml:space="preserve">Sistema </w:t>
            </w:r>
            <w:r w:rsidR="004107D6" w:rsidRPr="00195127">
              <w:rPr>
                <w:rFonts w:cs="Calibri"/>
                <w:sz w:val="14"/>
                <w:szCs w:val="18"/>
                <w:lang w:eastAsia="es-ES"/>
              </w:rPr>
              <w:t xml:space="preserve">de impermeabilización </w:t>
            </w:r>
            <w:r w:rsidRPr="00195127">
              <w:rPr>
                <w:rFonts w:cs="Calibri"/>
                <w:sz w:val="14"/>
                <w:szCs w:val="18"/>
                <w:lang w:eastAsia="es-ES"/>
              </w:rPr>
              <w:t xml:space="preserve">antiguo </w:t>
            </w:r>
            <w:r w:rsidR="004107D6" w:rsidRPr="00195127">
              <w:rPr>
                <w:rFonts w:cs="Calibri"/>
                <w:sz w:val="14"/>
                <w:szCs w:val="18"/>
                <w:lang w:eastAsia="es-ES"/>
              </w:rPr>
              <w:t>y/o crecimiento de las raíces de los árboles</w:t>
            </w:r>
            <w:r w:rsidR="003A04E7" w:rsidRPr="00195127">
              <w:rPr>
                <w:rFonts w:cs="Calibri"/>
                <w:sz w:val="14"/>
                <w:szCs w:val="18"/>
                <w:lang w:eastAsia="es-ES"/>
              </w:rPr>
              <w:t>.</w:t>
            </w:r>
          </w:p>
        </w:tc>
        <w:tc>
          <w:tcPr>
            <w:tcW w:w="2268" w:type="dxa"/>
            <w:tcBorders>
              <w:top w:val="single" w:sz="8" w:space="0" w:color="BFBFBF"/>
              <w:left w:val="single" w:sz="8" w:space="0" w:color="BFBFBF"/>
              <w:bottom w:val="single" w:sz="4" w:space="0" w:color="BFBFBF"/>
              <w:right w:val="single" w:sz="8" w:space="0" w:color="BFBFBF"/>
            </w:tcBorders>
          </w:tcPr>
          <w:p w14:paraId="2C63B9A2" w14:textId="0C2FB6A1" w:rsidR="003A04E7" w:rsidRPr="00195127" w:rsidRDefault="00496824" w:rsidP="0079403B">
            <w:pPr>
              <w:spacing w:before="0"/>
              <w:rPr>
                <w:rFonts w:cs="Calibri"/>
                <w:sz w:val="14"/>
                <w:szCs w:val="18"/>
                <w:lang w:eastAsia="es-ES"/>
              </w:rPr>
            </w:pPr>
            <w:r w:rsidRPr="00195127">
              <w:rPr>
                <w:rFonts w:cs="Calibri"/>
                <w:sz w:val="14"/>
                <w:szCs w:val="18"/>
                <w:lang w:eastAsia="es-ES"/>
              </w:rPr>
              <w:t>Definición del nivel de incidencia.</w:t>
            </w:r>
            <w:r w:rsidR="003A04E7" w:rsidRPr="00195127">
              <w:rPr>
                <w:rFonts w:cs="Calibri"/>
                <w:sz w:val="14"/>
                <w:szCs w:val="18"/>
                <w:lang w:eastAsia="es-ES"/>
              </w:rPr>
              <w:t xml:space="preserve"> </w:t>
            </w:r>
            <w:r w:rsidR="003A04E7" w:rsidRPr="00195127">
              <w:rPr>
                <w:rFonts w:cs="Calibri"/>
                <w:sz w:val="14"/>
                <w:szCs w:val="18"/>
                <w:lang w:eastAsia="es-ES"/>
              </w:rPr>
              <w:br/>
            </w:r>
            <w:r w:rsidRPr="00195127">
              <w:rPr>
                <w:rFonts w:cs="Calibri"/>
                <w:sz w:val="14"/>
                <w:szCs w:val="18"/>
                <w:lang w:eastAsia="es-ES"/>
              </w:rPr>
              <w:t>Investigaciones sobre las condiciones actuales del sistema de impermeabilización y la posible contaminación del suelo.</w:t>
            </w:r>
          </w:p>
        </w:tc>
        <w:tc>
          <w:tcPr>
            <w:tcW w:w="851" w:type="dxa"/>
            <w:tcBorders>
              <w:top w:val="single" w:sz="8" w:space="0" w:color="BFBFBF"/>
              <w:left w:val="single" w:sz="8" w:space="0" w:color="BFBFBF"/>
              <w:bottom w:val="single" w:sz="4" w:space="0" w:color="BFBFBF"/>
              <w:right w:val="single" w:sz="8" w:space="0" w:color="BFBFBF"/>
            </w:tcBorders>
            <w:shd w:val="clear" w:color="auto" w:fill="auto"/>
            <w:hideMark/>
          </w:tcPr>
          <w:p w14:paraId="08D53C38"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0,50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hideMark/>
          </w:tcPr>
          <w:p w14:paraId="7773E4F1"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single" w:sz="8" w:space="0" w:color="BFBFBF"/>
              <w:left w:val="single" w:sz="8" w:space="0" w:color="BFBFBF"/>
              <w:bottom w:val="single" w:sz="4" w:space="0" w:color="BFBFBF"/>
              <w:right w:val="single" w:sz="8" w:space="0" w:color="BFBFBF"/>
            </w:tcBorders>
            <w:shd w:val="clear" w:color="auto" w:fill="auto"/>
            <w:hideMark/>
          </w:tcPr>
          <w:p w14:paraId="3422DF06" w14:textId="16A1B50E"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502</w:t>
            </w:r>
            <w:r w:rsidR="00DB218E" w:rsidRPr="00195127">
              <w:rPr>
                <w:rFonts w:cs="Calibri"/>
                <w:sz w:val="14"/>
                <w:szCs w:val="18"/>
                <w:lang w:eastAsia="es-ES"/>
              </w:rPr>
              <w:t> </w:t>
            </w:r>
            <w:r w:rsidRPr="00195127">
              <w:rPr>
                <w:rFonts w:cs="Calibri"/>
                <w:sz w:val="14"/>
                <w:szCs w:val="18"/>
                <w:lang w:eastAsia="es-ES"/>
              </w:rPr>
              <w:t>500</w:t>
            </w:r>
          </w:p>
        </w:tc>
        <w:tc>
          <w:tcPr>
            <w:tcW w:w="2259" w:type="dxa"/>
            <w:tcBorders>
              <w:top w:val="single" w:sz="8" w:space="0" w:color="BFBFBF"/>
              <w:left w:val="single" w:sz="8" w:space="0" w:color="BFBFBF"/>
              <w:bottom w:val="single" w:sz="4" w:space="0" w:color="BFBFBF"/>
              <w:right w:val="single" w:sz="4" w:space="0" w:color="BFBFBF"/>
            </w:tcBorders>
            <w:shd w:val="clear" w:color="000000" w:fill="FFFFFF"/>
          </w:tcPr>
          <w:p w14:paraId="38D2AB31" w14:textId="171665D2" w:rsidR="003A04E7" w:rsidRPr="00195127" w:rsidRDefault="00496824" w:rsidP="0079403B">
            <w:pPr>
              <w:spacing w:before="0"/>
              <w:rPr>
                <w:rFonts w:cs="Calibri"/>
                <w:sz w:val="14"/>
                <w:szCs w:val="18"/>
                <w:lang w:eastAsia="es-ES"/>
              </w:rPr>
            </w:pPr>
            <w:r w:rsidRPr="00195127">
              <w:rPr>
                <w:rFonts w:cs="Calibri"/>
                <w:sz w:val="14"/>
                <w:szCs w:val="18"/>
                <w:lang w:eastAsia="es-ES"/>
              </w:rPr>
              <w:t>Promedio ponderado basado en la sustitución del sistema de impermeabilización.</w:t>
            </w:r>
          </w:p>
        </w:tc>
      </w:tr>
      <w:tr w:rsidR="003A04E7" w:rsidRPr="00195127" w14:paraId="1A9B3542" w14:textId="77777777" w:rsidTr="008746AE">
        <w:trPr>
          <w:trHeight w:val="480"/>
          <w:jc w:val="center"/>
        </w:trPr>
        <w:tc>
          <w:tcPr>
            <w:tcW w:w="552" w:type="dxa"/>
            <w:tcBorders>
              <w:top w:val="single" w:sz="4" w:space="0" w:color="BFBFBF"/>
              <w:left w:val="single" w:sz="4" w:space="0" w:color="BFBFBF"/>
              <w:bottom w:val="single" w:sz="4" w:space="0" w:color="BFBFBF"/>
              <w:right w:val="single" w:sz="8" w:space="0" w:color="BFBFBF"/>
            </w:tcBorders>
            <w:shd w:val="clear" w:color="000000" w:fill="FFFFFF"/>
            <w:hideMark/>
          </w:tcPr>
          <w:p w14:paraId="2B8DD392" w14:textId="77777777" w:rsidR="003A04E7" w:rsidRPr="00195127" w:rsidRDefault="003A04E7" w:rsidP="0079403B">
            <w:pPr>
              <w:spacing w:before="0"/>
              <w:rPr>
                <w:rFonts w:cs="Calibri"/>
                <w:sz w:val="14"/>
                <w:szCs w:val="18"/>
                <w:lang w:eastAsia="es-ES"/>
              </w:rPr>
            </w:pPr>
            <w:r w:rsidRPr="00195127">
              <w:rPr>
                <w:rFonts w:cs="Calibri"/>
                <w:sz w:val="14"/>
                <w:szCs w:val="18"/>
                <w:lang w:eastAsia="es-ES"/>
              </w:rPr>
              <w:t>0090</w:t>
            </w:r>
          </w:p>
        </w:tc>
        <w:tc>
          <w:tcPr>
            <w:tcW w:w="1575" w:type="dxa"/>
            <w:gridSpan w:val="2"/>
            <w:tcBorders>
              <w:top w:val="single" w:sz="4" w:space="0" w:color="BFBFBF"/>
              <w:left w:val="single" w:sz="8" w:space="0" w:color="BFBFBF"/>
              <w:bottom w:val="single" w:sz="4" w:space="0" w:color="BFBFBF"/>
              <w:right w:val="single" w:sz="8" w:space="0" w:color="BFBFBF"/>
            </w:tcBorders>
            <w:shd w:val="clear" w:color="auto" w:fill="auto"/>
            <w:hideMark/>
          </w:tcPr>
          <w:p w14:paraId="7AFA5237" w14:textId="7472D0B3" w:rsidR="003A04E7" w:rsidRPr="00195127" w:rsidRDefault="00496824" w:rsidP="0079403B">
            <w:pPr>
              <w:spacing w:before="0"/>
              <w:rPr>
                <w:rFonts w:cs="Calibri"/>
                <w:sz w:val="14"/>
                <w:szCs w:val="18"/>
                <w:lang w:eastAsia="es-ES"/>
              </w:rPr>
            </w:pPr>
            <w:r w:rsidRPr="00195127">
              <w:rPr>
                <w:rFonts w:cs="Calibri"/>
                <w:sz w:val="14"/>
                <w:szCs w:val="18"/>
                <w:lang w:eastAsia="es-ES"/>
              </w:rPr>
              <w:t>Posible solicitud de los interesados de la UIT de modificar el programa del proyecto en la etapa de diseño.</w:t>
            </w:r>
          </w:p>
        </w:tc>
        <w:tc>
          <w:tcPr>
            <w:tcW w:w="1984" w:type="dxa"/>
            <w:tcBorders>
              <w:top w:val="single" w:sz="4" w:space="0" w:color="BFBFBF"/>
              <w:left w:val="single" w:sz="8" w:space="0" w:color="BFBFBF"/>
              <w:bottom w:val="single" w:sz="4" w:space="0" w:color="BFBFBF"/>
              <w:right w:val="single" w:sz="8" w:space="0" w:color="BFBFBF"/>
            </w:tcBorders>
          </w:tcPr>
          <w:p w14:paraId="70310170" w14:textId="65666C4F" w:rsidR="003A04E7" w:rsidRPr="00195127" w:rsidRDefault="00496824" w:rsidP="0079403B">
            <w:pPr>
              <w:spacing w:before="0"/>
              <w:rPr>
                <w:rFonts w:cs="Calibri"/>
                <w:sz w:val="14"/>
                <w:szCs w:val="18"/>
                <w:lang w:eastAsia="es-ES"/>
              </w:rPr>
            </w:pPr>
            <w:r w:rsidRPr="00195127">
              <w:rPr>
                <w:rFonts w:cs="Calibri"/>
                <w:sz w:val="14"/>
                <w:szCs w:val="18"/>
                <w:lang w:eastAsia="es-ES"/>
              </w:rPr>
              <w:t>Revisión de los requisitos iniciales del programa.</w:t>
            </w:r>
          </w:p>
        </w:tc>
        <w:tc>
          <w:tcPr>
            <w:tcW w:w="2268" w:type="dxa"/>
            <w:tcBorders>
              <w:top w:val="single" w:sz="4" w:space="0" w:color="BFBFBF"/>
              <w:left w:val="single" w:sz="8" w:space="0" w:color="BFBFBF"/>
              <w:bottom w:val="single" w:sz="4" w:space="0" w:color="BFBFBF"/>
              <w:right w:val="single" w:sz="8" w:space="0" w:color="BFBFBF"/>
            </w:tcBorders>
          </w:tcPr>
          <w:p w14:paraId="23111076" w14:textId="171E4E7F" w:rsidR="003A04E7" w:rsidRPr="00195127" w:rsidRDefault="00496824" w:rsidP="0079403B">
            <w:pPr>
              <w:spacing w:before="0"/>
              <w:rPr>
                <w:rFonts w:cs="Calibri"/>
                <w:sz w:val="14"/>
                <w:szCs w:val="18"/>
                <w:lang w:eastAsia="es-ES"/>
              </w:rPr>
            </w:pPr>
            <w:r w:rsidRPr="00195127">
              <w:rPr>
                <w:rFonts w:cs="Calibri"/>
                <w:sz w:val="14"/>
                <w:szCs w:val="18"/>
                <w:lang w:eastAsia="es-ES"/>
              </w:rPr>
              <w:t>Aplicación de las recomendaciones formuladas por el experto en estrategias aplicables al lugar de trabajo (licitación en curso)</w:t>
            </w:r>
            <w:r w:rsidR="00DB218E" w:rsidRPr="00195127">
              <w:rPr>
                <w:rFonts w:cs="Calibri"/>
                <w:sz w:val="14"/>
                <w:szCs w:val="18"/>
                <w:lang w:eastAsia="es-ES"/>
              </w:rPr>
              <w:t>.</w:t>
            </w:r>
          </w:p>
          <w:p w14:paraId="0DB93409" w14:textId="37DFE153" w:rsidR="003A04E7" w:rsidRPr="00195127" w:rsidRDefault="00496824" w:rsidP="0079403B">
            <w:pPr>
              <w:spacing w:before="0"/>
              <w:rPr>
                <w:rFonts w:cs="Calibri"/>
                <w:sz w:val="14"/>
                <w:szCs w:val="18"/>
                <w:lang w:eastAsia="es-ES"/>
              </w:rPr>
            </w:pPr>
            <w:r w:rsidRPr="00195127">
              <w:rPr>
                <w:rFonts w:cs="Calibri"/>
                <w:sz w:val="14"/>
                <w:szCs w:val="18"/>
                <w:lang w:eastAsia="es-ES"/>
              </w:rPr>
              <w:t>Coordinación con los interesados internos</w:t>
            </w:r>
            <w:r w:rsidR="003A04E7" w:rsidRPr="00195127">
              <w:rPr>
                <w:rFonts w:cs="Calibri"/>
                <w:sz w:val="14"/>
                <w:szCs w:val="18"/>
                <w:lang w:eastAsia="es-ES"/>
              </w:rPr>
              <w:t>.</w:t>
            </w:r>
          </w:p>
        </w:tc>
        <w:tc>
          <w:tcPr>
            <w:tcW w:w="851" w:type="dxa"/>
            <w:tcBorders>
              <w:top w:val="single" w:sz="4" w:space="0" w:color="BFBFBF"/>
              <w:left w:val="single" w:sz="8" w:space="0" w:color="BFBFBF"/>
              <w:bottom w:val="single" w:sz="4" w:space="0" w:color="BFBFBF"/>
              <w:right w:val="single" w:sz="8" w:space="0" w:color="BFBFBF"/>
            </w:tcBorders>
            <w:shd w:val="clear" w:color="auto" w:fill="auto"/>
            <w:hideMark/>
          </w:tcPr>
          <w:p w14:paraId="150DE8F5"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0,50</w:t>
            </w:r>
          </w:p>
        </w:tc>
        <w:tc>
          <w:tcPr>
            <w:tcW w:w="567" w:type="dxa"/>
            <w:tcBorders>
              <w:top w:val="single" w:sz="4" w:space="0" w:color="BFBFBF"/>
              <w:left w:val="single" w:sz="8" w:space="0" w:color="BFBFBF"/>
              <w:bottom w:val="single" w:sz="4" w:space="0" w:color="BFBFBF"/>
              <w:right w:val="single" w:sz="8" w:space="0" w:color="BFBFBF"/>
            </w:tcBorders>
            <w:shd w:val="clear" w:color="auto" w:fill="auto"/>
            <w:noWrap/>
            <w:hideMark/>
          </w:tcPr>
          <w:p w14:paraId="51AEAE82" w14:textId="77777777"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0,40</w:t>
            </w:r>
          </w:p>
        </w:tc>
        <w:tc>
          <w:tcPr>
            <w:tcW w:w="859" w:type="dxa"/>
            <w:tcBorders>
              <w:top w:val="single" w:sz="4" w:space="0" w:color="BFBFBF"/>
              <w:left w:val="single" w:sz="8" w:space="0" w:color="BFBFBF"/>
              <w:bottom w:val="single" w:sz="4" w:space="0" w:color="BFBFBF"/>
              <w:right w:val="single" w:sz="8" w:space="0" w:color="BFBFBF"/>
            </w:tcBorders>
            <w:shd w:val="clear" w:color="auto" w:fill="auto"/>
            <w:hideMark/>
          </w:tcPr>
          <w:p w14:paraId="35699136" w14:textId="57EC163F" w:rsidR="003A04E7" w:rsidRPr="00195127" w:rsidRDefault="003A04E7" w:rsidP="0079403B">
            <w:pPr>
              <w:spacing w:before="0"/>
              <w:jc w:val="center"/>
              <w:rPr>
                <w:rFonts w:cs="Calibri"/>
                <w:sz w:val="14"/>
                <w:szCs w:val="18"/>
                <w:lang w:eastAsia="es-ES"/>
              </w:rPr>
            </w:pPr>
            <w:r w:rsidRPr="00195127">
              <w:rPr>
                <w:rFonts w:cs="Calibri"/>
                <w:sz w:val="14"/>
                <w:szCs w:val="18"/>
                <w:lang w:eastAsia="es-ES"/>
              </w:rPr>
              <w:t>603</w:t>
            </w:r>
            <w:r w:rsidR="00DB218E" w:rsidRPr="00195127">
              <w:rPr>
                <w:rFonts w:cs="Calibri"/>
                <w:sz w:val="14"/>
                <w:szCs w:val="18"/>
                <w:lang w:eastAsia="es-ES"/>
              </w:rPr>
              <w:t> </w:t>
            </w:r>
            <w:r w:rsidRPr="00195127">
              <w:rPr>
                <w:rFonts w:cs="Calibri"/>
                <w:sz w:val="14"/>
                <w:szCs w:val="18"/>
                <w:lang w:eastAsia="es-ES"/>
              </w:rPr>
              <w:t>299</w:t>
            </w:r>
          </w:p>
        </w:tc>
        <w:tc>
          <w:tcPr>
            <w:tcW w:w="2259" w:type="dxa"/>
            <w:tcBorders>
              <w:top w:val="single" w:sz="4" w:space="0" w:color="BFBFBF"/>
              <w:left w:val="single" w:sz="8" w:space="0" w:color="BFBFBF"/>
              <w:bottom w:val="single" w:sz="4" w:space="0" w:color="BFBFBF"/>
              <w:right w:val="single" w:sz="4" w:space="0" w:color="BFBFBF"/>
            </w:tcBorders>
            <w:shd w:val="clear" w:color="000000" w:fill="FFFFFF"/>
          </w:tcPr>
          <w:p w14:paraId="2DF4923F" w14:textId="506F78EA" w:rsidR="003A04E7" w:rsidRPr="00195127" w:rsidRDefault="00496824" w:rsidP="0079403B">
            <w:pPr>
              <w:spacing w:before="0"/>
              <w:rPr>
                <w:rFonts w:cs="Calibri"/>
                <w:sz w:val="14"/>
                <w:szCs w:val="18"/>
                <w:lang w:eastAsia="es-ES"/>
              </w:rPr>
            </w:pPr>
            <w:r w:rsidRPr="00195127">
              <w:rPr>
                <w:rFonts w:cs="Calibri"/>
                <w:sz w:val="14"/>
                <w:szCs w:val="18"/>
                <w:lang w:eastAsia="es-ES"/>
              </w:rPr>
              <w:t>Promedio ponderado basado en los honorarios del SEAPC y del arquitecto.</w:t>
            </w:r>
          </w:p>
        </w:tc>
      </w:tr>
    </w:tbl>
    <w:p w14:paraId="4EDFB25A" w14:textId="77777777" w:rsidR="007E6F5C" w:rsidRPr="00195127" w:rsidRDefault="007E6F5C">
      <w:pPr>
        <w:tabs>
          <w:tab w:val="clear" w:pos="567"/>
          <w:tab w:val="clear" w:pos="1134"/>
          <w:tab w:val="clear" w:pos="1701"/>
          <w:tab w:val="clear" w:pos="2268"/>
          <w:tab w:val="clear" w:pos="2835"/>
        </w:tabs>
        <w:overflowPunct/>
        <w:autoSpaceDE/>
        <w:autoSpaceDN/>
        <w:adjustRightInd/>
        <w:spacing w:before="0"/>
        <w:textAlignment w:val="auto"/>
      </w:pPr>
    </w:p>
    <w:p w14:paraId="2A7D321D" w14:textId="660591C2" w:rsidR="007E6F5C" w:rsidRPr="00195127" w:rsidRDefault="007E6F5C">
      <w:pPr>
        <w:tabs>
          <w:tab w:val="clear" w:pos="567"/>
          <w:tab w:val="clear" w:pos="1134"/>
          <w:tab w:val="clear" w:pos="1701"/>
          <w:tab w:val="clear" w:pos="2268"/>
          <w:tab w:val="clear" w:pos="2835"/>
        </w:tabs>
        <w:overflowPunct/>
        <w:autoSpaceDE/>
        <w:autoSpaceDN/>
        <w:adjustRightInd/>
        <w:spacing w:before="0"/>
        <w:textAlignment w:val="auto"/>
        <w:sectPr w:rsidR="007E6F5C" w:rsidRPr="00195127" w:rsidSect="00AC7E82">
          <w:headerReference w:type="default" r:id="rId29"/>
          <w:footerReference w:type="default" r:id="rId30"/>
          <w:footerReference w:type="first" r:id="rId31"/>
          <w:pgSz w:w="11907" w:h="16834"/>
          <w:pgMar w:top="1418" w:right="1134" w:bottom="1418" w:left="1134" w:header="720" w:footer="720" w:gutter="0"/>
          <w:paperSrc w:first="15" w:other="15"/>
          <w:cols w:space="720"/>
          <w:titlePg/>
          <w:docGrid w:linePitch="326"/>
        </w:sectPr>
      </w:pPr>
    </w:p>
    <w:p w14:paraId="077570B7" w14:textId="341081E7" w:rsidR="00D72461" w:rsidRPr="00195127" w:rsidRDefault="00D72461" w:rsidP="00BD457A">
      <w:pPr>
        <w:pStyle w:val="AnnexNo"/>
        <w:spacing w:before="360"/>
        <w:rPr>
          <w:lang w:eastAsia="zh-CN"/>
        </w:rPr>
      </w:pPr>
      <w:bookmarkStart w:id="111" w:name="AnnexB"/>
      <w:bookmarkStart w:id="112" w:name="lt_pId251"/>
      <w:bookmarkEnd w:id="111"/>
      <w:r w:rsidRPr="00195127">
        <w:lastRenderedPageBreak/>
        <w:t>Anexo</w:t>
      </w:r>
      <w:r w:rsidRPr="00195127">
        <w:rPr>
          <w:lang w:eastAsia="zh-CN"/>
        </w:rPr>
        <w:t xml:space="preserve"> B</w:t>
      </w:r>
      <w:bookmarkEnd w:id="112"/>
    </w:p>
    <w:p w14:paraId="54783E85" w14:textId="36FE41ED" w:rsidR="00D72461" w:rsidRDefault="00DD2A77" w:rsidP="00B14057">
      <w:pPr>
        <w:pStyle w:val="Annextitle"/>
        <w:rPr>
          <w:lang w:eastAsia="zh-CN"/>
        </w:rPr>
      </w:pPr>
      <w:bookmarkStart w:id="113" w:name="lt_pId252"/>
      <w:r w:rsidRPr="00195127">
        <w:rPr>
          <w:lang w:eastAsia="zh-CN"/>
        </w:rPr>
        <w:t>Flujo de caja en</w:t>
      </w:r>
      <w:r w:rsidR="00D72461" w:rsidRPr="00195127">
        <w:rPr>
          <w:lang w:eastAsia="zh-CN"/>
        </w:rPr>
        <w:t xml:space="preserve"> CHF (</w:t>
      </w:r>
      <w:bookmarkStart w:id="114" w:name="lt_pId253"/>
      <w:bookmarkEnd w:id="113"/>
      <w:r w:rsidR="00497078" w:rsidRPr="00195127">
        <w:rPr>
          <w:lang w:eastAsia="zh-CN"/>
        </w:rPr>
        <w:t xml:space="preserve">septiembre de </w:t>
      </w:r>
      <w:r w:rsidR="00D72461" w:rsidRPr="00195127">
        <w:rPr>
          <w:lang w:eastAsia="zh-CN"/>
        </w:rPr>
        <w:t>2020)</w:t>
      </w:r>
      <w:bookmarkEnd w:id="114"/>
    </w:p>
    <w:p w14:paraId="5333F458" w14:textId="711E37C9" w:rsidR="00FE24AA" w:rsidRPr="00FE24AA" w:rsidRDefault="00FE24AA" w:rsidP="00FE24AA">
      <w:pPr>
        <w:pStyle w:val="Figure"/>
        <w:rPr>
          <w:lang w:eastAsia="zh-CN"/>
        </w:rPr>
      </w:pPr>
      <w:r w:rsidRPr="00FE24AA">
        <w:rPr>
          <w:noProof/>
        </w:rPr>
        <w:drawing>
          <wp:inline distT="0" distB="0" distL="0" distR="0" wp14:anchorId="44401207" wp14:editId="2E3D4261">
            <wp:extent cx="8888730" cy="1971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88730" cy="1971040"/>
                    </a:xfrm>
                    <a:prstGeom prst="rect">
                      <a:avLst/>
                    </a:prstGeom>
                    <a:noFill/>
                    <a:ln>
                      <a:noFill/>
                    </a:ln>
                  </pic:spPr>
                </pic:pic>
              </a:graphicData>
            </a:graphic>
          </wp:inline>
        </w:drawing>
      </w:r>
    </w:p>
    <w:p w14:paraId="5C52DA40" w14:textId="1112F5CE" w:rsidR="0079403B" w:rsidRPr="00195127" w:rsidRDefault="0079403B">
      <w:pPr>
        <w:tabs>
          <w:tab w:val="clear" w:pos="567"/>
          <w:tab w:val="clear" w:pos="1134"/>
          <w:tab w:val="clear" w:pos="1701"/>
          <w:tab w:val="clear" w:pos="2268"/>
          <w:tab w:val="clear" w:pos="2835"/>
        </w:tabs>
        <w:overflowPunct/>
        <w:autoSpaceDE/>
        <w:autoSpaceDN/>
        <w:adjustRightInd/>
        <w:spacing w:before="0"/>
        <w:textAlignment w:val="auto"/>
        <w:rPr>
          <w:b/>
          <w:bCs/>
        </w:rPr>
      </w:pPr>
      <w:bookmarkStart w:id="115" w:name="AnnexC"/>
      <w:bookmarkStart w:id="116" w:name="lt_pId254"/>
      <w:bookmarkEnd w:id="115"/>
      <w:r w:rsidRPr="00195127">
        <w:rPr>
          <w:b/>
          <w:bCs/>
        </w:rPr>
        <w:br w:type="page"/>
      </w:r>
    </w:p>
    <w:p w14:paraId="49FCD0D3" w14:textId="48877EEE" w:rsidR="0079403B" w:rsidRDefault="002F3702" w:rsidP="00BD457A">
      <w:pPr>
        <w:pStyle w:val="Annextitle"/>
        <w:rPr>
          <w:lang w:eastAsia="zh-CN"/>
        </w:rPr>
      </w:pPr>
      <w:r w:rsidRPr="00195127">
        <w:rPr>
          <w:lang w:eastAsia="zh-CN"/>
        </w:rPr>
        <w:lastRenderedPageBreak/>
        <w:t>Primer préstamo del país anfitrión (septiembre de 2020) (CHF)</w:t>
      </w:r>
    </w:p>
    <w:p w14:paraId="37EA0B26" w14:textId="53B2F56F" w:rsidR="00955067" w:rsidRPr="00955067" w:rsidRDefault="00955067" w:rsidP="00955067">
      <w:pPr>
        <w:pStyle w:val="Figure"/>
      </w:pPr>
      <w:r w:rsidRPr="00955067">
        <w:rPr>
          <w:noProof/>
        </w:rPr>
        <w:drawing>
          <wp:inline distT="0" distB="0" distL="0" distR="0" wp14:anchorId="21BD6029" wp14:editId="52703442">
            <wp:extent cx="8888730" cy="375793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88730" cy="3757930"/>
                    </a:xfrm>
                    <a:prstGeom prst="rect">
                      <a:avLst/>
                    </a:prstGeom>
                    <a:noFill/>
                    <a:ln>
                      <a:noFill/>
                    </a:ln>
                  </pic:spPr>
                </pic:pic>
              </a:graphicData>
            </a:graphic>
          </wp:inline>
        </w:drawing>
      </w:r>
    </w:p>
    <w:p w14:paraId="46AD783D" w14:textId="6C05DC87" w:rsidR="006E15DC" w:rsidRPr="00195127" w:rsidRDefault="006E15DC" w:rsidP="00920D0C">
      <w:pPr>
        <w:spacing w:before="0" w:after="120"/>
        <w:jc w:val="both"/>
        <w:rPr>
          <w:rFonts w:asciiTheme="minorHAnsi" w:hAnsiTheme="minorHAnsi" w:cstheme="minorHAnsi"/>
          <w:b/>
          <w:bCs/>
          <w:color w:val="000000"/>
          <w:szCs w:val="24"/>
          <w:lang w:eastAsia="zh-CN"/>
        </w:rPr>
      </w:pPr>
      <w:r w:rsidRPr="00195127">
        <w:rPr>
          <w:rFonts w:asciiTheme="minorHAnsi" w:hAnsiTheme="minorHAnsi" w:cstheme="minorHAnsi"/>
          <w:b/>
          <w:bCs/>
          <w:color w:val="000000"/>
          <w:szCs w:val="24"/>
          <w:lang w:eastAsia="zh-CN"/>
        </w:rPr>
        <w:br w:type="page"/>
      </w:r>
    </w:p>
    <w:p w14:paraId="319D1AE1" w14:textId="405BE1B7" w:rsidR="00D72461" w:rsidRPr="00195127" w:rsidRDefault="00D72461" w:rsidP="00BD457A">
      <w:pPr>
        <w:pStyle w:val="AnnexNo"/>
        <w:spacing w:before="480"/>
      </w:pPr>
      <w:r w:rsidRPr="00195127">
        <w:lastRenderedPageBreak/>
        <w:t>Anexo C</w:t>
      </w:r>
      <w:bookmarkEnd w:id="116"/>
    </w:p>
    <w:p w14:paraId="4CD82FAA" w14:textId="68785F15" w:rsidR="00920D0C" w:rsidRPr="00195127" w:rsidRDefault="003556A9" w:rsidP="00695989">
      <w:pPr>
        <w:pStyle w:val="Annextitle"/>
      </w:pPr>
      <w:bookmarkStart w:id="117" w:name="AnnexD"/>
      <w:bookmarkEnd w:id="117"/>
      <w:r w:rsidRPr="00195127">
        <w:t>Gastos previstos y reales</w:t>
      </w:r>
    </w:p>
    <w:p w14:paraId="1E283148" w14:textId="77777777" w:rsidR="00695989" w:rsidRPr="00195127" w:rsidRDefault="00695989" w:rsidP="00695989">
      <w:pPr>
        <w:pStyle w:val="Figure"/>
      </w:pPr>
      <w:r w:rsidRPr="00195127">
        <w:rPr>
          <w:noProof/>
        </w:rPr>
        <w:drawing>
          <wp:inline distT="0" distB="0" distL="0" distR="0" wp14:anchorId="2CE07F00" wp14:editId="77FEC0E8">
            <wp:extent cx="7124289" cy="478107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38609" cy="4790687"/>
                    </a:xfrm>
                    <a:prstGeom prst="rect">
                      <a:avLst/>
                    </a:prstGeom>
                    <a:noFill/>
                  </pic:spPr>
                </pic:pic>
              </a:graphicData>
            </a:graphic>
          </wp:inline>
        </w:drawing>
      </w:r>
    </w:p>
    <w:p w14:paraId="754466F3" w14:textId="033B89F5" w:rsidR="00D86D64" w:rsidRPr="00195127" w:rsidRDefault="00D86D64">
      <w:pPr>
        <w:jc w:val="center"/>
      </w:pPr>
      <w:r w:rsidRPr="00195127">
        <w:t>______________</w:t>
      </w:r>
    </w:p>
    <w:sectPr w:rsidR="00D86D64" w:rsidRPr="00195127" w:rsidSect="00920D0C">
      <w:headerReference w:type="first" r:id="rId35"/>
      <w:footerReference w:type="first" r:id="rId3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4BE17" w14:textId="77777777" w:rsidR="00477436" w:rsidRDefault="00477436">
      <w:r>
        <w:separator/>
      </w:r>
    </w:p>
  </w:endnote>
  <w:endnote w:type="continuationSeparator" w:id="0">
    <w:p w14:paraId="7D6837F3" w14:textId="77777777" w:rsidR="00477436" w:rsidRDefault="0047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10" w:name="_Hlk53141970"/>
  <w:p w14:paraId="7E7ED0DD" w14:textId="623C4239" w:rsidR="00477436" w:rsidRPr="003F18BF" w:rsidRDefault="00477436" w:rsidP="00920D0C">
    <w:pPr>
      <w:pStyle w:val="Footer"/>
      <w:rPr>
        <w:color w:val="D9D9D9" w:themeColor="background1" w:themeShade="D9"/>
        <w:lang w:val="fr-FR"/>
      </w:rPr>
    </w:pPr>
    <w:r w:rsidRPr="003F18BF">
      <w:rPr>
        <w:color w:val="D9D9D9" w:themeColor="background1" w:themeShade="D9"/>
        <w:lang w:val="pt-BR"/>
      </w:rPr>
      <w:fldChar w:fldCharType="begin"/>
    </w:r>
    <w:r w:rsidRPr="003F18BF">
      <w:rPr>
        <w:color w:val="D9D9D9" w:themeColor="background1" w:themeShade="D9"/>
        <w:lang w:val="fr-FR"/>
      </w:rPr>
      <w:instrText xml:space="preserve"> FILENAME \p  \* MERGEFORMAT </w:instrText>
    </w:r>
    <w:r w:rsidRPr="003F18BF">
      <w:rPr>
        <w:color w:val="D9D9D9" w:themeColor="background1" w:themeShade="D9"/>
        <w:lang w:val="pt-BR"/>
      </w:rPr>
      <w:fldChar w:fldCharType="separate"/>
    </w:r>
    <w:r w:rsidR="00007EF7" w:rsidRPr="003F18BF">
      <w:rPr>
        <w:color w:val="D9D9D9" w:themeColor="background1" w:themeShade="D9"/>
        <w:lang w:val="fr-FR"/>
      </w:rPr>
      <w:t>P:\ESP\SG\CONSEIL\C20\000\007REV1S.docx</w:t>
    </w:r>
    <w:r w:rsidRPr="003F18BF">
      <w:rPr>
        <w:color w:val="D9D9D9" w:themeColor="background1" w:themeShade="D9"/>
        <w:lang w:val="pt-BR"/>
      </w:rPr>
      <w:fldChar w:fldCharType="end"/>
    </w:r>
    <w:r w:rsidRPr="003F18BF">
      <w:rPr>
        <w:color w:val="D9D9D9" w:themeColor="background1" w:themeShade="D9"/>
        <w:lang w:val="fr-FR"/>
      </w:rPr>
      <w:t xml:space="preserve"> </w:t>
    </w:r>
    <w:bookmarkEnd w:id="110"/>
    <w:r w:rsidRPr="003F18BF">
      <w:rPr>
        <w:color w:val="D9D9D9" w:themeColor="background1" w:themeShade="D9"/>
        <w:lang w:val="fr-FR"/>
      </w:rPr>
      <w:t>(477916)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A8C1" w14:textId="77777777" w:rsidR="00BD457A" w:rsidRPr="00BD457A" w:rsidRDefault="00BD457A" w:rsidP="00BD457A">
    <w:pPr>
      <w:spacing w:after="120"/>
      <w:jc w:val="center"/>
    </w:pPr>
    <w:r w:rsidRPr="00BD457A">
      <w:t xml:space="preserve">• </w:t>
    </w:r>
    <w:hyperlink r:id="rId1" w:history="1">
      <w:r w:rsidRPr="00BD457A">
        <w:rPr>
          <w:color w:val="0000FF"/>
          <w:u w:val="single"/>
        </w:rPr>
        <w:t>http://www.itu.int/council</w:t>
      </w:r>
    </w:hyperlink>
    <w:r w:rsidRPr="00BD457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945DD" w14:textId="77777777" w:rsidR="00BD457A" w:rsidRPr="003F18BF" w:rsidRDefault="00BD457A" w:rsidP="00BD457A">
    <w:pPr>
      <w:pStyle w:val="Footer"/>
      <w:rPr>
        <w:color w:val="D9D9D9" w:themeColor="background1" w:themeShade="D9"/>
        <w:lang w:val="fr-FR"/>
      </w:rPr>
    </w:pPr>
    <w:r w:rsidRPr="003F18BF">
      <w:rPr>
        <w:color w:val="D9D9D9" w:themeColor="background1" w:themeShade="D9"/>
        <w:lang w:val="pt-BR"/>
      </w:rPr>
      <w:fldChar w:fldCharType="begin"/>
    </w:r>
    <w:r w:rsidRPr="003F18BF">
      <w:rPr>
        <w:color w:val="D9D9D9" w:themeColor="background1" w:themeShade="D9"/>
        <w:lang w:val="fr-FR"/>
      </w:rPr>
      <w:instrText xml:space="preserve"> FILENAME \p  \* MERGEFORMAT </w:instrText>
    </w:r>
    <w:r w:rsidRPr="003F18BF">
      <w:rPr>
        <w:color w:val="D9D9D9" w:themeColor="background1" w:themeShade="D9"/>
        <w:lang w:val="pt-BR"/>
      </w:rPr>
      <w:fldChar w:fldCharType="separate"/>
    </w:r>
    <w:r w:rsidRPr="003F18BF">
      <w:rPr>
        <w:color w:val="D9D9D9" w:themeColor="background1" w:themeShade="D9"/>
        <w:lang w:val="fr-FR"/>
      </w:rPr>
      <w:t>P:\ESP\SG\CONSEIL\C20\000\007REV1S.docx</w:t>
    </w:r>
    <w:r w:rsidRPr="003F18BF">
      <w:rPr>
        <w:color w:val="D9D9D9" w:themeColor="background1" w:themeShade="D9"/>
        <w:lang w:val="pt-BR"/>
      </w:rPr>
      <w:fldChar w:fldCharType="end"/>
    </w:r>
    <w:r w:rsidRPr="003F18BF">
      <w:rPr>
        <w:color w:val="D9D9D9" w:themeColor="background1" w:themeShade="D9"/>
        <w:lang w:val="fr-FR"/>
      </w:rPr>
      <w:t xml:space="preserve"> (477916)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B409A" w14:textId="77777777" w:rsidR="00477436" w:rsidRDefault="00477436">
      <w:r>
        <w:t>____________________</w:t>
      </w:r>
    </w:p>
  </w:footnote>
  <w:footnote w:type="continuationSeparator" w:id="0">
    <w:p w14:paraId="1B156498" w14:textId="77777777" w:rsidR="00477436" w:rsidRDefault="00477436">
      <w:r>
        <w:continuationSeparator/>
      </w:r>
    </w:p>
  </w:footnote>
  <w:footnote w:id="1">
    <w:p w14:paraId="121351A8" w14:textId="0D6AFA47" w:rsidR="00477436" w:rsidRPr="00477436" w:rsidRDefault="00477436" w:rsidP="00BD457A">
      <w:pPr>
        <w:tabs>
          <w:tab w:val="clear" w:pos="567"/>
          <w:tab w:val="left" w:pos="284"/>
        </w:tabs>
        <w:ind w:left="284" w:hanging="284"/>
        <w:rPr>
          <w:lang w:val="es-ES"/>
        </w:rPr>
      </w:pPr>
      <w:r>
        <w:rPr>
          <w:rStyle w:val="FootnoteReference"/>
        </w:rPr>
        <w:footnoteRef/>
      </w:r>
      <w:r w:rsidR="00754BF8">
        <w:rPr>
          <w:lang w:val="es-ES"/>
        </w:rPr>
        <w:tab/>
      </w:r>
      <w:r w:rsidRPr="00525B7F">
        <w:rPr>
          <w:rStyle w:val="FootnoteTextChar"/>
        </w:rPr>
        <w:t>El análisis de valor promueve la sustitución de ciertos materiales y métodos por alternativas menos costosas, sin sacrificar la funcionalidad.</w:t>
      </w:r>
    </w:p>
  </w:footnote>
  <w:footnote w:id="2">
    <w:p w14:paraId="6B70B8E4" w14:textId="7C9FE839" w:rsidR="009F158B" w:rsidRPr="009F158B" w:rsidRDefault="009F158B" w:rsidP="009F158B">
      <w:pPr>
        <w:pStyle w:val="FootnoteText"/>
      </w:pPr>
      <w:r>
        <w:rPr>
          <w:rStyle w:val="FootnoteReference"/>
        </w:rPr>
        <w:footnoteRef/>
      </w:r>
      <w:r>
        <w:tab/>
      </w:r>
      <w:r w:rsidRPr="009F158B">
        <w:t xml:space="preserve">La declaración del GAEM figura en el Documento </w:t>
      </w:r>
      <w:hyperlink r:id="rId1" w:history="1">
        <w:r w:rsidRPr="009F158B">
          <w:rPr>
            <w:rStyle w:val="Hyperlink"/>
          </w:rPr>
          <w:t>C20/48(Rev.1)</w:t>
        </w:r>
      </w:hyperlink>
      <w:r w:rsidRPr="009F15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2B2A" w14:textId="77777777" w:rsidR="006E15DC" w:rsidRDefault="006E15DC" w:rsidP="006E15DC">
    <w:pPr>
      <w:pStyle w:val="Header"/>
    </w:pPr>
    <w:r>
      <w:fldChar w:fldCharType="begin"/>
    </w:r>
    <w:r>
      <w:instrText>PAGE</w:instrText>
    </w:r>
    <w:r>
      <w:fldChar w:fldCharType="separate"/>
    </w:r>
    <w:r>
      <w:t>1</w:t>
    </w:r>
    <w:r>
      <w:rPr>
        <w:noProof/>
      </w:rPr>
      <w:fldChar w:fldCharType="end"/>
    </w:r>
  </w:p>
  <w:p w14:paraId="60CBDB79" w14:textId="77777777" w:rsidR="006E15DC" w:rsidRDefault="006E15DC" w:rsidP="00BD457A">
    <w:pPr>
      <w:pStyle w:val="Header"/>
      <w:spacing w:after="240"/>
    </w:pPr>
    <w:r>
      <w:t>C20/</w:t>
    </w:r>
    <w:r>
      <w:rPr>
        <w:bCs/>
      </w:rPr>
      <w:t>7(Rev.1)</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BA8A" w14:textId="77777777" w:rsidR="006E15DC" w:rsidRDefault="006E15DC" w:rsidP="006E15DC">
    <w:pPr>
      <w:pStyle w:val="Header"/>
    </w:pPr>
    <w:r>
      <w:fldChar w:fldCharType="begin"/>
    </w:r>
    <w:r>
      <w:instrText>PAGE</w:instrText>
    </w:r>
    <w:r>
      <w:fldChar w:fldCharType="separate"/>
    </w:r>
    <w:r>
      <w:t>1</w:t>
    </w:r>
    <w:r>
      <w:rPr>
        <w:noProof/>
      </w:rPr>
      <w:fldChar w:fldCharType="end"/>
    </w:r>
  </w:p>
  <w:p w14:paraId="7D54AEE0" w14:textId="21096AF9" w:rsidR="006E15DC" w:rsidRPr="006E15DC" w:rsidRDefault="006E15DC" w:rsidP="006E15DC">
    <w:pPr>
      <w:pStyle w:val="Header"/>
    </w:pPr>
    <w:r>
      <w:t>C20/</w:t>
    </w:r>
    <w:r>
      <w:rPr>
        <w:bCs/>
      </w:rPr>
      <w:t>7(Rev.1)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2242687A"/>
    <w:lvl w:ilvl="0" w:tplc="DF068A14">
      <w:start w:val="1"/>
      <w:numFmt w:val="ideographDigital"/>
      <w:lvlText w:val=""/>
      <w:lvlJc w:val="left"/>
    </w:lvl>
    <w:lvl w:ilvl="1" w:tplc="9B72F88A">
      <w:numFmt w:val="decimal"/>
      <w:lvlText w:val=""/>
      <w:lvlJc w:val="left"/>
    </w:lvl>
    <w:lvl w:ilvl="2" w:tplc="5656991C">
      <w:numFmt w:val="decimal"/>
      <w:lvlText w:val=""/>
      <w:lvlJc w:val="left"/>
    </w:lvl>
    <w:lvl w:ilvl="3" w:tplc="486E131C">
      <w:numFmt w:val="decimal"/>
      <w:lvlText w:val=""/>
      <w:lvlJc w:val="left"/>
    </w:lvl>
    <w:lvl w:ilvl="4" w:tplc="5936FC94">
      <w:numFmt w:val="decimal"/>
      <w:lvlText w:val=""/>
      <w:lvlJc w:val="left"/>
    </w:lvl>
    <w:lvl w:ilvl="5" w:tplc="7624C19A">
      <w:numFmt w:val="decimal"/>
      <w:lvlText w:val=""/>
      <w:lvlJc w:val="left"/>
    </w:lvl>
    <w:lvl w:ilvl="6" w:tplc="E7B479C6">
      <w:numFmt w:val="decimal"/>
      <w:lvlText w:val=""/>
      <w:lvlJc w:val="left"/>
    </w:lvl>
    <w:lvl w:ilvl="7" w:tplc="1C58E3C4">
      <w:numFmt w:val="decimal"/>
      <w:lvlText w:val=""/>
      <w:lvlJc w:val="left"/>
    </w:lvl>
    <w:lvl w:ilvl="8" w:tplc="7EF60D4C">
      <w:numFmt w:val="decimal"/>
      <w:lvlText w:val=""/>
      <w:lvlJc w:val="left"/>
    </w:lvl>
  </w:abstractNum>
  <w:abstractNum w:abstractNumId="1" w15:restartNumberingAfterBreak="0">
    <w:nsid w:val="FFFFFF7C"/>
    <w:multiLevelType w:val="singleLevel"/>
    <w:tmpl w:val="7312D9A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9AC1F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E8E7F3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802B0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AEA7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7E6F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954C4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10B0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8ED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E10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01FDB"/>
    <w:multiLevelType w:val="hybridMultilevel"/>
    <w:tmpl w:val="7874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36C60"/>
    <w:multiLevelType w:val="hybridMultilevel"/>
    <w:tmpl w:val="5A387F8E"/>
    <w:lvl w:ilvl="0" w:tplc="1C36C4D8">
      <w:numFmt w:val="bullet"/>
      <w:lvlText w:val="-"/>
      <w:lvlJc w:val="left"/>
      <w:pPr>
        <w:ind w:left="1069" w:hanging="360"/>
      </w:pPr>
      <w:rPr>
        <w:rFonts w:ascii="Calibri" w:eastAsia="SimSun" w:hAnsi="Calibri" w:cs="Calibri" w:hint="default"/>
      </w:rPr>
    </w:lvl>
    <w:lvl w:ilvl="1" w:tplc="42308486">
      <w:start w:val="1"/>
      <w:numFmt w:val="bullet"/>
      <w:lvlText w:val=""/>
      <w:lvlJc w:val="left"/>
      <w:pPr>
        <w:ind w:left="1789" w:hanging="360"/>
      </w:pPr>
      <w:rPr>
        <w:rFonts w:ascii="Symbol" w:hAnsi="Symbol" w:hint="default"/>
      </w:rPr>
    </w:lvl>
    <w:lvl w:ilvl="2" w:tplc="6F3E218A" w:tentative="1">
      <w:start w:val="1"/>
      <w:numFmt w:val="bullet"/>
      <w:lvlText w:val=""/>
      <w:lvlJc w:val="left"/>
      <w:pPr>
        <w:ind w:left="2509" w:hanging="360"/>
      </w:pPr>
      <w:rPr>
        <w:rFonts w:ascii="Wingdings" w:hAnsi="Wingdings" w:hint="default"/>
      </w:rPr>
    </w:lvl>
    <w:lvl w:ilvl="3" w:tplc="120A5F78" w:tentative="1">
      <w:start w:val="1"/>
      <w:numFmt w:val="bullet"/>
      <w:lvlText w:val=""/>
      <w:lvlJc w:val="left"/>
      <w:pPr>
        <w:ind w:left="3229" w:hanging="360"/>
      </w:pPr>
      <w:rPr>
        <w:rFonts w:ascii="Symbol" w:hAnsi="Symbol" w:hint="default"/>
      </w:rPr>
    </w:lvl>
    <w:lvl w:ilvl="4" w:tplc="D99AA854" w:tentative="1">
      <w:start w:val="1"/>
      <w:numFmt w:val="bullet"/>
      <w:lvlText w:val="o"/>
      <w:lvlJc w:val="left"/>
      <w:pPr>
        <w:ind w:left="3949" w:hanging="360"/>
      </w:pPr>
      <w:rPr>
        <w:rFonts w:ascii="Courier New" w:hAnsi="Courier New" w:cs="Courier New" w:hint="default"/>
      </w:rPr>
    </w:lvl>
    <w:lvl w:ilvl="5" w:tplc="4B5A1858" w:tentative="1">
      <w:start w:val="1"/>
      <w:numFmt w:val="bullet"/>
      <w:lvlText w:val=""/>
      <w:lvlJc w:val="left"/>
      <w:pPr>
        <w:ind w:left="4669" w:hanging="360"/>
      </w:pPr>
      <w:rPr>
        <w:rFonts w:ascii="Wingdings" w:hAnsi="Wingdings" w:hint="default"/>
      </w:rPr>
    </w:lvl>
    <w:lvl w:ilvl="6" w:tplc="368878C2" w:tentative="1">
      <w:start w:val="1"/>
      <w:numFmt w:val="bullet"/>
      <w:lvlText w:val=""/>
      <w:lvlJc w:val="left"/>
      <w:pPr>
        <w:ind w:left="5389" w:hanging="360"/>
      </w:pPr>
      <w:rPr>
        <w:rFonts w:ascii="Symbol" w:hAnsi="Symbol" w:hint="default"/>
      </w:rPr>
    </w:lvl>
    <w:lvl w:ilvl="7" w:tplc="2DF47664" w:tentative="1">
      <w:start w:val="1"/>
      <w:numFmt w:val="bullet"/>
      <w:lvlText w:val="o"/>
      <w:lvlJc w:val="left"/>
      <w:pPr>
        <w:ind w:left="6109" w:hanging="360"/>
      </w:pPr>
      <w:rPr>
        <w:rFonts w:ascii="Courier New" w:hAnsi="Courier New" w:cs="Courier New" w:hint="default"/>
      </w:rPr>
    </w:lvl>
    <w:lvl w:ilvl="8" w:tplc="691CD85C" w:tentative="1">
      <w:start w:val="1"/>
      <w:numFmt w:val="bullet"/>
      <w:lvlText w:val=""/>
      <w:lvlJc w:val="left"/>
      <w:pPr>
        <w:ind w:left="6829" w:hanging="360"/>
      </w:pPr>
      <w:rPr>
        <w:rFonts w:ascii="Wingdings" w:hAnsi="Wingdings" w:hint="default"/>
      </w:rPr>
    </w:lvl>
  </w:abstractNum>
  <w:abstractNum w:abstractNumId="13" w15:restartNumberingAfterBreak="0">
    <w:nsid w:val="25D63E50"/>
    <w:multiLevelType w:val="hybridMultilevel"/>
    <w:tmpl w:val="9D2E8EE4"/>
    <w:lvl w:ilvl="0" w:tplc="FFFFFFFF">
      <w:start w:val="1"/>
      <w:numFmt w:val="ideographDigital"/>
      <w:lvlText w:val=""/>
      <w:lvlJc w:val="left"/>
    </w:lvl>
    <w:lvl w:ilvl="1" w:tplc="E0CEF04E">
      <w:start w:val="1"/>
      <w:numFmt w:val="bullet"/>
      <w:lvlText w:val=""/>
      <w:lvlJc w:val="left"/>
      <w:rPr>
        <w:rFonts w:ascii="Symbol" w:hAnsi="Symbol" w:hint="default"/>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7C7A03"/>
    <w:multiLevelType w:val="hybridMultilevel"/>
    <w:tmpl w:val="30D48D94"/>
    <w:lvl w:ilvl="0" w:tplc="E9109EB4">
      <w:start w:val="1"/>
      <w:numFmt w:val="bullet"/>
      <w:lvlText w:val=""/>
      <w:lvlJc w:val="left"/>
      <w:pPr>
        <w:ind w:left="720" w:hanging="360"/>
      </w:pPr>
      <w:rPr>
        <w:rFonts w:ascii="Symbol" w:hAnsi="Symbol" w:hint="default"/>
      </w:rPr>
    </w:lvl>
    <w:lvl w:ilvl="1" w:tplc="F7228D36" w:tentative="1">
      <w:start w:val="1"/>
      <w:numFmt w:val="bullet"/>
      <w:lvlText w:val="o"/>
      <w:lvlJc w:val="left"/>
      <w:pPr>
        <w:ind w:left="1440" w:hanging="360"/>
      </w:pPr>
      <w:rPr>
        <w:rFonts w:ascii="Courier New" w:hAnsi="Courier New" w:cs="Courier New" w:hint="default"/>
      </w:rPr>
    </w:lvl>
    <w:lvl w:ilvl="2" w:tplc="DFA8CBE8" w:tentative="1">
      <w:start w:val="1"/>
      <w:numFmt w:val="bullet"/>
      <w:lvlText w:val=""/>
      <w:lvlJc w:val="left"/>
      <w:pPr>
        <w:ind w:left="2160" w:hanging="360"/>
      </w:pPr>
      <w:rPr>
        <w:rFonts w:ascii="Wingdings" w:hAnsi="Wingdings" w:hint="default"/>
      </w:rPr>
    </w:lvl>
    <w:lvl w:ilvl="3" w:tplc="0D361EA2" w:tentative="1">
      <w:start w:val="1"/>
      <w:numFmt w:val="bullet"/>
      <w:lvlText w:val=""/>
      <w:lvlJc w:val="left"/>
      <w:pPr>
        <w:ind w:left="2880" w:hanging="360"/>
      </w:pPr>
      <w:rPr>
        <w:rFonts w:ascii="Symbol" w:hAnsi="Symbol" w:hint="default"/>
      </w:rPr>
    </w:lvl>
    <w:lvl w:ilvl="4" w:tplc="6E16AEFE" w:tentative="1">
      <w:start w:val="1"/>
      <w:numFmt w:val="bullet"/>
      <w:lvlText w:val="o"/>
      <w:lvlJc w:val="left"/>
      <w:pPr>
        <w:ind w:left="3600" w:hanging="360"/>
      </w:pPr>
      <w:rPr>
        <w:rFonts w:ascii="Courier New" w:hAnsi="Courier New" w:cs="Courier New" w:hint="default"/>
      </w:rPr>
    </w:lvl>
    <w:lvl w:ilvl="5" w:tplc="F5EC1610" w:tentative="1">
      <w:start w:val="1"/>
      <w:numFmt w:val="bullet"/>
      <w:lvlText w:val=""/>
      <w:lvlJc w:val="left"/>
      <w:pPr>
        <w:ind w:left="4320" w:hanging="360"/>
      </w:pPr>
      <w:rPr>
        <w:rFonts w:ascii="Wingdings" w:hAnsi="Wingdings" w:hint="default"/>
      </w:rPr>
    </w:lvl>
    <w:lvl w:ilvl="6" w:tplc="A70267C6" w:tentative="1">
      <w:start w:val="1"/>
      <w:numFmt w:val="bullet"/>
      <w:lvlText w:val=""/>
      <w:lvlJc w:val="left"/>
      <w:pPr>
        <w:ind w:left="5040" w:hanging="360"/>
      </w:pPr>
      <w:rPr>
        <w:rFonts w:ascii="Symbol" w:hAnsi="Symbol" w:hint="default"/>
      </w:rPr>
    </w:lvl>
    <w:lvl w:ilvl="7" w:tplc="768C3CBC" w:tentative="1">
      <w:start w:val="1"/>
      <w:numFmt w:val="bullet"/>
      <w:lvlText w:val="o"/>
      <w:lvlJc w:val="left"/>
      <w:pPr>
        <w:ind w:left="5760" w:hanging="360"/>
      </w:pPr>
      <w:rPr>
        <w:rFonts w:ascii="Courier New" w:hAnsi="Courier New" w:cs="Courier New" w:hint="default"/>
      </w:rPr>
    </w:lvl>
    <w:lvl w:ilvl="8" w:tplc="4CA00208" w:tentative="1">
      <w:start w:val="1"/>
      <w:numFmt w:val="bullet"/>
      <w:lvlText w:val=""/>
      <w:lvlJc w:val="left"/>
      <w:pPr>
        <w:ind w:left="6480" w:hanging="360"/>
      </w:pPr>
      <w:rPr>
        <w:rFonts w:ascii="Wingdings" w:hAnsi="Wingdings" w:hint="default"/>
      </w:rPr>
    </w:lvl>
  </w:abstractNum>
  <w:abstractNum w:abstractNumId="15" w15:restartNumberingAfterBreak="0">
    <w:nsid w:val="337C6677"/>
    <w:multiLevelType w:val="hybridMultilevel"/>
    <w:tmpl w:val="84C059B8"/>
    <w:lvl w:ilvl="0" w:tplc="9E720FD2">
      <w:start w:val="1"/>
      <w:numFmt w:val="bullet"/>
      <w:lvlText w:val=""/>
      <w:lvlJc w:val="left"/>
      <w:pPr>
        <w:ind w:left="720" w:hanging="360"/>
      </w:pPr>
      <w:rPr>
        <w:rFonts w:ascii="Symbol" w:hAnsi="Symbol" w:hint="default"/>
      </w:rPr>
    </w:lvl>
    <w:lvl w:ilvl="1" w:tplc="5B8C6B50" w:tentative="1">
      <w:start w:val="1"/>
      <w:numFmt w:val="bullet"/>
      <w:lvlText w:val="o"/>
      <w:lvlJc w:val="left"/>
      <w:pPr>
        <w:ind w:left="1440" w:hanging="360"/>
      </w:pPr>
      <w:rPr>
        <w:rFonts w:ascii="Courier New" w:hAnsi="Courier New" w:cs="Courier New" w:hint="default"/>
      </w:rPr>
    </w:lvl>
    <w:lvl w:ilvl="2" w:tplc="4822915C" w:tentative="1">
      <w:start w:val="1"/>
      <w:numFmt w:val="bullet"/>
      <w:lvlText w:val=""/>
      <w:lvlJc w:val="left"/>
      <w:pPr>
        <w:ind w:left="2160" w:hanging="360"/>
      </w:pPr>
      <w:rPr>
        <w:rFonts w:ascii="Wingdings" w:hAnsi="Wingdings" w:hint="default"/>
      </w:rPr>
    </w:lvl>
    <w:lvl w:ilvl="3" w:tplc="F5EC255A" w:tentative="1">
      <w:start w:val="1"/>
      <w:numFmt w:val="bullet"/>
      <w:lvlText w:val=""/>
      <w:lvlJc w:val="left"/>
      <w:pPr>
        <w:ind w:left="2880" w:hanging="360"/>
      </w:pPr>
      <w:rPr>
        <w:rFonts w:ascii="Symbol" w:hAnsi="Symbol" w:hint="default"/>
      </w:rPr>
    </w:lvl>
    <w:lvl w:ilvl="4" w:tplc="4AFC3D18" w:tentative="1">
      <w:start w:val="1"/>
      <w:numFmt w:val="bullet"/>
      <w:lvlText w:val="o"/>
      <w:lvlJc w:val="left"/>
      <w:pPr>
        <w:ind w:left="3600" w:hanging="360"/>
      </w:pPr>
      <w:rPr>
        <w:rFonts w:ascii="Courier New" w:hAnsi="Courier New" w:cs="Courier New" w:hint="default"/>
      </w:rPr>
    </w:lvl>
    <w:lvl w:ilvl="5" w:tplc="1100A2E8" w:tentative="1">
      <w:start w:val="1"/>
      <w:numFmt w:val="bullet"/>
      <w:lvlText w:val=""/>
      <w:lvlJc w:val="left"/>
      <w:pPr>
        <w:ind w:left="4320" w:hanging="360"/>
      </w:pPr>
      <w:rPr>
        <w:rFonts w:ascii="Wingdings" w:hAnsi="Wingdings" w:hint="default"/>
      </w:rPr>
    </w:lvl>
    <w:lvl w:ilvl="6" w:tplc="4AE0D8EC" w:tentative="1">
      <w:start w:val="1"/>
      <w:numFmt w:val="bullet"/>
      <w:lvlText w:val=""/>
      <w:lvlJc w:val="left"/>
      <w:pPr>
        <w:ind w:left="5040" w:hanging="360"/>
      </w:pPr>
      <w:rPr>
        <w:rFonts w:ascii="Symbol" w:hAnsi="Symbol" w:hint="default"/>
      </w:rPr>
    </w:lvl>
    <w:lvl w:ilvl="7" w:tplc="7548C602" w:tentative="1">
      <w:start w:val="1"/>
      <w:numFmt w:val="bullet"/>
      <w:lvlText w:val="o"/>
      <w:lvlJc w:val="left"/>
      <w:pPr>
        <w:ind w:left="5760" w:hanging="360"/>
      </w:pPr>
      <w:rPr>
        <w:rFonts w:ascii="Courier New" w:hAnsi="Courier New" w:cs="Courier New" w:hint="default"/>
      </w:rPr>
    </w:lvl>
    <w:lvl w:ilvl="8" w:tplc="C1F8DF4A" w:tentative="1">
      <w:start w:val="1"/>
      <w:numFmt w:val="bullet"/>
      <w:lvlText w:val=""/>
      <w:lvlJc w:val="left"/>
      <w:pPr>
        <w:ind w:left="6480" w:hanging="360"/>
      </w:pPr>
      <w:rPr>
        <w:rFonts w:ascii="Wingdings" w:hAnsi="Wingdings" w:hint="default"/>
      </w:rPr>
    </w:lvl>
  </w:abstractNum>
  <w:abstractNum w:abstractNumId="16" w15:restartNumberingAfterBreak="0">
    <w:nsid w:val="35D456B4"/>
    <w:multiLevelType w:val="hybridMultilevel"/>
    <w:tmpl w:val="DDACB454"/>
    <w:lvl w:ilvl="0" w:tplc="9588F23A">
      <w:start w:val="1"/>
      <w:numFmt w:val="bullet"/>
      <w:lvlText w:val=""/>
      <w:lvlJc w:val="left"/>
      <w:pPr>
        <w:ind w:left="720" w:hanging="360"/>
      </w:pPr>
      <w:rPr>
        <w:rFonts w:ascii="Symbol" w:hAnsi="Symbol" w:cs="Symbol" w:hint="default"/>
      </w:rPr>
    </w:lvl>
    <w:lvl w:ilvl="1" w:tplc="60563206" w:tentative="1">
      <w:start w:val="1"/>
      <w:numFmt w:val="bullet"/>
      <w:lvlText w:val="o"/>
      <w:lvlJc w:val="left"/>
      <w:pPr>
        <w:ind w:left="1440" w:hanging="360"/>
      </w:pPr>
      <w:rPr>
        <w:rFonts w:ascii="Courier New" w:hAnsi="Courier New" w:cs="Courier New" w:hint="default"/>
      </w:rPr>
    </w:lvl>
    <w:lvl w:ilvl="2" w:tplc="9A9A91F6" w:tentative="1">
      <w:start w:val="1"/>
      <w:numFmt w:val="bullet"/>
      <w:lvlText w:val=""/>
      <w:lvlJc w:val="left"/>
      <w:pPr>
        <w:ind w:left="2160" w:hanging="360"/>
      </w:pPr>
      <w:rPr>
        <w:rFonts w:ascii="Wingdings" w:hAnsi="Wingdings" w:cs="Wingdings" w:hint="default"/>
      </w:rPr>
    </w:lvl>
    <w:lvl w:ilvl="3" w:tplc="17C060BE" w:tentative="1">
      <w:start w:val="1"/>
      <w:numFmt w:val="bullet"/>
      <w:lvlText w:val=""/>
      <w:lvlJc w:val="left"/>
      <w:pPr>
        <w:ind w:left="2880" w:hanging="360"/>
      </w:pPr>
      <w:rPr>
        <w:rFonts w:ascii="Symbol" w:hAnsi="Symbol" w:cs="Symbol" w:hint="default"/>
      </w:rPr>
    </w:lvl>
    <w:lvl w:ilvl="4" w:tplc="B150B872" w:tentative="1">
      <w:start w:val="1"/>
      <w:numFmt w:val="bullet"/>
      <w:lvlText w:val="o"/>
      <w:lvlJc w:val="left"/>
      <w:pPr>
        <w:ind w:left="3600" w:hanging="360"/>
      </w:pPr>
      <w:rPr>
        <w:rFonts w:ascii="Courier New" w:hAnsi="Courier New" w:cs="Courier New" w:hint="default"/>
      </w:rPr>
    </w:lvl>
    <w:lvl w:ilvl="5" w:tplc="717AB4C0" w:tentative="1">
      <w:start w:val="1"/>
      <w:numFmt w:val="bullet"/>
      <w:lvlText w:val=""/>
      <w:lvlJc w:val="left"/>
      <w:pPr>
        <w:ind w:left="4320" w:hanging="360"/>
      </w:pPr>
      <w:rPr>
        <w:rFonts w:ascii="Wingdings" w:hAnsi="Wingdings" w:cs="Wingdings" w:hint="default"/>
      </w:rPr>
    </w:lvl>
    <w:lvl w:ilvl="6" w:tplc="C77A2A94" w:tentative="1">
      <w:start w:val="1"/>
      <w:numFmt w:val="bullet"/>
      <w:lvlText w:val=""/>
      <w:lvlJc w:val="left"/>
      <w:pPr>
        <w:ind w:left="5040" w:hanging="360"/>
      </w:pPr>
      <w:rPr>
        <w:rFonts w:ascii="Symbol" w:hAnsi="Symbol" w:cs="Symbol" w:hint="default"/>
      </w:rPr>
    </w:lvl>
    <w:lvl w:ilvl="7" w:tplc="EEC4912E" w:tentative="1">
      <w:start w:val="1"/>
      <w:numFmt w:val="bullet"/>
      <w:lvlText w:val="o"/>
      <w:lvlJc w:val="left"/>
      <w:pPr>
        <w:ind w:left="5760" w:hanging="360"/>
      </w:pPr>
      <w:rPr>
        <w:rFonts w:ascii="Courier New" w:hAnsi="Courier New" w:cs="Courier New" w:hint="default"/>
      </w:rPr>
    </w:lvl>
    <w:lvl w:ilvl="8" w:tplc="24F08374" w:tentative="1">
      <w:start w:val="1"/>
      <w:numFmt w:val="bullet"/>
      <w:lvlText w:val=""/>
      <w:lvlJc w:val="left"/>
      <w:pPr>
        <w:ind w:left="6480" w:hanging="360"/>
      </w:pPr>
      <w:rPr>
        <w:rFonts w:ascii="Wingdings" w:hAnsi="Wingdings" w:cs="Wingdings" w:hint="default"/>
      </w:rPr>
    </w:lvl>
  </w:abstractNum>
  <w:abstractNum w:abstractNumId="17" w15:restartNumberingAfterBreak="0">
    <w:nsid w:val="41FD4BB2"/>
    <w:multiLevelType w:val="multilevel"/>
    <w:tmpl w:val="7E004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4E07B96"/>
    <w:multiLevelType w:val="hybridMultilevel"/>
    <w:tmpl w:val="55BEDDCA"/>
    <w:lvl w:ilvl="0" w:tplc="6784939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6E4A73"/>
    <w:multiLevelType w:val="hybridMultilevel"/>
    <w:tmpl w:val="B01248F4"/>
    <w:lvl w:ilvl="0" w:tplc="BAF86F0A">
      <w:start w:val="1"/>
      <w:numFmt w:val="bullet"/>
      <w:lvlText w:val=""/>
      <w:lvlJc w:val="left"/>
      <w:pPr>
        <w:ind w:left="720" w:hanging="360"/>
      </w:pPr>
      <w:rPr>
        <w:rFonts w:ascii="Symbol" w:hAnsi="Symbol" w:hint="default"/>
      </w:rPr>
    </w:lvl>
    <w:lvl w:ilvl="1" w:tplc="3F4EE4AC" w:tentative="1">
      <w:start w:val="1"/>
      <w:numFmt w:val="bullet"/>
      <w:lvlText w:val="o"/>
      <w:lvlJc w:val="left"/>
      <w:pPr>
        <w:ind w:left="1440" w:hanging="360"/>
      </w:pPr>
      <w:rPr>
        <w:rFonts w:ascii="Courier New" w:hAnsi="Courier New" w:cs="Courier New" w:hint="default"/>
      </w:rPr>
    </w:lvl>
    <w:lvl w:ilvl="2" w:tplc="3DBEFB9C" w:tentative="1">
      <w:start w:val="1"/>
      <w:numFmt w:val="bullet"/>
      <w:lvlText w:val=""/>
      <w:lvlJc w:val="left"/>
      <w:pPr>
        <w:ind w:left="2160" w:hanging="360"/>
      </w:pPr>
      <w:rPr>
        <w:rFonts w:ascii="Wingdings" w:hAnsi="Wingdings" w:hint="default"/>
      </w:rPr>
    </w:lvl>
    <w:lvl w:ilvl="3" w:tplc="35A67434" w:tentative="1">
      <w:start w:val="1"/>
      <w:numFmt w:val="bullet"/>
      <w:lvlText w:val=""/>
      <w:lvlJc w:val="left"/>
      <w:pPr>
        <w:ind w:left="2880" w:hanging="360"/>
      </w:pPr>
      <w:rPr>
        <w:rFonts w:ascii="Symbol" w:hAnsi="Symbol" w:hint="default"/>
      </w:rPr>
    </w:lvl>
    <w:lvl w:ilvl="4" w:tplc="7862DB26" w:tentative="1">
      <w:start w:val="1"/>
      <w:numFmt w:val="bullet"/>
      <w:lvlText w:val="o"/>
      <w:lvlJc w:val="left"/>
      <w:pPr>
        <w:ind w:left="3600" w:hanging="360"/>
      </w:pPr>
      <w:rPr>
        <w:rFonts w:ascii="Courier New" w:hAnsi="Courier New" w:cs="Courier New" w:hint="default"/>
      </w:rPr>
    </w:lvl>
    <w:lvl w:ilvl="5" w:tplc="DF5E92FC" w:tentative="1">
      <w:start w:val="1"/>
      <w:numFmt w:val="bullet"/>
      <w:lvlText w:val=""/>
      <w:lvlJc w:val="left"/>
      <w:pPr>
        <w:ind w:left="4320" w:hanging="360"/>
      </w:pPr>
      <w:rPr>
        <w:rFonts w:ascii="Wingdings" w:hAnsi="Wingdings" w:hint="default"/>
      </w:rPr>
    </w:lvl>
    <w:lvl w:ilvl="6" w:tplc="37DEC6FC" w:tentative="1">
      <w:start w:val="1"/>
      <w:numFmt w:val="bullet"/>
      <w:lvlText w:val=""/>
      <w:lvlJc w:val="left"/>
      <w:pPr>
        <w:ind w:left="5040" w:hanging="360"/>
      </w:pPr>
      <w:rPr>
        <w:rFonts w:ascii="Symbol" w:hAnsi="Symbol" w:hint="default"/>
      </w:rPr>
    </w:lvl>
    <w:lvl w:ilvl="7" w:tplc="6C929438" w:tentative="1">
      <w:start w:val="1"/>
      <w:numFmt w:val="bullet"/>
      <w:lvlText w:val="o"/>
      <w:lvlJc w:val="left"/>
      <w:pPr>
        <w:ind w:left="5760" w:hanging="360"/>
      </w:pPr>
      <w:rPr>
        <w:rFonts w:ascii="Courier New" w:hAnsi="Courier New" w:cs="Courier New" w:hint="default"/>
      </w:rPr>
    </w:lvl>
    <w:lvl w:ilvl="8" w:tplc="C3485804" w:tentative="1">
      <w:start w:val="1"/>
      <w:numFmt w:val="bullet"/>
      <w:lvlText w:val=""/>
      <w:lvlJc w:val="left"/>
      <w:pPr>
        <w:ind w:left="6480" w:hanging="360"/>
      </w:pPr>
      <w:rPr>
        <w:rFonts w:ascii="Wingdings" w:hAnsi="Wingdings" w:hint="default"/>
      </w:rPr>
    </w:lvl>
  </w:abstractNum>
  <w:abstractNum w:abstractNumId="20" w15:restartNumberingAfterBreak="0">
    <w:nsid w:val="58E20CF5"/>
    <w:multiLevelType w:val="hybridMultilevel"/>
    <w:tmpl w:val="9AD088CC"/>
    <w:lvl w:ilvl="0" w:tplc="58D44E9A">
      <w:start w:val="1"/>
      <w:numFmt w:val="bullet"/>
      <w:lvlText w:val=""/>
      <w:lvlJc w:val="left"/>
      <w:pPr>
        <w:ind w:left="1069" w:hanging="360"/>
      </w:pPr>
      <w:rPr>
        <w:rFonts w:ascii="Symbol" w:hAnsi="Symbol" w:hint="default"/>
      </w:rPr>
    </w:lvl>
    <w:lvl w:ilvl="1" w:tplc="FD2E62C0">
      <w:start w:val="1"/>
      <w:numFmt w:val="bullet"/>
      <w:lvlText w:val=""/>
      <w:lvlJc w:val="left"/>
      <w:pPr>
        <w:ind w:left="1789" w:hanging="360"/>
      </w:pPr>
      <w:rPr>
        <w:rFonts w:ascii="Symbol" w:hAnsi="Symbol" w:hint="default"/>
      </w:rPr>
    </w:lvl>
    <w:lvl w:ilvl="2" w:tplc="ED12600E" w:tentative="1">
      <w:start w:val="1"/>
      <w:numFmt w:val="bullet"/>
      <w:lvlText w:val=""/>
      <w:lvlJc w:val="left"/>
      <w:pPr>
        <w:ind w:left="2509" w:hanging="360"/>
      </w:pPr>
      <w:rPr>
        <w:rFonts w:ascii="Wingdings" w:hAnsi="Wingdings" w:hint="default"/>
      </w:rPr>
    </w:lvl>
    <w:lvl w:ilvl="3" w:tplc="53CC29A0" w:tentative="1">
      <w:start w:val="1"/>
      <w:numFmt w:val="bullet"/>
      <w:lvlText w:val=""/>
      <w:lvlJc w:val="left"/>
      <w:pPr>
        <w:ind w:left="3229" w:hanging="360"/>
      </w:pPr>
      <w:rPr>
        <w:rFonts w:ascii="Symbol" w:hAnsi="Symbol" w:hint="default"/>
      </w:rPr>
    </w:lvl>
    <w:lvl w:ilvl="4" w:tplc="516C2800" w:tentative="1">
      <w:start w:val="1"/>
      <w:numFmt w:val="bullet"/>
      <w:lvlText w:val="o"/>
      <w:lvlJc w:val="left"/>
      <w:pPr>
        <w:ind w:left="3949" w:hanging="360"/>
      </w:pPr>
      <w:rPr>
        <w:rFonts w:ascii="Courier New" w:hAnsi="Courier New" w:cs="Courier New" w:hint="default"/>
      </w:rPr>
    </w:lvl>
    <w:lvl w:ilvl="5" w:tplc="15B2CED8" w:tentative="1">
      <w:start w:val="1"/>
      <w:numFmt w:val="bullet"/>
      <w:lvlText w:val=""/>
      <w:lvlJc w:val="left"/>
      <w:pPr>
        <w:ind w:left="4669" w:hanging="360"/>
      </w:pPr>
      <w:rPr>
        <w:rFonts w:ascii="Wingdings" w:hAnsi="Wingdings" w:hint="default"/>
      </w:rPr>
    </w:lvl>
    <w:lvl w:ilvl="6" w:tplc="BC38601E" w:tentative="1">
      <w:start w:val="1"/>
      <w:numFmt w:val="bullet"/>
      <w:lvlText w:val=""/>
      <w:lvlJc w:val="left"/>
      <w:pPr>
        <w:ind w:left="5389" w:hanging="360"/>
      </w:pPr>
      <w:rPr>
        <w:rFonts w:ascii="Symbol" w:hAnsi="Symbol" w:hint="default"/>
      </w:rPr>
    </w:lvl>
    <w:lvl w:ilvl="7" w:tplc="F4CA7A28" w:tentative="1">
      <w:start w:val="1"/>
      <w:numFmt w:val="bullet"/>
      <w:lvlText w:val="o"/>
      <w:lvlJc w:val="left"/>
      <w:pPr>
        <w:ind w:left="6109" w:hanging="360"/>
      </w:pPr>
      <w:rPr>
        <w:rFonts w:ascii="Courier New" w:hAnsi="Courier New" w:cs="Courier New" w:hint="default"/>
      </w:rPr>
    </w:lvl>
    <w:lvl w:ilvl="8" w:tplc="B81444F2" w:tentative="1">
      <w:start w:val="1"/>
      <w:numFmt w:val="bullet"/>
      <w:lvlText w:val=""/>
      <w:lvlJc w:val="left"/>
      <w:pPr>
        <w:ind w:left="6829" w:hanging="360"/>
      </w:pPr>
      <w:rPr>
        <w:rFonts w:ascii="Wingdings" w:hAnsi="Wingdings" w:hint="default"/>
      </w:rPr>
    </w:lvl>
  </w:abstractNum>
  <w:abstractNum w:abstractNumId="21" w15:restartNumberingAfterBreak="0">
    <w:nsid w:val="62994AB7"/>
    <w:multiLevelType w:val="hybridMultilevel"/>
    <w:tmpl w:val="0608C92E"/>
    <w:lvl w:ilvl="0" w:tplc="14B60BF0">
      <w:start w:val="5"/>
      <w:numFmt w:val="decimal"/>
      <w:lvlText w:val="%1"/>
      <w:lvlJc w:val="left"/>
      <w:pPr>
        <w:ind w:left="720" w:hanging="360"/>
      </w:pPr>
      <w:rPr>
        <w:rFonts w:hint="default"/>
      </w:rPr>
    </w:lvl>
    <w:lvl w:ilvl="1" w:tplc="33D4D63C" w:tentative="1">
      <w:start w:val="1"/>
      <w:numFmt w:val="lowerLetter"/>
      <w:lvlText w:val="%2."/>
      <w:lvlJc w:val="left"/>
      <w:pPr>
        <w:ind w:left="1440" w:hanging="360"/>
      </w:pPr>
    </w:lvl>
    <w:lvl w:ilvl="2" w:tplc="78EC54CA" w:tentative="1">
      <w:start w:val="1"/>
      <w:numFmt w:val="lowerRoman"/>
      <w:lvlText w:val="%3."/>
      <w:lvlJc w:val="right"/>
      <w:pPr>
        <w:ind w:left="2160" w:hanging="180"/>
      </w:pPr>
    </w:lvl>
    <w:lvl w:ilvl="3" w:tplc="3462DD4A" w:tentative="1">
      <w:start w:val="1"/>
      <w:numFmt w:val="decimal"/>
      <w:lvlText w:val="%4."/>
      <w:lvlJc w:val="left"/>
      <w:pPr>
        <w:ind w:left="2880" w:hanging="360"/>
      </w:pPr>
    </w:lvl>
    <w:lvl w:ilvl="4" w:tplc="0F6CDCFE" w:tentative="1">
      <w:start w:val="1"/>
      <w:numFmt w:val="lowerLetter"/>
      <w:lvlText w:val="%5."/>
      <w:lvlJc w:val="left"/>
      <w:pPr>
        <w:ind w:left="3600" w:hanging="360"/>
      </w:pPr>
    </w:lvl>
    <w:lvl w:ilvl="5" w:tplc="A65A6558" w:tentative="1">
      <w:start w:val="1"/>
      <w:numFmt w:val="lowerRoman"/>
      <w:lvlText w:val="%6."/>
      <w:lvlJc w:val="right"/>
      <w:pPr>
        <w:ind w:left="4320" w:hanging="180"/>
      </w:pPr>
    </w:lvl>
    <w:lvl w:ilvl="6" w:tplc="4344E8AC" w:tentative="1">
      <w:start w:val="1"/>
      <w:numFmt w:val="decimal"/>
      <w:lvlText w:val="%7."/>
      <w:lvlJc w:val="left"/>
      <w:pPr>
        <w:ind w:left="5040" w:hanging="360"/>
      </w:pPr>
    </w:lvl>
    <w:lvl w:ilvl="7" w:tplc="D00CEDB0" w:tentative="1">
      <w:start w:val="1"/>
      <w:numFmt w:val="lowerLetter"/>
      <w:lvlText w:val="%8."/>
      <w:lvlJc w:val="left"/>
      <w:pPr>
        <w:ind w:left="5760" w:hanging="360"/>
      </w:pPr>
    </w:lvl>
    <w:lvl w:ilvl="8" w:tplc="30F0AFF6" w:tentative="1">
      <w:start w:val="1"/>
      <w:numFmt w:val="lowerRoman"/>
      <w:lvlText w:val="%9."/>
      <w:lvlJc w:val="right"/>
      <w:pPr>
        <w:ind w:left="6480" w:hanging="180"/>
      </w:pPr>
    </w:lvl>
  </w:abstractNum>
  <w:abstractNum w:abstractNumId="22"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DDA257A"/>
    <w:multiLevelType w:val="hybridMultilevel"/>
    <w:tmpl w:val="F02085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2"/>
  </w:num>
  <w:num w:numId="2">
    <w:abstractNumId w:val="12"/>
  </w:num>
  <w:num w:numId="3">
    <w:abstractNumId w:val="15"/>
  </w:num>
  <w:num w:numId="4">
    <w:abstractNumId w:val="14"/>
  </w:num>
  <w:num w:numId="5">
    <w:abstractNumId w:val="19"/>
  </w:num>
  <w:num w:numId="6">
    <w:abstractNumId w:val="21"/>
  </w:num>
  <w:num w:numId="7">
    <w:abstractNumId w:val="16"/>
  </w:num>
  <w:num w:numId="8">
    <w:abstractNumId w:val="20"/>
  </w:num>
  <w:num w:numId="9">
    <w:abstractNumId w:val="0"/>
  </w:num>
  <w:num w:numId="10">
    <w:abstractNumId w:val="18"/>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3"/>
  </w:num>
  <w:num w:numId="22">
    <w:abstractNumId w:val="11"/>
  </w:num>
  <w:num w:numId="23">
    <w:abstractNumId w:val="13"/>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4E"/>
    <w:rsid w:val="00007EF7"/>
    <w:rsid w:val="0002028E"/>
    <w:rsid w:val="00032E12"/>
    <w:rsid w:val="000331BF"/>
    <w:rsid w:val="000443B8"/>
    <w:rsid w:val="00083B43"/>
    <w:rsid w:val="00093EEB"/>
    <w:rsid w:val="000B0D00"/>
    <w:rsid w:val="000B3F2C"/>
    <w:rsid w:val="000B41BA"/>
    <w:rsid w:val="000B506F"/>
    <w:rsid w:val="000B6D97"/>
    <w:rsid w:val="000B7C15"/>
    <w:rsid w:val="000D1D0F"/>
    <w:rsid w:val="000E0DFF"/>
    <w:rsid w:val="000E362B"/>
    <w:rsid w:val="000F5290"/>
    <w:rsid w:val="0010165C"/>
    <w:rsid w:val="00140512"/>
    <w:rsid w:val="00146627"/>
    <w:rsid w:val="00146BFB"/>
    <w:rsid w:val="0016030C"/>
    <w:rsid w:val="001713AD"/>
    <w:rsid w:val="00176183"/>
    <w:rsid w:val="00177789"/>
    <w:rsid w:val="00191DD0"/>
    <w:rsid w:val="0019476D"/>
    <w:rsid w:val="00195127"/>
    <w:rsid w:val="001A0E33"/>
    <w:rsid w:val="001A1860"/>
    <w:rsid w:val="001A224B"/>
    <w:rsid w:val="001A3E5B"/>
    <w:rsid w:val="001F14A2"/>
    <w:rsid w:val="001F4C39"/>
    <w:rsid w:val="002647E5"/>
    <w:rsid w:val="002801A6"/>
    <w:rsid w:val="002801AA"/>
    <w:rsid w:val="002C4676"/>
    <w:rsid w:val="002C70B0"/>
    <w:rsid w:val="002C7D32"/>
    <w:rsid w:val="002F3702"/>
    <w:rsid w:val="002F3CC4"/>
    <w:rsid w:val="00310BAB"/>
    <w:rsid w:val="0033280A"/>
    <w:rsid w:val="00344749"/>
    <w:rsid w:val="003556A9"/>
    <w:rsid w:val="00362692"/>
    <w:rsid w:val="0036462A"/>
    <w:rsid w:val="00371D9B"/>
    <w:rsid w:val="00383C92"/>
    <w:rsid w:val="003A04E7"/>
    <w:rsid w:val="003B5465"/>
    <w:rsid w:val="003C4E9E"/>
    <w:rsid w:val="003D1C7B"/>
    <w:rsid w:val="003D409D"/>
    <w:rsid w:val="003D7E29"/>
    <w:rsid w:val="003E4613"/>
    <w:rsid w:val="003F18BF"/>
    <w:rsid w:val="003F517E"/>
    <w:rsid w:val="004000AA"/>
    <w:rsid w:val="004045CB"/>
    <w:rsid w:val="004107D6"/>
    <w:rsid w:val="0041722E"/>
    <w:rsid w:val="00427FB3"/>
    <w:rsid w:val="00466E0A"/>
    <w:rsid w:val="0047515E"/>
    <w:rsid w:val="00477436"/>
    <w:rsid w:val="00477CBB"/>
    <w:rsid w:val="00482FDF"/>
    <w:rsid w:val="004838A6"/>
    <w:rsid w:val="00496824"/>
    <w:rsid w:val="00497078"/>
    <w:rsid w:val="004B109A"/>
    <w:rsid w:val="004B7587"/>
    <w:rsid w:val="004D7071"/>
    <w:rsid w:val="004E05B8"/>
    <w:rsid w:val="004E4657"/>
    <w:rsid w:val="004E4BE1"/>
    <w:rsid w:val="004F543D"/>
    <w:rsid w:val="00513630"/>
    <w:rsid w:val="0051711E"/>
    <w:rsid w:val="00525B7F"/>
    <w:rsid w:val="00527775"/>
    <w:rsid w:val="00556B10"/>
    <w:rsid w:val="00560125"/>
    <w:rsid w:val="00580434"/>
    <w:rsid w:val="00584C37"/>
    <w:rsid w:val="00585553"/>
    <w:rsid w:val="005A39DB"/>
    <w:rsid w:val="005A4E08"/>
    <w:rsid w:val="005B34D9"/>
    <w:rsid w:val="005C701B"/>
    <w:rsid w:val="005D0CCF"/>
    <w:rsid w:val="005E2C48"/>
    <w:rsid w:val="005E3061"/>
    <w:rsid w:val="005F3BCB"/>
    <w:rsid w:val="005F410F"/>
    <w:rsid w:val="0060149A"/>
    <w:rsid w:val="00601924"/>
    <w:rsid w:val="00604EB9"/>
    <w:rsid w:val="006052C7"/>
    <w:rsid w:val="00607A68"/>
    <w:rsid w:val="00623B4D"/>
    <w:rsid w:val="006447EA"/>
    <w:rsid w:val="0064731F"/>
    <w:rsid w:val="00664572"/>
    <w:rsid w:val="006710F6"/>
    <w:rsid w:val="006832A3"/>
    <w:rsid w:val="00690593"/>
    <w:rsid w:val="00694605"/>
    <w:rsid w:val="00695989"/>
    <w:rsid w:val="006B17F4"/>
    <w:rsid w:val="006B50F0"/>
    <w:rsid w:val="006B6B21"/>
    <w:rsid w:val="006C1B56"/>
    <w:rsid w:val="006C6046"/>
    <w:rsid w:val="006D24E9"/>
    <w:rsid w:val="006D4761"/>
    <w:rsid w:val="006E15DC"/>
    <w:rsid w:val="006E33E3"/>
    <w:rsid w:val="006F64AE"/>
    <w:rsid w:val="00711101"/>
    <w:rsid w:val="007145FB"/>
    <w:rsid w:val="0072119B"/>
    <w:rsid w:val="00726872"/>
    <w:rsid w:val="00727955"/>
    <w:rsid w:val="007465C5"/>
    <w:rsid w:val="00754BF8"/>
    <w:rsid w:val="00760F1C"/>
    <w:rsid w:val="007657F0"/>
    <w:rsid w:val="007672E0"/>
    <w:rsid w:val="0077252D"/>
    <w:rsid w:val="0079403B"/>
    <w:rsid w:val="007955DA"/>
    <w:rsid w:val="007A12A4"/>
    <w:rsid w:val="007A1891"/>
    <w:rsid w:val="007A50FE"/>
    <w:rsid w:val="007B1F1D"/>
    <w:rsid w:val="007D4F6A"/>
    <w:rsid w:val="007E5DD3"/>
    <w:rsid w:val="007E6F5C"/>
    <w:rsid w:val="007F0D32"/>
    <w:rsid w:val="007F350B"/>
    <w:rsid w:val="007F5476"/>
    <w:rsid w:val="008054D6"/>
    <w:rsid w:val="00820BE4"/>
    <w:rsid w:val="008345D3"/>
    <w:rsid w:val="008451E8"/>
    <w:rsid w:val="008577AA"/>
    <w:rsid w:val="0086141E"/>
    <w:rsid w:val="008629BC"/>
    <w:rsid w:val="008746AE"/>
    <w:rsid w:val="00880953"/>
    <w:rsid w:val="0088244E"/>
    <w:rsid w:val="00894CC4"/>
    <w:rsid w:val="008B62F1"/>
    <w:rsid w:val="008B6C60"/>
    <w:rsid w:val="008C67C6"/>
    <w:rsid w:val="008D2E8D"/>
    <w:rsid w:val="008D5853"/>
    <w:rsid w:val="008E31F9"/>
    <w:rsid w:val="008E79FC"/>
    <w:rsid w:val="00904E29"/>
    <w:rsid w:val="009137DC"/>
    <w:rsid w:val="00913B9C"/>
    <w:rsid w:val="00920D0C"/>
    <w:rsid w:val="00923118"/>
    <w:rsid w:val="00923793"/>
    <w:rsid w:val="0093346F"/>
    <w:rsid w:val="00955067"/>
    <w:rsid w:val="00956E77"/>
    <w:rsid w:val="00967210"/>
    <w:rsid w:val="00983488"/>
    <w:rsid w:val="0099433D"/>
    <w:rsid w:val="00997701"/>
    <w:rsid w:val="009A4E26"/>
    <w:rsid w:val="009B5D74"/>
    <w:rsid w:val="009B7AC0"/>
    <w:rsid w:val="009C6A41"/>
    <w:rsid w:val="009C70AF"/>
    <w:rsid w:val="009D64DB"/>
    <w:rsid w:val="009F158B"/>
    <w:rsid w:val="009F4811"/>
    <w:rsid w:val="00A107D9"/>
    <w:rsid w:val="00A10A22"/>
    <w:rsid w:val="00A140B5"/>
    <w:rsid w:val="00A2106D"/>
    <w:rsid w:val="00A3292B"/>
    <w:rsid w:val="00A378EE"/>
    <w:rsid w:val="00A67939"/>
    <w:rsid w:val="00A812B0"/>
    <w:rsid w:val="00A8352D"/>
    <w:rsid w:val="00A9546E"/>
    <w:rsid w:val="00AA0EF2"/>
    <w:rsid w:val="00AA390C"/>
    <w:rsid w:val="00AB204A"/>
    <w:rsid w:val="00AB5552"/>
    <w:rsid w:val="00AC25D9"/>
    <w:rsid w:val="00AC7E82"/>
    <w:rsid w:val="00B01251"/>
    <w:rsid w:val="00B0200A"/>
    <w:rsid w:val="00B10B95"/>
    <w:rsid w:val="00B14057"/>
    <w:rsid w:val="00B26C38"/>
    <w:rsid w:val="00B3628F"/>
    <w:rsid w:val="00B506BD"/>
    <w:rsid w:val="00B52BCF"/>
    <w:rsid w:val="00B574DB"/>
    <w:rsid w:val="00B61089"/>
    <w:rsid w:val="00B826C2"/>
    <w:rsid w:val="00B8298E"/>
    <w:rsid w:val="00B84875"/>
    <w:rsid w:val="00BA5E9F"/>
    <w:rsid w:val="00BD0723"/>
    <w:rsid w:val="00BD2518"/>
    <w:rsid w:val="00BD457A"/>
    <w:rsid w:val="00BF1D1C"/>
    <w:rsid w:val="00BF2CD1"/>
    <w:rsid w:val="00BF3E8A"/>
    <w:rsid w:val="00C00B73"/>
    <w:rsid w:val="00C20C59"/>
    <w:rsid w:val="00C2727F"/>
    <w:rsid w:val="00C424AC"/>
    <w:rsid w:val="00C51C6F"/>
    <w:rsid w:val="00C54241"/>
    <w:rsid w:val="00C54F9D"/>
    <w:rsid w:val="00C55B1F"/>
    <w:rsid w:val="00C60A6E"/>
    <w:rsid w:val="00C65847"/>
    <w:rsid w:val="00C74552"/>
    <w:rsid w:val="00C823D4"/>
    <w:rsid w:val="00C93C05"/>
    <w:rsid w:val="00CA75D9"/>
    <w:rsid w:val="00CC386B"/>
    <w:rsid w:val="00CD055E"/>
    <w:rsid w:val="00CD4315"/>
    <w:rsid w:val="00CE73BD"/>
    <w:rsid w:val="00CF1A67"/>
    <w:rsid w:val="00D01BD7"/>
    <w:rsid w:val="00D26C96"/>
    <w:rsid w:val="00D2750E"/>
    <w:rsid w:val="00D31D37"/>
    <w:rsid w:val="00D42628"/>
    <w:rsid w:val="00D51BC1"/>
    <w:rsid w:val="00D5634E"/>
    <w:rsid w:val="00D62446"/>
    <w:rsid w:val="00D62B9A"/>
    <w:rsid w:val="00D72461"/>
    <w:rsid w:val="00D86D64"/>
    <w:rsid w:val="00DA4EA2"/>
    <w:rsid w:val="00DB218E"/>
    <w:rsid w:val="00DC3D3E"/>
    <w:rsid w:val="00DC442D"/>
    <w:rsid w:val="00DD2A77"/>
    <w:rsid w:val="00DE2C90"/>
    <w:rsid w:val="00DE3B24"/>
    <w:rsid w:val="00DE610B"/>
    <w:rsid w:val="00DF295B"/>
    <w:rsid w:val="00DF2C1C"/>
    <w:rsid w:val="00DF5725"/>
    <w:rsid w:val="00DF6D0F"/>
    <w:rsid w:val="00E0018E"/>
    <w:rsid w:val="00E0677A"/>
    <w:rsid w:val="00E06947"/>
    <w:rsid w:val="00E13B86"/>
    <w:rsid w:val="00E22741"/>
    <w:rsid w:val="00E2596D"/>
    <w:rsid w:val="00E3592D"/>
    <w:rsid w:val="00E409CD"/>
    <w:rsid w:val="00E410E3"/>
    <w:rsid w:val="00E72652"/>
    <w:rsid w:val="00E73CCC"/>
    <w:rsid w:val="00E92DE8"/>
    <w:rsid w:val="00EA11DC"/>
    <w:rsid w:val="00EB1212"/>
    <w:rsid w:val="00EB59F1"/>
    <w:rsid w:val="00EC2752"/>
    <w:rsid w:val="00EC64D8"/>
    <w:rsid w:val="00ED65AB"/>
    <w:rsid w:val="00EF2EC8"/>
    <w:rsid w:val="00F07535"/>
    <w:rsid w:val="00F12850"/>
    <w:rsid w:val="00F213B2"/>
    <w:rsid w:val="00F269FF"/>
    <w:rsid w:val="00F33BF4"/>
    <w:rsid w:val="00F34355"/>
    <w:rsid w:val="00F3583F"/>
    <w:rsid w:val="00F42D81"/>
    <w:rsid w:val="00F7105E"/>
    <w:rsid w:val="00F75511"/>
    <w:rsid w:val="00F75F57"/>
    <w:rsid w:val="00F76018"/>
    <w:rsid w:val="00F82FEE"/>
    <w:rsid w:val="00F93B50"/>
    <w:rsid w:val="00FB3B40"/>
    <w:rsid w:val="00FB664E"/>
    <w:rsid w:val="00FB736D"/>
    <w:rsid w:val="00FC54E6"/>
    <w:rsid w:val="00FD57D3"/>
    <w:rsid w:val="00FE24AA"/>
    <w:rsid w:val="00FE6B23"/>
    <w:rsid w:val="00FF11BD"/>
    <w:rsid w:val="00FF4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3D252FE"/>
  <w15:docId w15:val="{2B35E7AB-5D48-414C-A551-6B44CC7F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titre"/>
    <w:basedOn w:val="Normal"/>
    <w:link w:val="ListParagraphChar"/>
    <w:uiPriority w:val="34"/>
    <w:qFormat/>
    <w:rsid w:val="006F64A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HTMLPreformatted">
    <w:name w:val="HTML Preformatted"/>
    <w:basedOn w:val="Normal"/>
    <w:link w:val="HTMLPreformattedChar"/>
    <w:uiPriority w:val="99"/>
    <w:unhideWhenUsed/>
    <w:rsid w:val="006F64AE"/>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6F64AE"/>
    <w:rPr>
      <w:rFonts w:ascii="Courier New" w:hAnsi="Courier New" w:cs="Courier New"/>
      <w:lang w:val="en-GB" w:eastAsia="en-GB"/>
    </w:rPr>
  </w:style>
  <w:style w:type="character" w:customStyle="1" w:styleId="normaltextrun">
    <w:name w:val="normaltextrun"/>
    <w:basedOn w:val="DefaultParagraphFont"/>
    <w:rsid w:val="006F64AE"/>
  </w:style>
  <w:style w:type="table" w:styleId="TableGrid">
    <w:name w:val="Table Grid"/>
    <w:basedOn w:val="TableNormal"/>
    <w:uiPriority w:val="39"/>
    <w:rsid w:val="006F64A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re Char"/>
    <w:basedOn w:val="DefaultParagraphFont"/>
    <w:link w:val="ListParagraph"/>
    <w:uiPriority w:val="34"/>
    <w:locked/>
    <w:rsid w:val="006F64AE"/>
    <w:rPr>
      <w:rFonts w:ascii="Arial" w:eastAsia="SimSun" w:hAnsi="Arial"/>
      <w:sz w:val="22"/>
      <w:szCs w:val="24"/>
    </w:rPr>
  </w:style>
  <w:style w:type="character" w:customStyle="1" w:styleId="FooterChar">
    <w:name w:val="Footer Char"/>
    <w:basedOn w:val="DefaultParagraphFont"/>
    <w:link w:val="Footer"/>
    <w:uiPriority w:val="99"/>
    <w:rsid w:val="00D72461"/>
    <w:rPr>
      <w:rFonts w:ascii="Calibri" w:hAnsi="Calibri"/>
      <w:caps/>
      <w:noProof/>
      <w:sz w:val="16"/>
      <w:lang w:val="es-ES_tradnl" w:eastAsia="en-US"/>
    </w:rPr>
  </w:style>
  <w:style w:type="character" w:customStyle="1" w:styleId="FootnoteTextChar">
    <w:name w:val="Footnote Text Char"/>
    <w:basedOn w:val="DefaultParagraphFont"/>
    <w:link w:val="FootnoteText"/>
    <w:rsid w:val="00C60A6E"/>
    <w:rPr>
      <w:rFonts w:ascii="Calibri" w:hAnsi="Calibri"/>
      <w:sz w:val="24"/>
      <w:lang w:val="es-ES_tradnl" w:eastAsia="en-US"/>
    </w:rPr>
  </w:style>
  <w:style w:type="paragraph" w:styleId="BalloonText">
    <w:name w:val="Balloon Text"/>
    <w:basedOn w:val="Normal"/>
    <w:link w:val="BalloonTextChar"/>
    <w:semiHidden/>
    <w:unhideWhenUsed/>
    <w:rsid w:val="00D62B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2B9A"/>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DB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5884">
      <w:bodyDiv w:val="1"/>
      <w:marLeft w:val="0"/>
      <w:marRight w:val="0"/>
      <w:marTop w:val="0"/>
      <w:marBottom w:val="0"/>
      <w:divBdr>
        <w:top w:val="none" w:sz="0" w:space="0" w:color="auto"/>
        <w:left w:val="none" w:sz="0" w:space="0" w:color="auto"/>
        <w:bottom w:val="none" w:sz="0" w:space="0" w:color="auto"/>
        <w:right w:val="none" w:sz="0" w:space="0" w:color="auto"/>
      </w:divBdr>
    </w:div>
    <w:div w:id="130100402">
      <w:bodyDiv w:val="1"/>
      <w:marLeft w:val="0"/>
      <w:marRight w:val="0"/>
      <w:marTop w:val="0"/>
      <w:marBottom w:val="0"/>
      <w:divBdr>
        <w:top w:val="none" w:sz="0" w:space="0" w:color="auto"/>
        <w:left w:val="none" w:sz="0" w:space="0" w:color="auto"/>
        <w:bottom w:val="none" w:sz="0" w:space="0" w:color="auto"/>
        <w:right w:val="none" w:sz="0" w:space="0" w:color="auto"/>
      </w:divBdr>
    </w:div>
    <w:div w:id="491990104">
      <w:bodyDiv w:val="1"/>
      <w:marLeft w:val="0"/>
      <w:marRight w:val="0"/>
      <w:marTop w:val="0"/>
      <w:marBottom w:val="0"/>
      <w:divBdr>
        <w:top w:val="none" w:sz="0" w:space="0" w:color="auto"/>
        <w:left w:val="none" w:sz="0" w:space="0" w:color="auto"/>
        <w:bottom w:val="none" w:sz="0" w:space="0" w:color="auto"/>
        <w:right w:val="none" w:sz="0" w:space="0" w:color="auto"/>
      </w:divBdr>
    </w:div>
    <w:div w:id="16198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3/es" TargetMode="External"/><Relationship Id="rId18" Type="http://schemas.openxmlformats.org/officeDocument/2006/relationships/hyperlink" Target="https://www.itu.int/md/S20-CL-C-0037/es" TargetMode="External"/><Relationship Id="rId26" Type="http://schemas.openxmlformats.org/officeDocument/2006/relationships/hyperlink" Target="https://www.itu.int/en/council/2020/Documents/007/INF%20E_Schedule.pdf" TargetMode="External"/><Relationship Id="rId21" Type="http://schemas.openxmlformats.org/officeDocument/2006/relationships/hyperlink" Target="https://www.itu.int/md/S20-CL-C-0015/es"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itu.int/en/council/Documents/basic-texts/RES-212-S.pdf" TargetMode="External"/><Relationship Id="rId17" Type="http://schemas.openxmlformats.org/officeDocument/2006/relationships/hyperlink" Target="https://www.itu.int/md/S19-CLADD-C-0005/es" TargetMode="External"/><Relationship Id="rId25" Type="http://schemas.openxmlformats.org/officeDocument/2006/relationships/hyperlink" Target="https://www.itu.int/en/council/2020/Documents/007/INF%20D_Schedule%20of%20expenditure%2017_27_EN.xlsx"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ADD-C-0002/es" TargetMode="External"/><Relationship Id="rId20" Type="http://schemas.openxmlformats.org/officeDocument/2006/relationships/hyperlink" Target="https://www.itu.int/md/S20-CL-C-0053/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2020/Documents/007/007R1e-Complete-updated-Risk-Register.pdf"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6-CL-C-0007/es" TargetMode="External"/><Relationship Id="rId23" Type="http://schemas.openxmlformats.org/officeDocument/2006/relationships/image" Target="media/image2.png"/><Relationship Id="rId28" Type="http://schemas.openxmlformats.org/officeDocument/2006/relationships/hyperlink" Target="https://www.itu.int/md/S20-CL-C-0015/e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CL-C-0029/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190610-DL-0012/es" TargetMode="External"/><Relationship Id="rId22" Type="http://schemas.openxmlformats.org/officeDocument/2006/relationships/hyperlink" Target="https://www.itu.int/md/S20-CL-C-0007/es" TargetMode="External"/><Relationship Id="rId27" Type="http://schemas.openxmlformats.org/officeDocument/2006/relationships/hyperlink" Target="https://www.itu.int/md/S20-CL-C-0053/es" TargetMode="External"/><Relationship Id="rId30" Type="http://schemas.openxmlformats.org/officeDocument/2006/relationships/footer" Target="footer1.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CL-C-0048/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46061-9FFB-490E-8A2C-BA4B6641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3EAA3-6F84-4033-A6F8-282CB2016E61}">
  <ds:schemaRefs>
    <ds:schemaRef ds:uri="http://schemas.microsoft.com/sharepoint/v3/contenttype/forms"/>
  </ds:schemaRefs>
</ds:datastoreItem>
</file>

<file path=customXml/itemProps3.xml><?xml version="1.0" encoding="utf-8"?>
<ds:datastoreItem xmlns:ds="http://schemas.openxmlformats.org/officeDocument/2006/customXml" ds:itemID="{F48E4A51-E22C-41B0-B5E5-97A16ADBEDAA}">
  <ds:schemaRefs>
    <ds:schemaRef ds:uri="http://schemas.openxmlformats.org/officeDocument/2006/bibliography"/>
  </ds:schemaRefs>
</ds:datastoreItem>
</file>

<file path=customXml/itemProps4.xml><?xml version="1.0" encoding="utf-8"?>
<ds:datastoreItem xmlns:ds="http://schemas.openxmlformats.org/officeDocument/2006/customXml" ds:itemID="{9293034A-B6CF-41EE-982D-0A616DD0CB71}">
  <ds:schemaRefs>
    <ds:schemaRef ds:uri="http://schemas.microsoft.com/office/2006/documentManagement/types"/>
    <ds:schemaRef ds:uri="http://purl.org/dc/dcmitype/"/>
    <ds:schemaRef ds:uri="8480b3bf-ff93-433f-9495-f8457f78f22f"/>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15</Pages>
  <Words>5077</Words>
  <Characters>27715</Characters>
  <Application>Microsoft Office Word</Application>
  <DocSecurity>4</DocSecurity>
  <Lines>230</Lines>
  <Paragraphs>65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En este Informe se da cuenta de los avances registrados hasta la fecha en relación con el diseño y la construcción del proyecto de la Sede de la Unión.</vt:lpstr>
    </vt:vector>
  </TitlesOfParts>
  <Manager>Secretaría General - Pool</Manager>
  <Company>Unión Internacional de Telecomunicaciones (UIT)</Company>
  <LinksUpToDate>false</LinksUpToDate>
  <CharactersWithSpaces>32727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este Informe se da cuenta de los avances registrados hasta la fecha en relación con el diseño y la construcción del proyecto de la Sede de la Unión.</dc:title>
  <dc:subject>Consejo 2020, Consulta virtual de consejos</dc:subject>
  <dc:creator>Spanish</dc:creator>
  <cp:keywords>C2020, C20, VC, VCC, VCC-2</cp:keywords>
  <dc:description/>
  <cp:lastModifiedBy>Brouard, Ricarda</cp:lastModifiedBy>
  <cp:revision>2</cp:revision>
  <cp:lastPrinted>2006-03-24T09:51:00Z</cp:lastPrinted>
  <dcterms:created xsi:type="dcterms:W3CDTF">2020-10-28T08:02:00Z</dcterms:created>
  <dcterms:modified xsi:type="dcterms:W3CDTF">2020-10-28T08:02:00Z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