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D84843" w:rsidRPr="00202138" w14:paraId="75B5BC87" w14:textId="77777777">
        <w:trPr>
          <w:cantSplit/>
        </w:trPr>
        <w:tc>
          <w:tcPr>
            <w:tcW w:w="6912" w:type="dxa"/>
          </w:tcPr>
          <w:p w14:paraId="22ADFC56" w14:textId="2A8FD55B" w:rsidR="00520F36" w:rsidRPr="00202138" w:rsidRDefault="009C353C" w:rsidP="00064F8C">
            <w:pPr>
              <w:spacing w:before="480"/>
              <w:rPr>
                <w:lang w:val="fr-CH"/>
              </w:rPr>
            </w:pPr>
            <w:bookmarkStart w:id="0" w:name="dc06"/>
            <w:bookmarkEnd w:id="0"/>
            <w:r w:rsidRPr="00202138">
              <w:rPr>
                <w:b/>
                <w:bCs/>
                <w:sz w:val="30"/>
                <w:szCs w:val="30"/>
                <w:lang w:val="fr-CH"/>
              </w:rPr>
              <w:t>Conseil 2020</w:t>
            </w:r>
            <w:r w:rsidR="00281859" w:rsidRPr="00202138">
              <w:rPr>
                <w:rFonts w:ascii="Verdana" w:hAnsi="Verdana"/>
                <w:b/>
                <w:bCs/>
                <w:sz w:val="26"/>
                <w:szCs w:val="26"/>
                <w:lang w:val="fr-CH"/>
              </w:rPr>
              <w:br/>
            </w:r>
          </w:p>
        </w:tc>
        <w:tc>
          <w:tcPr>
            <w:tcW w:w="3261" w:type="dxa"/>
          </w:tcPr>
          <w:p w14:paraId="07B63FAE" w14:textId="77777777" w:rsidR="00520F36" w:rsidRPr="00202138" w:rsidRDefault="00281859" w:rsidP="00930348">
            <w:pPr>
              <w:spacing w:before="0"/>
              <w:rPr>
                <w:lang w:val="fr-CH"/>
              </w:rPr>
            </w:pPr>
            <w:bookmarkStart w:id="1" w:name="ditulogo"/>
            <w:bookmarkEnd w:id="1"/>
            <w:r w:rsidRPr="00202138">
              <w:rPr>
                <w:noProof/>
                <w:lang w:val="fr-CH" w:eastAsia="zh-CN"/>
              </w:rPr>
              <w:drawing>
                <wp:inline distT="0" distB="0" distL="0" distR="0" wp14:anchorId="45B7C44A" wp14:editId="35F22EE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33830"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84843" w:rsidRPr="00202138" w14:paraId="28D546F8" w14:textId="77777777" w:rsidTr="00C34116">
        <w:trPr>
          <w:cantSplit/>
          <w:trHeight w:val="20"/>
        </w:trPr>
        <w:tc>
          <w:tcPr>
            <w:tcW w:w="6912" w:type="dxa"/>
            <w:tcBorders>
              <w:bottom w:val="single" w:sz="12" w:space="0" w:color="auto"/>
            </w:tcBorders>
            <w:vAlign w:val="center"/>
          </w:tcPr>
          <w:p w14:paraId="580E8615" w14:textId="77777777" w:rsidR="00520F36" w:rsidRPr="00202138" w:rsidRDefault="00520F36" w:rsidP="00930348">
            <w:pPr>
              <w:spacing w:before="0"/>
              <w:rPr>
                <w:b/>
                <w:bCs/>
                <w:sz w:val="26"/>
                <w:szCs w:val="26"/>
                <w:lang w:val="fr-CH"/>
              </w:rPr>
            </w:pPr>
          </w:p>
        </w:tc>
        <w:tc>
          <w:tcPr>
            <w:tcW w:w="3261" w:type="dxa"/>
            <w:tcBorders>
              <w:bottom w:val="single" w:sz="12" w:space="0" w:color="auto"/>
            </w:tcBorders>
          </w:tcPr>
          <w:p w14:paraId="403ABF9A" w14:textId="77777777" w:rsidR="00520F36" w:rsidRPr="00202138" w:rsidRDefault="00520F36" w:rsidP="00930348">
            <w:pPr>
              <w:spacing w:before="0"/>
              <w:rPr>
                <w:b/>
                <w:bCs/>
                <w:lang w:val="fr-CH"/>
              </w:rPr>
            </w:pPr>
          </w:p>
        </w:tc>
      </w:tr>
      <w:tr w:rsidR="00D84843" w:rsidRPr="00202138" w14:paraId="1B12CCF7" w14:textId="77777777">
        <w:trPr>
          <w:cantSplit/>
          <w:trHeight w:val="20"/>
        </w:trPr>
        <w:tc>
          <w:tcPr>
            <w:tcW w:w="6912" w:type="dxa"/>
            <w:tcBorders>
              <w:top w:val="single" w:sz="12" w:space="0" w:color="auto"/>
            </w:tcBorders>
          </w:tcPr>
          <w:p w14:paraId="191071A3" w14:textId="77777777" w:rsidR="00520F36" w:rsidRPr="00202138" w:rsidRDefault="00520F36" w:rsidP="00930348">
            <w:pPr>
              <w:spacing w:before="0"/>
              <w:rPr>
                <w:smallCaps/>
                <w:sz w:val="22"/>
                <w:lang w:val="fr-CH"/>
              </w:rPr>
            </w:pPr>
          </w:p>
        </w:tc>
        <w:tc>
          <w:tcPr>
            <w:tcW w:w="3261" w:type="dxa"/>
            <w:tcBorders>
              <w:top w:val="single" w:sz="12" w:space="0" w:color="auto"/>
            </w:tcBorders>
          </w:tcPr>
          <w:p w14:paraId="26E43004" w14:textId="77777777" w:rsidR="00520F36" w:rsidRPr="00202138" w:rsidRDefault="00520F36" w:rsidP="00930348">
            <w:pPr>
              <w:spacing w:before="0"/>
              <w:rPr>
                <w:b/>
                <w:bCs/>
                <w:lang w:val="fr-CH"/>
              </w:rPr>
            </w:pPr>
          </w:p>
        </w:tc>
      </w:tr>
      <w:tr w:rsidR="00D84843" w:rsidRPr="00202138" w14:paraId="2319E7A5" w14:textId="77777777">
        <w:trPr>
          <w:cantSplit/>
          <w:trHeight w:val="20"/>
        </w:trPr>
        <w:tc>
          <w:tcPr>
            <w:tcW w:w="6912" w:type="dxa"/>
            <w:vMerge w:val="restart"/>
          </w:tcPr>
          <w:p w14:paraId="3B4DEC75" w14:textId="33FBAFD6" w:rsidR="00520F36" w:rsidRPr="00202138" w:rsidRDefault="004827D3" w:rsidP="00930348">
            <w:pPr>
              <w:spacing w:before="0"/>
              <w:rPr>
                <w:rFonts w:cs="Times"/>
                <w:b/>
                <w:bCs/>
                <w:szCs w:val="24"/>
                <w:lang w:val="fr-CH"/>
              </w:rPr>
            </w:pPr>
            <w:bookmarkStart w:id="2" w:name="dnum" w:colFirst="1" w:colLast="1"/>
            <w:bookmarkStart w:id="3" w:name="dmeeting" w:colFirst="0" w:colLast="0"/>
            <w:r w:rsidRPr="00202138">
              <w:rPr>
                <w:rFonts w:asciiTheme="minorHAnsi" w:hAnsiTheme="minorHAnsi" w:cstheme="minorHAnsi"/>
                <w:b/>
                <w:color w:val="000000" w:themeColor="text1"/>
                <w:lang w:val="fr-CH"/>
              </w:rPr>
              <w:t>Point de l'ordre du jour</w:t>
            </w:r>
            <w:r w:rsidR="00281859" w:rsidRPr="00202138">
              <w:rPr>
                <w:rFonts w:asciiTheme="minorHAnsi" w:hAnsiTheme="minorHAnsi" w:cstheme="minorHAnsi"/>
                <w:b/>
                <w:color w:val="000000" w:themeColor="text1"/>
                <w:lang w:val="fr-CH"/>
              </w:rPr>
              <w:t>: ADM 20</w:t>
            </w:r>
          </w:p>
        </w:tc>
        <w:tc>
          <w:tcPr>
            <w:tcW w:w="3261" w:type="dxa"/>
          </w:tcPr>
          <w:p w14:paraId="37751E58" w14:textId="2AC62180" w:rsidR="00520F36" w:rsidRPr="00202138" w:rsidRDefault="006E0B6F" w:rsidP="00930348">
            <w:pPr>
              <w:spacing w:before="0"/>
              <w:rPr>
                <w:b/>
                <w:bCs/>
                <w:lang w:val="fr-CH"/>
              </w:rPr>
            </w:pPr>
            <w:r w:rsidRPr="00202138">
              <w:rPr>
                <w:b/>
                <w:bCs/>
                <w:lang w:val="fr-CH"/>
              </w:rPr>
              <w:t>Révision 1 du</w:t>
            </w:r>
            <w:r w:rsidRPr="00202138">
              <w:rPr>
                <w:b/>
                <w:bCs/>
                <w:lang w:val="fr-CH"/>
              </w:rPr>
              <w:br/>
            </w:r>
            <w:r w:rsidR="00281859" w:rsidRPr="00202138">
              <w:rPr>
                <w:b/>
                <w:bCs/>
                <w:lang w:val="fr-CH"/>
              </w:rPr>
              <w:t>Document C20/7-F</w:t>
            </w:r>
          </w:p>
        </w:tc>
      </w:tr>
      <w:tr w:rsidR="00D84843" w:rsidRPr="00202138" w14:paraId="3D277C8B" w14:textId="77777777">
        <w:trPr>
          <w:cantSplit/>
          <w:trHeight w:val="20"/>
        </w:trPr>
        <w:tc>
          <w:tcPr>
            <w:tcW w:w="6912" w:type="dxa"/>
            <w:vMerge/>
          </w:tcPr>
          <w:p w14:paraId="33D857F8" w14:textId="77777777" w:rsidR="00520F36" w:rsidRPr="00202138" w:rsidRDefault="00520F36" w:rsidP="00930348">
            <w:pPr>
              <w:shd w:val="solid" w:color="FFFFFF" w:fill="FFFFFF"/>
              <w:spacing w:before="180"/>
              <w:rPr>
                <w:smallCaps/>
                <w:lang w:val="fr-CH"/>
              </w:rPr>
            </w:pPr>
            <w:bookmarkStart w:id="4" w:name="ddate" w:colFirst="1" w:colLast="1"/>
            <w:bookmarkEnd w:id="2"/>
            <w:bookmarkEnd w:id="3"/>
          </w:p>
        </w:tc>
        <w:tc>
          <w:tcPr>
            <w:tcW w:w="3261" w:type="dxa"/>
          </w:tcPr>
          <w:p w14:paraId="0DB39353" w14:textId="5077EFDF" w:rsidR="00520F36" w:rsidRPr="00202138" w:rsidRDefault="006E0B6F" w:rsidP="00930348">
            <w:pPr>
              <w:spacing w:before="0"/>
              <w:rPr>
                <w:b/>
                <w:bCs/>
                <w:lang w:val="fr-CH"/>
              </w:rPr>
            </w:pPr>
            <w:r w:rsidRPr="00202138">
              <w:rPr>
                <w:b/>
                <w:bCs/>
                <w:lang w:val="fr-CH"/>
              </w:rPr>
              <w:t>5 octobre</w:t>
            </w:r>
            <w:r w:rsidR="009C353C" w:rsidRPr="00202138">
              <w:rPr>
                <w:b/>
                <w:bCs/>
                <w:lang w:val="fr-CH"/>
              </w:rPr>
              <w:t xml:space="preserve"> 2020</w:t>
            </w:r>
          </w:p>
        </w:tc>
      </w:tr>
      <w:tr w:rsidR="00D84843" w:rsidRPr="00202138" w14:paraId="4EE8D2A0" w14:textId="77777777">
        <w:trPr>
          <w:cantSplit/>
          <w:trHeight w:val="20"/>
        </w:trPr>
        <w:tc>
          <w:tcPr>
            <w:tcW w:w="6912" w:type="dxa"/>
            <w:vMerge/>
          </w:tcPr>
          <w:p w14:paraId="2EE1AC7A" w14:textId="77777777" w:rsidR="00520F36" w:rsidRPr="00202138" w:rsidRDefault="00520F36" w:rsidP="00930348">
            <w:pPr>
              <w:shd w:val="solid" w:color="FFFFFF" w:fill="FFFFFF"/>
              <w:spacing w:before="180"/>
              <w:rPr>
                <w:smallCaps/>
                <w:lang w:val="fr-CH"/>
              </w:rPr>
            </w:pPr>
            <w:bookmarkStart w:id="5" w:name="dorlang" w:colFirst="1" w:colLast="1"/>
            <w:bookmarkEnd w:id="4"/>
          </w:p>
        </w:tc>
        <w:tc>
          <w:tcPr>
            <w:tcW w:w="3261" w:type="dxa"/>
          </w:tcPr>
          <w:p w14:paraId="22A27ED7" w14:textId="77777777" w:rsidR="00520F36" w:rsidRPr="00202138" w:rsidRDefault="00281859" w:rsidP="00930348">
            <w:pPr>
              <w:spacing w:before="0"/>
              <w:rPr>
                <w:b/>
                <w:bCs/>
                <w:lang w:val="fr-CH"/>
              </w:rPr>
            </w:pPr>
            <w:r w:rsidRPr="00202138">
              <w:rPr>
                <w:b/>
                <w:bCs/>
                <w:lang w:val="fr-CH"/>
              </w:rPr>
              <w:t>Original: anglais</w:t>
            </w:r>
          </w:p>
        </w:tc>
      </w:tr>
      <w:tr w:rsidR="00D84843" w:rsidRPr="00202138" w14:paraId="741A65A4" w14:textId="77777777">
        <w:trPr>
          <w:cantSplit/>
        </w:trPr>
        <w:tc>
          <w:tcPr>
            <w:tcW w:w="10173" w:type="dxa"/>
            <w:gridSpan w:val="2"/>
          </w:tcPr>
          <w:p w14:paraId="54E519C4" w14:textId="77777777" w:rsidR="00520F36" w:rsidRPr="00202138" w:rsidRDefault="00281859" w:rsidP="00930348">
            <w:pPr>
              <w:pStyle w:val="Source"/>
              <w:rPr>
                <w:lang w:val="fr-CH"/>
              </w:rPr>
            </w:pPr>
            <w:bookmarkStart w:id="6" w:name="dsource" w:colFirst="0" w:colLast="0"/>
            <w:bookmarkEnd w:id="5"/>
            <w:r w:rsidRPr="00202138">
              <w:rPr>
                <w:lang w:val="fr-CH"/>
              </w:rPr>
              <w:t>Rapport du Secrétaire général</w:t>
            </w:r>
          </w:p>
        </w:tc>
      </w:tr>
      <w:tr w:rsidR="00D84843" w:rsidRPr="00202138" w14:paraId="0BF33E26" w14:textId="77777777">
        <w:trPr>
          <w:cantSplit/>
        </w:trPr>
        <w:tc>
          <w:tcPr>
            <w:tcW w:w="10173" w:type="dxa"/>
            <w:gridSpan w:val="2"/>
          </w:tcPr>
          <w:p w14:paraId="33BA44EE" w14:textId="77777777" w:rsidR="00D5338D" w:rsidRPr="00202138" w:rsidRDefault="00281859" w:rsidP="00930348">
            <w:pPr>
              <w:pStyle w:val="Title1"/>
              <w:rPr>
                <w:lang w:val="fr-CH"/>
              </w:rPr>
            </w:pPr>
            <w:bookmarkStart w:id="7" w:name="dtitle1" w:colFirst="0" w:colLast="0"/>
            <w:bookmarkEnd w:id="6"/>
            <w:r w:rsidRPr="00202138">
              <w:rPr>
                <w:lang w:val="fr-CH"/>
              </w:rPr>
              <w:t>Rapport sur les progrès réalisés concernant</w:t>
            </w:r>
            <w:r w:rsidRPr="00202138">
              <w:rPr>
                <w:lang w:val="fr-CH"/>
              </w:rPr>
              <w:br/>
              <w:t>le projet de locaux du siège de l'Union</w:t>
            </w:r>
          </w:p>
        </w:tc>
      </w:tr>
      <w:bookmarkEnd w:id="7"/>
    </w:tbl>
    <w:p w14:paraId="0DA3E98F" w14:textId="77777777" w:rsidR="00520F36" w:rsidRPr="00202138" w:rsidRDefault="00520F36" w:rsidP="00930348">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84843" w:rsidRPr="00202138" w14:paraId="129C414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443DDCD" w14:textId="77777777" w:rsidR="00520F36" w:rsidRPr="00202138" w:rsidRDefault="00281859" w:rsidP="00930348">
            <w:pPr>
              <w:pStyle w:val="Headingb"/>
              <w:rPr>
                <w:lang w:val="fr-CH"/>
              </w:rPr>
            </w:pPr>
            <w:r w:rsidRPr="00202138">
              <w:rPr>
                <w:lang w:val="fr-CH"/>
              </w:rPr>
              <w:t>Résumé</w:t>
            </w:r>
          </w:p>
          <w:p w14:paraId="1AA0ECEC" w14:textId="7427779D" w:rsidR="00520F36" w:rsidRPr="00202138" w:rsidRDefault="004827D3" w:rsidP="00930348">
            <w:pPr>
              <w:rPr>
                <w:lang w:val="fr-CH"/>
              </w:rPr>
            </w:pPr>
            <w:r w:rsidRPr="00202138">
              <w:rPr>
                <w:rFonts w:asciiTheme="minorHAnsi" w:hAnsiTheme="minorHAnsi" w:cstheme="minorHAnsi"/>
                <w:color w:val="000000" w:themeColor="text1"/>
                <w:lang w:val="fr-CH"/>
              </w:rPr>
              <w:t>Le présent document rend</w:t>
            </w:r>
            <w:r w:rsidR="00605572" w:rsidRPr="00202138">
              <w:rPr>
                <w:rFonts w:asciiTheme="minorHAnsi" w:hAnsiTheme="minorHAnsi" w:cstheme="minorHAnsi"/>
                <w:color w:val="000000" w:themeColor="text1"/>
                <w:lang w:val="fr-CH"/>
              </w:rPr>
              <w:t xml:space="preserve"> </w:t>
            </w:r>
            <w:r w:rsidRPr="00202138">
              <w:rPr>
                <w:rFonts w:asciiTheme="minorHAnsi" w:hAnsiTheme="minorHAnsi" w:cstheme="minorHAnsi"/>
                <w:color w:val="000000" w:themeColor="text1"/>
                <w:lang w:val="fr-CH"/>
              </w:rPr>
              <w:t>compte</w:t>
            </w:r>
            <w:r w:rsidR="00964A6F" w:rsidRPr="00202138">
              <w:rPr>
                <w:rFonts w:asciiTheme="minorHAnsi" w:hAnsiTheme="minorHAnsi" w:cstheme="minorHAnsi"/>
                <w:color w:val="000000" w:themeColor="text1"/>
                <w:lang w:val="fr-CH"/>
              </w:rPr>
              <w:t>, au titre du suivi,</w:t>
            </w:r>
            <w:r w:rsidRPr="00202138">
              <w:rPr>
                <w:rFonts w:asciiTheme="minorHAnsi" w:hAnsiTheme="minorHAnsi" w:cstheme="minorHAnsi"/>
                <w:color w:val="000000" w:themeColor="text1"/>
                <w:lang w:val="fr-CH"/>
              </w:rPr>
              <w:t xml:space="preserve"> des progrès accomplis à ce jour dans le cadre de la conception et de la construction du projet de locaux du siège de l</w:t>
            </w:r>
            <w:r w:rsidR="00F5358C" w:rsidRPr="00202138">
              <w:rPr>
                <w:rFonts w:asciiTheme="minorHAnsi" w:hAnsiTheme="minorHAnsi" w:cstheme="minorHAnsi"/>
                <w:color w:val="000000" w:themeColor="text1"/>
                <w:lang w:val="fr-CH"/>
              </w:rPr>
              <w:t>'</w:t>
            </w:r>
            <w:r w:rsidRPr="00202138">
              <w:rPr>
                <w:rFonts w:asciiTheme="minorHAnsi" w:hAnsiTheme="minorHAnsi" w:cstheme="minorHAnsi"/>
                <w:color w:val="000000" w:themeColor="text1"/>
                <w:lang w:val="fr-CH"/>
              </w:rPr>
              <w:t>Union.</w:t>
            </w:r>
          </w:p>
          <w:p w14:paraId="2AADDF58" w14:textId="77777777" w:rsidR="00520F36" w:rsidRPr="00202138" w:rsidRDefault="00281859" w:rsidP="00930348">
            <w:pPr>
              <w:pStyle w:val="Headingb"/>
              <w:rPr>
                <w:lang w:val="fr-CH"/>
              </w:rPr>
            </w:pPr>
            <w:r w:rsidRPr="00202138">
              <w:rPr>
                <w:lang w:val="fr-CH"/>
              </w:rPr>
              <w:t>Suite à donner</w:t>
            </w:r>
          </w:p>
          <w:p w14:paraId="6B5E02FD" w14:textId="31A6EA02" w:rsidR="00520F36" w:rsidRPr="00202138" w:rsidRDefault="00AB77B6" w:rsidP="00930348">
            <w:pPr>
              <w:rPr>
                <w:lang w:val="fr-CH"/>
              </w:rPr>
            </w:pPr>
            <w:r w:rsidRPr="00202138">
              <w:rPr>
                <w:rFonts w:asciiTheme="minorHAnsi" w:hAnsiTheme="minorHAnsi" w:cstheme="minorHAnsi"/>
                <w:color w:val="000000" w:themeColor="text1"/>
                <w:lang w:val="fr-CH"/>
              </w:rPr>
              <w:t xml:space="preserve">Le Conseil est invité à </w:t>
            </w:r>
            <w:r w:rsidRPr="00202138">
              <w:rPr>
                <w:rFonts w:asciiTheme="minorHAnsi" w:hAnsiTheme="minorHAnsi" w:cstheme="minorHAnsi"/>
                <w:b/>
                <w:lang w:val="fr-CH"/>
              </w:rPr>
              <w:t>examiner</w:t>
            </w:r>
            <w:r w:rsidRPr="00202138">
              <w:rPr>
                <w:rFonts w:asciiTheme="minorHAnsi" w:hAnsiTheme="minorHAnsi" w:cstheme="minorHAnsi"/>
                <w:lang w:val="fr-CH"/>
              </w:rPr>
              <w:t xml:space="preserve"> le présent rapport.</w:t>
            </w:r>
          </w:p>
          <w:p w14:paraId="10A5A3D1" w14:textId="77777777" w:rsidR="00520F36" w:rsidRPr="00202138" w:rsidRDefault="00281859" w:rsidP="00930348">
            <w:pPr>
              <w:pStyle w:val="Table"/>
              <w:keepNext w:val="0"/>
              <w:spacing w:before="0" w:after="0"/>
              <w:rPr>
                <w:rFonts w:ascii="Calibri" w:hAnsi="Calibri"/>
                <w:caps w:val="0"/>
                <w:sz w:val="22"/>
                <w:lang w:val="fr-CH"/>
              </w:rPr>
            </w:pPr>
            <w:r w:rsidRPr="00202138">
              <w:rPr>
                <w:rFonts w:ascii="Calibri" w:hAnsi="Calibri"/>
                <w:caps w:val="0"/>
                <w:sz w:val="22"/>
                <w:lang w:val="fr-CH"/>
              </w:rPr>
              <w:t>____________</w:t>
            </w:r>
          </w:p>
          <w:p w14:paraId="3D8A3ECD" w14:textId="4ED0E1DB" w:rsidR="00520F36" w:rsidRPr="00202138" w:rsidRDefault="007C3D88" w:rsidP="00930348">
            <w:pPr>
              <w:pStyle w:val="Headingb"/>
              <w:rPr>
                <w:lang w:val="fr-CH"/>
              </w:rPr>
            </w:pPr>
            <w:r w:rsidRPr="00202138">
              <w:rPr>
                <w:lang w:val="fr-CH"/>
              </w:rPr>
              <w:t>Références</w:t>
            </w:r>
          </w:p>
          <w:p w14:paraId="7B9808F3" w14:textId="56F67E28" w:rsidR="00520F36" w:rsidRPr="00202138" w:rsidRDefault="00E94CAE" w:rsidP="00930348">
            <w:pPr>
              <w:spacing w:after="120"/>
              <w:rPr>
                <w:i/>
                <w:iCs/>
                <w:lang w:val="fr-CH"/>
              </w:rPr>
            </w:pPr>
            <w:hyperlink r:id="rId12" w:history="1">
              <w:r w:rsidR="003E476B" w:rsidRPr="00202138">
                <w:rPr>
                  <w:rStyle w:val="Hyperlink"/>
                  <w:lang w:val="fr-CH"/>
                </w:rPr>
                <w:t>Décision 588 du Conseil</w:t>
              </w:r>
            </w:hyperlink>
            <w:r w:rsidR="003E476B" w:rsidRPr="00202138">
              <w:rPr>
                <w:lang w:val="fr-CH"/>
              </w:rPr>
              <w:t xml:space="preserve">; </w:t>
            </w:r>
            <w:hyperlink r:id="rId13" w:history="1">
              <w:r w:rsidR="003E476B" w:rsidRPr="00202138">
                <w:rPr>
                  <w:rStyle w:val="Hyperlink"/>
                  <w:lang w:val="fr-CH"/>
                </w:rPr>
                <w:t>Résolution 212 (Dubaï, 2018) de la Conférence de plénipotentiaires</w:t>
              </w:r>
            </w:hyperlink>
            <w:r w:rsidR="003E476B" w:rsidRPr="00202138">
              <w:rPr>
                <w:lang w:val="fr-CH"/>
              </w:rPr>
              <w:t xml:space="preserve">; </w:t>
            </w:r>
            <w:hyperlink r:id="rId14" w:history="1">
              <w:r w:rsidR="003E476B" w:rsidRPr="00202138">
                <w:rPr>
                  <w:rStyle w:val="Hyperlink"/>
                  <w:lang w:val="fr-CH"/>
                </w:rPr>
                <w:t>Documents C18/123+Add 1</w:t>
              </w:r>
            </w:hyperlink>
            <w:r w:rsidR="003E476B" w:rsidRPr="00202138">
              <w:rPr>
                <w:lang w:val="fr-CH"/>
              </w:rPr>
              <w:t xml:space="preserve">; </w:t>
            </w:r>
            <w:hyperlink r:id="rId15" w:history="1">
              <w:r w:rsidR="003E476B" w:rsidRPr="00202138">
                <w:rPr>
                  <w:rStyle w:val="Hyperlink"/>
                  <w:lang w:val="fr-CH"/>
                </w:rPr>
                <w:t>DL/12</w:t>
              </w:r>
            </w:hyperlink>
            <w:r w:rsidR="003E476B" w:rsidRPr="00202138">
              <w:rPr>
                <w:rStyle w:val="Hyperlink"/>
                <w:color w:val="auto"/>
                <w:lang w:val="fr-CH"/>
              </w:rPr>
              <w:t xml:space="preserve">, </w:t>
            </w:r>
            <w:hyperlink r:id="rId16" w:history="1">
              <w:r w:rsidR="003E476B" w:rsidRPr="00202138">
                <w:rPr>
                  <w:rStyle w:val="Hyperlink"/>
                  <w:lang w:val="fr-CH"/>
                </w:rPr>
                <w:t>C16/7</w:t>
              </w:r>
            </w:hyperlink>
            <w:r w:rsidR="003E476B" w:rsidRPr="00202138">
              <w:rPr>
                <w:lang w:val="fr-CH"/>
              </w:rPr>
              <w:t xml:space="preserve">; </w:t>
            </w:r>
            <w:hyperlink r:id="rId17" w:history="1">
              <w:r w:rsidR="003E476B" w:rsidRPr="00202138">
                <w:rPr>
                  <w:rStyle w:val="Hyperlink"/>
                  <w:lang w:val="fr-CH"/>
                </w:rPr>
                <w:t>C19-ADD/2(Rév.1)</w:t>
              </w:r>
            </w:hyperlink>
            <w:r w:rsidR="003E476B" w:rsidRPr="00202138">
              <w:rPr>
                <w:lang w:val="fr-CH"/>
              </w:rPr>
              <w:t xml:space="preserve">; </w:t>
            </w:r>
            <w:hyperlink r:id="rId18" w:history="1">
              <w:r w:rsidR="003E476B" w:rsidRPr="00202138">
                <w:rPr>
                  <w:rStyle w:val="Hyperlink"/>
                  <w:lang w:val="fr-CH"/>
                </w:rPr>
                <w:t>Décision 619 du Conseil</w:t>
              </w:r>
            </w:hyperlink>
            <w:r w:rsidR="003E476B" w:rsidRPr="00202138">
              <w:rPr>
                <w:lang w:val="fr-CH"/>
              </w:rPr>
              <w:t xml:space="preserve">; </w:t>
            </w:r>
            <w:hyperlink r:id="rId19" w:history="1">
              <w:r w:rsidR="003E476B" w:rsidRPr="00202138">
                <w:rPr>
                  <w:rStyle w:val="Hyperlink"/>
                  <w:rFonts w:asciiTheme="minorHAnsi" w:hAnsiTheme="minorHAnsi" w:cstheme="minorHAnsi"/>
                  <w:szCs w:val="22"/>
                  <w:lang w:val="fr-CH" w:eastAsia="zh-CN"/>
                </w:rPr>
                <w:t>Document</w:t>
              </w:r>
              <w:r w:rsidR="001730FA">
                <w:rPr>
                  <w:rStyle w:val="Hyperlink"/>
                  <w:rFonts w:asciiTheme="minorHAnsi" w:hAnsiTheme="minorHAnsi" w:cstheme="minorHAnsi"/>
                  <w:szCs w:val="22"/>
                  <w:lang w:val="fr-CH" w:eastAsia="zh-CN"/>
                </w:rPr>
                <w:t>s</w:t>
              </w:r>
              <w:r w:rsidR="003E476B" w:rsidRPr="00202138">
                <w:rPr>
                  <w:rStyle w:val="Hyperlink"/>
                  <w:rFonts w:asciiTheme="minorHAnsi" w:hAnsiTheme="minorHAnsi" w:cstheme="minorHAnsi"/>
                  <w:szCs w:val="22"/>
                  <w:lang w:val="fr-CH" w:eastAsia="zh-CN"/>
                </w:rPr>
                <w:t xml:space="preserve"> C20/37</w:t>
              </w:r>
            </w:hyperlink>
            <w:r w:rsidR="003E476B" w:rsidRPr="00202138">
              <w:rPr>
                <w:lang w:val="fr-CH"/>
              </w:rPr>
              <w:t xml:space="preserve">; </w:t>
            </w:r>
            <w:hyperlink r:id="rId20" w:history="1">
              <w:r w:rsidR="003E476B" w:rsidRPr="00202138">
                <w:rPr>
                  <w:rStyle w:val="Hyperlink"/>
                  <w:rFonts w:asciiTheme="minorHAnsi" w:hAnsiTheme="minorHAnsi" w:cstheme="minorHAnsi"/>
                  <w:lang w:val="fr-CH"/>
                </w:rPr>
                <w:t>C20/29</w:t>
              </w:r>
            </w:hyperlink>
            <w:r w:rsidR="003E476B" w:rsidRPr="00202138">
              <w:rPr>
                <w:lang w:val="fr-CH"/>
              </w:rPr>
              <w:t xml:space="preserve">; </w:t>
            </w:r>
            <w:hyperlink r:id="rId21" w:history="1">
              <w:r w:rsidR="003E476B" w:rsidRPr="00202138">
                <w:rPr>
                  <w:rStyle w:val="Hyperlink"/>
                  <w:lang w:val="fr-CH"/>
                </w:rPr>
                <w:t>C20/53</w:t>
              </w:r>
            </w:hyperlink>
            <w:r w:rsidR="003E476B" w:rsidRPr="00202138">
              <w:rPr>
                <w:lang w:val="fr-CH"/>
              </w:rPr>
              <w:t xml:space="preserve">; </w:t>
            </w:r>
            <w:hyperlink r:id="rId22" w:history="1">
              <w:r w:rsidR="003E476B" w:rsidRPr="00202138">
                <w:rPr>
                  <w:rStyle w:val="Hyperlink"/>
                  <w:lang w:val="fr-CH"/>
                </w:rPr>
                <w:t>C20/15</w:t>
              </w:r>
            </w:hyperlink>
            <w:r w:rsidR="006E0B6F" w:rsidRPr="00202138">
              <w:rPr>
                <w:lang w:val="fr-CH"/>
              </w:rPr>
              <w:t xml:space="preserve">; </w:t>
            </w:r>
            <w:hyperlink r:id="rId23" w:history="1">
              <w:r w:rsidR="006E0B6F" w:rsidRPr="00202138">
                <w:rPr>
                  <w:rStyle w:val="Hyperlink"/>
                  <w:lang w:val="fr-CH"/>
                </w:rPr>
                <w:t>C20/7</w:t>
              </w:r>
            </w:hyperlink>
          </w:p>
        </w:tc>
      </w:tr>
    </w:tbl>
    <w:p w14:paraId="0F7FE82E" w14:textId="77777777" w:rsidR="009C353C" w:rsidRPr="00202138" w:rsidRDefault="00281859" w:rsidP="00930348">
      <w:pPr>
        <w:pStyle w:val="Heading1"/>
        <w:rPr>
          <w:lang w:val="fr-CH" w:eastAsia="ja-JP"/>
        </w:rPr>
      </w:pPr>
      <w:r w:rsidRPr="00202138">
        <w:rPr>
          <w:lang w:val="fr-CH" w:eastAsia="ja-JP"/>
        </w:rPr>
        <w:t>1</w:t>
      </w:r>
      <w:r w:rsidRPr="00202138">
        <w:rPr>
          <w:lang w:val="fr-CH" w:eastAsia="ja-JP"/>
        </w:rPr>
        <w:tab/>
        <w:t>Introduction</w:t>
      </w:r>
    </w:p>
    <w:p w14:paraId="38FADB78" w14:textId="09FC9A66" w:rsidR="00D5338D" w:rsidRPr="00202138" w:rsidRDefault="0026344B" w:rsidP="00930348">
      <w:pPr>
        <w:rPr>
          <w:lang w:val="fr-CH" w:eastAsia="ja-JP"/>
        </w:rPr>
      </w:pPr>
      <w:r w:rsidRPr="00202138">
        <w:rPr>
          <w:lang w:val="fr-CH" w:eastAsia="ja-JP"/>
        </w:rPr>
        <w:t xml:space="preserve">La Décision 619 a été adoptée lors de la session additionnelle du Conseil </w:t>
      </w:r>
      <w:r w:rsidR="00605572" w:rsidRPr="00202138">
        <w:rPr>
          <w:lang w:val="fr-CH" w:eastAsia="ja-JP"/>
        </w:rPr>
        <w:t>tenue</w:t>
      </w:r>
      <w:r w:rsidRPr="00202138">
        <w:rPr>
          <w:lang w:val="fr-CH" w:eastAsia="ja-JP"/>
        </w:rPr>
        <w:t xml:space="preserve"> à Genève</w:t>
      </w:r>
      <w:r w:rsidR="00605572" w:rsidRPr="00202138">
        <w:rPr>
          <w:lang w:val="fr-CH" w:eastAsia="ja-JP"/>
        </w:rPr>
        <w:t xml:space="preserve"> </w:t>
      </w:r>
      <w:r w:rsidRPr="00202138">
        <w:rPr>
          <w:lang w:val="fr-CH" w:eastAsia="ja-JP"/>
        </w:rPr>
        <w:t>le 27</w:t>
      </w:r>
      <w:r w:rsidR="00944BC9">
        <w:rPr>
          <w:lang w:val="fr-CH" w:eastAsia="ja-JP"/>
        </w:rPr>
        <w:t> </w:t>
      </w:r>
      <w:r w:rsidRPr="00202138">
        <w:rPr>
          <w:lang w:val="fr-CH" w:eastAsia="ja-JP"/>
        </w:rPr>
        <w:t>septembre 2019, afin d</w:t>
      </w:r>
      <w:r w:rsidR="00F5358C" w:rsidRPr="00202138">
        <w:rPr>
          <w:lang w:val="fr-CH" w:eastAsia="ja-JP"/>
        </w:rPr>
        <w:t>'</w:t>
      </w:r>
      <w:r w:rsidRPr="00202138">
        <w:rPr>
          <w:lang w:val="fr-CH" w:eastAsia="ja-JP"/>
        </w:rPr>
        <w:t>approuver le coût direct final du projet de nouveau bâtiment du siège de l</w:t>
      </w:r>
      <w:r w:rsidR="00F5358C" w:rsidRPr="00202138">
        <w:rPr>
          <w:lang w:val="fr-CH" w:eastAsia="ja-JP"/>
        </w:rPr>
        <w:t>'</w:t>
      </w:r>
      <w:r w:rsidRPr="00202138">
        <w:rPr>
          <w:lang w:val="fr-CH" w:eastAsia="ja-JP"/>
        </w:rPr>
        <w:t>Union d'un montant de 170 139 000 CHF, comme indiqué dans le Document C19-ADD/2, qui sera intégralement financé au moyen des fonds disponibles, à savoir par le prêt consenti par le pays hôte à hauteur de 150 000 000 CHF, par des parrainages et des dons à hauteur de 15</w:t>
      </w:r>
      <w:r w:rsidR="00F5358C" w:rsidRPr="00202138">
        <w:rPr>
          <w:lang w:val="fr-CH" w:eastAsia="ja-JP"/>
        </w:rPr>
        <w:t> </w:t>
      </w:r>
      <w:r w:rsidRPr="00202138">
        <w:rPr>
          <w:lang w:val="fr-CH" w:eastAsia="ja-JP"/>
        </w:rPr>
        <w:t>140</w:t>
      </w:r>
      <w:r w:rsidR="00F5358C" w:rsidRPr="00202138">
        <w:rPr>
          <w:lang w:val="fr-CH" w:eastAsia="ja-JP"/>
        </w:rPr>
        <w:t> </w:t>
      </w:r>
      <w:r w:rsidRPr="00202138">
        <w:rPr>
          <w:lang w:val="fr-CH" w:eastAsia="ja-JP"/>
        </w:rPr>
        <w:t>000</w:t>
      </w:r>
      <w:r w:rsidR="00F5358C" w:rsidRPr="00202138">
        <w:rPr>
          <w:lang w:val="fr-CH" w:eastAsia="ja-JP"/>
        </w:rPr>
        <w:t> </w:t>
      </w:r>
      <w:r w:rsidRPr="00202138">
        <w:rPr>
          <w:lang w:val="fr-CH" w:eastAsia="ja-JP"/>
        </w:rPr>
        <w:t>CHF</w:t>
      </w:r>
      <w:r w:rsidR="00605572" w:rsidRPr="00202138">
        <w:rPr>
          <w:lang w:val="fr-CH" w:eastAsia="ja-JP"/>
        </w:rPr>
        <w:t xml:space="preserve"> </w:t>
      </w:r>
      <w:r w:rsidR="00F5358C" w:rsidRPr="00202138">
        <w:rPr>
          <w:lang w:val="fr-CH" w:eastAsia="ja-JP"/>
        </w:rPr>
        <w:t>e</w:t>
      </w:r>
      <w:r w:rsidRPr="00202138">
        <w:rPr>
          <w:lang w:val="fr-CH" w:eastAsia="ja-JP"/>
        </w:rPr>
        <w:t>t par le Fonds pour le projet de nouveau bâtiment à hauteur de 5 000 000 CHF.</w:t>
      </w:r>
      <w:r w:rsidR="006E0B6F" w:rsidRPr="00202138">
        <w:rPr>
          <w:lang w:val="fr-CH" w:eastAsia="ja-JP"/>
        </w:rPr>
        <w:t xml:space="preserve"> </w:t>
      </w:r>
      <w:r w:rsidR="00B666FA" w:rsidRPr="00202138">
        <w:rPr>
          <w:lang w:val="fr-CH" w:eastAsia="ja-JP"/>
        </w:rPr>
        <w:t>À ce jour, le coût du projet n'a pas évolué.</w:t>
      </w:r>
    </w:p>
    <w:p w14:paraId="0AC24B43" w14:textId="608D4A0D" w:rsidR="00D5338D" w:rsidRPr="00202138" w:rsidRDefault="00281859" w:rsidP="00930348">
      <w:pPr>
        <w:pStyle w:val="Heading1"/>
        <w:rPr>
          <w:lang w:val="fr-CH" w:eastAsia="ja-JP"/>
        </w:rPr>
      </w:pPr>
      <w:r w:rsidRPr="00202138">
        <w:rPr>
          <w:lang w:val="fr-CH" w:eastAsia="ja-JP"/>
        </w:rPr>
        <w:lastRenderedPageBreak/>
        <w:t>2</w:t>
      </w:r>
      <w:r w:rsidRPr="00202138">
        <w:rPr>
          <w:lang w:val="fr-CH" w:eastAsia="ja-JP"/>
        </w:rPr>
        <w:tab/>
      </w:r>
      <w:r w:rsidR="006B2675" w:rsidRPr="00297CD8">
        <w:rPr>
          <w:lang w:val="fr-CH" w:eastAsia="ja-JP"/>
        </w:rPr>
        <w:t>Considérations générales</w:t>
      </w:r>
    </w:p>
    <w:p w14:paraId="6201E6D1" w14:textId="074FACA1" w:rsidR="00473C09" w:rsidRPr="00202138" w:rsidRDefault="00281859" w:rsidP="00930348">
      <w:pPr>
        <w:keepLines/>
        <w:rPr>
          <w:szCs w:val="24"/>
          <w:lang w:val="fr-CH" w:eastAsia="zh-CN"/>
        </w:rPr>
      </w:pPr>
      <w:r w:rsidRPr="00202138">
        <w:rPr>
          <w:b/>
          <w:bCs/>
          <w:lang w:val="fr-CH"/>
        </w:rPr>
        <w:t>2.1</w:t>
      </w:r>
      <w:r w:rsidRPr="00202138">
        <w:rPr>
          <w:lang w:val="fr-CH"/>
        </w:rPr>
        <w:tab/>
      </w:r>
      <w:r w:rsidR="00F66500" w:rsidRPr="00202138">
        <w:rPr>
          <w:lang w:val="fr-CH"/>
        </w:rPr>
        <w:t xml:space="preserve">Au cours de sa session </w:t>
      </w:r>
      <w:r w:rsidR="001730FA">
        <w:rPr>
          <w:lang w:val="fr-CH"/>
        </w:rPr>
        <w:t>additionnelle</w:t>
      </w:r>
      <w:r w:rsidR="00F66500" w:rsidRPr="00202138">
        <w:rPr>
          <w:lang w:val="fr-CH"/>
        </w:rPr>
        <w:t>, le Conseil a chargé le Secrétaire général de rendre compte</w:t>
      </w:r>
      <w:r w:rsidR="00605572" w:rsidRPr="00202138">
        <w:rPr>
          <w:lang w:val="fr-CH"/>
        </w:rPr>
        <w:t xml:space="preserve"> de l</w:t>
      </w:r>
      <w:r w:rsidR="00F5358C" w:rsidRPr="00202138">
        <w:rPr>
          <w:lang w:val="fr-CH"/>
        </w:rPr>
        <w:t>'</w:t>
      </w:r>
      <w:r w:rsidR="00605572" w:rsidRPr="00202138">
        <w:rPr>
          <w:lang w:val="fr-CH"/>
        </w:rPr>
        <w:t>état d</w:t>
      </w:r>
      <w:r w:rsidR="00F5358C" w:rsidRPr="00202138">
        <w:rPr>
          <w:lang w:val="fr-CH"/>
        </w:rPr>
        <w:t>'</w:t>
      </w:r>
      <w:r w:rsidR="00605572" w:rsidRPr="00202138">
        <w:rPr>
          <w:lang w:val="fr-CH"/>
        </w:rPr>
        <w:t>avancement</w:t>
      </w:r>
      <w:r w:rsidR="00F66500" w:rsidRPr="00202138">
        <w:rPr>
          <w:lang w:val="fr-CH"/>
        </w:rPr>
        <w:t xml:space="preserve"> des activités qui doivent être</w:t>
      </w:r>
      <w:r w:rsidR="00605572" w:rsidRPr="00202138">
        <w:rPr>
          <w:lang w:val="fr-CH"/>
        </w:rPr>
        <w:t xml:space="preserve"> menées </w:t>
      </w:r>
      <w:r w:rsidR="00F66500" w:rsidRPr="00202138">
        <w:rPr>
          <w:lang w:val="fr-CH"/>
        </w:rPr>
        <w:t>et de faire rapport au Conseil à sa session de juin 2020.</w:t>
      </w:r>
      <w:r w:rsidR="006E0B6F" w:rsidRPr="00202138">
        <w:rPr>
          <w:lang w:val="fr-CH"/>
        </w:rPr>
        <w:t xml:space="preserve"> </w:t>
      </w:r>
      <w:r w:rsidR="00B666FA" w:rsidRPr="00202138">
        <w:rPr>
          <w:lang w:val="fr-CH"/>
        </w:rPr>
        <w:t>En raison de la pandémie, une consultation virtuelle des Conseillers a eu lieu en juin 2020 à la place de la session physique qui a été repoussée à une date ultérieure.</w:t>
      </w:r>
    </w:p>
    <w:p w14:paraId="1A2B9ACC" w14:textId="21869210" w:rsidR="006E0B6F" w:rsidRPr="00202138" w:rsidRDefault="00B666FA" w:rsidP="00930348">
      <w:pPr>
        <w:rPr>
          <w:lang w:val="fr-CH"/>
        </w:rPr>
      </w:pPr>
      <w:r w:rsidRPr="00202138">
        <w:rPr>
          <w:szCs w:val="24"/>
          <w:lang w:val="fr-CH" w:eastAsia="zh-CN"/>
        </w:rPr>
        <w:t xml:space="preserve">Les participants à la consultation virtuelle ont proposé </w:t>
      </w:r>
      <w:r w:rsidR="009259C1">
        <w:rPr>
          <w:lang w:val="fr-CH"/>
        </w:rPr>
        <w:t>que le</w:t>
      </w:r>
      <w:r w:rsidRPr="00202138">
        <w:rPr>
          <w:lang w:val="fr-CH"/>
        </w:rPr>
        <w:t xml:space="preserve"> Conseil, à sa prochaine réunion physique, </w:t>
      </w:r>
      <w:r w:rsidR="009259C1">
        <w:rPr>
          <w:lang w:val="fr-CH"/>
        </w:rPr>
        <w:t>prenne</w:t>
      </w:r>
      <w:r w:rsidRPr="00202138">
        <w:rPr>
          <w:lang w:val="fr-CH"/>
        </w:rPr>
        <w:t xml:space="preserve"> note du rapport figurant dans le Document C20/7</w:t>
      </w:r>
      <w:r w:rsidRPr="00202138">
        <w:rPr>
          <w:szCs w:val="24"/>
          <w:lang w:val="fr-CH" w:eastAsia="zh-CN"/>
        </w:rPr>
        <w:t>.</w:t>
      </w:r>
    </w:p>
    <w:p w14:paraId="5ACDF373" w14:textId="1A728BE3" w:rsidR="00D5338D" w:rsidRPr="00202138" w:rsidRDefault="00B666FA" w:rsidP="00930348">
      <w:pPr>
        <w:rPr>
          <w:lang w:val="fr-CH"/>
        </w:rPr>
      </w:pPr>
      <w:r w:rsidRPr="00202138">
        <w:rPr>
          <w:szCs w:val="24"/>
          <w:lang w:val="fr-CH" w:eastAsia="zh-CN"/>
        </w:rPr>
        <w:t xml:space="preserve">Comme les conseillers l'ont demandé, le présent rapport a été </w:t>
      </w:r>
      <w:r w:rsidRPr="00202138">
        <w:rPr>
          <w:lang w:val="fr-CH"/>
        </w:rPr>
        <w:t xml:space="preserve">mis à jour par le secrétariat </w:t>
      </w:r>
      <w:r w:rsidRPr="00202138">
        <w:rPr>
          <w:szCs w:val="24"/>
          <w:lang w:val="fr-CH" w:eastAsia="zh-CN"/>
        </w:rPr>
        <w:t>afin de répondre aux questions soulevées et aux observations formulées au cours de la consultation virtuelle.</w:t>
      </w:r>
    </w:p>
    <w:p w14:paraId="21D437B2" w14:textId="33E84CDA" w:rsidR="006E0B6F" w:rsidRPr="00202138" w:rsidRDefault="006E0B6F" w:rsidP="00930348">
      <w:pPr>
        <w:rPr>
          <w:szCs w:val="24"/>
          <w:lang w:val="fr-CH" w:eastAsia="zh-CN"/>
        </w:rPr>
      </w:pPr>
      <w:r w:rsidRPr="00202138">
        <w:rPr>
          <w:szCs w:val="24"/>
          <w:lang w:val="fr-CH" w:eastAsia="zh-CN"/>
        </w:rPr>
        <w:t xml:space="preserve">En outre, les </w:t>
      </w:r>
      <w:r w:rsidR="00084835" w:rsidRPr="00202138">
        <w:rPr>
          <w:szCs w:val="24"/>
          <w:lang w:val="fr-CH" w:eastAsia="zh-CN"/>
        </w:rPr>
        <w:t>conseillers ont encouragé</w:t>
      </w:r>
      <w:r w:rsidRPr="00202138">
        <w:rPr>
          <w:szCs w:val="24"/>
          <w:lang w:val="fr-CH" w:eastAsia="zh-CN"/>
        </w:rPr>
        <w:t xml:space="preserve"> le secrétariat à étudier les incidences de la pandémie de COVID-19</w:t>
      </w:r>
      <w:r w:rsidR="00D43A23">
        <w:rPr>
          <w:szCs w:val="24"/>
          <w:lang w:val="fr-CH" w:eastAsia="zh-CN"/>
        </w:rPr>
        <w:t>,</w:t>
      </w:r>
      <w:r w:rsidRPr="00202138">
        <w:rPr>
          <w:szCs w:val="24"/>
          <w:lang w:val="fr-CH" w:eastAsia="zh-CN"/>
        </w:rPr>
        <w:t xml:space="preserve"> à examiner plus avant les différentes options pour la vente de la Tour en vue de la prochaine réunion du Groupe MSAG, ainsi qu'à en rendre compte à la prochaine réunion physique du Conseil</w:t>
      </w:r>
      <w:r w:rsidR="006D3610">
        <w:rPr>
          <w:szCs w:val="24"/>
          <w:lang w:val="fr-CH" w:eastAsia="zh-CN"/>
        </w:rPr>
        <w:t>.</w:t>
      </w:r>
    </w:p>
    <w:p w14:paraId="2A015FC4" w14:textId="6846B3F6" w:rsidR="00D5338D" w:rsidRPr="00202138" w:rsidRDefault="00281859" w:rsidP="00930348">
      <w:pPr>
        <w:pStyle w:val="Heading1"/>
        <w:rPr>
          <w:lang w:val="fr-CH" w:eastAsia="ja-JP"/>
        </w:rPr>
      </w:pPr>
      <w:r w:rsidRPr="00202138">
        <w:rPr>
          <w:lang w:val="fr-CH" w:eastAsia="ja-JP"/>
        </w:rPr>
        <w:t>3</w:t>
      </w:r>
      <w:r w:rsidRPr="00202138">
        <w:rPr>
          <w:lang w:val="fr-CH" w:eastAsia="ja-JP"/>
        </w:rPr>
        <w:tab/>
      </w:r>
      <w:r w:rsidR="00521DD2" w:rsidRPr="00202138">
        <w:rPr>
          <w:lang w:val="fr-CH" w:eastAsia="ja-JP"/>
        </w:rPr>
        <w:t>Rapport concernant l</w:t>
      </w:r>
      <w:r w:rsidR="00F5358C" w:rsidRPr="00202138">
        <w:rPr>
          <w:lang w:val="fr-CH" w:eastAsia="ja-JP"/>
        </w:rPr>
        <w:t>'</w:t>
      </w:r>
      <w:r w:rsidR="00521DD2" w:rsidRPr="00202138">
        <w:rPr>
          <w:lang w:val="fr-CH" w:eastAsia="ja-JP"/>
        </w:rPr>
        <w:t>état d</w:t>
      </w:r>
      <w:r w:rsidR="00F5358C" w:rsidRPr="00202138">
        <w:rPr>
          <w:lang w:val="fr-CH" w:eastAsia="ja-JP"/>
        </w:rPr>
        <w:t>'</w:t>
      </w:r>
      <w:r w:rsidR="00521DD2" w:rsidRPr="00202138">
        <w:rPr>
          <w:lang w:val="fr-CH" w:eastAsia="ja-JP"/>
        </w:rPr>
        <w:t>avancement du projet</w:t>
      </w:r>
    </w:p>
    <w:p w14:paraId="11C3A5A4" w14:textId="41C2E9B1" w:rsidR="00D5338D" w:rsidRPr="00202138" w:rsidRDefault="00281859" w:rsidP="00930348">
      <w:pPr>
        <w:pStyle w:val="Heading2"/>
        <w:rPr>
          <w:lang w:val="fr-CH"/>
        </w:rPr>
      </w:pPr>
      <w:r w:rsidRPr="00202138">
        <w:rPr>
          <w:lang w:val="fr-CH"/>
        </w:rPr>
        <w:t>3.1</w:t>
      </w:r>
      <w:r w:rsidRPr="00202138">
        <w:rPr>
          <w:lang w:val="fr-CH"/>
        </w:rPr>
        <w:tab/>
      </w:r>
      <w:r w:rsidR="00B411A7" w:rsidRPr="00202138">
        <w:rPr>
          <w:lang w:val="fr-CH"/>
        </w:rPr>
        <w:t>Mise à jour d</w:t>
      </w:r>
      <w:r w:rsidR="0067691A" w:rsidRPr="00202138">
        <w:rPr>
          <w:lang w:val="fr-CH"/>
        </w:rPr>
        <w:t>u projet</w:t>
      </w:r>
    </w:p>
    <w:p w14:paraId="2123D158" w14:textId="0A6C78E0" w:rsidR="00335E22" w:rsidRPr="00202138" w:rsidRDefault="00DA50B9" w:rsidP="00930348">
      <w:pPr>
        <w:rPr>
          <w:lang w:val="fr-CH"/>
        </w:rPr>
      </w:pPr>
      <w:r w:rsidRPr="00202138">
        <w:rPr>
          <w:lang w:val="fr-CH"/>
        </w:rPr>
        <w:t xml:space="preserve">Les phases 4.32 et 4.33 sont </w:t>
      </w:r>
      <w:r w:rsidR="00335E22" w:rsidRPr="00202138">
        <w:rPr>
          <w:lang w:val="fr-CH"/>
        </w:rPr>
        <w:t xml:space="preserve">actuellement </w:t>
      </w:r>
      <w:r w:rsidRPr="00202138">
        <w:rPr>
          <w:lang w:val="fr-CH"/>
        </w:rPr>
        <w:t xml:space="preserve">mises en </w:t>
      </w:r>
      <w:r w:rsidR="00876FFE" w:rsidRPr="00202138">
        <w:rPr>
          <w:lang w:val="fr-CH"/>
        </w:rPr>
        <w:t>œuvre</w:t>
      </w:r>
      <w:r w:rsidRPr="00202138">
        <w:rPr>
          <w:lang w:val="fr-CH"/>
        </w:rPr>
        <w:t xml:space="preserve"> en parallèle, à mesure de l</w:t>
      </w:r>
      <w:r w:rsidR="00F5358C" w:rsidRPr="00202138">
        <w:rPr>
          <w:lang w:val="fr-CH"/>
        </w:rPr>
        <w:t>'</w:t>
      </w:r>
      <w:r w:rsidRPr="00202138">
        <w:rPr>
          <w:lang w:val="fr-CH"/>
        </w:rPr>
        <w:t>évolution du projet</w:t>
      </w:r>
      <w:r w:rsidR="008A066F">
        <w:rPr>
          <w:lang w:val="fr-CH"/>
        </w:rPr>
        <w:t>,</w:t>
      </w:r>
      <w:r w:rsidR="006E0B6F" w:rsidRPr="00202138">
        <w:rPr>
          <w:lang w:val="fr-CH"/>
        </w:rPr>
        <w:t xml:space="preserve"> </w:t>
      </w:r>
      <w:r w:rsidR="00335E22" w:rsidRPr="00202138">
        <w:rPr>
          <w:lang w:val="fr-CH"/>
        </w:rPr>
        <w:t>et devraient être menées à bien comme prévu d'ici à la fin de cette année.</w:t>
      </w:r>
    </w:p>
    <w:p w14:paraId="40D7D330" w14:textId="392D190B" w:rsidR="00D5338D" w:rsidRPr="00202138" w:rsidRDefault="00281859" w:rsidP="00930348">
      <w:pPr>
        <w:pStyle w:val="Heading3"/>
        <w:rPr>
          <w:lang w:val="fr-CH"/>
        </w:rPr>
      </w:pPr>
      <w:r w:rsidRPr="00202138">
        <w:rPr>
          <w:lang w:val="fr-CH"/>
        </w:rPr>
        <w:t>3.1.1</w:t>
      </w:r>
      <w:r w:rsidRPr="00202138">
        <w:rPr>
          <w:lang w:val="fr-CH"/>
        </w:rPr>
        <w:tab/>
      </w:r>
      <w:r w:rsidR="000D1B61" w:rsidRPr="00202138">
        <w:rPr>
          <w:lang w:val="fr-CH"/>
        </w:rPr>
        <w:t>Phase</w:t>
      </w:r>
      <w:r w:rsidR="00E069C5" w:rsidRPr="00202138">
        <w:rPr>
          <w:lang w:val="fr-CH"/>
        </w:rPr>
        <w:t xml:space="preserve"> du projet de </w:t>
      </w:r>
      <w:r w:rsidR="00876FFE" w:rsidRPr="00202138">
        <w:rPr>
          <w:lang w:val="fr-CH"/>
        </w:rPr>
        <w:t xml:space="preserve">l'ouvrage </w:t>
      </w:r>
      <w:r w:rsidR="00E069C5" w:rsidRPr="00202138">
        <w:rPr>
          <w:lang w:val="fr-CH"/>
        </w:rPr>
        <w:t>(phase 4.32)</w:t>
      </w:r>
    </w:p>
    <w:p w14:paraId="2AD492D7" w14:textId="017D44FB" w:rsidR="00473C09" w:rsidRPr="00202138" w:rsidRDefault="00473C09" w:rsidP="00930348">
      <w:pPr>
        <w:rPr>
          <w:lang w:val="fr-CH"/>
        </w:rPr>
      </w:pPr>
      <w:r w:rsidRPr="00202138">
        <w:rPr>
          <w:lang w:val="fr-CH"/>
        </w:rPr>
        <w:t>La p</w:t>
      </w:r>
      <w:r w:rsidR="006E0B6F" w:rsidRPr="00202138">
        <w:rPr>
          <w:lang w:val="fr-CH"/>
        </w:rPr>
        <w:t xml:space="preserve">hase 4.32 </w:t>
      </w:r>
      <w:r w:rsidRPr="00202138">
        <w:rPr>
          <w:lang w:val="fr-CH"/>
        </w:rPr>
        <w:t>avance selon le calendrier prévu pour le projet.</w:t>
      </w:r>
    </w:p>
    <w:p w14:paraId="3DCBFC58" w14:textId="45B26163" w:rsidR="00473C09" w:rsidRPr="00202138" w:rsidRDefault="00473C09" w:rsidP="00930348">
      <w:pPr>
        <w:rPr>
          <w:lang w:val="fr-CH"/>
        </w:rPr>
      </w:pPr>
      <w:r w:rsidRPr="00202138">
        <w:rPr>
          <w:lang w:val="fr-CH"/>
        </w:rPr>
        <w:t xml:space="preserve">Depuis le début de la pandémie et en raison des incertitudes concernant les incidences du Covid sur la conception des futurs bureaux, l'équipe s'est concentrée principalement sur la confirmation du </w:t>
      </w:r>
      <w:r w:rsidR="008A066F">
        <w:rPr>
          <w:lang w:val="fr-CH"/>
        </w:rPr>
        <w:t>cahier des charges</w:t>
      </w:r>
      <w:r w:rsidRPr="00202138">
        <w:rPr>
          <w:lang w:val="fr-CH"/>
        </w:rPr>
        <w:t xml:space="preserve"> et le développement des espaces publics et de conférence. Les quatre étages de bureaux paysagers</w:t>
      </w:r>
      <w:r w:rsidR="008A066F">
        <w:rPr>
          <w:lang w:val="fr-CH"/>
        </w:rPr>
        <w:t xml:space="preserve"> prévus</w:t>
      </w:r>
      <w:r w:rsidRPr="00202138">
        <w:rPr>
          <w:lang w:val="fr-CH"/>
        </w:rPr>
        <w:t xml:space="preserve"> pour les services administratifs ont été conçus de manière à être aussi souple</w:t>
      </w:r>
      <w:r w:rsidR="008A066F">
        <w:rPr>
          <w:lang w:val="fr-CH"/>
        </w:rPr>
        <w:t>s</w:t>
      </w:r>
      <w:r w:rsidRPr="00202138">
        <w:rPr>
          <w:lang w:val="fr-CH"/>
        </w:rPr>
        <w:t xml:space="preserve"> que possible sur le plan de l'infrastructure technique</w:t>
      </w:r>
      <w:r w:rsidR="008A066F">
        <w:rPr>
          <w:lang w:val="fr-CH"/>
        </w:rPr>
        <w:t>,</w:t>
      </w:r>
      <w:r w:rsidRPr="00202138">
        <w:rPr>
          <w:lang w:val="fr-CH"/>
        </w:rPr>
        <w:t xml:space="preserve"> afin de pouvoir </w:t>
      </w:r>
      <w:r w:rsidR="008A066F">
        <w:rPr>
          <w:lang w:val="fr-CH"/>
        </w:rPr>
        <w:t>répondre</w:t>
      </w:r>
      <w:r w:rsidRPr="00202138">
        <w:rPr>
          <w:lang w:val="fr-CH"/>
        </w:rPr>
        <w:t xml:space="preserve"> aux exigences</w:t>
      </w:r>
      <w:r w:rsidR="008A066F">
        <w:rPr>
          <w:lang w:val="fr-CH"/>
        </w:rPr>
        <w:t xml:space="preserve"> de conception</w:t>
      </w:r>
      <w:r w:rsidRPr="00202138">
        <w:rPr>
          <w:lang w:val="fr-CH"/>
        </w:rPr>
        <w:t xml:space="preserve"> qui seront </w:t>
      </w:r>
      <w:r w:rsidR="008A066F">
        <w:rPr>
          <w:lang w:val="fr-CH"/>
        </w:rPr>
        <w:t>établies</w:t>
      </w:r>
      <w:r w:rsidRPr="00202138">
        <w:rPr>
          <w:lang w:val="fr-CH"/>
        </w:rPr>
        <w:t xml:space="preserve"> lorsqu</w:t>
      </w:r>
      <w:r w:rsidR="008A066F">
        <w:rPr>
          <w:lang w:val="fr-CH"/>
        </w:rPr>
        <w:t>'</w:t>
      </w:r>
      <w:r w:rsidRPr="00202138">
        <w:rPr>
          <w:lang w:val="fr-CH"/>
        </w:rPr>
        <w:t xml:space="preserve">une stratégie détaillée indiquant les incidences sur nos méthodes de travail aura été </w:t>
      </w:r>
      <w:r w:rsidR="008A066F">
        <w:rPr>
          <w:lang w:val="fr-CH"/>
        </w:rPr>
        <w:t>définie</w:t>
      </w:r>
      <w:r w:rsidRPr="00202138">
        <w:rPr>
          <w:lang w:val="fr-CH"/>
        </w:rPr>
        <w:t>.</w:t>
      </w:r>
    </w:p>
    <w:p w14:paraId="3679935B" w14:textId="20937A00" w:rsidR="00D5338D" w:rsidRPr="00202138" w:rsidRDefault="00C624DD" w:rsidP="00930348">
      <w:pPr>
        <w:rPr>
          <w:lang w:val="fr-CH"/>
        </w:rPr>
      </w:pPr>
      <w:r w:rsidRPr="00202138">
        <w:rPr>
          <w:lang w:val="fr-CH"/>
        </w:rPr>
        <w:t>Au mois d'octobre, l</w:t>
      </w:r>
      <w:r w:rsidR="00473C09" w:rsidRPr="00202138">
        <w:rPr>
          <w:lang w:val="fr-CH"/>
        </w:rPr>
        <w:t xml:space="preserve">'estimation du coût de la phase 4.32 sera </w:t>
      </w:r>
      <w:r w:rsidRPr="00202138">
        <w:rPr>
          <w:lang w:val="fr-CH"/>
        </w:rPr>
        <w:t>disponible et la session prévue sur l'analyse de valeur</w:t>
      </w:r>
      <w:r w:rsidR="006E0B6F" w:rsidRPr="00202138">
        <w:rPr>
          <w:rStyle w:val="FootnoteReference"/>
          <w:lang w:val="fr-CH"/>
        </w:rPr>
        <w:footnoteReference w:id="1"/>
      </w:r>
      <w:r w:rsidR="006E0B6F" w:rsidRPr="00202138">
        <w:rPr>
          <w:lang w:val="fr-CH"/>
        </w:rPr>
        <w:t xml:space="preserve"> </w:t>
      </w:r>
      <w:r w:rsidRPr="00202138">
        <w:rPr>
          <w:lang w:val="fr-CH"/>
        </w:rPr>
        <w:t>aura lieu</w:t>
      </w:r>
      <w:r w:rsidR="006E0B6F" w:rsidRPr="00202138">
        <w:rPr>
          <w:lang w:val="fr-CH"/>
        </w:rPr>
        <w:t>.</w:t>
      </w:r>
    </w:p>
    <w:p w14:paraId="7116E432" w14:textId="61C9EE94" w:rsidR="00D5338D" w:rsidRPr="00202138" w:rsidRDefault="00281859" w:rsidP="00930348">
      <w:pPr>
        <w:pStyle w:val="Heading3"/>
        <w:rPr>
          <w:lang w:val="fr-CH"/>
        </w:rPr>
      </w:pPr>
      <w:r w:rsidRPr="00202138">
        <w:rPr>
          <w:lang w:val="fr-CH"/>
        </w:rPr>
        <w:t>3.1.2</w:t>
      </w:r>
      <w:r w:rsidRPr="00202138">
        <w:rPr>
          <w:lang w:val="fr-CH"/>
        </w:rPr>
        <w:tab/>
      </w:r>
      <w:r w:rsidR="009055B2" w:rsidRPr="00202138">
        <w:rPr>
          <w:lang w:val="fr-CH"/>
        </w:rPr>
        <w:t xml:space="preserve">Demande de permis de </w:t>
      </w:r>
      <w:r w:rsidR="00367887" w:rsidRPr="00202138">
        <w:rPr>
          <w:lang w:val="fr-CH"/>
        </w:rPr>
        <w:t>construire</w:t>
      </w:r>
      <w:r w:rsidR="009055B2" w:rsidRPr="00202138">
        <w:rPr>
          <w:lang w:val="fr-CH"/>
        </w:rPr>
        <w:t xml:space="preserve"> (phase 4.33)</w:t>
      </w:r>
      <w:r w:rsidR="00466931">
        <w:rPr>
          <w:lang w:val="fr-CH"/>
        </w:rPr>
        <w:t xml:space="preserve"> et consultation des autorités locales</w:t>
      </w:r>
    </w:p>
    <w:p w14:paraId="39F6FFB2" w14:textId="4DD2537D" w:rsidR="0031797D" w:rsidRPr="00202138" w:rsidRDefault="0031797D" w:rsidP="00930348">
      <w:pPr>
        <w:rPr>
          <w:lang w:val="fr-CH" w:eastAsia="zh-CN"/>
        </w:rPr>
      </w:pPr>
      <w:r w:rsidRPr="00202138">
        <w:rPr>
          <w:lang w:val="fr-CH" w:eastAsia="zh-CN"/>
        </w:rPr>
        <w:t>L'élaboration de la demande de permis de construire avance comme prévu. Des consultations virtuelles avec les différents services cantonaux sont en cours et certains problèmes mineurs ont été résolus avant la soumission des documents.</w:t>
      </w:r>
    </w:p>
    <w:p w14:paraId="18D9B13D" w14:textId="6F67B056" w:rsidR="0031797D" w:rsidRPr="00202138" w:rsidRDefault="0031797D" w:rsidP="00930348">
      <w:pPr>
        <w:keepNext/>
        <w:rPr>
          <w:lang w:val="fr-CH" w:eastAsia="zh-CN"/>
        </w:rPr>
      </w:pPr>
      <w:r w:rsidRPr="00202138">
        <w:rPr>
          <w:lang w:val="fr-CH" w:eastAsia="zh-CN"/>
        </w:rPr>
        <w:lastRenderedPageBreak/>
        <w:t>Les documents devraient être soumis selon le calendrier suivant:</w:t>
      </w:r>
    </w:p>
    <w:p w14:paraId="208618BB" w14:textId="607D3A14" w:rsidR="00D5338D" w:rsidRPr="00202138" w:rsidRDefault="00281859" w:rsidP="00930348">
      <w:pPr>
        <w:pStyle w:val="enumlev1"/>
        <w:rPr>
          <w:lang w:val="fr-CH"/>
        </w:rPr>
      </w:pPr>
      <w:r w:rsidRPr="00202138">
        <w:rPr>
          <w:lang w:val="fr-CH"/>
        </w:rPr>
        <w:t>•</w:t>
      </w:r>
      <w:r w:rsidRPr="00202138">
        <w:rPr>
          <w:lang w:val="fr-CH"/>
        </w:rPr>
        <w:tab/>
      </w:r>
      <w:r w:rsidR="006E0B6F" w:rsidRPr="00202138">
        <w:rPr>
          <w:lang w:val="fr-CH"/>
        </w:rPr>
        <w:t>Novembre</w:t>
      </w:r>
      <w:r w:rsidR="00C94046" w:rsidRPr="00202138">
        <w:rPr>
          <w:lang w:val="fr-CH"/>
        </w:rPr>
        <w:t xml:space="preserve"> 2020 </w:t>
      </w:r>
      <w:r w:rsidR="00F5358C" w:rsidRPr="00202138">
        <w:rPr>
          <w:lang w:val="fr-CH"/>
        </w:rPr>
        <w:t>–</w:t>
      </w:r>
      <w:r w:rsidR="00C94046" w:rsidRPr="00202138">
        <w:rPr>
          <w:lang w:val="fr-CH"/>
        </w:rPr>
        <w:t xml:space="preserve"> Soumission du projet de demande de permis</w:t>
      </w:r>
      <w:r w:rsidR="00F5358C" w:rsidRPr="00202138">
        <w:rPr>
          <w:lang w:val="fr-CH"/>
        </w:rPr>
        <w:t>.</w:t>
      </w:r>
    </w:p>
    <w:p w14:paraId="536F84F7" w14:textId="0FAC835A" w:rsidR="00D5338D" w:rsidRPr="00202138" w:rsidRDefault="00281859" w:rsidP="00930348">
      <w:pPr>
        <w:pStyle w:val="enumlev1"/>
        <w:rPr>
          <w:lang w:val="fr-CH"/>
        </w:rPr>
      </w:pPr>
      <w:r w:rsidRPr="00202138">
        <w:rPr>
          <w:lang w:val="fr-CH"/>
        </w:rPr>
        <w:t>•</w:t>
      </w:r>
      <w:r w:rsidRPr="00202138">
        <w:rPr>
          <w:lang w:val="fr-CH"/>
        </w:rPr>
        <w:tab/>
      </w:r>
      <w:r w:rsidR="00794832" w:rsidRPr="00202138">
        <w:rPr>
          <w:lang w:val="fr-CH"/>
        </w:rPr>
        <w:t xml:space="preserve">Décembre </w:t>
      </w:r>
      <w:r w:rsidR="0063088E" w:rsidRPr="00202138">
        <w:rPr>
          <w:lang w:val="fr-CH"/>
        </w:rPr>
        <w:t xml:space="preserve">2020 </w:t>
      </w:r>
      <w:r w:rsidR="00F5358C" w:rsidRPr="00202138">
        <w:rPr>
          <w:lang w:val="fr-CH"/>
        </w:rPr>
        <w:t>–</w:t>
      </w:r>
      <w:r w:rsidR="00794832" w:rsidRPr="00202138">
        <w:rPr>
          <w:lang w:val="fr-CH"/>
        </w:rPr>
        <w:t xml:space="preserve"> Soumission de la demande de permis aux autorités locales</w:t>
      </w:r>
      <w:r w:rsidR="00F5358C" w:rsidRPr="00202138">
        <w:rPr>
          <w:lang w:val="fr-CH"/>
        </w:rPr>
        <w:t>.</w:t>
      </w:r>
    </w:p>
    <w:p w14:paraId="784CD90F" w14:textId="110A0022" w:rsidR="00BC01BB" w:rsidRPr="00202138" w:rsidRDefault="00CA05FE" w:rsidP="00930348">
      <w:pPr>
        <w:rPr>
          <w:lang w:val="fr-CH"/>
        </w:rPr>
      </w:pPr>
      <w:r w:rsidRPr="00202138">
        <w:rPr>
          <w:lang w:val="fr-CH"/>
        </w:rPr>
        <w:t>Le délai estimé pour l</w:t>
      </w:r>
      <w:r w:rsidR="00F5358C" w:rsidRPr="00202138">
        <w:rPr>
          <w:lang w:val="fr-CH"/>
        </w:rPr>
        <w:t>'</w:t>
      </w:r>
      <w:r w:rsidRPr="00202138">
        <w:rPr>
          <w:lang w:val="fr-CH"/>
        </w:rPr>
        <w:t>obtention du permis de construire est de 3 à 6 mois.</w:t>
      </w:r>
    </w:p>
    <w:p w14:paraId="10927779" w14:textId="01FC6FB0" w:rsidR="00BC01BB" w:rsidRPr="00202138" w:rsidRDefault="00281859" w:rsidP="00930348">
      <w:pPr>
        <w:pStyle w:val="Heading2"/>
        <w:rPr>
          <w:bCs/>
          <w:lang w:val="fr-CH"/>
        </w:rPr>
      </w:pPr>
      <w:r w:rsidRPr="00202138">
        <w:rPr>
          <w:lang w:val="fr-CH"/>
        </w:rPr>
        <w:t>3.</w:t>
      </w:r>
      <w:r w:rsidR="0059066A" w:rsidRPr="00202138">
        <w:rPr>
          <w:lang w:val="fr-CH"/>
        </w:rPr>
        <w:t>2</w:t>
      </w:r>
      <w:r w:rsidRPr="00202138">
        <w:rPr>
          <w:lang w:val="fr-CH"/>
        </w:rPr>
        <w:tab/>
      </w:r>
      <w:r w:rsidR="000C088E" w:rsidRPr="00202138">
        <w:rPr>
          <w:bCs/>
          <w:lang w:val="fr-CH"/>
        </w:rPr>
        <w:t xml:space="preserve">Mise en </w:t>
      </w:r>
      <w:r w:rsidR="00067BDF" w:rsidRPr="00202138">
        <w:rPr>
          <w:bCs/>
          <w:lang w:val="fr-CH"/>
        </w:rPr>
        <w:t>œuvre</w:t>
      </w:r>
      <w:r w:rsidR="000C088E" w:rsidRPr="00202138">
        <w:rPr>
          <w:bCs/>
          <w:lang w:val="fr-CH"/>
        </w:rPr>
        <w:t xml:space="preserve"> des exigences du Département de la sûreté et de la sécurité (DSS) de l'ONU afin d</w:t>
      </w:r>
      <w:r w:rsidR="00F5358C" w:rsidRPr="00202138">
        <w:rPr>
          <w:bCs/>
          <w:lang w:val="fr-CH"/>
        </w:rPr>
        <w:t>'</w:t>
      </w:r>
      <w:r w:rsidR="000C088E" w:rsidRPr="00202138">
        <w:rPr>
          <w:bCs/>
          <w:lang w:val="fr-CH"/>
        </w:rPr>
        <w:t>assurer la conformité aux normes UN-MOSS dans le domaine public</w:t>
      </w:r>
    </w:p>
    <w:p w14:paraId="561919CC" w14:textId="7985328E" w:rsidR="0031797D" w:rsidRPr="00202138" w:rsidRDefault="0031797D" w:rsidP="00930348">
      <w:pPr>
        <w:rPr>
          <w:lang w:val="fr-CH"/>
        </w:rPr>
      </w:pPr>
      <w:r w:rsidRPr="00202138">
        <w:rPr>
          <w:lang w:val="fr-CH"/>
        </w:rPr>
        <w:t>L'obligation de mise en œuvre des exigences du DSS de l'ONU relève d'un processus distinct déployé aux côtés du pays hôte afin d'assurer la conformité aux normes UN-MOSS dans le domaine public.</w:t>
      </w:r>
    </w:p>
    <w:p w14:paraId="05F1662E" w14:textId="60CAB3FB" w:rsidR="0031797D" w:rsidRPr="00202138" w:rsidRDefault="0031797D" w:rsidP="00930348">
      <w:pPr>
        <w:rPr>
          <w:lang w:val="fr-CH"/>
        </w:rPr>
      </w:pPr>
      <w:r w:rsidRPr="00202138">
        <w:rPr>
          <w:lang w:val="fr-CH"/>
        </w:rPr>
        <w:t xml:space="preserve">Lors de la consultation virtuelle des conseillers </w:t>
      </w:r>
      <w:r w:rsidR="00466931">
        <w:rPr>
          <w:lang w:val="fr-CH"/>
        </w:rPr>
        <w:t xml:space="preserve">tenue </w:t>
      </w:r>
      <w:r w:rsidRPr="00202138">
        <w:rPr>
          <w:lang w:val="fr-CH"/>
        </w:rPr>
        <w:t xml:space="preserve">en juin, le conseiller de la Suisse a </w:t>
      </w:r>
      <w:r w:rsidR="00466931">
        <w:rPr>
          <w:lang w:val="fr-CH"/>
        </w:rPr>
        <w:t>annoncé</w:t>
      </w:r>
      <w:r w:rsidRPr="00202138">
        <w:rPr>
          <w:lang w:val="fr-CH"/>
        </w:rPr>
        <w:t xml:space="preserve"> que le calendrier de l'étude de faisabilité menée par le pays hôte concernant la mise en œuvre</w:t>
      </w:r>
      <w:r w:rsidR="00A528DB" w:rsidRPr="00202138">
        <w:rPr>
          <w:lang w:val="fr-CH"/>
        </w:rPr>
        <w:t xml:space="preserve"> des mesures de sécurité dans le domaine public dépend de deux choses:</w:t>
      </w:r>
    </w:p>
    <w:p w14:paraId="545C669E" w14:textId="1DE3E603" w:rsidR="0059066A" w:rsidRPr="00202138" w:rsidRDefault="0059066A" w:rsidP="00930348">
      <w:pPr>
        <w:pStyle w:val="enumlev1"/>
        <w:rPr>
          <w:lang w:val="fr-CH"/>
        </w:rPr>
      </w:pPr>
      <w:r w:rsidRPr="00202138">
        <w:rPr>
          <w:lang w:val="fr-CH"/>
        </w:rPr>
        <w:t>•</w:t>
      </w:r>
      <w:r w:rsidRPr="00202138">
        <w:rPr>
          <w:lang w:val="fr-CH"/>
        </w:rPr>
        <w:tab/>
      </w:r>
      <w:r w:rsidR="00A528DB" w:rsidRPr="00202138">
        <w:rPr>
          <w:lang w:val="fr-CH"/>
        </w:rPr>
        <w:t>la présentation de la demande de permis de construire</w:t>
      </w:r>
      <w:r w:rsidRPr="00202138">
        <w:rPr>
          <w:lang w:val="fr-CH"/>
        </w:rPr>
        <w:t xml:space="preserve">, </w:t>
      </w:r>
      <w:r w:rsidR="00A528DB" w:rsidRPr="00202138">
        <w:rPr>
          <w:lang w:val="fr-CH"/>
        </w:rPr>
        <w:t>qui est prévue pour le</w:t>
      </w:r>
      <w:r w:rsidRPr="00202138">
        <w:rPr>
          <w:lang w:val="fr-CH"/>
        </w:rPr>
        <w:t xml:space="preserve"> 18</w:t>
      </w:r>
      <w:r w:rsidR="006D3610">
        <w:rPr>
          <w:lang w:val="fr-CH"/>
        </w:rPr>
        <w:t> </w:t>
      </w:r>
      <w:r w:rsidR="00A528DB" w:rsidRPr="00202138">
        <w:rPr>
          <w:lang w:val="fr-CH"/>
        </w:rPr>
        <w:t>décembre</w:t>
      </w:r>
      <w:r w:rsidR="006D3610">
        <w:rPr>
          <w:lang w:val="fr-CH"/>
        </w:rPr>
        <w:t> </w:t>
      </w:r>
      <w:r w:rsidRPr="00202138">
        <w:rPr>
          <w:lang w:val="fr-CH"/>
        </w:rPr>
        <w:t>2020;</w:t>
      </w:r>
    </w:p>
    <w:p w14:paraId="293EE0CC" w14:textId="0C28A12F" w:rsidR="00A528DB" w:rsidRPr="00202138" w:rsidRDefault="0059066A" w:rsidP="00930348">
      <w:pPr>
        <w:pStyle w:val="enumlev1"/>
        <w:rPr>
          <w:lang w:val="fr-CH"/>
        </w:rPr>
      </w:pPr>
      <w:r w:rsidRPr="00202138">
        <w:rPr>
          <w:lang w:val="fr-CH"/>
        </w:rPr>
        <w:t>•</w:t>
      </w:r>
      <w:r w:rsidRPr="00202138">
        <w:rPr>
          <w:lang w:val="fr-CH"/>
        </w:rPr>
        <w:tab/>
      </w:r>
      <w:r w:rsidR="00A528DB" w:rsidRPr="00202138">
        <w:rPr>
          <w:lang w:val="fr-CH"/>
        </w:rPr>
        <w:t>la décision des autorités du canton de Genève en matière de mobilité dans le secteur</w:t>
      </w:r>
      <w:r w:rsidRPr="00202138">
        <w:rPr>
          <w:lang w:val="fr-CH"/>
        </w:rPr>
        <w:t xml:space="preserve">. </w:t>
      </w:r>
      <w:r w:rsidR="00A528DB" w:rsidRPr="00202138">
        <w:rPr>
          <w:lang w:val="fr-CH"/>
        </w:rPr>
        <w:t>À cet égard, l'UIT est invitée à assister à une présentation sur le sujet qui se tiendra le 8</w:t>
      </w:r>
      <w:r w:rsidR="006D3610">
        <w:rPr>
          <w:lang w:val="fr-CH"/>
        </w:rPr>
        <w:t> </w:t>
      </w:r>
      <w:r w:rsidR="00A528DB" w:rsidRPr="00202138">
        <w:rPr>
          <w:lang w:val="fr-CH"/>
        </w:rPr>
        <w:t>octobre</w:t>
      </w:r>
      <w:r w:rsidR="006D3610">
        <w:rPr>
          <w:lang w:val="fr-CH"/>
        </w:rPr>
        <w:t> </w:t>
      </w:r>
      <w:r w:rsidR="00A528DB" w:rsidRPr="00202138">
        <w:rPr>
          <w:lang w:val="fr-CH"/>
        </w:rPr>
        <w:t>2020.</w:t>
      </w:r>
    </w:p>
    <w:p w14:paraId="41CA36B8" w14:textId="7FDC8955" w:rsidR="00A528DB" w:rsidRPr="00202138" w:rsidRDefault="00A528DB" w:rsidP="00930348">
      <w:pPr>
        <w:rPr>
          <w:lang w:val="fr-CH"/>
        </w:rPr>
      </w:pPr>
      <w:r w:rsidRPr="00202138">
        <w:rPr>
          <w:lang w:val="fr-CH"/>
        </w:rPr>
        <w:t>Compte tenu de ces deux facteurs et des incidences de la pandémie de COVID-19, le champ d'application de l'étude ne sera pas défini avant le premier trimestre 2021 et les premiers résultats ne seront pas disponibles avant début 2022.</w:t>
      </w:r>
    </w:p>
    <w:p w14:paraId="4A8D9018" w14:textId="13747675" w:rsidR="00A528DB" w:rsidRPr="00202138" w:rsidRDefault="00A528DB" w:rsidP="00930348">
      <w:pPr>
        <w:rPr>
          <w:lang w:val="fr-CH"/>
        </w:rPr>
      </w:pPr>
      <w:r w:rsidRPr="00202138">
        <w:rPr>
          <w:lang w:val="fr-CH"/>
        </w:rPr>
        <w:t>Néanmoins, le pays hôte a de nouveau assuré l'UIT que le calendrier pour l'étude de faisabilité et la mise en œuvre des mesures reste parfaitement compatible avec la date de livraison prévue pour le nouveau bâtiment.</w:t>
      </w:r>
    </w:p>
    <w:p w14:paraId="69D292EB" w14:textId="72163BDB" w:rsidR="00BC01BB" w:rsidRPr="00202138" w:rsidRDefault="00281859" w:rsidP="00930348">
      <w:pPr>
        <w:pStyle w:val="Heading2"/>
        <w:rPr>
          <w:lang w:val="fr-CH"/>
        </w:rPr>
      </w:pPr>
      <w:r w:rsidRPr="00202138">
        <w:rPr>
          <w:lang w:val="fr-CH"/>
        </w:rPr>
        <w:t>3.</w:t>
      </w:r>
      <w:r w:rsidR="0059066A" w:rsidRPr="00202138">
        <w:rPr>
          <w:lang w:val="fr-CH"/>
        </w:rPr>
        <w:t>3</w:t>
      </w:r>
      <w:r w:rsidRPr="00202138">
        <w:rPr>
          <w:lang w:val="fr-CH"/>
        </w:rPr>
        <w:tab/>
      </w:r>
      <w:r w:rsidR="00832E5D" w:rsidRPr="00202138">
        <w:rPr>
          <w:lang w:val="fr-CH"/>
        </w:rPr>
        <w:t>Parrainages et dons</w:t>
      </w:r>
    </w:p>
    <w:p w14:paraId="4E5B33B6" w14:textId="781CA985" w:rsidR="00BC01BB" w:rsidRPr="00202138" w:rsidRDefault="0061517C" w:rsidP="00930348">
      <w:pPr>
        <w:rPr>
          <w:lang w:val="fr-CH"/>
        </w:rPr>
      </w:pPr>
      <w:r w:rsidRPr="00202138">
        <w:rPr>
          <w:lang w:val="fr-CH"/>
        </w:rPr>
        <w:t>Depuis l</w:t>
      </w:r>
      <w:r w:rsidR="00F5358C" w:rsidRPr="00202138">
        <w:rPr>
          <w:lang w:val="fr-CH"/>
        </w:rPr>
        <w:t>'</w:t>
      </w:r>
      <w:r w:rsidRPr="00202138">
        <w:rPr>
          <w:lang w:val="fr-CH"/>
        </w:rPr>
        <w:t>adoption de la Décision 619, l</w:t>
      </w:r>
      <w:r w:rsidR="00F5358C" w:rsidRPr="00202138">
        <w:rPr>
          <w:lang w:val="fr-CH"/>
        </w:rPr>
        <w:t>'</w:t>
      </w:r>
      <w:r w:rsidRPr="00202138">
        <w:rPr>
          <w:lang w:val="fr-CH"/>
        </w:rPr>
        <w:t>UIT n</w:t>
      </w:r>
      <w:r w:rsidR="00F5358C" w:rsidRPr="00202138">
        <w:rPr>
          <w:lang w:val="fr-CH"/>
        </w:rPr>
        <w:t>'</w:t>
      </w:r>
      <w:r w:rsidRPr="00202138">
        <w:rPr>
          <w:lang w:val="fr-CH"/>
        </w:rPr>
        <w:t>a reçu aucun parrainage ou don supplémentaire.</w:t>
      </w:r>
    </w:p>
    <w:p w14:paraId="1BDBAE01" w14:textId="6463CD15" w:rsidR="00BC01BB" w:rsidRPr="00202138" w:rsidRDefault="00156881" w:rsidP="00930348">
      <w:pPr>
        <w:rPr>
          <w:rFonts w:asciiTheme="minorHAnsi" w:hAnsiTheme="minorHAnsi" w:cstheme="minorHAnsi"/>
          <w:szCs w:val="24"/>
          <w:lang w:val="fr-CH"/>
        </w:rPr>
      </w:pPr>
      <w:r w:rsidRPr="00202138">
        <w:rPr>
          <w:lang w:val="fr-CH" w:eastAsia="en-GB"/>
        </w:rPr>
        <w:t xml:space="preserve">Aux termes du point 4 du </w:t>
      </w:r>
      <w:r w:rsidRPr="00202138">
        <w:rPr>
          <w:i/>
          <w:lang w:val="fr-CH" w:eastAsia="en-GB"/>
        </w:rPr>
        <w:t>décide</w:t>
      </w:r>
      <w:r w:rsidRPr="00202138">
        <w:rPr>
          <w:lang w:val="fr-CH" w:eastAsia="en-GB"/>
        </w:rPr>
        <w:t xml:space="preserve"> de la Décision 619, tout parrainage ou don futur ne sera utilisé que pour compenser le coût direct final du projet, sans créer de nouveaux coûts indirects ni retarder encore le projet, et n'aura pas pour effet d'accroître le coût direct final approuvé du projet, d</w:t>
      </w:r>
      <w:r w:rsidR="00F5358C" w:rsidRPr="00202138">
        <w:rPr>
          <w:lang w:val="fr-CH" w:eastAsia="en-GB"/>
        </w:rPr>
        <w:t>'</w:t>
      </w:r>
      <w:r w:rsidRPr="00202138">
        <w:rPr>
          <w:lang w:val="fr-CH" w:eastAsia="en-GB"/>
        </w:rPr>
        <w:t>un montant de 170 139 000 CHF.</w:t>
      </w:r>
      <w:r w:rsidR="00281859" w:rsidRPr="00202138">
        <w:rPr>
          <w:lang w:val="fr-CH" w:eastAsia="en-GB"/>
        </w:rPr>
        <w:t xml:space="preserve"> </w:t>
      </w:r>
      <w:r w:rsidR="001D5972" w:rsidRPr="00202138">
        <w:rPr>
          <w:rFonts w:asciiTheme="minorHAnsi" w:hAnsiTheme="minorHAnsi" w:cstheme="minorHAnsi"/>
          <w:szCs w:val="24"/>
          <w:lang w:val="fr-CH"/>
        </w:rPr>
        <w:t>Dans ce contexte, il est peu probable que des parrainages supplémentaires soient effectués.</w:t>
      </w:r>
    </w:p>
    <w:p w14:paraId="55AF0A85" w14:textId="5597FD0F" w:rsidR="00BC01BB" w:rsidRPr="00202138" w:rsidRDefault="00927400" w:rsidP="00930348">
      <w:pPr>
        <w:rPr>
          <w:lang w:val="fr-CH"/>
        </w:rPr>
      </w:pPr>
      <w:r w:rsidRPr="00202138">
        <w:rPr>
          <w:lang w:val="fr-CH"/>
        </w:rPr>
        <w:t>À titre d</w:t>
      </w:r>
      <w:r w:rsidR="00F5358C" w:rsidRPr="00202138">
        <w:rPr>
          <w:lang w:val="fr-CH"/>
        </w:rPr>
        <w:t>'</w:t>
      </w:r>
      <w:r w:rsidRPr="00202138">
        <w:rPr>
          <w:lang w:val="fr-CH"/>
        </w:rPr>
        <w:t>exemple, un sponsor pourrait souhaiter améliorer le bâtiment en finançant la réalisation d</w:t>
      </w:r>
      <w:r w:rsidR="00F5358C" w:rsidRPr="00202138">
        <w:rPr>
          <w:lang w:val="fr-CH"/>
        </w:rPr>
        <w:t>'</w:t>
      </w:r>
      <w:r w:rsidRPr="00202138">
        <w:rPr>
          <w:lang w:val="fr-CH"/>
        </w:rPr>
        <w:t>un revêtement en marbre</w:t>
      </w:r>
      <w:r w:rsidR="00605572" w:rsidRPr="00202138">
        <w:rPr>
          <w:lang w:val="fr-CH"/>
        </w:rPr>
        <w:t xml:space="preserve"> dans le </w:t>
      </w:r>
      <w:r w:rsidRPr="00202138">
        <w:rPr>
          <w:lang w:val="fr-CH"/>
        </w:rPr>
        <w:t>lobby, au lieu du sol en béton prévu.</w:t>
      </w:r>
      <w:r w:rsidR="00281859" w:rsidRPr="00202138">
        <w:rPr>
          <w:lang w:val="fr-CH"/>
        </w:rPr>
        <w:t xml:space="preserve"> </w:t>
      </w:r>
      <w:r w:rsidR="00014433" w:rsidRPr="00202138">
        <w:rPr>
          <w:lang w:val="fr-CH"/>
        </w:rPr>
        <w:t>Cela aurait pour effet d</w:t>
      </w:r>
      <w:r w:rsidR="00F5358C" w:rsidRPr="00202138">
        <w:rPr>
          <w:lang w:val="fr-CH"/>
        </w:rPr>
        <w:t>'</w:t>
      </w:r>
      <w:r w:rsidR="00014433" w:rsidRPr="00202138">
        <w:rPr>
          <w:lang w:val="fr-CH"/>
        </w:rPr>
        <w:t>accroître le coût du projet sans faire</w:t>
      </w:r>
      <w:r w:rsidR="00605572" w:rsidRPr="00202138">
        <w:rPr>
          <w:lang w:val="fr-CH"/>
        </w:rPr>
        <w:t xml:space="preserve"> renchérir </w:t>
      </w:r>
      <w:r w:rsidR="00014433" w:rsidRPr="00202138">
        <w:rPr>
          <w:lang w:val="fr-CH"/>
        </w:rPr>
        <w:t>les coûts</w:t>
      </w:r>
      <w:r w:rsidR="00605572" w:rsidRPr="00202138">
        <w:rPr>
          <w:lang w:val="fr-CH"/>
        </w:rPr>
        <w:t xml:space="preserve"> à la charge de </w:t>
      </w:r>
      <w:r w:rsidR="00014433" w:rsidRPr="00202138">
        <w:rPr>
          <w:lang w:val="fr-CH"/>
        </w:rPr>
        <w:t>l</w:t>
      </w:r>
      <w:r w:rsidR="00F5358C" w:rsidRPr="00202138">
        <w:rPr>
          <w:lang w:val="fr-CH"/>
        </w:rPr>
        <w:t>'</w:t>
      </w:r>
      <w:r w:rsidR="00014433" w:rsidRPr="00202138">
        <w:rPr>
          <w:lang w:val="fr-CH"/>
        </w:rPr>
        <w:t>UIT,</w:t>
      </w:r>
      <w:r w:rsidR="00605572" w:rsidRPr="00202138">
        <w:rPr>
          <w:lang w:val="fr-CH"/>
        </w:rPr>
        <w:t xml:space="preserve"> qui </w:t>
      </w:r>
      <w:r w:rsidR="00014433" w:rsidRPr="00202138">
        <w:rPr>
          <w:lang w:val="fr-CH"/>
        </w:rPr>
        <w:t>pourraient même baisser dans la mesure où le coût du sol en béton serait déduit du coût total</w:t>
      </w:r>
      <w:r w:rsidR="00605572" w:rsidRPr="00202138">
        <w:rPr>
          <w:lang w:val="fr-CH"/>
        </w:rPr>
        <w:t xml:space="preserve"> à la charge de </w:t>
      </w:r>
      <w:r w:rsidR="00014433" w:rsidRPr="00202138">
        <w:rPr>
          <w:lang w:val="fr-CH"/>
        </w:rPr>
        <w:t>l</w:t>
      </w:r>
      <w:r w:rsidR="00F5358C" w:rsidRPr="00202138">
        <w:rPr>
          <w:lang w:val="fr-CH"/>
        </w:rPr>
        <w:t>'</w:t>
      </w:r>
      <w:r w:rsidR="00014433" w:rsidRPr="00202138">
        <w:rPr>
          <w:lang w:val="fr-CH"/>
        </w:rPr>
        <w:t>UIT.</w:t>
      </w:r>
    </w:p>
    <w:p w14:paraId="1F483EAD" w14:textId="77777777" w:rsidR="0056156E" w:rsidRDefault="0069525E" w:rsidP="00930348">
      <w:pPr>
        <w:rPr>
          <w:lang w:val="fr-CH"/>
        </w:rPr>
      </w:pPr>
      <w:r w:rsidRPr="00202138">
        <w:rPr>
          <w:lang w:val="fr-CH"/>
        </w:rPr>
        <w:t xml:space="preserve">Le </w:t>
      </w:r>
      <w:r w:rsidR="00605572" w:rsidRPr="00202138">
        <w:rPr>
          <w:lang w:val="fr-CH"/>
        </w:rPr>
        <w:t>s</w:t>
      </w:r>
      <w:r w:rsidRPr="00202138">
        <w:rPr>
          <w:lang w:val="fr-CH"/>
        </w:rPr>
        <w:t>ecrétariat a donc demandé au Groupe MSAG d</w:t>
      </w:r>
      <w:r w:rsidR="00F5358C" w:rsidRPr="00202138">
        <w:rPr>
          <w:lang w:val="fr-CH"/>
        </w:rPr>
        <w:t>'</w:t>
      </w:r>
      <w:r w:rsidRPr="00202138">
        <w:rPr>
          <w:lang w:val="fr-CH"/>
        </w:rPr>
        <w:t xml:space="preserve">examiner cette question et de recommander au Conseil de </w:t>
      </w:r>
      <w:r w:rsidR="00067BDF" w:rsidRPr="00202138">
        <w:rPr>
          <w:lang w:val="fr-CH"/>
        </w:rPr>
        <w:t>réexaminer</w:t>
      </w:r>
      <w:r w:rsidRPr="00202138">
        <w:rPr>
          <w:lang w:val="fr-CH"/>
        </w:rPr>
        <w:t xml:space="preserve"> le point 4 du </w:t>
      </w:r>
      <w:r w:rsidRPr="00202138">
        <w:rPr>
          <w:i/>
          <w:lang w:val="fr-CH"/>
        </w:rPr>
        <w:t>décide</w:t>
      </w:r>
      <w:r w:rsidRPr="00202138">
        <w:rPr>
          <w:lang w:val="fr-CH"/>
        </w:rPr>
        <w:t xml:space="preserve"> </w:t>
      </w:r>
      <w:r w:rsidR="00ED61A6" w:rsidRPr="00202138">
        <w:rPr>
          <w:lang w:val="fr-CH"/>
        </w:rPr>
        <w:t xml:space="preserve">de la Décision 619, </w:t>
      </w:r>
      <w:r w:rsidRPr="00202138">
        <w:rPr>
          <w:lang w:val="fr-CH"/>
        </w:rPr>
        <w:t>afin que des parrainages et des dons supplémentaires puissent être acceptés, même lorsqu</w:t>
      </w:r>
      <w:r w:rsidR="00F5358C" w:rsidRPr="00202138">
        <w:rPr>
          <w:lang w:val="fr-CH"/>
        </w:rPr>
        <w:t>'</w:t>
      </w:r>
      <w:r w:rsidRPr="00202138">
        <w:rPr>
          <w:lang w:val="fr-CH"/>
        </w:rPr>
        <w:t xml:space="preserve">ils entraînent une </w:t>
      </w:r>
      <w:r w:rsidR="0054386C" w:rsidRPr="00202138">
        <w:rPr>
          <w:lang w:val="fr-CH"/>
        </w:rPr>
        <w:t>augmentation</w:t>
      </w:r>
      <w:r w:rsidRPr="00202138">
        <w:rPr>
          <w:lang w:val="fr-CH"/>
        </w:rPr>
        <w:t xml:space="preserve"> des coûts directs et/ou indirects du projet, à condition qu</w:t>
      </w:r>
      <w:r w:rsidR="00F5358C" w:rsidRPr="00202138">
        <w:rPr>
          <w:lang w:val="fr-CH"/>
        </w:rPr>
        <w:t>'</w:t>
      </w:r>
      <w:r w:rsidRPr="00202138">
        <w:rPr>
          <w:lang w:val="fr-CH"/>
        </w:rPr>
        <w:t>ils</w:t>
      </w:r>
      <w:r w:rsidR="00605572" w:rsidRPr="00202138">
        <w:rPr>
          <w:lang w:val="fr-CH"/>
        </w:rPr>
        <w:t xml:space="preserve"> n</w:t>
      </w:r>
      <w:r w:rsidR="00F5358C" w:rsidRPr="00202138">
        <w:rPr>
          <w:lang w:val="fr-CH"/>
        </w:rPr>
        <w:t>'</w:t>
      </w:r>
      <w:r w:rsidR="00605572" w:rsidRPr="00202138">
        <w:rPr>
          <w:lang w:val="fr-CH"/>
        </w:rPr>
        <w:t xml:space="preserve">entraînent pas une augmentation des </w:t>
      </w:r>
      <w:r w:rsidR="0056156E">
        <w:rPr>
          <w:lang w:val="fr-CH"/>
        </w:rPr>
        <w:br w:type="page"/>
      </w:r>
    </w:p>
    <w:p w14:paraId="373365F6" w14:textId="18DE329C" w:rsidR="00BC01BB" w:rsidRPr="00202138" w:rsidRDefault="0069525E" w:rsidP="00930348">
      <w:pPr>
        <w:rPr>
          <w:lang w:val="fr-CH"/>
        </w:rPr>
      </w:pPr>
      <w:r w:rsidRPr="00202138">
        <w:rPr>
          <w:lang w:val="fr-CH"/>
        </w:rPr>
        <w:lastRenderedPageBreak/>
        <w:t>coûts</w:t>
      </w:r>
      <w:r w:rsidR="00605572" w:rsidRPr="00202138">
        <w:rPr>
          <w:lang w:val="fr-CH"/>
        </w:rPr>
        <w:t xml:space="preserve"> pour </w:t>
      </w:r>
      <w:r w:rsidRPr="00202138">
        <w:rPr>
          <w:lang w:val="fr-CH"/>
        </w:rPr>
        <w:t>l</w:t>
      </w:r>
      <w:r w:rsidR="00F5358C" w:rsidRPr="00202138">
        <w:rPr>
          <w:lang w:val="fr-CH"/>
        </w:rPr>
        <w:t>'</w:t>
      </w:r>
      <w:r w:rsidRPr="00202138">
        <w:rPr>
          <w:lang w:val="fr-CH"/>
        </w:rPr>
        <w:t>UIT.</w:t>
      </w:r>
      <w:r w:rsidR="0059066A" w:rsidRPr="00202138">
        <w:rPr>
          <w:lang w:val="fr-CH"/>
        </w:rPr>
        <w:t xml:space="preserve"> </w:t>
      </w:r>
      <w:r w:rsidR="00A528DB" w:rsidRPr="00202138">
        <w:rPr>
          <w:lang w:val="fr-CH"/>
        </w:rPr>
        <w:t xml:space="preserve">Le Groupe MSAG a examiné cette question à sa réunion de juillet et est convenu qu'il </w:t>
      </w:r>
      <w:r w:rsidR="00A528DB" w:rsidRPr="00466931">
        <w:rPr>
          <w:i/>
          <w:iCs/>
          <w:lang w:val="fr-CH"/>
        </w:rPr>
        <w:t xml:space="preserve">ne se prononçait pas concernant cette demande, mais </w:t>
      </w:r>
      <w:r w:rsidR="00466931" w:rsidRPr="00466931">
        <w:rPr>
          <w:i/>
          <w:iCs/>
          <w:lang w:val="fr-CH"/>
        </w:rPr>
        <w:t>est</w:t>
      </w:r>
      <w:r w:rsidR="00A528DB" w:rsidRPr="00466931">
        <w:rPr>
          <w:i/>
          <w:iCs/>
          <w:lang w:val="fr-CH"/>
        </w:rPr>
        <w:t xml:space="preserve"> néanmoins</w:t>
      </w:r>
      <w:r w:rsidR="00466931" w:rsidRPr="00466931">
        <w:rPr>
          <w:i/>
          <w:iCs/>
          <w:lang w:val="fr-CH"/>
        </w:rPr>
        <w:t xml:space="preserve"> convenu</w:t>
      </w:r>
      <w:r w:rsidR="00A528DB" w:rsidRPr="00466931">
        <w:rPr>
          <w:i/>
          <w:iCs/>
          <w:lang w:val="fr-CH"/>
        </w:rPr>
        <w:t xml:space="preserve"> qu'il est important de trouver rapidement un accord sur cette question et rappelle que tous </w:t>
      </w:r>
      <w:r w:rsidR="00466931">
        <w:rPr>
          <w:i/>
          <w:iCs/>
          <w:lang w:val="fr-CH"/>
        </w:rPr>
        <w:t>c</w:t>
      </w:r>
      <w:r w:rsidR="00A528DB" w:rsidRPr="00466931">
        <w:rPr>
          <w:i/>
          <w:iCs/>
          <w:lang w:val="fr-CH"/>
        </w:rPr>
        <w:t>es dons n'ont pas d'incidences sur les coûts</w:t>
      </w:r>
      <w:r w:rsidR="0059066A" w:rsidRPr="00202138">
        <w:rPr>
          <w:rStyle w:val="FootnoteReference"/>
          <w:lang w:val="fr-CH"/>
        </w:rPr>
        <w:footnoteReference w:id="2"/>
      </w:r>
      <w:r w:rsidR="0059066A" w:rsidRPr="00202138">
        <w:rPr>
          <w:lang w:val="fr-CH"/>
        </w:rPr>
        <w:t>.</w:t>
      </w:r>
    </w:p>
    <w:p w14:paraId="49DB5972" w14:textId="4E2EB9B5" w:rsidR="00BC01BB" w:rsidRPr="00202138" w:rsidRDefault="00281859" w:rsidP="00930348">
      <w:pPr>
        <w:pStyle w:val="Heading2"/>
        <w:rPr>
          <w:lang w:val="fr-CH"/>
        </w:rPr>
      </w:pPr>
      <w:r w:rsidRPr="00202138">
        <w:rPr>
          <w:lang w:val="fr-CH"/>
        </w:rPr>
        <w:t>3.</w:t>
      </w:r>
      <w:r w:rsidR="0059066A" w:rsidRPr="00202138">
        <w:rPr>
          <w:lang w:val="fr-CH"/>
        </w:rPr>
        <w:t>4</w:t>
      </w:r>
      <w:r w:rsidRPr="00202138">
        <w:rPr>
          <w:lang w:val="fr-CH"/>
        </w:rPr>
        <w:tab/>
      </w:r>
      <w:r w:rsidR="003F65FF" w:rsidRPr="00202138">
        <w:rPr>
          <w:lang w:val="fr-CH"/>
        </w:rPr>
        <w:t>Soumission de la demande concernant la seconde tranche du prêt</w:t>
      </w:r>
    </w:p>
    <w:p w14:paraId="7F034466" w14:textId="6A5A8FE9" w:rsidR="00BC01BB" w:rsidRPr="00202138" w:rsidRDefault="00A83ED6" w:rsidP="00930348">
      <w:pPr>
        <w:rPr>
          <w:lang w:val="fr-CH"/>
        </w:rPr>
      </w:pPr>
      <w:r w:rsidRPr="00202138">
        <w:rPr>
          <w:lang w:val="fr-CH"/>
        </w:rPr>
        <w:t>La documentation technique pour la demande concernant la seconde tranche du prêt d</w:t>
      </w:r>
      <w:r w:rsidR="00F5358C" w:rsidRPr="00202138">
        <w:rPr>
          <w:lang w:val="fr-CH"/>
        </w:rPr>
        <w:t>'</w:t>
      </w:r>
      <w:r w:rsidRPr="00202138">
        <w:rPr>
          <w:lang w:val="fr-CH"/>
        </w:rPr>
        <w:t>un montant de 15</w:t>
      </w:r>
      <w:r w:rsidR="00ED61A6" w:rsidRPr="00202138">
        <w:rPr>
          <w:lang w:val="fr-CH"/>
        </w:rPr>
        <w:t>0</w:t>
      </w:r>
      <w:r w:rsidRPr="00202138">
        <w:rPr>
          <w:lang w:val="fr-CH"/>
        </w:rPr>
        <w:t xml:space="preserve"> 000 000 CHF (</w:t>
      </w:r>
      <w:r w:rsidR="00605572" w:rsidRPr="00202138">
        <w:rPr>
          <w:lang w:val="fr-CH"/>
        </w:rPr>
        <w:t>soit</w:t>
      </w:r>
      <w:r w:rsidR="00BD7976" w:rsidRPr="00202138">
        <w:rPr>
          <w:lang w:val="fr-CH"/>
        </w:rPr>
        <w:t xml:space="preserve"> </w:t>
      </w:r>
      <w:r w:rsidRPr="00202138">
        <w:rPr>
          <w:lang w:val="fr-CH"/>
        </w:rPr>
        <w:t>138 000 000 CHF)</w:t>
      </w:r>
      <w:r w:rsidR="00BD7976" w:rsidRPr="00202138">
        <w:rPr>
          <w:lang w:val="fr-CH"/>
        </w:rPr>
        <w:t xml:space="preserve"> </w:t>
      </w:r>
      <w:r w:rsidRPr="00202138">
        <w:rPr>
          <w:lang w:val="fr-CH"/>
        </w:rPr>
        <w:t>a été transmise aux autorités suisses le 9</w:t>
      </w:r>
      <w:r w:rsidR="001F3945" w:rsidRPr="00202138">
        <w:rPr>
          <w:lang w:val="fr-CH"/>
        </w:rPr>
        <w:t> </w:t>
      </w:r>
      <w:r w:rsidRPr="00202138">
        <w:rPr>
          <w:lang w:val="fr-CH"/>
        </w:rPr>
        <w:t>décembre 2019.</w:t>
      </w:r>
    </w:p>
    <w:p w14:paraId="1297A888" w14:textId="798A6893" w:rsidR="0059066A" w:rsidRPr="00202138" w:rsidRDefault="00990FE1" w:rsidP="00930348">
      <w:pPr>
        <w:rPr>
          <w:lang w:val="fr-CH"/>
        </w:rPr>
      </w:pPr>
      <w:r w:rsidRPr="00202138">
        <w:rPr>
          <w:lang w:val="fr-CH"/>
        </w:rPr>
        <w:t>État d'avancement du processus d'autorisation</w:t>
      </w:r>
      <w:r w:rsidR="0059066A" w:rsidRPr="00202138">
        <w:rPr>
          <w:lang w:val="fr-CH"/>
        </w:rPr>
        <w:t>:</w:t>
      </w:r>
    </w:p>
    <w:p w14:paraId="5F29184F" w14:textId="1203DF63" w:rsidR="0059066A" w:rsidRPr="006D3610" w:rsidRDefault="00CE556D" w:rsidP="00930348">
      <w:pPr>
        <w:pStyle w:val="enumlev1"/>
      </w:pPr>
      <w:r w:rsidRPr="00202138">
        <w:rPr>
          <w:lang w:val="fr-CH"/>
        </w:rPr>
        <w:t>•</w:t>
      </w:r>
      <w:r w:rsidRPr="00202138">
        <w:rPr>
          <w:lang w:val="fr-CH"/>
        </w:rPr>
        <w:tab/>
      </w:r>
      <w:r w:rsidR="0059066A" w:rsidRPr="00202138">
        <w:rPr>
          <w:lang w:val="fr-CH"/>
        </w:rPr>
        <w:t xml:space="preserve">22 avril </w:t>
      </w:r>
      <w:r w:rsidR="0059066A" w:rsidRPr="006D3610">
        <w:t xml:space="preserve">2020 – </w:t>
      </w:r>
      <w:r w:rsidR="000B19E5" w:rsidRPr="006D3610">
        <w:t xml:space="preserve">approbation du prêt de </w:t>
      </w:r>
      <w:r w:rsidR="0059066A" w:rsidRPr="006D3610">
        <w:t>95</w:t>
      </w:r>
      <w:r w:rsidR="000B19E5" w:rsidRPr="006D3610">
        <w:t>,</w:t>
      </w:r>
      <w:r w:rsidR="0059066A" w:rsidRPr="006D3610">
        <w:t>6 million</w:t>
      </w:r>
      <w:r w:rsidR="000B19E5" w:rsidRPr="006D3610">
        <w:t>s CHF</w:t>
      </w:r>
      <w:r w:rsidR="0059066A" w:rsidRPr="006D3610">
        <w:t xml:space="preserve"> </w:t>
      </w:r>
      <w:r w:rsidR="000B19E5" w:rsidRPr="006D3610">
        <w:t>par le Conseil fédéral</w:t>
      </w:r>
      <w:r w:rsidR="0059066A" w:rsidRPr="006D3610">
        <w:t>.</w:t>
      </w:r>
    </w:p>
    <w:p w14:paraId="68DA2591" w14:textId="6AF3CA4D" w:rsidR="000B19E5" w:rsidRPr="006D3610" w:rsidRDefault="0059066A" w:rsidP="00930348">
      <w:pPr>
        <w:pStyle w:val="enumlev1"/>
      </w:pPr>
      <w:r w:rsidRPr="006D3610">
        <w:t>•</w:t>
      </w:r>
      <w:r w:rsidRPr="006D3610">
        <w:tab/>
        <w:t xml:space="preserve">1er juillet 2020 – </w:t>
      </w:r>
      <w:r w:rsidR="000B19E5" w:rsidRPr="006D3610">
        <w:t>publication du communiqué de presse du Conseil d'État concernant le soutien financier apporté par le canton avec sa contribution correspondant au solde de 42 400 000 CHF</w:t>
      </w:r>
      <w:r w:rsidRPr="006D3610">
        <w:t xml:space="preserve">, afin de financer le projet de démolition et de reconstruction du siège de l'UIT. </w:t>
      </w:r>
      <w:r w:rsidR="000B19E5" w:rsidRPr="006D3610">
        <w:t>L'examen du projet de loi par le Grand Conseil et son adoption devraient avoir lieu d'ici la fin de l'année.</w:t>
      </w:r>
    </w:p>
    <w:p w14:paraId="4E9877FD" w14:textId="4425FD9C" w:rsidR="000B19E5" w:rsidRPr="006D3610" w:rsidRDefault="0059066A" w:rsidP="00930348">
      <w:pPr>
        <w:pStyle w:val="enumlev1"/>
      </w:pPr>
      <w:r w:rsidRPr="006D3610">
        <w:t>•</w:t>
      </w:r>
      <w:r w:rsidRPr="006D3610">
        <w:tab/>
        <w:t xml:space="preserve">Août 2020 – </w:t>
      </w:r>
      <w:r w:rsidR="000B19E5" w:rsidRPr="006D3610">
        <w:t>approbation à l'unanimité donnée par la Commission des finances pour appuyer la demande de prêt.</w:t>
      </w:r>
    </w:p>
    <w:p w14:paraId="6781250C" w14:textId="2CE321EF" w:rsidR="0059066A" w:rsidRPr="006D3610" w:rsidRDefault="0059066A" w:rsidP="00930348">
      <w:pPr>
        <w:pStyle w:val="enumlev1"/>
      </w:pPr>
      <w:r w:rsidRPr="006D3610">
        <w:t>•</w:t>
      </w:r>
      <w:r w:rsidRPr="006D3610">
        <w:tab/>
        <w:t>21 septembre 2020 – la première chambre</w:t>
      </w:r>
      <w:r w:rsidR="000B19E5" w:rsidRPr="006D3610">
        <w:t xml:space="preserve"> a</w:t>
      </w:r>
      <w:r w:rsidRPr="006D3610">
        <w:t xml:space="preserve"> donn</w:t>
      </w:r>
      <w:r w:rsidR="000B19E5" w:rsidRPr="006D3610">
        <w:t>é</w:t>
      </w:r>
      <w:r w:rsidRPr="006D3610">
        <w:t xml:space="preserve"> son approbation </w:t>
      </w:r>
      <w:r w:rsidR="00CE556D" w:rsidRPr="006D3610">
        <w:t>à l'</w:t>
      </w:r>
      <w:r w:rsidRPr="006D3610">
        <w:t>automne.</w:t>
      </w:r>
    </w:p>
    <w:p w14:paraId="18107ABA" w14:textId="02D9DA0F" w:rsidR="0059066A" w:rsidRPr="00202138" w:rsidRDefault="0059066A" w:rsidP="00930348">
      <w:pPr>
        <w:pStyle w:val="enumlev1"/>
        <w:rPr>
          <w:lang w:val="fr-CH"/>
        </w:rPr>
      </w:pPr>
      <w:r w:rsidRPr="006D3610">
        <w:t>•</w:t>
      </w:r>
      <w:r w:rsidRPr="006D3610">
        <w:tab/>
        <w:t xml:space="preserve">Novembre-décembre 2020 – la deuxième chambre </w:t>
      </w:r>
      <w:r w:rsidR="00272C64" w:rsidRPr="006D3610">
        <w:t>tient des débats</w:t>
      </w:r>
      <w:r w:rsidRPr="006D3610">
        <w:t xml:space="preserve"> durant la session d'hiv</w:t>
      </w:r>
      <w:r w:rsidRPr="00202138">
        <w:rPr>
          <w:lang w:val="fr-CH"/>
        </w:rPr>
        <w:t>er.</w:t>
      </w:r>
    </w:p>
    <w:p w14:paraId="4F7C66FE" w14:textId="3B45D835" w:rsidR="00BC01BB" w:rsidRPr="00202138" w:rsidRDefault="00903E3B" w:rsidP="00930348">
      <w:pPr>
        <w:rPr>
          <w:lang w:val="fr-CH"/>
        </w:rPr>
      </w:pPr>
      <w:r w:rsidRPr="00202138">
        <w:rPr>
          <w:lang w:val="fr-CH"/>
        </w:rPr>
        <w:t>Les fonds devraient</w:t>
      </w:r>
      <w:r w:rsidR="00500A3B" w:rsidRPr="00202138">
        <w:rPr>
          <w:lang w:val="fr-CH"/>
        </w:rPr>
        <w:t xml:space="preserve"> pouvoir </w:t>
      </w:r>
      <w:r w:rsidRPr="00202138">
        <w:rPr>
          <w:lang w:val="fr-CH"/>
        </w:rPr>
        <w:t>être mis à disposition</w:t>
      </w:r>
      <w:r w:rsidR="00500A3B" w:rsidRPr="00202138">
        <w:rPr>
          <w:lang w:val="fr-CH"/>
        </w:rPr>
        <w:t xml:space="preserve"> dès le </w:t>
      </w:r>
      <w:r w:rsidRPr="00202138">
        <w:rPr>
          <w:lang w:val="fr-CH"/>
        </w:rPr>
        <w:t>début de l</w:t>
      </w:r>
      <w:r w:rsidR="00F5358C" w:rsidRPr="00202138">
        <w:rPr>
          <w:lang w:val="fr-CH"/>
        </w:rPr>
        <w:t>'</w:t>
      </w:r>
      <w:r w:rsidRPr="00202138">
        <w:rPr>
          <w:lang w:val="fr-CH"/>
        </w:rPr>
        <w:t>année 2021.</w:t>
      </w:r>
      <w:r w:rsidR="00281859" w:rsidRPr="00202138">
        <w:rPr>
          <w:lang w:val="fr-CH"/>
        </w:rPr>
        <w:t xml:space="preserve"> </w:t>
      </w:r>
      <w:r w:rsidR="005D5379" w:rsidRPr="00202138">
        <w:rPr>
          <w:lang w:val="fr-CH"/>
        </w:rPr>
        <w:t>Dans l</w:t>
      </w:r>
      <w:r w:rsidR="00F5358C" w:rsidRPr="00202138">
        <w:rPr>
          <w:lang w:val="fr-CH"/>
        </w:rPr>
        <w:t>'</w:t>
      </w:r>
      <w:r w:rsidR="005D5379" w:rsidRPr="00202138">
        <w:rPr>
          <w:lang w:val="fr-CH"/>
        </w:rPr>
        <w:t>intervalle, les fonds issus de la première tranche du prêt</w:t>
      </w:r>
      <w:r w:rsidR="00500A3B" w:rsidRPr="00202138">
        <w:rPr>
          <w:lang w:val="fr-CH"/>
        </w:rPr>
        <w:t xml:space="preserve"> continuent d</w:t>
      </w:r>
      <w:r w:rsidR="00F5358C" w:rsidRPr="00202138">
        <w:rPr>
          <w:lang w:val="fr-CH"/>
        </w:rPr>
        <w:t>'</w:t>
      </w:r>
      <w:r w:rsidR="00500A3B" w:rsidRPr="00202138">
        <w:rPr>
          <w:lang w:val="fr-CH"/>
        </w:rPr>
        <w:t xml:space="preserve">être </w:t>
      </w:r>
      <w:r w:rsidR="005D5379" w:rsidRPr="00202138">
        <w:rPr>
          <w:lang w:val="fr-CH"/>
        </w:rPr>
        <w:t>mis à disposition par le pays hôte jusqu</w:t>
      </w:r>
      <w:r w:rsidR="00F5358C" w:rsidRPr="00202138">
        <w:rPr>
          <w:lang w:val="fr-CH"/>
        </w:rPr>
        <w:t>'</w:t>
      </w:r>
      <w:r w:rsidR="00500A3B" w:rsidRPr="00202138">
        <w:rPr>
          <w:lang w:val="fr-CH"/>
        </w:rPr>
        <w:t>en</w:t>
      </w:r>
      <w:r w:rsidR="005D5379" w:rsidRPr="00202138">
        <w:rPr>
          <w:lang w:val="fr-CH"/>
        </w:rPr>
        <w:t xml:space="preserve"> juin 2021.</w:t>
      </w:r>
    </w:p>
    <w:p w14:paraId="728802E6" w14:textId="4D82C660" w:rsidR="00BC01BB" w:rsidRPr="00202138" w:rsidRDefault="00281859" w:rsidP="00930348">
      <w:pPr>
        <w:pStyle w:val="Heading2"/>
        <w:rPr>
          <w:lang w:val="fr-CH"/>
        </w:rPr>
      </w:pPr>
      <w:r w:rsidRPr="00202138">
        <w:rPr>
          <w:lang w:val="fr-CH"/>
        </w:rPr>
        <w:t>3.</w:t>
      </w:r>
      <w:r w:rsidR="00C02BDA" w:rsidRPr="00202138">
        <w:rPr>
          <w:lang w:val="fr-CH"/>
        </w:rPr>
        <w:t>5</w:t>
      </w:r>
      <w:r w:rsidRPr="00202138">
        <w:rPr>
          <w:lang w:val="fr-CH"/>
        </w:rPr>
        <w:tab/>
      </w:r>
      <w:r w:rsidR="00F149F9" w:rsidRPr="00202138">
        <w:rPr>
          <w:lang w:val="fr-CH"/>
        </w:rPr>
        <w:t>Registre des risques</w:t>
      </w:r>
    </w:p>
    <w:p w14:paraId="66E42F95" w14:textId="0652A720" w:rsidR="00BC01BB" w:rsidRPr="00202138" w:rsidRDefault="00D4124A" w:rsidP="00930348">
      <w:pPr>
        <w:rPr>
          <w:lang w:val="fr-CH"/>
        </w:rPr>
      </w:pPr>
      <w:r w:rsidRPr="00202138">
        <w:rPr>
          <w:lang w:val="fr-CH"/>
        </w:rPr>
        <w:t>Un registre des risques complet a été élaboré en vue de la session additionnelle du Conseil qui a eu lieu en septembre 2019</w:t>
      </w:r>
      <w:r w:rsidR="00DA3388" w:rsidRPr="00202138">
        <w:rPr>
          <w:lang w:val="fr-CH"/>
        </w:rPr>
        <w:t>,</w:t>
      </w:r>
      <w:r w:rsidR="008D7706" w:rsidRPr="00202138">
        <w:rPr>
          <w:lang w:val="fr-CH"/>
        </w:rPr>
        <w:t xml:space="preserve"> afin d</w:t>
      </w:r>
      <w:r w:rsidR="00F5358C" w:rsidRPr="00202138">
        <w:rPr>
          <w:lang w:val="fr-CH"/>
        </w:rPr>
        <w:t>'</w:t>
      </w:r>
      <w:r w:rsidR="008D7706" w:rsidRPr="00202138">
        <w:rPr>
          <w:lang w:val="fr-CH"/>
        </w:rPr>
        <w:t>évaluer le cahier des charges de façon régulière pour identifier les incidences</w:t>
      </w:r>
      <w:r w:rsidR="00500A3B" w:rsidRPr="00202138">
        <w:rPr>
          <w:lang w:val="fr-CH"/>
        </w:rPr>
        <w:t xml:space="preserve"> que pourrait avoir </w:t>
      </w:r>
      <w:r w:rsidR="008D7706" w:rsidRPr="00202138">
        <w:rPr>
          <w:lang w:val="fr-CH"/>
        </w:rPr>
        <w:t>l</w:t>
      </w:r>
      <w:r w:rsidR="00F5358C" w:rsidRPr="00202138">
        <w:rPr>
          <w:lang w:val="fr-CH"/>
        </w:rPr>
        <w:t>'</w:t>
      </w:r>
      <w:r w:rsidR="008D7706" w:rsidRPr="00202138">
        <w:rPr>
          <w:lang w:val="fr-CH"/>
        </w:rPr>
        <w:t>exécution du projet dans le futur.</w:t>
      </w:r>
    </w:p>
    <w:p w14:paraId="4F5E5718" w14:textId="2E8373C3" w:rsidR="00272C64" w:rsidRPr="00202138" w:rsidRDefault="00272C64" w:rsidP="00930348">
      <w:pPr>
        <w:rPr>
          <w:lang w:val="fr-CH"/>
        </w:rPr>
      </w:pPr>
      <w:r w:rsidRPr="00202138">
        <w:rPr>
          <w:lang w:val="fr-CH"/>
        </w:rPr>
        <w:t>À sa dernière réunion, le Groupe MSAG a procédé à une analyse détaillé</w:t>
      </w:r>
      <w:r w:rsidR="00CE556D">
        <w:rPr>
          <w:lang w:val="fr-CH"/>
        </w:rPr>
        <w:t>e</w:t>
      </w:r>
      <w:r w:rsidRPr="00202138">
        <w:rPr>
          <w:lang w:val="fr-CH"/>
        </w:rPr>
        <w:t xml:space="preserve"> du registre des risques</w:t>
      </w:r>
      <w:r w:rsidR="00652C3F" w:rsidRPr="00202138">
        <w:rPr>
          <w:lang w:val="fr-CH"/>
        </w:rPr>
        <w:t xml:space="preserve">. L'objectif était de formuler des conseils à l'intention du secrétariat concernant les éventuels risques perçus par les membres non pris en compte dans le registre et de </w:t>
      </w:r>
      <w:r w:rsidR="00CE556D">
        <w:rPr>
          <w:lang w:val="fr-CH"/>
        </w:rPr>
        <w:t>demander</w:t>
      </w:r>
      <w:r w:rsidR="00652C3F" w:rsidRPr="00202138">
        <w:rPr>
          <w:lang w:val="fr-CH"/>
        </w:rPr>
        <w:t xml:space="preserve"> des clarification</w:t>
      </w:r>
      <w:r w:rsidR="00CE556D">
        <w:rPr>
          <w:lang w:val="fr-CH"/>
        </w:rPr>
        <w:t>s</w:t>
      </w:r>
      <w:r w:rsidR="00652C3F" w:rsidRPr="00202138">
        <w:rPr>
          <w:lang w:val="fr-CH"/>
        </w:rPr>
        <w:t xml:space="preserve"> concernant les risques </w:t>
      </w:r>
      <w:r w:rsidR="00CE556D">
        <w:rPr>
          <w:lang w:val="fr-CH"/>
        </w:rPr>
        <w:t>inscrits dans le registre</w:t>
      </w:r>
      <w:r w:rsidR="00652C3F" w:rsidRPr="00202138">
        <w:rPr>
          <w:lang w:val="fr-CH"/>
        </w:rPr>
        <w:t>.</w:t>
      </w:r>
    </w:p>
    <w:p w14:paraId="094D9840" w14:textId="67C749B7" w:rsidR="00C02BDA" w:rsidRPr="00202138" w:rsidRDefault="00CF42A7" w:rsidP="00930348">
      <w:pPr>
        <w:rPr>
          <w:lang w:val="fr-CH"/>
        </w:rPr>
      </w:pPr>
      <w:r w:rsidRPr="00202138">
        <w:rPr>
          <w:lang w:val="fr-CH"/>
        </w:rPr>
        <w:t xml:space="preserve">Il a été noté que le registre des risques est indépendant du Fonds pour le registre des risques, qui a été créé et approuvé </w:t>
      </w:r>
      <w:r w:rsidR="005C1837">
        <w:rPr>
          <w:lang w:val="fr-CH"/>
        </w:rPr>
        <w:t>au titre de la</w:t>
      </w:r>
      <w:r w:rsidRPr="00202138">
        <w:rPr>
          <w:lang w:val="fr-CH"/>
        </w:rPr>
        <w:t xml:space="preserve"> Décision 619</w:t>
      </w:r>
      <w:r w:rsidR="005C1837">
        <w:rPr>
          <w:lang w:val="fr-CH"/>
        </w:rPr>
        <w:t xml:space="preserve"> du Conseil</w:t>
      </w:r>
      <w:r w:rsidRPr="00202138">
        <w:rPr>
          <w:lang w:val="fr-CH"/>
        </w:rPr>
        <w:t xml:space="preserve">. Bien que les estimations des coûts varient à mesure que le projet </w:t>
      </w:r>
      <w:r w:rsidR="005C1837">
        <w:rPr>
          <w:lang w:val="fr-CH"/>
        </w:rPr>
        <w:t>avance</w:t>
      </w:r>
      <w:r w:rsidRPr="00202138">
        <w:rPr>
          <w:lang w:val="fr-CH"/>
        </w:rPr>
        <w:t xml:space="preserve">, le pourcentage d'incertitude liée à la conception du projet a été défini et approuvé par le Conseil </w:t>
      </w:r>
      <w:r w:rsidR="005801F6" w:rsidRPr="00202138">
        <w:rPr>
          <w:lang w:val="fr-CH"/>
        </w:rPr>
        <w:t xml:space="preserve">lors de ses travaux </w:t>
      </w:r>
      <w:r w:rsidR="005C1837">
        <w:rPr>
          <w:lang w:val="fr-CH"/>
        </w:rPr>
        <w:t>en vue de l'adoption de</w:t>
      </w:r>
      <w:r w:rsidR="005801F6" w:rsidRPr="00202138">
        <w:rPr>
          <w:lang w:val="fr-CH"/>
        </w:rPr>
        <w:t xml:space="preserve"> la Décision 619 et est conforme aux niveaux de référence utilisés pour les projets de construction analogues.</w:t>
      </w:r>
    </w:p>
    <w:p w14:paraId="1E66183F" w14:textId="3F98B44C" w:rsidR="00BC01BB" w:rsidRPr="00202138" w:rsidRDefault="004F0023" w:rsidP="00930348">
      <w:pPr>
        <w:rPr>
          <w:lang w:val="fr-CH"/>
        </w:rPr>
      </w:pPr>
      <w:r w:rsidRPr="00202138">
        <w:rPr>
          <w:lang w:val="fr-CH"/>
        </w:rPr>
        <w:t xml:space="preserve">Au 31 décembre 2019, le Fonds pour le registre des risques </w:t>
      </w:r>
      <w:r w:rsidR="005E26AC" w:rsidRPr="00202138">
        <w:rPr>
          <w:lang w:val="fr-CH"/>
        </w:rPr>
        <w:t>s'établissait à</w:t>
      </w:r>
      <w:r w:rsidRPr="00202138">
        <w:rPr>
          <w:lang w:val="fr-CH"/>
        </w:rPr>
        <w:t xml:space="preserve"> 1 425 000 CHF.</w:t>
      </w:r>
    </w:p>
    <w:p w14:paraId="405CD3D6" w14:textId="609EF871" w:rsidR="005801F6" w:rsidRPr="00202138" w:rsidRDefault="005801F6" w:rsidP="00930348">
      <w:pPr>
        <w:rPr>
          <w:lang w:val="fr-CH"/>
        </w:rPr>
      </w:pPr>
      <w:r w:rsidRPr="00202138">
        <w:rPr>
          <w:lang w:val="fr-CH"/>
        </w:rPr>
        <w:lastRenderedPageBreak/>
        <w:t>À mesure que le projet avance et que le détail des coûts gagne en précision, le risque d'erreur diminue et le coût associ</w:t>
      </w:r>
      <w:r w:rsidR="005C1837">
        <w:rPr>
          <w:lang w:val="fr-CH"/>
        </w:rPr>
        <w:t>é</w:t>
      </w:r>
      <w:r w:rsidRPr="00202138">
        <w:rPr>
          <w:lang w:val="fr-CH"/>
        </w:rPr>
        <w:t xml:space="preserve"> baisse automatiquement. L'objectif </w:t>
      </w:r>
      <w:r w:rsidR="005C1837">
        <w:rPr>
          <w:lang w:val="fr-CH"/>
        </w:rPr>
        <w:t>de</w:t>
      </w:r>
      <w:r w:rsidRPr="00202138">
        <w:rPr>
          <w:lang w:val="fr-CH"/>
        </w:rPr>
        <w:t xml:space="preserve"> la tenue du registre </w:t>
      </w:r>
      <w:r w:rsidR="005C1837">
        <w:rPr>
          <w:lang w:val="fr-CH"/>
        </w:rPr>
        <w:t>n'</w:t>
      </w:r>
      <w:r w:rsidRPr="00202138">
        <w:rPr>
          <w:lang w:val="fr-CH"/>
        </w:rPr>
        <w:t>est par conséquent pas de réviser le budget à chaque fois, mais plutôt de dispose</w:t>
      </w:r>
      <w:r w:rsidR="005C1837">
        <w:rPr>
          <w:lang w:val="fr-CH"/>
        </w:rPr>
        <w:t>r</w:t>
      </w:r>
      <w:r w:rsidRPr="00202138">
        <w:rPr>
          <w:lang w:val="fr-CH"/>
        </w:rPr>
        <w:t xml:space="preserve"> d'un mécanisme pour vérifier si le montant estimé est suffisant si les risques les plus probables venaient à se concrétiser.</w:t>
      </w:r>
    </w:p>
    <w:p w14:paraId="1A30458F" w14:textId="7900921B" w:rsidR="005801F6" w:rsidRPr="00202138" w:rsidRDefault="005801F6" w:rsidP="00930348">
      <w:pPr>
        <w:rPr>
          <w:lang w:val="fr-CH"/>
        </w:rPr>
      </w:pPr>
      <w:r w:rsidRPr="00202138">
        <w:rPr>
          <w:lang w:val="fr-CH"/>
        </w:rPr>
        <w:t xml:space="preserve">À mesure que le projet progresse, certains risques sont supprimés du tableau (par exemple, l'approbation du Projet par le Conseil l'année dernière, qui a eu lieu à la session additionnelle de septembre). De même, de nouveaux risques peuvent être ajoutés, comme la pandémie de </w:t>
      </w:r>
      <w:r w:rsidR="008B5EF0" w:rsidRPr="00202138">
        <w:rPr>
          <w:lang w:val="fr-CH"/>
        </w:rPr>
        <w:t>COVID</w:t>
      </w:r>
      <w:r w:rsidR="008B5EF0">
        <w:rPr>
          <w:lang w:val="fr-CH"/>
        </w:rPr>
        <w:noBreakHyphen/>
      </w:r>
      <w:r w:rsidRPr="00202138">
        <w:rPr>
          <w:lang w:val="fr-CH"/>
        </w:rPr>
        <w:t xml:space="preserve">19 et ses répercussions. On trouvera dans </w:t>
      </w:r>
      <w:r w:rsidRPr="008A4EF0">
        <w:rPr>
          <w:lang w:val="fr-CH"/>
        </w:rPr>
        <w:t>l'</w:t>
      </w:r>
      <w:hyperlink w:anchor="AnnexeA" w:history="1">
        <w:r w:rsidRPr="008A4EF0">
          <w:rPr>
            <w:rStyle w:val="Hyperlink"/>
            <w:lang w:val="fr-CH"/>
          </w:rPr>
          <w:t>Annexe A</w:t>
        </w:r>
      </w:hyperlink>
      <w:r w:rsidRPr="00202138">
        <w:rPr>
          <w:lang w:val="fr-CH"/>
        </w:rPr>
        <w:t xml:space="preserve"> un extrait comprenant les risques les plus importants et leurs coûts estimés. </w:t>
      </w:r>
    </w:p>
    <w:p w14:paraId="257FBBA9" w14:textId="77777777" w:rsidR="00C02BDA" w:rsidRPr="00202138" w:rsidRDefault="00C02BDA" w:rsidP="00930348">
      <w:pPr>
        <w:pStyle w:val="FigureNo"/>
        <w:rPr>
          <w:lang w:val="fr-CH"/>
        </w:rPr>
      </w:pPr>
      <w:r w:rsidRPr="0056156E">
        <w:t>Figure</w:t>
      </w:r>
    </w:p>
    <w:p w14:paraId="60498E91" w14:textId="67E31585" w:rsidR="00C02BDA" w:rsidRPr="00202138" w:rsidRDefault="00C02BDA" w:rsidP="00930348">
      <w:pPr>
        <w:pStyle w:val="Figuretitle"/>
        <w:spacing w:after="0"/>
        <w:rPr>
          <w:lang w:val="fr-CH"/>
        </w:rPr>
      </w:pPr>
      <w:r w:rsidRPr="00202138">
        <w:rPr>
          <w:lang w:val="fr-CH"/>
        </w:rPr>
        <w:t xml:space="preserve">10 </w:t>
      </w:r>
      <w:r w:rsidR="00A66C72">
        <w:rPr>
          <w:lang w:val="fr-CH"/>
        </w:rPr>
        <w:t>risques les plus importants et Fonds pour le registre des risques</w:t>
      </w:r>
    </w:p>
    <w:p w14:paraId="47468A12" w14:textId="29E761BA" w:rsidR="00C02BDA" w:rsidRPr="00202138" w:rsidRDefault="0079500F" w:rsidP="00930348">
      <w:pPr>
        <w:jc w:val="center"/>
        <w:rPr>
          <w:lang w:val="fr-CH"/>
        </w:rPr>
      </w:pPr>
      <w:r>
        <w:rPr>
          <w:noProof/>
          <w:lang w:val="fr-CH"/>
        </w:rPr>
        <mc:AlternateContent>
          <mc:Choice Requires="wps">
            <w:drawing>
              <wp:anchor distT="0" distB="0" distL="114300" distR="114300" simplePos="0" relativeHeight="251663360" behindDoc="0" locked="0" layoutInCell="1" allowOverlap="1" wp14:anchorId="4FE25D6C" wp14:editId="3EDB1ECA">
                <wp:simplePos x="0" y="0"/>
                <wp:positionH relativeFrom="margin">
                  <wp:posOffset>625427</wp:posOffset>
                </wp:positionH>
                <wp:positionV relativeFrom="paragraph">
                  <wp:posOffset>4066432</wp:posOffset>
                </wp:positionV>
                <wp:extent cx="5805577" cy="344326"/>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5805577" cy="344326"/>
                        </a:xfrm>
                        <a:prstGeom prst="rect">
                          <a:avLst/>
                        </a:prstGeom>
                        <a:solidFill>
                          <a:schemeClr val="lt1"/>
                        </a:solidFill>
                        <a:ln w="6350">
                          <a:noFill/>
                        </a:ln>
                      </wps:spPr>
                      <wps:txbx>
                        <w:txbxContent>
                          <w:p w14:paraId="32F404DB" w14:textId="77777777" w:rsidR="0079500F" w:rsidRPr="0079500F" w:rsidRDefault="004D2FFB" w:rsidP="0079500F">
                            <w:pPr>
                              <w:spacing w:before="80"/>
                              <w:rPr>
                                <w:sz w:val="16"/>
                                <w:szCs w:val="16"/>
                              </w:rPr>
                            </w:pPr>
                            <w:r w:rsidRPr="0079500F">
                              <w:rPr>
                                <w:sz w:val="16"/>
                                <w:szCs w:val="16"/>
                              </w:rPr>
                              <w:t>Juillet</w:t>
                            </w:r>
                          </w:p>
                          <w:p w14:paraId="2D89D6F1" w14:textId="77777777" w:rsidR="0079500F" w:rsidRPr="0079500F" w:rsidRDefault="004D2FFB" w:rsidP="0079500F">
                            <w:pPr>
                              <w:spacing w:before="80"/>
                              <w:rPr>
                                <w:sz w:val="16"/>
                                <w:szCs w:val="16"/>
                              </w:rPr>
                            </w:pPr>
                            <w:r w:rsidRPr="0079500F">
                              <w:rPr>
                                <w:sz w:val="16"/>
                                <w:szCs w:val="16"/>
                              </w:rPr>
                              <w:t>Août</w:t>
                            </w:r>
                          </w:p>
                          <w:p w14:paraId="73F37EFD" w14:textId="65168F71" w:rsidR="004D2FFB" w:rsidRPr="0079500F" w:rsidRDefault="004D2FFB" w:rsidP="0079500F">
                            <w:pPr>
                              <w:spacing w:before="80"/>
                              <w:rPr>
                                <w:sz w:val="16"/>
                                <w:szCs w:val="16"/>
                              </w:rPr>
                            </w:pPr>
                            <w:r w:rsidRPr="0079500F">
                              <w:rPr>
                                <w:sz w:val="16"/>
                                <w:szCs w:val="16"/>
                              </w:rPr>
                              <w:t>Sept.</w:t>
                            </w:r>
                          </w:p>
                          <w:p w14:paraId="08312041" w14:textId="77777777" w:rsidR="0079500F" w:rsidRPr="0079500F" w:rsidRDefault="004D2FFB" w:rsidP="0079500F">
                            <w:pPr>
                              <w:spacing w:before="80"/>
                              <w:rPr>
                                <w:sz w:val="16"/>
                                <w:szCs w:val="16"/>
                              </w:rPr>
                            </w:pPr>
                            <w:r w:rsidRPr="0079500F">
                              <w:rPr>
                                <w:sz w:val="16"/>
                                <w:szCs w:val="16"/>
                              </w:rPr>
                              <w:t>Oct.</w:t>
                            </w:r>
                          </w:p>
                          <w:p w14:paraId="52ED0329" w14:textId="77777777" w:rsidR="0079500F" w:rsidRPr="0079500F" w:rsidRDefault="004D2FFB" w:rsidP="0079500F">
                            <w:pPr>
                              <w:spacing w:before="80"/>
                              <w:rPr>
                                <w:sz w:val="16"/>
                                <w:szCs w:val="16"/>
                              </w:rPr>
                            </w:pPr>
                            <w:r w:rsidRPr="0079500F">
                              <w:rPr>
                                <w:sz w:val="16"/>
                                <w:szCs w:val="16"/>
                              </w:rPr>
                              <w:t>Nov.</w:t>
                            </w:r>
                          </w:p>
                          <w:p w14:paraId="327FE4E9" w14:textId="5D09902D" w:rsidR="004D2FFB" w:rsidRPr="0079500F" w:rsidRDefault="004D2FFB" w:rsidP="0079500F">
                            <w:pPr>
                              <w:spacing w:before="80"/>
                              <w:rPr>
                                <w:sz w:val="16"/>
                                <w:szCs w:val="16"/>
                              </w:rPr>
                            </w:pPr>
                            <w:r w:rsidRPr="0079500F">
                              <w:rPr>
                                <w:sz w:val="16"/>
                                <w:szCs w:val="16"/>
                              </w:rPr>
                              <w:t>Déc.</w:t>
                            </w:r>
                          </w:p>
                          <w:p w14:paraId="4D140D88" w14:textId="77777777" w:rsidR="0079500F" w:rsidRPr="0079500F" w:rsidRDefault="004D2FFB" w:rsidP="0079500F">
                            <w:pPr>
                              <w:rPr>
                                <w:sz w:val="16"/>
                                <w:szCs w:val="16"/>
                              </w:rPr>
                            </w:pPr>
                            <w:r w:rsidRPr="0079500F">
                              <w:rPr>
                                <w:sz w:val="16"/>
                                <w:szCs w:val="16"/>
                              </w:rPr>
                              <w:t>Jan.</w:t>
                            </w:r>
                          </w:p>
                          <w:p w14:paraId="37BAEC8A" w14:textId="77777777" w:rsidR="0079500F" w:rsidRPr="0079500F" w:rsidRDefault="004D2FFB" w:rsidP="0079500F">
                            <w:pPr>
                              <w:spacing w:before="80"/>
                              <w:rPr>
                                <w:sz w:val="16"/>
                                <w:szCs w:val="16"/>
                              </w:rPr>
                            </w:pPr>
                            <w:r w:rsidRPr="0079500F">
                              <w:rPr>
                                <w:sz w:val="16"/>
                                <w:szCs w:val="16"/>
                              </w:rPr>
                              <w:t>Févr.</w:t>
                            </w:r>
                          </w:p>
                          <w:p w14:paraId="7F162926" w14:textId="77777777" w:rsidR="0079500F" w:rsidRPr="0079500F" w:rsidRDefault="004D2FFB" w:rsidP="0079500F">
                            <w:pPr>
                              <w:spacing w:before="80"/>
                              <w:rPr>
                                <w:sz w:val="16"/>
                                <w:szCs w:val="16"/>
                              </w:rPr>
                            </w:pPr>
                            <w:r w:rsidRPr="0079500F">
                              <w:rPr>
                                <w:sz w:val="16"/>
                                <w:szCs w:val="16"/>
                              </w:rPr>
                              <w:t>Mars</w:t>
                            </w:r>
                          </w:p>
                          <w:p w14:paraId="70A0D60A" w14:textId="77777777" w:rsidR="0079500F" w:rsidRPr="0079500F" w:rsidRDefault="004D2FFB" w:rsidP="0079500F">
                            <w:pPr>
                              <w:spacing w:before="80"/>
                              <w:rPr>
                                <w:sz w:val="16"/>
                                <w:szCs w:val="16"/>
                              </w:rPr>
                            </w:pPr>
                            <w:r w:rsidRPr="0079500F">
                              <w:rPr>
                                <w:sz w:val="16"/>
                                <w:szCs w:val="16"/>
                              </w:rPr>
                              <w:t>Avril</w:t>
                            </w:r>
                          </w:p>
                          <w:p w14:paraId="60B070D3" w14:textId="77777777" w:rsidR="0079500F" w:rsidRPr="0079500F" w:rsidRDefault="004D2FFB" w:rsidP="0079500F">
                            <w:pPr>
                              <w:spacing w:before="80"/>
                              <w:rPr>
                                <w:sz w:val="16"/>
                                <w:szCs w:val="16"/>
                              </w:rPr>
                            </w:pPr>
                            <w:r w:rsidRPr="0079500F">
                              <w:rPr>
                                <w:sz w:val="16"/>
                                <w:szCs w:val="16"/>
                              </w:rPr>
                              <w:t>Mai</w:t>
                            </w:r>
                          </w:p>
                          <w:p w14:paraId="30CB1297" w14:textId="6AD0A0A9" w:rsidR="004D2FFB" w:rsidRPr="0079500F" w:rsidRDefault="004D2FFB" w:rsidP="0079500F">
                            <w:pPr>
                              <w:rPr>
                                <w:sz w:val="16"/>
                                <w:szCs w:val="16"/>
                              </w:rPr>
                            </w:pPr>
                            <w:r w:rsidRPr="0079500F">
                              <w:rPr>
                                <w:sz w:val="16"/>
                                <w:szCs w:val="16"/>
                              </w:rPr>
                              <w:t>Juin</w:t>
                            </w:r>
                          </w:p>
                          <w:p w14:paraId="698F4204" w14:textId="77777777" w:rsidR="0079500F" w:rsidRPr="00A427A3" w:rsidRDefault="004D2FFB" w:rsidP="0079500F">
                            <w:pPr>
                              <w:spacing w:before="80"/>
                              <w:rPr>
                                <w:sz w:val="16"/>
                                <w:szCs w:val="16"/>
                                <w:lang w:val="en-GB"/>
                              </w:rPr>
                            </w:pPr>
                            <w:r w:rsidRPr="00A427A3">
                              <w:rPr>
                                <w:sz w:val="16"/>
                                <w:szCs w:val="16"/>
                                <w:lang w:val="en-GB"/>
                              </w:rPr>
                              <w:t>Juil</w:t>
                            </w:r>
                            <w:r w:rsidR="0079500F" w:rsidRPr="00A427A3">
                              <w:rPr>
                                <w:sz w:val="16"/>
                                <w:szCs w:val="16"/>
                                <w:lang w:val="en-GB"/>
                              </w:rPr>
                              <w:t>.</w:t>
                            </w:r>
                          </w:p>
                          <w:p w14:paraId="42DD02B1" w14:textId="77777777" w:rsidR="0079500F" w:rsidRPr="00A427A3" w:rsidRDefault="004D2FFB" w:rsidP="0079500F">
                            <w:pPr>
                              <w:rPr>
                                <w:sz w:val="16"/>
                                <w:szCs w:val="16"/>
                                <w:lang w:val="en-GB"/>
                              </w:rPr>
                            </w:pPr>
                            <w:r w:rsidRPr="00A427A3">
                              <w:rPr>
                                <w:sz w:val="16"/>
                                <w:szCs w:val="16"/>
                                <w:lang w:val="en-GB"/>
                              </w:rPr>
                              <w:t>Août</w:t>
                            </w:r>
                          </w:p>
                          <w:p w14:paraId="5C5B5CB2" w14:textId="77777777" w:rsidR="0079500F" w:rsidRPr="00A427A3" w:rsidRDefault="004D2FFB" w:rsidP="0079500F">
                            <w:pPr>
                              <w:spacing w:before="80"/>
                              <w:rPr>
                                <w:sz w:val="16"/>
                                <w:szCs w:val="16"/>
                                <w:lang w:val="en-GB"/>
                              </w:rPr>
                            </w:pPr>
                            <w:r w:rsidRPr="00A427A3">
                              <w:rPr>
                                <w:sz w:val="16"/>
                                <w:szCs w:val="16"/>
                                <w:lang w:val="en-GB"/>
                              </w:rPr>
                              <w:t>Sept.</w:t>
                            </w:r>
                          </w:p>
                          <w:p w14:paraId="67D599D3" w14:textId="77777777" w:rsidR="0079500F" w:rsidRPr="00A427A3" w:rsidRDefault="004D2FFB" w:rsidP="0079500F">
                            <w:pPr>
                              <w:spacing w:before="80"/>
                              <w:rPr>
                                <w:sz w:val="16"/>
                                <w:szCs w:val="16"/>
                                <w:lang w:val="en-GB"/>
                              </w:rPr>
                            </w:pPr>
                            <w:r w:rsidRPr="00A427A3">
                              <w:rPr>
                                <w:sz w:val="16"/>
                                <w:szCs w:val="16"/>
                                <w:lang w:val="en-GB"/>
                              </w:rPr>
                              <w:t>Oct.</w:t>
                            </w:r>
                          </w:p>
                          <w:p w14:paraId="6237F2EE" w14:textId="77777777" w:rsidR="0079500F" w:rsidRPr="00A427A3" w:rsidRDefault="004D2FFB" w:rsidP="0079500F">
                            <w:pPr>
                              <w:spacing w:before="80"/>
                              <w:rPr>
                                <w:sz w:val="16"/>
                                <w:szCs w:val="16"/>
                                <w:lang w:val="en-GB"/>
                              </w:rPr>
                            </w:pPr>
                            <w:r w:rsidRPr="00A427A3">
                              <w:rPr>
                                <w:sz w:val="16"/>
                                <w:szCs w:val="16"/>
                                <w:lang w:val="en-GB"/>
                              </w:rPr>
                              <w:t>Nov.</w:t>
                            </w:r>
                          </w:p>
                          <w:p w14:paraId="40B7558F" w14:textId="77777777" w:rsidR="0079500F" w:rsidRPr="00A427A3" w:rsidRDefault="004D2FFB" w:rsidP="0079500F">
                            <w:pPr>
                              <w:spacing w:before="80"/>
                              <w:rPr>
                                <w:sz w:val="16"/>
                                <w:szCs w:val="16"/>
                                <w:lang w:val="en-GB"/>
                              </w:rPr>
                            </w:pPr>
                            <w:r w:rsidRPr="00A427A3">
                              <w:rPr>
                                <w:sz w:val="16"/>
                                <w:szCs w:val="16"/>
                                <w:lang w:val="en-GB"/>
                              </w:rPr>
                              <w:t>Déc</w:t>
                            </w:r>
                            <w:r w:rsidRPr="00A427A3">
                              <w:rPr>
                                <w:sz w:val="28"/>
                                <w:szCs w:val="28"/>
                                <w:lang w:val="en-GB"/>
                              </w:rPr>
                              <w:t>.</w:t>
                            </w:r>
                          </w:p>
                          <w:p w14:paraId="210128E3" w14:textId="2FB83320" w:rsidR="0079500F" w:rsidRPr="00A427A3" w:rsidRDefault="0079500F" w:rsidP="0079500F">
                            <w:pPr>
                              <w:spacing w:before="80"/>
                              <w:rPr>
                                <w:sz w:val="16"/>
                                <w:szCs w:val="16"/>
                                <w:lang w:val="en-GB"/>
                              </w:rPr>
                            </w:pPr>
                            <w:r w:rsidRPr="00A427A3">
                              <w:rPr>
                                <w:sz w:val="16"/>
                                <w:szCs w:val="16"/>
                                <w:lang w:val="en-GB"/>
                              </w:rPr>
                              <w:t>Jan.</w:t>
                            </w:r>
                          </w:p>
                          <w:p w14:paraId="75CEA2D3" w14:textId="77777777" w:rsidR="0079500F" w:rsidRPr="0079500F" w:rsidRDefault="004D2FFB" w:rsidP="0079500F">
                            <w:pPr>
                              <w:spacing w:before="80"/>
                              <w:rPr>
                                <w:sz w:val="16"/>
                                <w:szCs w:val="16"/>
                              </w:rPr>
                            </w:pPr>
                            <w:r w:rsidRPr="0079500F">
                              <w:rPr>
                                <w:sz w:val="16"/>
                                <w:szCs w:val="16"/>
                              </w:rPr>
                              <w:t>Févr.</w:t>
                            </w:r>
                          </w:p>
                          <w:p w14:paraId="3D01D868" w14:textId="77777777" w:rsidR="0079500F" w:rsidRDefault="004D2FFB" w:rsidP="0079500F">
                            <w:pPr>
                              <w:spacing w:before="80"/>
                              <w:rPr>
                                <w:sz w:val="16"/>
                                <w:szCs w:val="16"/>
                              </w:rPr>
                            </w:pPr>
                            <w:r w:rsidRPr="0079500F">
                              <w:rPr>
                                <w:sz w:val="16"/>
                                <w:szCs w:val="16"/>
                              </w:rPr>
                              <w:t>Mars</w:t>
                            </w:r>
                          </w:p>
                          <w:p w14:paraId="25F0D0DD" w14:textId="77777777" w:rsidR="0079500F" w:rsidRDefault="004D2FFB" w:rsidP="0079500F">
                            <w:pPr>
                              <w:rPr>
                                <w:sz w:val="16"/>
                                <w:szCs w:val="16"/>
                              </w:rPr>
                            </w:pPr>
                            <w:r w:rsidRPr="0079500F">
                              <w:rPr>
                                <w:sz w:val="16"/>
                                <w:szCs w:val="16"/>
                              </w:rPr>
                              <w:t>Avril</w:t>
                            </w:r>
                          </w:p>
                          <w:p w14:paraId="19CDCE0B" w14:textId="77777777" w:rsidR="0079500F" w:rsidRDefault="004D2FFB" w:rsidP="0079500F">
                            <w:pPr>
                              <w:spacing w:before="80"/>
                              <w:rPr>
                                <w:sz w:val="16"/>
                                <w:szCs w:val="16"/>
                              </w:rPr>
                            </w:pPr>
                            <w:r w:rsidRPr="0079500F">
                              <w:rPr>
                                <w:sz w:val="16"/>
                                <w:szCs w:val="16"/>
                              </w:rPr>
                              <w:t>Mai</w:t>
                            </w:r>
                          </w:p>
                          <w:p w14:paraId="527D5B11" w14:textId="77777777" w:rsidR="0079500F" w:rsidRDefault="004D2FFB" w:rsidP="0079500F">
                            <w:pPr>
                              <w:spacing w:before="80"/>
                              <w:rPr>
                                <w:sz w:val="16"/>
                                <w:szCs w:val="16"/>
                              </w:rPr>
                            </w:pPr>
                            <w:r w:rsidRPr="0079500F">
                              <w:rPr>
                                <w:sz w:val="16"/>
                                <w:szCs w:val="16"/>
                              </w:rPr>
                              <w:t>Juin</w:t>
                            </w:r>
                          </w:p>
                          <w:p w14:paraId="354E9009" w14:textId="77777777" w:rsidR="0079500F" w:rsidRDefault="004D2FFB" w:rsidP="0079500F">
                            <w:pPr>
                              <w:rPr>
                                <w:sz w:val="16"/>
                                <w:szCs w:val="16"/>
                              </w:rPr>
                            </w:pPr>
                            <w:r w:rsidRPr="0079500F">
                              <w:rPr>
                                <w:sz w:val="16"/>
                                <w:szCs w:val="16"/>
                              </w:rPr>
                              <w:t>J</w:t>
                            </w:r>
                            <w:r w:rsidR="0079500F" w:rsidRPr="0079500F">
                              <w:rPr>
                                <w:sz w:val="16"/>
                                <w:szCs w:val="16"/>
                              </w:rPr>
                              <w:t>uil.</w:t>
                            </w:r>
                          </w:p>
                          <w:p w14:paraId="66EC4F29" w14:textId="77777777" w:rsidR="0079500F" w:rsidRDefault="0079500F" w:rsidP="0079500F">
                            <w:pPr>
                              <w:spacing w:before="80"/>
                              <w:rPr>
                                <w:sz w:val="16"/>
                                <w:szCs w:val="16"/>
                              </w:rPr>
                            </w:pPr>
                            <w:r w:rsidRPr="0079500F">
                              <w:rPr>
                                <w:sz w:val="16"/>
                                <w:szCs w:val="16"/>
                              </w:rPr>
                              <w:t>Août</w:t>
                            </w:r>
                          </w:p>
                          <w:p w14:paraId="3EAFDB00" w14:textId="77777777" w:rsidR="0079500F" w:rsidRDefault="0079500F" w:rsidP="0079500F">
                            <w:pPr>
                              <w:rPr>
                                <w:sz w:val="16"/>
                                <w:szCs w:val="16"/>
                              </w:rPr>
                            </w:pPr>
                            <w:r w:rsidRPr="0079500F">
                              <w:rPr>
                                <w:sz w:val="16"/>
                                <w:szCs w:val="16"/>
                              </w:rPr>
                              <w:t>Sept.</w:t>
                            </w:r>
                          </w:p>
                          <w:p w14:paraId="4DFD1B25" w14:textId="77777777" w:rsidR="0079500F" w:rsidRDefault="0079500F" w:rsidP="0079500F">
                            <w:pPr>
                              <w:spacing w:before="80"/>
                              <w:rPr>
                                <w:sz w:val="16"/>
                                <w:szCs w:val="16"/>
                              </w:rPr>
                            </w:pPr>
                            <w:r w:rsidRPr="0079500F">
                              <w:rPr>
                                <w:sz w:val="16"/>
                                <w:szCs w:val="16"/>
                              </w:rPr>
                              <w:t>Oct.-</w:t>
                            </w:r>
                          </w:p>
                          <w:p w14:paraId="0D023F92" w14:textId="49654B0D" w:rsidR="0079500F" w:rsidRPr="0079500F" w:rsidRDefault="0079500F" w:rsidP="0079500F">
                            <w:pPr>
                              <w:spacing w:before="80"/>
                              <w:rPr>
                                <w:sz w:val="16"/>
                                <w:szCs w:val="16"/>
                              </w:rPr>
                            </w:pPr>
                            <w:r w:rsidRPr="0079500F">
                              <w:rPr>
                                <w:sz w:val="16"/>
                                <w:szCs w:val="16"/>
                              </w:rPr>
                              <w:t>Nov.</w:t>
                            </w:r>
                          </w:p>
                          <w:p w14:paraId="002AFE85" w14:textId="02074A17" w:rsidR="004D2FFB" w:rsidRPr="0079500F" w:rsidRDefault="0079500F" w:rsidP="0079500F">
                            <w:pPr>
                              <w:spacing w:before="80"/>
                              <w:rPr>
                                <w:sz w:val="16"/>
                                <w:szCs w:val="16"/>
                              </w:rPr>
                            </w:pPr>
                            <w:r w:rsidRPr="0079500F">
                              <w:rPr>
                                <w:sz w:val="16"/>
                                <w:szCs w:val="16"/>
                              </w:rPr>
                              <w:t>Déc.</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25D6C" id="_x0000_t202" coordsize="21600,21600" o:spt="202" path="m,l,21600r21600,l21600,xe">
                <v:stroke joinstyle="miter"/>
                <v:path gradientshapeok="t" o:connecttype="rect"/>
              </v:shapetype>
              <v:shape id="Text Box 7" o:spid="_x0000_s1026" type="#_x0000_t202" style="position:absolute;left:0;text-align:left;margin-left:49.25pt;margin-top:320.2pt;width:457.15pt;height:2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" fillcolor="white [3201]" stroked="f" strokeweight=".5pt">
                <v:textbox style="layout-flow:vertical;mso-layout-flow-alt:bottom-to-top">
                  <w:txbxContent>
                    <w:p w14:paraId="32F404DB" w14:textId="77777777" w:rsidR="0079500F" w:rsidRPr="0079500F" w:rsidRDefault="004D2FFB" w:rsidP="0079500F">
                      <w:pPr>
                        <w:spacing w:before="80"/>
                        <w:rPr>
                          <w:sz w:val="16"/>
                          <w:szCs w:val="16"/>
                        </w:rPr>
                      </w:pPr>
                      <w:r w:rsidRPr="0079500F">
                        <w:rPr>
                          <w:sz w:val="16"/>
                          <w:szCs w:val="16"/>
                        </w:rPr>
                        <w:t>Juillet</w:t>
                      </w:r>
                    </w:p>
                    <w:p w14:paraId="2D89D6F1" w14:textId="77777777" w:rsidR="0079500F" w:rsidRPr="0079500F" w:rsidRDefault="004D2FFB" w:rsidP="0079500F">
                      <w:pPr>
                        <w:spacing w:before="80"/>
                        <w:rPr>
                          <w:sz w:val="16"/>
                          <w:szCs w:val="16"/>
                        </w:rPr>
                      </w:pPr>
                      <w:r w:rsidRPr="0079500F">
                        <w:rPr>
                          <w:sz w:val="16"/>
                          <w:szCs w:val="16"/>
                        </w:rPr>
                        <w:t>Août</w:t>
                      </w:r>
                    </w:p>
                    <w:p w14:paraId="73F37EFD" w14:textId="65168F71" w:rsidR="004D2FFB" w:rsidRPr="0079500F" w:rsidRDefault="004D2FFB" w:rsidP="0079500F">
                      <w:pPr>
                        <w:spacing w:before="80"/>
                        <w:rPr>
                          <w:sz w:val="16"/>
                          <w:szCs w:val="16"/>
                        </w:rPr>
                      </w:pPr>
                      <w:r w:rsidRPr="0079500F">
                        <w:rPr>
                          <w:sz w:val="16"/>
                          <w:szCs w:val="16"/>
                        </w:rPr>
                        <w:t>Sept.</w:t>
                      </w:r>
                    </w:p>
                    <w:p w14:paraId="08312041" w14:textId="77777777" w:rsidR="0079500F" w:rsidRPr="0079500F" w:rsidRDefault="004D2FFB" w:rsidP="0079500F">
                      <w:pPr>
                        <w:spacing w:before="80"/>
                        <w:rPr>
                          <w:sz w:val="16"/>
                          <w:szCs w:val="16"/>
                        </w:rPr>
                      </w:pPr>
                      <w:r w:rsidRPr="0079500F">
                        <w:rPr>
                          <w:sz w:val="16"/>
                          <w:szCs w:val="16"/>
                        </w:rPr>
                        <w:t>Oct.</w:t>
                      </w:r>
                    </w:p>
                    <w:p w14:paraId="52ED0329" w14:textId="77777777" w:rsidR="0079500F" w:rsidRPr="0079500F" w:rsidRDefault="004D2FFB" w:rsidP="0079500F">
                      <w:pPr>
                        <w:spacing w:before="80"/>
                        <w:rPr>
                          <w:sz w:val="16"/>
                          <w:szCs w:val="16"/>
                        </w:rPr>
                      </w:pPr>
                      <w:r w:rsidRPr="0079500F">
                        <w:rPr>
                          <w:sz w:val="16"/>
                          <w:szCs w:val="16"/>
                        </w:rPr>
                        <w:t>Nov.</w:t>
                      </w:r>
                    </w:p>
                    <w:p w14:paraId="327FE4E9" w14:textId="5D09902D" w:rsidR="004D2FFB" w:rsidRPr="0079500F" w:rsidRDefault="004D2FFB" w:rsidP="0079500F">
                      <w:pPr>
                        <w:spacing w:before="80"/>
                        <w:rPr>
                          <w:sz w:val="16"/>
                          <w:szCs w:val="16"/>
                        </w:rPr>
                      </w:pPr>
                      <w:r w:rsidRPr="0079500F">
                        <w:rPr>
                          <w:sz w:val="16"/>
                          <w:szCs w:val="16"/>
                        </w:rPr>
                        <w:t>Déc.</w:t>
                      </w:r>
                    </w:p>
                    <w:p w14:paraId="4D140D88" w14:textId="77777777" w:rsidR="0079500F" w:rsidRPr="0079500F" w:rsidRDefault="004D2FFB" w:rsidP="0079500F">
                      <w:pPr>
                        <w:rPr>
                          <w:sz w:val="16"/>
                          <w:szCs w:val="16"/>
                        </w:rPr>
                      </w:pPr>
                      <w:r w:rsidRPr="0079500F">
                        <w:rPr>
                          <w:sz w:val="16"/>
                          <w:szCs w:val="16"/>
                        </w:rPr>
                        <w:t>Jan.</w:t>
                      </w:r>
                    </w:p>
                    <w:p w14:paraId="37BAEC8A" w14:textId="77777777" w:rsidR="0079500F" w:rsidRPr="0079500F" w:rsidRDefault="004D2FFB" w:rsidP="0079500F">
                      <w:pPr>
                        <w:spacing w:before="80"/>
                        <w:rPr>
                          <w:sz w:val="16"/>
                          <w:szCs w:val="16"/>
                        </w:rPr>
                      </w:pPr>
                      <w:r w:rsidRPr="0079500F">
                        <w:rPr>
                          <w:sz w:val="16"/>
                          <w:szCs w:val="16"/>
                        </w:rPr>
                        <w:t>Févr.</w:t>
                      </w:r>
                    </w:p>
                    <w:p w14:paraId="7F162926" w14:textId="77777777" w:rsidR="0079500F" w:rsidRPr="0079500F" w:rsidRDefault="004D2FFB" w:rsidP="0079500F">
                      <w:pPr>
                        <w:spacing w:before="80"/>
                        <w:rPr>
                          <w:sz w:val="16"/>
                          <w:szCs w:val="16"/>
                        </w:rPr>
                      </w:pPr>
                      <w:r w:rsidRPr="0079500F">
                        <w:rPr>
                          <w:sz w:val="16"/>
                          <w:szCs w:val="16"/>
                        </w:rPr>
                        <w:t>Mars</w:t>
                      </w:r>
                    </w:p>
                    <w:p w14:paraId="70A0D60A" w14:textId="77777777" w:rsidR="0079500F" w:rsidRPr="0079500F" w:rsidRDefault="004D2FFB" w:rsidP="0079500F">
                      <w:pPr>
                        <w:spacing w:before="80"/>
                        <w:rPr>
                          <w:sz w:val="16"/>
                          <w:szCs w:val="16"/>
                        </w:rPr>
                      </w:pPr>
                      <w:r w:rsidRPr="0079500F">
                        <w:rPr>
                          <w:sz w:val="16"/>
                          <w:szCs w:val="16"/>
                        </w:rPr>
                        <w:t>Avril</w:t>
                      </w:r>
                    </w:p>
                    <w:p w14:paraId="60B070D3" w14:textId="77777777" w:rsidR="0079500F" w:rsidRPr="0079500F" w:rsidRDefault="004D2FFB" w:rsidP="0079500F">
                      <w:pPr>
                        <w:spacing w:before="80"/>
                        <w:rPr>
                          <w:sz w:val="16"/>
                          <w:szCs w:val="16"/>
                        </w:rPr>
                      </w:pPr>
                      <w:r w:rsidRPr="0079500F">
                        <w:rPr>
                          <w:sz w:val="16"/>
                          <w:szCs w:val="16"/>
                        </w:rPr>
                        <w:t>Mai</w:t>
                      </w:r>
                    </w:p>
                    <w:p w14:paraId="30CB1297" w14:textId="6AD0A0A9" w:rsidR="004D2FFB" w:rsidRPr="0079500F" w:rsidRDefault="004D2FFB" w:rsidP="0079500F">
                      <w:pPr>
                        <w:rPr>
                          <w:sz w:val="16"/>
                          <w:szCs w:val="16"/>
                        </w:rPr>
                      </w:pPr>
                      <w:r w:rsidRPr="0079500F">
                        <w:rPr>
                          <w:sz w:val="16"/>
                          <w:szCs w:val="16"/>
                        </w:rPr>
                        <w:t>Juin</w:t>
                      </w:r>
                    </w:p>
                    <w:p w14:paraId="698F4204" w14:textId="77777777" w:rsidR="0079500F" w:rsidRPr="00A427A3" w:rsidRDefault="004D2FFB" w:rsidP="0079500F">
                      <w:pPr>
                        <w:spacing w:before="80"/>
                        <w:rPr>
                          <w:sz w:val="16"/>
                          <w:szCs w:val="16"/>
                          <w:lang w:val="en-GB"/>
                        </w:rPr>
                      </w:pPr>
                      <w:r w:rsidRPr="00A427A3">
                        <w:rPr>
                          <w:sz w:val="16"/>
                          <w:szCs w:val="16"/>
                          <w:lang w:val="en-GB"/>
                        </w:rPr>
                        <w:t>Juil</w:t>
                      </w:r>
                      <w:r w:rsidR="0079500F" w:rsidRPr="00A427A3">
                        <w:rPr>
                          <w:sz w:val="16"/>
                          <w:szCs w:val="16"/>
                          <w:lang w:val="en-GB"/>
                        </w:rPr>
                        <w:t>.</w:t>
                      </w:r>
                    </w:p>
                    <w:p w14:paraId="42DD02B1" w14:textId="77777777" w:rsidR="0079500F" w:rsidRPr="00A427A3" w:rsidRDefault="004D2FFB" w:rsidP="0079500F">
                      <w:pPr>
                        <w:rPr>
                          <w:sz w:val="16"/>
                          <w:szCs w:val="16"/>
                          <w:lang w:val="en-GB"/>
                        </w:rPr>
                      </w:pPr>
                      <w:r w:rsidRPr="00A427A3">
                        <w:rPr>
                          <w:sz w:val="16"/>
                          <w:szCs w:val="16"/>
                          <w:lang w:val="en-GB"/>
                        </w:rPr>
                        <w:t>Août</w:t>
                      </w:r>
                    </w:p>
                    <w:p w14:paraId="5C5B5CB2" w14:textId="77777777" w:rsidR="0079500F" w:rsidRPr="00A427A3" w:rsidRDefault="004D2FFB" w:rsidP="0079500F">
                      <w:pPr>
                        <w:spacing w:before="80"/>
                        <w:rPr>
                          <w:sz w:val="16"/>
                          <w:szCs w:val="16"/>
                          <w:lang w:val="en-GB"/>
                        </w:rPr>
                      </w:pPr>
                      <w:r w:rsidRPr="00A427A3">
                        <w:rPr>
                          <w:sz w:val="16"/>
                          <w:szCs w:val="16"/>
                          <w:lang w:val="en-GB"/>
                        </w:rPr>
                        <w:t>Sept.</w:t>
                      </w:r>
                    </w:p>
                    <w:p w14:paraId="67D599D3" w14:textId="77777777" w:rsidR="0079500F" w:rsidRPr="00A427A3" w:rsidRDefault="004D2FFB" w:rsidP="0079500F">
                      <w:pPr>
                        <w:spacing w:before="80"/>
                        <w:rPr>
                          <w:sz w:val="16"/>
                          <w:szCs w:val="16"/>
                          <w:lang w:val="en-GB"/>
                        </w:rPr>
                      </w:pPr>
                      <w:r w:rsidRPr="00A427A3">
                        <w:rPr>
                          <w:sz w:val="16"/>
                          <w:szCs w:val="16"/>
                          <w:lang w:val="en-GB"/>
                        </w:rPr>
                        <w:t>Oct.</w:t>
                      </w:r>
                    </w:p>
                    <w:p w14:paraId="6237F2EE" w14:textId="77777777" w:rsidR="0079500F" w:rsidRPr="00A427A3" w:rsidRDefault="004D2FFB" w:rsidP="0079500F">
                      <w:pPr>
                        <w:spacing w:before="80"/>
                        <w:rPr>
                          <w:sz w:val="16"/>
                          <w:szCs w:val="16"/>
                          <w:lang w:val="en-GB"/>
                        </w:rPr>
                      </w:pPr>
                      <w:r w:rsidRPr="00A427A3">
                        <w:rPr>
                          <w:sz w:val="16"/>
                          <w:szCs w:val="16"/>
                          <w:lang w:val="en-GB"/>
                        </w:rPr>
                        <w:t>Nov.</w:t>
                      </w:r>
                    </w:p>
                    <w:p w14:paraId="40B7558F" w14:textId="77777777" w:rsidR="0079500F" w:rsidRPr="00A427A3" w:rsidRDefault="004D2FFB" w:rsidP="0079500F">
                      <w:pPr>
                        <w:spacing w:before="80"/>
                        <w:rPr>
                          <w:sz w:val="16"/>
                          <w:szCs w:val="16"/>
                          <w:lang w:val="en-GB"/>
                        </w:rPr>
                      </w:pPr>
                      <w:r w:rsidRPr="00A427A3">
                        <w:rPr>
                          <w:sz w:val="16"/>
                          <w:szCs w:val="16"/>
                          <w:lang w:val="en-GB"/>
                        </w:rPr>
                        <w:t>Déc</w:t>
                      </w:r>
                      <w:r w:rsidRPr="00A427A3">
                        <w:rPr>
                          <w:sz w:val="28"/>
                          <w:szCs w:val="28"/>
                          <w:lang w:val="en-GB"/>
                        </w:rPr>
                        <w:t>.</w:t>
                      </w:r>
                    </w:p>
                    <w:p w14:paraId="210128E3" w14:textId="2FB83320" w:rsidR="0079500F" w:rsidRPr="00A427A3" w:rsidRDefault="0079500F" w:rsidP="0079500F">
                      <w:pPr>
                        <w:spacing w:before="80"/>
                        <w:rPr>
                          <w:sz w:val="16"/>
                          <w:szCs w:val="16"/>
                          <w:lang w:val="en-GB"/>
                        </w:rPr>
                      </w:pPr>
                      <w:r w:rsidRPr="00A427A3">
                        <w:rPr>
                          <w:sz w:val="16"/>
                          <w:szCs w:val="16"/>
                          <w:lang w:val="en-GB"/>
                        </w:rPr>
                        <w:t>Jan.</w:t>
                      </w:r>
                    </w:p>
                    <w:p w14:paraId="75CEA2D3" w14:textId="77777777" w:rsidR="0079500F" w:rsidRPr="0079500F" w:rsidRDefault="004D2FFB" w:rsidP="0079500F">
                      <w:pPr>
                        <w:spacing w:before="80"/>
                        <w:rPr>
                          <w:sz w:val="16"/>
                          <w:szCs w:val="16"/>
                        </w:rPr>
                      </w:pPr>
                      <w:r w:rsidRPr="0079500F">
                        <w:rPr>
                          <w:sz w:val="16"/>
                          <w:szCs w:val="16"/>
                        </w:rPr>
                        <w:t>Févr.</w:t>
                      </w:r>
                    </w:p>
                    <w:p w14:paraId="3D01D868" w14:textId="77777777" w:rsidR="0079500F" w:rsidRDefault="004D2FFB" w:rsidP="0079500F">
                      <w:pPr>
                        <w:spacing w:before="80"/>
                        <w:rPr>
                          <w:sz w:val="16"/>
                          <w:szCs w:val="16"/>
                        </w:rPr>
                      </w:pPr>
                      <w:r w:rsidRPr="0079500F">
                        <w:rPr>
                          <w:sz w:val="16"/>
                          <w:szCs w:val="16"/>
                        </w:rPr>
                        <w:t>Mars</w:t>
                      </w:r>
                    </w:p>
                    <w:p w14:paraId="25F0D0DD" w14:textId="77777777" w:rsidR="0079500F" w:rsidRDefault="004D2FFB" w:rsidP="0079500F">
                      <w:pPr>
                        <w:rPr>
                          <w:sz w:val="16"/>
                          <w:szCs w:val="16"/>
                        </w:rPr>
                      </w:pPr>
                      <w:r w:rsidRPr="0079500F">
                        <w:rPr>
                          <w:sz w:val="16"/>
                          <w:szCs w:val="16"/>
                        </w:rPr>
                        <w:t>Avril</w:t>
                      </w:r>
                    </w:p>
                    <w:p w14:paraId="19CDCE0B" w14:textId="77777777" w:rsidR="0079500F" w:rsidRDefault="004D2FFB" w:rsidP="0079500F">
                      <w:pPr>
                        <w:spacing w:before="80"/>
                        <w:rPr>
                          <w:sz w:val="16"/>
                          <w:szCs w:val="16"/>
                        </w:rPr>
                      </w:pPr>
                      <w:r w:rsidRPr="0079500F">
                        <w:rPr>
                          <w:sz w:val="16"/>
                          <w:szCs w:val="16"/>
                        </w:rPr>
                        <w:t>Mai</w:t>
                      </w:r>
                    </w:p>
                    <w:p w14:paraId="527D5B11" w14:textId="77777777" w:rsidR="0079500F" w:rsidRDefault="004D2FFB" w:rsidP="0079500F">
                      <w:pPr>
                        <w:spacing w:before="80"/>
                        <w:rPr>
                          <w:sz w:val="16"/>
                          <w:szCs w:val="16"/>
                        </w:rPr>
                      </w:pPr>
                      <w:r w:rsidRPr="0079500F">
                        <w:rPr>
                          <w:sz w:val="16"/>
                          <w:szCs w:val="16"/>
                        </w:rPr>
                        <w:t>Juin</w:t>
                      </w:r>
                    </w:p>
                    <w:p w14:paraId="354E9009" w14:textId="77777777" w:rsidR="0079500F" w:rsidRDefault="004D2FFB" w:rsidP="0079500F">
                      <w:pPr>
                        <w:rPr>
                          <w:sz w:val="16"/>
                          <w:szCs w:val="16"/>
                        </w:rPr>
                      </w:pPr>
                      <w:r w:rsidRPr="0079500F">
                        <w:rPr>
                          <w:sz w:val="16"/>
                          <w:szCs w:val="16"/>
                        </w:rPr>
                        <w:t>J</w:t>
                      </w:r>
                      <w:r w:rsidR="0079500F" w:rsidRPr="0079500F">
                        <w:rPr>
                          <w:sz w:val="16"/>
                          <w:szCs w:val="16"/>
                        </w:rPr>
                        <w:t>uil.</w:t>
                      </w:r>
                    </w:p>
                    <w:p w14:paraId="66EC4F29" w14:textId="77777777" w:rsidR="0079500F" w:rsidRDefault="0079500F" w:rsidP="0079500F">
                      <w:pPr>
                        <w:spacing w:before="80"/>
                        <w:rPr>
                          <w:sz w:val="16"/>
                          <w:szCs w:val="16"/>
                        </w:rPr>
                      </w:pPr>
                      <w:r w:rsidRPr="0079500F">
                        <w:rPr>
                          <w:sz w:val="16"/>
                          <w:szCs w:val="16"/>
                        </w:rPr>
                        <w:t>Août</w:t>
                      </w:r>
                    </w:p>
                    <w:p w14:paraId="3EAFDB00" w14:textId="77777777" w:rsidR="0079500F" w:rsidRDefault="0079500F" w:rsidP="0079500F">
                      <w:pPr>
                        <w:rPr>
                          <w:sz w:val="16"/>
                          <w:szCs w:val="16"/>
                        </w:rPr>
                      </w:pPr>
                      <w:r w:rsidRPr="0079500F">
                        <w:rPr>
                          <w:sz w:val="16"/>
                          <w:szCs w:val="16"/>
                        </w:rPr>
                        <w:t>Sept.</w:t>
                      </w:r>
                    </w:p>
                    <w:p w14:paraId="4DFD1B25" w14:textId="77777777" w:rsidR="0079500F" w:rsidRDefault="0079500F" w:rsidP="0079500F">
                      <w:pPr>
                        <w:spacing w:before="80"/>
                        <w:rPr>
                          <w:sz w:val="16"/>
                          <w:szCs w:val="16"/>
                        </w:rPr>
                      </w:pPr>
                      <w:r w:rsidRPr="0079500F">
                        <w:rPr>
                          <w:sz w:val="16"/>
                          <w:szCs w:val="16"/>
                        </w:rPr>
                        <w:t>Oct.-</w:t>
                      </w:r>
                    </w:p>
                    <w:p w14:paraId="0D023F92" w14:textId="49654B0D" w:rsidR="0079500F" w:rsidRPr="0079500F" w:rsidRDefault="0079500F" w:rsidP="0079500F">
                      <w:pPr>
                        <w:spacing w:before="80"/>
                        <w:rPr>
                          <w:sz w:val="16"/>
                          <w:szCs w:val="16"/>
                        </w:rPr>
                      </w:pPr>
                      <w:r w:rsidRPr="0079500F">
                        <w:rPr>
                          <w:sz w:val="16"/>
                          <w:szCs w:val="16"/>
                        </w:rPr>
                        <w:t>Nov.</w:t>
                      </w:r>
                    </w:p>
                    <w:p w14:paraId="002AFE85" w14:textId="02074A17" w:rsidR="004D2FFB" w:rsidRPr="0079500F" w:rsidRDefault="0079500F" w:rsidP="0079500F">
                      <w:pPr>
                        <w:spacing w:before="80"/>
                        <w:rPr>
                          <w:sz w:val="16"/>
                          <w:szCs w:val="16"/>
                        </w:rPr>
                      </w:pPr>
                      <w:r w:rsidRPr="0079500F">
                        <w:rPr>
                          <w:sz w:val="16"/>
                          <w:szCs w:val="16"/>
                        </w:rPr>
                        <w:t>Déc.</w:t>
                      </w:r>
                    </w:p>
                  </w:txbxContent>
                </v:textbox>
                <w10:wrap anchorx="margin"/>
              </v:shape>
            </w:pict>
          </mc:Fallback>
        </mc:AlternateContent>
      </w:r>
      <w:r w:rsidR="002D3FC8">
        <w:rPr>
          <w:noProof/>
          <w:lang w:val="fr-CH"/>
        </w:rPr>
        <mc:AlternateContent>
          <mc:Choice Requires="wps">
            <w:drawing>
              <wp:anchor distT="0" distB="0" distL="114300" distR="114300" simplePos="0" relativeHeight="251662336" behindDoc="0" locked="0" layoutInCell="1" allowOverlap="1" wp14:anchorId="6986CF79" wp14:editId="7C7E71E3">
                <wp:simplePos x="0" y="0"/>
                <wp:positionH relativeFrom="column">
                  <wp:posOffset>3937635</wp:posOffset>
                </wp:positionH>
                <wp:positionV relativeFrom="paragraph">
                  <wp:posOffset>4369015</wp:posOffset>
                </wp:positionV>
                <wp:extent cx="2286000" cy="223556"/>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2286000" cy="223556"/>
                        </a:xfrm>
                        <a:prstGeom prst="rect">
                          <a:avLst/>
                        </a:prstGeom>
                        <a:solidFill>
                          <a:schemeClr val="lt1"/>
                        </a:solidFill>
                        <a:ln w="6350">
                          <a:noFill/>
                        </a:ln>
                      </wps:spPr>
                      <wps:txbx>
                        <w:txbxContent>
                          <w:p w14:paraId="2942EE05" w14:textId="7D9C3661" w:rsidR="002D3FC8" w:rsidRPr="002D3FC8" w:rsidRDefault="002D3FC8" w:rsidP="002D3FC8">
                            <w:pPr>
                              <w:spacing w:before="0"/>
                              <w:rPr>
                                <w:sz w:val="14"/>
                                <w:szCs w:val="14"/>
                              </w:rPr>
                            </w:pPr>
                            <w:r w:rsidRPr="002D3FC8">
                              <w:rPr>
                                <w:sz w:val="14"/>
                                <w:szCs w:val="14"/>
                                <w:lang w:val="fr-CH"/>
                              </w:rPr>
                              <w:t>Valeur estimée des principaux risques (en milliers CHF)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86CF79" id="Text Box 6" o:spid="_x0000_s1027" type="#_x0000_t202" style="position:absolute;left:0;text-align:left;margin-left:310.05pt;margin-top:344pt;width:180pt;height:1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" fillcolor="white [3201]" stroked="f" strokeweight=".5pt">
                <v:textbox>
                  <w:txbxContent>
                    <w:p w14:paraId="2942EE05" w14:textId="7D9C3661" w:rsidR="002D3FC8" w:rsidRPr="002D3FC8" w:rsidRDefault="002D3FC8" w:rsidP="002D3FC8">
                      <w:pPr>
                        <w:spacing w:before="0"/>
                        <w:rPr>
                          <w:sz w:val="14"/>
                          <w:szCs w:val="14"/>
                        </w:rPr>
                      </w:pPr>
                      <w:r w:rsidRPr="002D3FC8">
                        <w:rPr>
                          <w:sz w:val="14"/>
                          <w:szCs w:val="14"/>
                          <w:lang w:val="fr-CH"/>
                        </w:rPr>
                        <w:t>Valeur estimée des principaux risques (en milliers CHF)</w:t>
                      </w:r>
                    </w:p>
                  </w:txbxContent>
                </v:textbox>
              </v:shape>
            </w:pict>
          </mc:Fallback>
        </mc:AlternateContent>
      </w:r>
      <w:r w:rsidR="002D3FC8">
        <w:rPr>
          <w:noProof/>
          <w:lang w:val="fr-CH"/>
        </w:rPr>
        <mc:AlternateContent>
          <mc:Choice Requires="wps">
            <w:drawing>
              <wp:anchor distT="0" distB="0" distL="114300" distR="114300" simplePos="0" relativeHeight="251661312" behindDoc="0" locked="0" layoutInCell="1" allowOverlap="1" wp14:anchorId="5B8D2866" wp14:editId="7533F502">
                <wp:simplePos x="0" y="0"/>
                <wp:positionH relativeFrom="column">
                  <wp:posOffset>1634921</wp:posOffset>
                </wp:positionH>
                <wp:positionV relativeFrom="paragraph">
                  <wp:posOffset>4377437</wp:posOffset>
                </wp:positionV>
                <wp:extent cx="2061714" cy="215469"/>
                <wp:effectExtent l="0" t="0" r="0" b="0"/>
                <wp:wrapNone/>
                <wp:docPr id="5" name="Text Box 5"/>
                <wp:cNvGraphicFramePr/>
                <a:graphic xmlns:a="http://schemas.openxmlformats.org/drawingml/2006/main">
                  <a:graphicData uri="http://schemas.microsoft.com/office/word/2010/wordprocessingShape">
                    <wps:wsp>
                      <wps:cNvSpPr txBox="1"/>
                      <wps:spPr>
                        <a:xfrm>
                          <a:off x="0" y="0"/>
                          <a:ext cx="2061714" cy="215469"/>
                        </a:xfrm>
                        <a:prstGeom prst="rect">
                          <a:avLst/>
                        </a:prstGeom>
                        <a:solidFill>
                          <a:schemeClr val="lt1"/>
                        </a:solidFill>
                        <a:ln w="6350">
                          <a:noFill/>
                        </a:ln>
                      </wps:spPr>
                      <wps:txbx>
                        <w:txbxContent>
                          <w:p w14:paraId="55D94DFD" w14:textId="27638236" w:rsidR="002D3FC8" w:rsidRPr="002D3FC8" w:rsidRDefault="002D3FC8" w:rsidP="002D3FC8">
                            <w:pPr>
                              <w:spacing w:before="0"/>
                              <w:rPr>
                                <w:sz w:val="14"/>
                                <w:szCs w:val="14"/>
                              </w:rPr>
                            </w:pPr>
                            <w:r w:rsidRPr="002D3FC8">
                              <w:rPr>
                                <w:sz w:val="14"/>
                                <w:szCs w:val="14"/>
                                <w:lang w:val="fr-CH"/>
                              </w:rPr>
                              <w:t>Fonds pour le registre des risques (en milliers CHF)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D2866" id="Text Box 5" o:spid="_x0000_s1028" type="#_x0000_t202" style="position:absolute;left:0;text-align:left;margin-left:128.75pt;margin-top:344.7pt;width:162.35pt;height:16.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" fillcolor="white [3201]" stroked="f" strokeweight=".5pt">
                <v:textbox>
                  <w:txbxContent>
                    <w:p w14:paraId="55D94DFD" w14:textId="27638236" w:rsidR="002D3FC8" w:rsidRPr="002D3FC8" w:rsidRDefault="002D3FC8" w:rsidP="002D3FC8">
                      <w:pPr>
                        <w:spacing w:before="0"/>
                        <w:rPr>
                          <w:sz w:val="14"/>
                          <w:szCs w:val="14"/>
                        </w:rPr>
                      </w:pPr>
                      <w:r w:rsidRPr="002D3FC8">
                        <w:rPr>
                          <w:sz w:val="14"/>
                          <w:szCs w:val="14"/>
                          <w:lang w:val="fr-CH"/>
                        </w:rPr>
                        <w:t>Fonds pour le registre des risques (en milliers CHF)</w:t>
                      </w:r>
                    </w:p>
                  </w:txbxContent>
                </v:textbox>
              </v:shape>
            </w:pict>
          </mc:Fallback>
        </mc:AlternateContent>
      </w:r>
      <w:r w:rsidR="002D3FC8">
        <w:rPr>
          <w:noProof/>
          <w:lang w:val="fr-CH"/>
        </w:rPr>
        <mc:AlternateContent>
          <mc:Choice Requires="wps">
            <w:drawing>
              <wp:anchor distT="0" distB="0" distL="114300" distR="114300" simplePos="0" relativeHeight="251660288" behindDoc="0" locked="0" layoutInCell="1" allowOverlap="1" wp14:anchorId="71A7EE0D" wp14:editId="36E601FC">
                <wp:simplePos x="0" y="0"/>
                <wp:positionH relativeFrom="column">
                  <wp:posOffset>-107411</wp:posOffset>
                </wp:positionH>
                <wp:positionV relativeFrom="paragraph">
                  <wp:posOffset>81280</wp:posOffset>
                </wp:positionV>
                <wp:extent cx="414068" cy="4485280"/>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414068" cy="4485280"/>
                        </a:xfrm>
                        <a:prstGeom prst="rect">
                          <a:avLst/>
                        </a:prstGeom>
                        <a:solidFill>
                          <a:schemeClr val="lt1"/>
                        </a:solidFill>
                        <a:ln w="6350">
                          <a:noFill/>
                        </a:ln>
                      </wps:spPr>
                      <wps:txbx>
                        <w:txbxContent>
                          <w:p w14:paraId="64E5EA0D" w14:textId="0B3A87E7" w:rsidR="00495873" w:rsidRPr="002D3FC8" w:rsidRDefault="00495873" w:rsidP="003573B5">
                            <w:pPr>
                              <w:spacing w:before="0"/>
                              <w:jc w:val="center"/>
                              <w:rPr>
                                <w:sz w:val="14"/>
                                <w:szCs w:val="14"/>
                              </w:rPr>
                            </w:pPr>
                            <w:r w:rsidRPr="002D3FC8">
                              <w:rPr>
                                <w:sz w:val="14"/>
                                <w:szCs w:val="14"/>
                                <w:lang w:val="fr-CH"/>
                              </w:rPr>
                              <w:t xml:space="preserve">Axe de lecture pour la courbe concernant la réserve du Fonds pour le registre des risques, </w:t>
                            </w:r>
                            <w:r w:rsidR="003573B5">
                              <w:rPr>
                                <w:sz w:val="14"/>
                                <w:szCs w:val="14"/>
                                <w:lang w:val="fr-CH"/>
                              </w:rPr>
                              <w:br/>
                            </w:r>
                            <w:r w:rsidRPr="002D3FC8">
                              <w:rPr>
                                <w:sz w:val="14"/>
                                <w:szCs w:val="14"/>
                                <w:lang w:val="fr-CH"/>
                              </w:rPr>
                              <w:t xml:space="preserve">Valeur estimée des </w:t>
                            </w:r>
                            <w:r w:rsidR="003573B5">
                              <w:rPr>
                                <w:sz w:val="14"/>
                                <w:szCs w:val="14"/>
                                <w:lang w:val="fr-CH"/>
                              </w:rPr>
                              <w:t xml:space="preserve"> </w:t>
                            </w:r>
                            <w:r w:rsidRPr="002D3FC8">
                              <w:rPr>
                                <w:sz w:val="14"/>
                                <w:szCs w:val="14"/>
                                <w:lang w:val="fr-CH"/>
                              </w:rPr>
                              <w:t>principaux risques (en milliers CHF)</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EE0D" id="Text Box 4" o:spid="_x0000_s1029" type="#_x0000_t202" style="position:absolute;left:0;text-align:left;margin-left:-8.45pt;margin-top:6.4pt;width:32.6pt;height:3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" fillcolor="white [3201]" stroked="f" strokeweight=".5pt">
                <v:textbox style="layout-flow:vertical;mso-layout-flow-alt:bottom-to-top">
                  <w:txbxContent>
                    <w:p w14:paraId="64E5EA0D" w14:textId="0B3A87E7" w:rsidR="00495873" w:rsidRPr="002D3FC8" w:rsidRDefault="00495873" w:rsidP="003573B5">
                      <w:pPr>
                        <w:spacing w:before="0"/>
                        <w:jc w:val="center"/>
                        <w:rPr>
                          <w:sz w:val="14"/>
                          <w:szCs w:val="14"/>
                        </w:rPr>
                      </w:pPr>
                      <w:r w:rsidRPr="002D3FC8">
                        <w:rPr>
                          <w:sz w:val="14"/>
                          <w:szCs w:val="14"/>
                          <w:lang w:val="fr-CH"/>
                        </w:rPr>
                        <w:t xml:space="preserve">Axe de lecture pour la courbe concernant la réserve du Fonds pour le registre des risques, </w:t>
                      </w:r>
                      <w:r w:rsidR="003573B5">
                        <w:rPr>
                          <w:sz w:val="14"/>
                          <w:szCs w:val="14"/>
                          <w:lang w:val="fr-CH"/>
                        </w:rPr>
                        <w:br/>
                      </w:r>
                      <w:r w:rsidRPr="002D3FC8">
                        <w:rPr>
                          <w:sz w:val="14"/>
                          <w:szCs w:val="14"/>
                          <w:lang w:val="fr-CH"/>
                        </w:rPr>
                        <w:t xml:space="preserve">Valeur estimée des </w:t>
                      </w:r>
                      <w:r w:rsidR="003573B5">
                        <w:rPr>
                          <w:sz w:val="14"/>
                          <w:szCs w:val="14"/>
                          <w:lang w:val="fr-CH"/>
                        </w:rPr>
                        <w:t xml:space="preserve"> </w:t>
                      </w:r>
                      <w:r w:rsidRPr="002D3FC8">
                        <w:rPr>
                          <w:sz w:val="14"/>
                          <w:szCs w:val="14"/>
                          <w:lang w:val="fr-CH"/>
                        </w:rPr>
                        <w:t>principaux risques (en milliers CHF)</w:t>
                      </w:r>
                    </w:p>
                  </w:txbxContent>
                </v:textbox>
              </v:shape>
            </w:pict>
          </mc:Fallback>
        </mc:AlternateContent>
      </w:r>
      <w:r w:rsidR="00495873">
        <w:rPr>
          <w:noProof/>
          <w:lang w:val="fr-CH"/>
        </w:rPr>
        <mc:AlternateContent>
          <mc:Choice Requires="wps">
            <w:drawing>
              <wp:anchor distT="0" distB="0" distL="114300" distR="114300" simplePos="0" relativeHeight="251659264" behindDoc="0" locked="0" layoutInCell="1" allowOverlap="1" wp14:anchorId="14FCC4AC" wp14:editId="07B1EEEA">
                <wp:simplePos x="0" y="0"/>
                <wp:positionH relativeFrom="column">
                  <wp:posOffset>2575201</wp:posOffset>
                </wp:positionH>
                <wp:positionV relativeFrom="paragraph">
                  <wp:posOffset>90110</wp:posOffset>
                </wp:positionV>
                <wp:extent cx="1915064" cy="327804"/>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915064" cy="327804"/>
                        </a:xfrm>
                        <a:prstGeom prst="rect">
                          <a:avLst/>
                        </a:prstGeom>
                        <a:solidFill>
                          <a:schemeClr val="lt1"/>
                        </a:solidFill>
                        <a:ln w="6350">
                          <a:noFill/>
                        </a:ln>
                      </wps:spPr>
                      <wps:txbx>
                        <w:txbxContent>
                          <w:p w14:paraId="108F3452" w14:textId="625E5F29" w:rsidR="00495873" w:rsidRPr="00495873" w:rsidRDefault="00495873">
                            <w:pPr>
                              <w:rPr>
                                <w:sz w:val="18"/>
                                <w:szCs w:val="18"/>
                              </w:rPr>
                            </w:pPr>
                            <w:r w:rsidRPr="00495873">
                              <w:rPr>
                                <w:sz w:val="18"/>
                                <w:szCs w:val="18"/>
                                <w:lang w:val="fr-CH"/>
                              </w:rPr>
                              <w:t>ÉVOLUTION DU COÛT DES RISQUES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FCC4AC" id="Text Box 3" o:spid="_x0000_s1030" type="#_x0000_t202" style="position:absolute;left:0;text-align:left;margin-left:202.75pt;margin-top:7.1pt;width:150.8pt;height:2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" fillcolor="white [3201]" stroked="f" strokeweight=".5pt">
                <v:textbox>
                  <w:txbxContent>
                    <w:p w14:paraId="108F3452" w14:textId="625E5F29" w:rsidR="00495873" w:rsidRPr="00495873" w:rsidRDefault="00495873">
                      <w:pPr>
                        <w:rPr>
                          <w:sz w:val="18"/>
                          <w:szCs w:val="18"/>
                        </w:rPr>
                      </w:pPr>
                      <w:r w:rsidRPr="00495873">
                        <w:rPr>
                          <w:sz w:val="18"/>
                          <w:szCs w:val="18"/>
                          <w:lang w:val="fr-CH"/>
                        </w:rPr>
                        <w:t>ÉVOLUTION DU COÛT DES RISQUES</w:t>
                      </w:r>
                    </w:p>
                  </w:txbxContent>
                </v:textbox>
              </v:shape>
            </w:pict>
          </mc:Fallback>
        </mc:AlternateContent>
      </w:r>
      <w:r w:rsidR="00C02BDA" w:rsidRPr="00202138">
        <w:rPr>
          <w:noProof/>
          <w:lang w:val="fr-CH"/>
        </w:rPr>
        <w:drawing>
          <wp:inline distT="0" distB="0" distL="0" distR="0" wp14:anchorId="43019BB2" wp14:editId="04981B59">
            <wp:extent cx="6849205" cy="459788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96866" cy="4697005"/>
                    </a:xfrm>
                    <a:prstGeom prst="rect">
                      <a:avLst/>
                    </a:prstGeom>
                    <a:noFill/>
                    <a:ln>
                      <a:noFill/>
                    </a:ln>
                  </pic:spPr>
                </pic:pic>
              </a:graphicData>
            </a:graphic>
          </wp:inline>
        </w:drawing>
      </w:r>
    </w:p>
    <w:p w14:paraId="09CA1063" w14:textId="485CDE1E" w:rsidR="00A5335D" w:rsidRPr="00202138" w:rsidRDefault="00C02BDA" w:rsidP="00930348">
      <w:pPr>
        <w:pStyle w:val="Note"/>
        <w:rPr>
          <w:lang w:val="fr-CH"/>
        </w:rPr>
      </w:pPr>
      <w:r w:rsidRPr="00202138">
        <w:rPr>
          <w:lang w:val="fr-CH"/>
        </w:rPr>
        <w:t xml:space="preserve">Note: </w:t>
      </w:r>
      <w:r w:rsidR="008B5EF0">
        <w:rPr>
          <w:lang w:val="fr-CH"/>
        </w:rPr>
        <w:t>l</w:t>
      </w:r>
      <w:r w:rsidR="00A5335D" w:rsidRPr="00202138">
        <w:rPr>
          <w:lang w:val="fr-CH"/>
        </w:rPr>
        <w:t>a probabilité que tous les risques présentés se produisent en même temps est irréaliste.</w:t>
      </w:r>
    </w:p>
    <w:p w14:paraId="4DBCF84F" w14:textId="79866258" w:rsidR="00BC01BB" w:rsidRPr="00202138" w:rsidRDefault="005C1D67" w:rsidP="00930348">
      <w:pPr>
        <w:rPr>
          <w:lang w:val="fr-CH"/>
        </w:rPr>
      </w:pPr>
      <w:r w:rsidRPr="00202138">
        <w:rPr>
          <w:lang w:val="fr-CH"/>
        </w:rPr>
        <w:t>La version actualisée du registre des risques</w:t>
      </w:r>
      <w:r w:rsidR="00B17F93">
        <w:rPr>
          <w:lang w:val="fr-CH"/>
        </w:rPr>
        <w:t xml:space="preserve"> complet</w:t>
      </w:r>
      <w:r w:rsidRPr="00202138">
        <w:rPr>
          <w:lang w:val="fr-CH"/>
        </w:rPr>
        <w:t xml:space="preserve"> est disponible </w:t>
      </w:r>
      <w:hyperlink r:id="rId25" w:history="1">
        <w:r w:rsidRPr="00202138">
          <w:rPr>
            <w:rStyle w:val="Hyperlink"/>
            <w:lang w:val="fr-CH"/>
          </w:rPr>
          <w:t>ici</w:t>
        </w:r>
      </w:hyperlink>
      <w:r w:rsidRPr="00202138">
        <w:rPr>
          <w:rStyle w:val="Hyperlink"/>
          <w:color w:val="auto"/>
          <w:u w:val="none"/>
          <w:lang w:val="fr-CH"/>
        </w:rPr>
        <w:t>.</w:t>
      </w:r>
    </w:p>
    <w:p w14:paraId="658EDD37" w14:textId="04FB43BD" w:rsidR="00BC01BB" w:rsidRPr="00202138" w:rsidRDefault="00281859" w:rsidP="00930348">
      <w:pPr>
        <w:pStyle w:val="Heading2"/>
        <w:rPr>
          <w:lang w:val="fr-CH"/>
        </w:rPr>
      </w:pPr>
      <w:r w:rsidRPr="00202138">
        <w:rPr>
          <w:lang w:val="fr-CH"/>
        </w:rPr>
        <w:t>3.</w:t>
      </w:r>
      <w:r w:rsidR="00C02BDA" w:rsidRPr="00202138">
        <w:rPr>
          <w:lang w:val="fr-CH"/>
        </w:rPr>
        <w:t>6</w:t>
      </w:r>
      <w:r w:rsidRPr="00202138">
        <w:rPr>
          <w:lang w:val="fr-CH"/>
        </w:rPr>
        <w:tab/>
      </w:r>
      <w:r w:rsidR="009D52C3" w:rsidRPr="00202138">
        <w:rPr>
          <w:lang w:val="fr-CH"/>
        </w:rPr>
        <w:t>Calendrier des dépenses ou outil de suivi des coûts</w:t>
      </w:r>
    </w:p>
    <w:p w14:paraId="34C9841D" w14:textId="2FF56CC9" w:rsidR="00BC01BB" w:rsidRPr="00202138" w:rsidRDefault="005076DE" w:rsidP="00930348">
      <w:pPr>
        <w:rPr>
          <w:lang w:val="fr-CH"/>
        </w:rPr>
      </w:pPr>
      <w:r w:rsidRPr="00202138">
        <w:rPr>
          <w:lang w:val="fr-CH"/>
        </w:rPr>
        <w:t>Depuis le début du projet, l</w:t>
      </w:r>
      <w:r w:rsidR="00F5358C" w:rsidRPr="00202138">
        <w:rPr>
          <w:lang w:val="fr-CH"/>
        </w:rPr>
        <w:t>'</w:t>
      </w:r>
      <w:r w:rsidRPr="00202138">
        <w:rPr>
          <w:lang w:val="fr-CH"/>
        </w:rPr>
        <w:t>état d</w:t>
      </w:r>
      <w:r w:rsidR="00F5358C" w:rsidRPr="00202138">
        <w:rPr>
          <w:lang w:val="fr-CH"/>
        </w:rPr>
        <w:t>'</w:t>
      </w:r>
      <w:r w:rsidRPr="00202138">
        <w:rPr>
          <w:lang w:val="fr-CH"/>
        </w:rPr>
        <w:t>avancement des tâches (</w:t>
      </w:r>
      <w:r w:rsidR="00B00021" w:rsidRPr="00202138">
        <w:rPr>
          <w:lang w:val="fr-CH"/>
        </w:rPr>
        <w:t>à savoir le volume de travail effectué</w:t>
      </w:r>
      <w:r w:rsidR="00BD7976" w:rsidRPr="00202138">
        <w:rPr>
          <w:lang w:val="fr-CH"/>
        </w:rPr>
        <w:t xml:space="preserve"> </w:t>
      </w:r>
      <w:r w:rsidRPr="00202138">
        <w:rPr>
          <w:lang w:val="fr-CH"/>
        </w:rPr>
        <w:t>au regard des tâche</w:t>
      </w:r>
      <w:r w:rsidR="005E26AC" w:rsidRPr="00202138">
        <w:rPr>
          <w:lang w:val="fr-CH"/>
        </w:rPr>
        <w:t>s</w:t>
      </w:r>
      <w:r w:rsidRPr="00202138">
        <w:rPr>
          <w:lang w:val="fr-CH"/>
        </w:rPr>
        <w:t xml:space="preserve"> ou le pourcentage de tâches</w:t>
      </w:r>
      <w:r w:rsidR="00BD7976" w:rsidRPr="00202138">
        <w:rPr>
          <w:lang w:val="fr-CH"/>
        </w:rPr>
        <w:t xml:space="preserve"> </w:t>
      </w:r>
      <w:r w:rsidRPr="00202138">
        <w:rPr>
          <w:lang w:val="fr-CH"/>
        </w:rPr>
        <w:t>menées à bien) fait l</w:t>
      </w:r>
      <w:r w:rsidR="00F5358C" w:rsidRPr="00202138">
        <w:rPr>
          <w:lang w:val="fr-CH"/>
        </w:rPr>
        <w:t>'</w:t>
      </w:r>
      <w:r w:rsidRPr="00202138">
        <w:rPr>
          <w:lang w:val="fr-CH"/>
        </w:rPr>
        <w:t>objet d</w:t>
      </w:r>
      <w:r w:rsidR="00F5358C" w:rsidRPr="00202138">
        <w:rPr>
          <w:lang w:val="fr-CH"/>
        </w:rPr>
        <w:t>'</w:t>
      </w:r>
      <w:r w:rsidRPr="00202138">
        <w:rPr>
          <w:lang w:val="fr-CH"/>
        </w:rPr>
        <w:t>un suivi et de mises à jour.</w:t>
      </w:r>
    </w:p>
    <w:p w14:paraId="31DE0D0D" w14:textId="1DC1119A" w:rsidR="00BC01BB" w:rsidRPr="00202138" w:rsidRDefault="00B00021" w:rsidP="00930348">
      <w:pPr>
        <w:rPr>
          <w:lang w:val="fr-CH"/>
        </w:rPr>
      </w:pPr>
      <w:r w:rsidRPr="00202138">
        <w:rPr>
          <w:lang w:val="fr-CH"/>
        </w:rPr>
        <w:lastRenderedPageBreak/>
        <w:t xml:space="preserve">On a créé un </w:t>
      </w:r>
      <w:r w:rsidR="008911D7" w:rsidRPr="00202138">
        <w:rPr>
          <w:lang w:val="fr-CH"/>
        </w:rPr>
        <w:t>outil de suivi des coûts</w:t>
      </w:r>
      <w:r w:rsidR="00BD7976" w:rsidRPr="00202138">
        <w:rPr>
          <w:lang w:val="fr-CH"/>
        </w:rPr>
        <w:t xml:space="preserve"> </w:t>
      </w:r>
      <w:r w:rsidR="008911D7" w:rsidRPr="00202138">
        <w:rPr>
          <w:lang w:val="fr-CH"/>
        </w:rPr>
        <w:t xml:space="preserve">associant les coûts réels des travaux </w:t>
      </w:r>
      <w:r w:rsidR="005E26AC" w:rsidRPr="00202138">
        <w:rPr>
          <w:lang w:val="fr-CH"/>
        </w:rPr>
        <w:t>déjà effectués</w:t>
      </w:r>
      <w:r w:rsidR="008911D7" w:rsidRPr="00202138">
        <w:rPr>
          <w:lang w:val="fr-CH"/>
        </w:rPr>
        <w:t xml:space="preserve"> et les coûts estimés des travaux restants,</w:t>
      </w:r>
      <w:r w:rsidRPr="00202138">
        <w:rPr>
          <w:lang w:val="fr-CH"/>
        </w:rPr>
        <w:t xml:space="preserve"> c</w:t>
      </w:r>
      <w:r w:rsidR="00F5358C" w:rsidRPr="00202138">
        <w:rPr>
          <w:lang w:val="fr-CH"/>
        </w:rPr>
        <w:t>'</w:t>
      </w:r>
      <w:r w:rsidRPr="00202138">
        <w:rPr>
          <w:lang w:val="fr-CH"/>
        </w:rPr>
        <w:t xml:space="preserve">est-à-dire </w:t>
      </w:r>
      <w:r w:rsidR="008911D7" w:rsidRPr="00202138">
        <w:rPr>
          <w:lang w:val="fr-CH"/>
        </w:rPr>
        <w:t xml:space="preserve">les coûts </w:t>
      </w:r>
      <w:r w:rsidR="00E97D3D" w:rsidRPr="00202138">
        <w:rPr>
          <w:lang w:val="fr-CH"/>
        </w:rPr>
        <w:t>planifiés</w:t>
      </w:r>
      <w:r w:rsidR="008911D7" w:rsidRPr="00202138">
        <w:rPr>
          <w:lang w:val="fr-CH"/>
        </w:rPr>
        <w:t xml:space="preserve"> par rapport aux coûts </w:t>
      </w:r>
      <w:r w:rsidR="00825FED" w:rsidRPr="00202138">
        <w:rPr>
          <w:lang w:val="fr-CH"/>
        </w:rPr>
        <w:t>estimés</w:t>
      </w:r>
      <w:r w:rsidR="008911D7" w:rsidRPr="00202138">
        <w:rPr>
          <w:lang w:val="fr-CH"/>
        </w:rPr>
        <w:t>.</w:t>
      </w:r>
      <w:r w:rsidR="005E26AC" w:rsidRPr="00202138">
        <w:rPr>
          <w:lang w:val="fr-CH"/>
        </w:rPr>
        <w:t xml:space="preserve"> Cet</w:t>
      </w:r>
      <w:r w:rsidR="00B05AB1" w:rsidRPr="00202138">
        <w:rPr>
          <w:lang w:val="fr-CH"/>
        </w:rPr>
        <w:t xml:space="preserve"> outil permet </w:t>
      </w:r>
      <w:r w:rsidR="005E26AC" w:rsidRPr="00202138">
        <w:rPr>
          <w:lang w:val="fr-CH"/>
        </w:rPr>
        <w:t xml:space="preserve">surtout </w:t>
      </w:r>
      <w:r w:rsidR="00B05AB1" w:rsidRPr="00202138">
        <w:rPr>
          <w:lang w:val="fr-CH"/>
        </w:rPr>
        <w:t xml:space="preserve">de calculer la différence entre les coûts </w:t>
      </w:r>
      <w:r w:rsidR="00E97D3D" w:rsidRPr="00202138">
        <w:rPr>
          <w:lang w:val="fr-CH"/>
        </w:rPr>
        <w:t>planifiés</w:t>
      </w:r>
      <w:r w:rsidR="00B05AB1" w:rsidRPr="00202138">
        <w:rPr>
          <w:lang w:val="fr-CH"/>
        </w:rPr>
        <w:t xml:space="preserve"> et les coûts de référence.</w:t>
      </w:r>
      <w:r w:rsidR="00281859" w:rsidRPr="00202138">
        <w:rPr>
          <w:lang w:val="fr-CH"/>
        </w:rPr>
        <w:t xml:space="preserve"> </w:t>
      </w:r>
      <w:r w:rsidR="00470E6E" w:rsidRPr="00202138">
        <w:rPr>
          <w:lang w:val="fr-CH"/>
        </w:rPr>
        <w:t xml:space="preserve">Cette différence, ou </w:t>
      </w:r>
      <w:r w:rsidRPr="00202138">
        <w:rPr>
          <w:lang w:val="fr-CH"/>
        </w:rPr>
        <w:t>écart entre les coûts</w:t>
      </w:r>
      <w:r w:rsidR="00470E6E" w:rsidRPr="00202138">
        <w:rPr>
          <w:lang w:val="fr-CH"/>
        </w:rPr>
        <w:t>, permet de vérifier si le projet respecte le budget prévu.</w:t>
      </w:r>
    </w:p>
    <w:p w14:paraId="5EA5F099" w14:textId="2254025C" w:rsidR="008A324B" w:rsidRPr="00202138" w:rsidRDefault="008A324B" w:rsidP="00930348">
      <w:pPr>
        <w:rPr>
          <w:lang w:val="fr-CH" w:eastAsia="zh-CN"/>
        </w:rPr>
      </w:pPr>
      <w:r w:rsidRPr="00202138">
        <w:rPr>
          <w:lang w:val="fr-CH" w:eastAsia="zh-CN"/>
        </w:rPr>
        <w:t xml:space="preserve">Le calendrier </w:t>
      </w:r>
      <w:r w:rsidR="00E9160F" w:rsidRPr="00202138">
        <w:rPr>
          <w:lang w:val="fr-CH" w:eastAsia="zh-CN"/>
        </w:rPr>
        <w:t>des dépenses</w:t>
      </w:r>
      <w:r w:rsidRPr="00202138">
        <w:rPr>
          <w:rStyle w:val="Hyperlink"/>
          <w:rFonts w:asciiTheme="minorHAnsi" w:hAnsiTheme="minorHAnsi" w:cstheme="minorHAnsi"/>
          <w:color w:val="auto"/>
          <w:szCs w:val="22"/>
          <w:u w:val="none"/>
          <w:lang w:val="fr-CH" w:eastAsia="zh-CN"/>
        </w:rPr>
        <w:t xml:space="preserve"> indique les dépenses prévues qui seront à la charge de l'UIT durant toute la période de conception et d'exécution des travaux pour le nouveau bâtiment, conformément à la répartition CFC demandée par le pays hôte.</w:t>
      </w:r>
      <w:r w:rsidRPr="00202138">
        <w:rPr>
          <w:lang w:val="fr-CH" w:eastAsia="zh-CN"/>
        </w:rPr>
        <w:t xml:space="preserve"> Les montants figurant dans le tableau sont, pour partie, des montants effectifs (de 2017 jusqu'à aujourd'hui). Cependant, les prix indiqués sont pour l'essentiel des montants estimés sur la base de la planification provisoire des études et des travaux communiquée par les concepteurs et dans le cadre du budget approuvé à la session additionnelle du Conseil tenue le 27 septembre 2019 à Genève.</w:t>
      </w:r>
    </w:p>
    <w:p w14:paraId="2EA76E43" w14:textId="0A8E602C" w:rsidR="00BC01BB" w:rsidRPr="00202138" w:rsidRDefault="007E05CB" w:rsidP="00930348">
      <w:pPr>
        <w:rPr>
          <w:lang w:val="fr-CH"/>
        </w:rPr>
      </w:pPr>
      <w:r w:rsidRPr="00202138">
        <w:rPr>
          <w:lang w:val="fr-CH"/>
        </w:rPr>
        <w:t xml:space="preserve">Le calendrier des dépenses est disponible </w:t>
      </w:r>
      <w:hyperlink r:id="rId26" w:history="1">
        <w:r w:rsidRPr="00202138">
          <w:rPr>
            <w:rStyle w:val="Hyperlink"/>
            <w:lang w:val="fr-CH"/>
          </w:rPr>
          <w:t>ici</w:t>
        </w:r>
      </w:hyperlink>
      <w:r w:rsidRPr="00202138">
        <w:rPr>
          <w:rStyle w:val="Hyperlink"/>
          <w:color w:val="auto"/>
          <w:u w:val="none"/>
          <w:lang w:val="fr-CH"/>
        </w:rPr>
        <w:t>.</w:t>
      </w:r>
    </w:p>
    <w:p w14:paraId="683DBF34" w14:textId="29DA9380" w:rsidR="00BC01BB" w:rsidRPr="00202138" w:rsidRDefault="00281859" w:rsidP="00930348">
      <w:pPr>
        <w:pStyle w:val="Heading2"/>
        <w:rPr>
          <w:lang w:val="fr-CH"/>
        </w:rPr>
      </w:pPr>
      <w:r w:rsidRPr="00202138">
        <w:rPr>
          <w:lang w:val="fr-CH"/>
        </w:rPr>
        <w:t>3.</w:t>
      </w:r>
      <w:r w:rsidR="008A324B" w:rsidRPr="00202138">
        <w:rPr>
          <w:lang w:val="fr-CH"/>
        </w:rPr>
        <w:t>7</w:t>
      </w:r>
      <w:r w:rsidRPr="00202138">
        <w:rPr>
          <w:lang w:val="fr-CH"/>
        </w:rPr>
        <w:tab/>
      </w:r>
      <w:r w:rsidR="004D2E40" w:rsidRPr="00202138">
        <w:rPr>
          <w:lang w:val="fr-CH"/>
        </w:rPr>
        <w:t>Calendrier préliminaire du projet</w:t>
      </w:r>
    </w:p>
    <w:p w14:paraId="23DD16F1" w14:textId="1D37D96F" w:rsidR="00BC01BB" w:rsidRPr="00202138" w:rsidRDefault="00F547EC" w:rsidP="00930348">
      <w:pPr>
        <w:rPr>
          <w:lang w:val="fr-CH"/>
        </w:rPr>
      </w:pPr>
      <w:r w:rsidRPr="00202138">
        <w:rPr>
          <w:lang w:val="fr-CH"/>
        </w:rPr>
        <w:t>Hill international,</w:t>
      </w:r>
      <w:r w:rsidR="00B00021" w:rsidRPr="00202138">
        <w:rPr>
          <w:lang w:val="fr-CH"/>
        </w:rPr>
        <w:t xml:space="preserve"> qui s</w:t>
      </w:r>
      <w:r w:rsidR="00F5358C" w:rsidRPr="00202138">
        <w:rPr>
          <w:lang w:val="fr-CH"/>
        </w:rPr>
        <w:t>'</w:t>
      </w:r>
      <w:r w:rsidR="00B00021" w:rsidRPr="00202138">
        <w:rPr>
          <w:lang w:val="fr-CH"/>
        </w:rPr>
        <w:t xml:space="preserve">appuie sur </w:t>
      </w:r>
      <w:r w:rsidRPr="00202138">
        <w:rPr>
          <w:lang w:val="fr-CH"/>
        </w:rPr>
        <w:t>la contribution importante du consortium d</w:t>
      </w:r>
      <w:r w:rsidR="00F5358C" w:rsidRPr="00202138">
        <w:rPr>
          <w:lang w:val="fr-CH"/>
        </w:rPr>
        <w:t>'</w:t>
      </w:r>
      <w:r w:rsidRPr="00202138">
        <w:rPr>
          <w:lang w:val="fr-CH"/>
        </w:rPr>
        <w:t>architectes CDTK et en coordination avec la Division responsable du projet de bâtiment, est chargé de suivre, d</w:t>
      </w:r>
      <w:r w:rsidR="00F5358C" w:rsidRPr="00202138">
        <w:rPr>
          <w:lang w:val="fr-CH"/>
        </w:rPr>
        <w:t>'</w:t>
      </w:r>
      <w:r w:rsidRPr="00202138">
        <w:rPr>
          <w:lang w:val="fr-CH"/>
        </w:rPr>
        <w:t>examiner et d</w:t>
      </w:r>
      <w:r w:rsidR="00F5358C" w:rsidRPr="00202138">
        <w:rPr>
          <w:lang w:val="fr-CH"/>
        </w:rPr>
        <w:t>'</w:t>
      </w:r>
      <w:r w:rsidR="00067BDF" w:rsidRPr="00202138">
        <w:rPr>
          <w:lang w:val="fr-CH"/>
        </w:rPr>
        <w:t>actualiser</w:t>
      </w:r>
      <w:r w:rsidRPr="00202138">
        <w:rPr>
          <w:lang w:val="fr-CH"/>
        </w:rPr>
        <w:t xml:space="preserve"> le calendrier de conception et de construction.</w:t>
      </w:r>
    </w:p>
    <w:p w14:paraId="73C5E859" w14:textId="29410C75" w:rsidR="00BC01BB" w:rsidRPr="00202138" w:rsidRDefault="00DE4FD1" w:rsidP="00930348">
      <w:pPr>
        <w:rPr>
          <w:lang w:val="fr-CH"/>
        </w:rPr>
      </w:pPr>
      <w:r w:rsidRPr="00202138">
        <w:rPr>
          <w:lang w:val="fr-CH"/>
        </w:rPr>
        <w:t xml:space="preserve">Le calendrier préliminaire du projet est disponible </w:t>
      </w:r>
      <w:hyperlink r:id="rId27" w:history="1">
        <w:r w:rsidRPr="00202138">
          <w:rPr>
            <w:rStyle w:val="Hyperlink"/>
            <w:lang w:val="fr-CH"/>
          </w:rPr>
          <w:t>ici</w:t>
        </w:r>
      </w:hyperlink>
      <w:r w:rsidRPr="00202138">
        <w:rPr>
          <w:rStyle w:val="Hyperlink"/>
          <w:color w:val="auto"/>
          <w:u w:val="none"/>
          <w:lang w:val="fr-CH"/>
        </w:rPr>
        <w:t>.</w:t>
      </w:r>
    </w:p>
    <w:p w14:paraId="0A6FA582" w14:textId="1F19CDE4" w:rsidR="00BC01BB" w:rsidRPr="00202138" w:rsidRDefault="00281859" w:rsidP="00930348">
      <w:pPr>
        <w:pStyle w:val="Heading2"/>
        <w:rPr>
          <w:lang w:val="fr-CH"/>
        </w:rPr>
      </w:pPr>
      <w:r w:rsidRPr="00202138">
        <w:rPr>
          <w:lang w:val="fr-CH"/>
        </w:rPr>
        <w:t>3.</w:t>
      </w:r>
      <w:r w:rsidR="008A324B" w:rsidRPr="00202138">
        <w:rPr>
          <w:lang w:val="fr-CH"/>
        </w:rPr>
        <w:t>8</w:t>
      </w:r>
      <w:r w:rsidRPr="00202138">
        <w:rPr>
          <w:lang w:val="fr-CH"/>
        </w:rPr>
        <w:tab/>
      </w:r>
      <w:r w:rsidR="00C25E89" w:rsidRPr="00202138">
        <w:rPr>
          <w:lang w:val="fr-CH"/>
        </w:rPr>
        <w:t>Incidences financières du maintien de l</w:t>
      </w:r>
      <w:r w:rsidR="00F5358C" w:rsidRPr="00202138">
        <w:rPr>
          <w:lang w:val="fr-CH"/>
        </w:rPr>
        <w:t>'</w:t>
      </w:r>
      <w:r w:rsidR="00C25E89" w:rsidRPr="00202138">
        <w:rPr>
          <w:lang w:val="fr-CH"/>
        </w:rPr>
        <w:t>utilisation de la salle de conférence Popov sur la valeur marchande de la Tour</w:t>
      </w:r>
    </w:p>
    <w:p w14:paraId="782D1369" w14:textId="4DB7B2EC" w:rsidR="00BC01BB" w:rsidRPr="00202138" w:rsidRDefault="008A324B" w:rsidP="00930348">
      <w:pPr>
        <w:rPr>
          <w:lang w:val="fr-CH"/>
        </w:rPr>
      </w:pPr>
      <w:r w:rsidRPr="00202138">
        <w:rPr>
          <w:lang w:val="fr-CH"/>
        </w:rPr>
        <w:t>Un</w:t>
      </w:r>
      <w:r w:rsidR="00DC7DE6" w:rsidRPr="00202138">
        <w:rPr>
          <w:lang w:val="fr-CH"/>
        </w:rPr>
        <w:t xml:space="preserve"> contrat a été conclu avec SPG Intercity, un spécialiste de l</w:t>
      </w:r>
      <w:r w:rsidR="00F5358C" w:rsidRPr="00202138">
        <w:rPr>
          <w:lang w:val="fr-CH"/>
        </w:rPr>
        <w:t>'</w:t>
      </w:r>
      <w:r w:rsidR="00DC7DE6" w:rsidRPr="00202138">
        <w:rPr>
          <w:lang w:val="fr-CH"/>
        </w:rPr>
        <w:t>immobilier, afin de fournir une analyse financière/économique de l</w:t>
      </w:r>
      <w:r w:rsidR="00F5358C" w:rsidRPr="00202138">
        <w:rPr>
          <w:lang w:val="fr-CH"/>
        </w:rPr>
        <w:t>'</w:t>
      </w:r>
      <w:r w:rsidR="00DC7DE6" w:rsidRPr="00202138">
        <w:rPr>
          <w:lang w:val="fr-CH"/>
        </w:rPr>
        <w:t>option consistant à conserver l</w:t>
      </w:r>
      <w:r w:rsidR="00F5358C" w:rsidRPr="00202138">
        <w:rPr>
          <w:lang w:val="fr-CH"/>
        </w:rPr>
        <w:t>'</w:t>
      </w:r>
      <w:r w:rsidR="00DC7DE6" w:rsidRPr="00202138">
        <w:rPr>
          <w:lang w:val="fr-CH"/>
        </w:rPr>
        <w:t xml:space="preserve">utilisation de la salle </w:t>
      </w:r>
      <w:r w:rsidRPr="00202138">
        <w:rPr>
          <w:lang w:val="fr-CH"/>
        </w:rPr>
        <w:t xml:space="preserve">Popov </w:t>
      </w:r>
      <w:r w:rsidR="00DC7DE6" w:rsidRPr="00202138">
        <w:rPr>
          <w:lang w:val="fr-CH"/>
        </w:rPr>
        <w:t>après la vente de la Tour.</w:t>
      </w:r>
    </w:p>
    <w:p w14:paraId="744EA345" w14:textId="5323001A" w:rsidR="00BC01BB" w:rsidRPr="00202138" w:rsidRDefault="00341111" w:rsidP="00930348">
      <w:pPr>
        <w:spacing w:after="120"/>
        <w:rPr>
          <w:lang w:val="fr-CH"/>
        </w:rPr>
      </w:pPr>
      <w:r w:rsidRPr="00202138">
        <w:rPr>
          <w:lang w:val="fr-CH"/>
        </w:rPr>
        <w:t xml:space="preserve">Les résultats de cette </w:t>
      </w:r>
      <w:r w:rsidR="00E9160F" w:rsidRPr="00202138">
        <w:rPr>
          <w:lang w:val="fr-CH"/>
        </w:rPr>
        <w:t xml:space="preserve">première </w:t>
      </w:r>
      <w:r w:rsidRPr="00202138">
        <w:rPr>
          <w:lang w:val="fr-CH"/>
        </w:rPr>
        <w:t xml:space="preserve">analyse </w:t>
      </w:r>
      <w:r w:rsidR="00E9160F" w:rsidRPr="00202138">
        <w:rPr>
          <w:lang w:val="fr-CH"/>
        </w:rPr>
        <w:t xml:space="preserve">ont </w:t>
      </w:r>
      <w:r w:rsidRPr="00202138">
        <w:rPr>
          <w:lang w:val="fr-CH"/>
        </w:rPr>
        <w:t>montr</w:t>
      </w:r>
      <w:r w:rsidR="00E9160F" w:rsidRPr="00202138">
        <w:rPr>
          <w:lang w:val="fr-CH"/>
        </w:rPr>
        <w:t>é</w:t>
      </w:r>
      <w:r w:rsidRPr="00202138">
        <w:rPr>
          <w:lang w:val="fr-CH"/>
        </w:rPr>
        <w:t xml:space="preserve"> que les incidences financières sur la valeur marchande de la Tour</w:t>
      </w:r>
      <w:r w:rsidR="00E9160F" w:rsidRPr="00202138">
        <w:rPr>
          <w:lang w:val="fr-CH"/>
        </w:rPr>
        <w:t xml:space="preserve"> si l'on conserve l'utilisation de la salle Popov</w:t>
      </w:r>
      <w:r w:rsidRPr="00202138">
        <w:rPr>
          <w:lang w:val="fr-CH"/>
        </w:rPr>
        <w:t xml:space="preserve"> sont relativement limitées par rapport à la valeur globale du bâtiment.</w:t>
      </w:r>
    </w:p>
    <w:p w14:paraId="6F8B1C12" w14:textId="47A63B5B" w:rsidR="00D1253C" w:rsidRPr="00202138" w:rsidRDefault="0011785D" w:rsidP="00930348">
      <w:pPr>
        <w:rPr>
          <w:lang w:val="fr-CH"/>
        </w:rPr>
      </w:pPr>
      <w:r w:rsidRPr="00202138">
        <w:rPr>
          <w:lang w:val="fr-CH"/>
        </w:rPr>
        <w:t>L</w:t>
      </w:r>
      <w:r w:rsidR="00F5358C" w:rsidRPr="00202138">
        <w:rPr>
          <w:lang w:val="fr-CH"/>
        </w:rPr>
        <w:t>'</w:t>
      </w:r>
      <w:r w:rsidRPr="00202138">
        <w:rPr>
          <w:lang w:val="fr-CH"/>
        </w:rPr>
        <w:t>analyse montre toutefois que les investisseurs</w:t>
      </w:r>
      <w:r w:rsidR="00B00021" w:rsidRPr="00202138">
        <w:rPr>
          <w:lang w:val="fr-CH"/>
        </w:rPr>
        <w:t xml:space="preserve"> pourraient considérer </w:t>
      </w:r>
      <w:r w:rsidRPr="00202138">
        <w:rPr>
          <w:lang w:val="fr-CH"/>
        </w:rPr>
        <w:t>la conservation de la salle Popov par l</w:t>
      </w:r>
      <w:r w:rsidR="00F5358C" w:rsidRPr="00202138">
        <w:rPr>
          <w:lang w:val="fr-CH"/>
        </w:rPr>
        <w:t>'</w:t>
      </w:r>
      <w:r w:rsidRPr="00202138">
        <w:rPr>
          <w:lang w:val="fr-CH"/>
        </w:rPr>
        <w:t>UIT comme un facteur négatif qui limiterait la possibilité d</w:t>
      </w:r>
      <w:r w:rsidR="00F5358C" w:rsidRPr="00202138">
        <w:rPr>
          <w:lang w:val="fr-CH"/>
        </w:rPr>
        <w:t>'</w:t>
      </w:r>
      <w:r w:rsidRPr="00202138">
        <w:rPr>
          <w:lang w:val="fr-CH"/>
        </w:rPr>
        <w:t>exploiter l</w:t>
      </w:r>
      <w:r w:rsidR="00F5358C" w:rsidRPr="00202138">
        <w:rPr>
          <w:lang w:val="fr-CH"/>
        </w:rPr>
        <w:t>'</w:t>
      </w:r>
      <w:r w:rsidRPr="00202138">
        <w:rPr>
          <w:lang w:val="fr-CH"/>
        </w:rPr>
        <w:t>intégralité du sous-sol</w:t>
      </w:r>
      <w:r w:rsidR="00B17F93">
        <w:rPr>
          <w:lang w:val="fr-CH"/>
        </w:rPr>
        <w:t xml:space="preserve"> et</w:t>
      </w:r>
      <w:r w:rsidR="00BD7976" w:rsidRPr="00202138">
        <w:rPr>
          <w:lang w:val="fr-CH"/>
        </w:rPr>
        <w:t xml:space="preserve"> </w:t>
      </w:r>
      <w:r w:rsidRPr="00202138">
        <w:rPr>
          <w:lang w:val="fr-CH"/>
        </w:rPr>
        <w:t>ne permettrait pas au futur propriétaire d</w:t>
      </w:r>
      <w:r w:rsidR="00F5358C" w:rsidRPr="00202138">
        <w:rPr>
          <w:lang w:val="fr-CH"/>
        </w:rPr>
        <w:t>'</w:t>
      </w:r>
      <w:r w:rsidRPr="00202138">
        <w:rPr>
          <w:lang w:val="fr-CH"/>
        </w:rPr>
        <w:t>utiliser les locaux autrement que comme des salles de conférence</w:t>
      </w:r>
      <w:r w:rsidR="004805BD" w:rsidRPr="00202138">
        <w:rPr>
          <w:lang w:val="fr-CH"/>
        </w:rPr>
        <w:t>.</w:t>
      </w:r>
    </w:p>
    <w:p w14:paraId="46C0D394" w14:textId="49B0D723" w:rsidR="00D1253C" w:rsidRPr="00202138" w:rsidRDefault="00DC2278" w:rsidP="00930348">
      <w:pPr>
        <w:rPr>
          <w:rFonts w:asciiTheme="minorHAnsi" w:hAnsiTheme="minorHAnsi"/>
          <w:lang w:val="fr-CH"/>
        </w:rPr>
      </w:pPr>
      <w:r w:rsidRPr="00202138">
        <w:rPr>
          <w:rFonts w:asciiTheme="minorHAnsi" w:hAnsiTheme="minorHAnsi"/>
          <w:lang w:val="fr-CH"/>
        </w:rPr>
        <w:t>Dans l</w:t>
      </w:r>
      <w:r w:rsidR="00F5358C" w:rsidRPr="00202138">
        <w:rPr>
          <w:rFonts w:asciiTheme="minorHAnsi" w:hAnsiTheme="minorHAnsi"/>
          <w:lang w:val="fr-CH"/>
        </w:rPr>
        <w:t>'</w:t>
      </w:r>
      <w:r w:rsidRPr="00202138">
        <w:rPr>
          <w:rFonts w:asciiTheme="minorHAnsi" w:hAnsiTheme="minorHAnsi"/>
          <w:lang w:val="fr-CH"/>
        </w:rPr>
        <w:t>optique de la vente future du site, l</w:t>
      </w:r>
      <w:r w:rsidR="00F5358C" w:rsidRPr="00202138">
        <w:rPr>
          <w:rFonts w:asciiTheme="minorHAnsi" w:hAnsiTheme="minorHAnsi"/>
          <w:lang w:val="fr-CH"/>
        </w:rPr>
        <w:t>'</w:t>
      </w:r>
      <w:r w:rsidRPr="00202138">
        <w:rPr>
          <w:rFonts w:asciiTheme="minorHAnsi" w:hAnsiTheme="minorHAnsi"/>
          <w:lang w:val="fr-CH"/>
        </w:rPr>
        <w:t xml:space="preserve">analyse </w:t>
      </w:r>
      <w:r w:rsidR="00E9160F" w:rsidRPr="00202138">
        <w:rPr>
          <w:rFonts w:asciiTheme="minorHAnsi" w:hAnsiTheme="minorHAnsi"/>
          <w:lang w:val="fr-CH"/>
        </w:rPr>
        <w:t>a mis</w:t>
      </w:r>
      <w:r w:rsidRPr="00202138">
        <w:rPr>
          <w:rFonts w:asciiTheme="minorHAnsi" w:hAnsiTheme="minorHAnsi"/>
          <w:lang w:val="fr-CH"/>
        </w:rPr>
        <w:t xml:space="preserve"> en avant une recommandation concernant une option de vente et de cession-bail à titre de stratégie intéressante à envisager.</w:t>
      </w:r>
      <w:r w:rsidR="00281859" w:rsidRPr="00202138">
        <w:rPr>
          <w:rFonts w:asciiTheme="minorHAnsi" w:hAnsiTheme="minorHAnsi"/>
          <w:lang w:val="fr-CH"/>
        </w:rPr>
        <w:t xml:space="preserve"> </w:t>
      </w:r>
    </w:p>
    <w:p w14:paraId="5BF1A598" w14:textId="1FF18C63" w:rsidR="009D241D" w:rsidRPr="00202138" w:rsidRDefault="009D241D" w:rsidP="00930348">
      <w:pPr>
        <w:keepLines/>
        <w:rPr>
          <w:rFonts w:asciiTheme="minorHAnsi" w:hAnsiTheme="minorHAnsi"/>
          <w:lang w:val="fr-CH"/>
        </w:rPr>
      </w:pPr>
      <w:r w:rsidRPr="00202138">
        <w:rPr>
          <w:rFonts w:asciiTheme="minorHAnsi" w:hAnsiTheme="minorHAnsi"/>
          <w:lang w:val="fr-CH"/>
        </w:rPr>
        <w:t>Compte tenu de ce qui précède, les participants à la consultation virtuelle des Conseillers tenue en juin 2020 ont encouragé le secrétariat à examiner plus avant les différentes options pour la vente de la Tour en vue de la prochaine réunion du Groupe MSAG</w:t>
      </w:r>
      <w:r w:rsidR="00B17F93">
        <w:rPr>
          <w:rFonts w:asciiTheme="minorHAnsi" w:hAnsiTheme="minorHAnsi"/>
          <w:lang w:val="fr-CH"/>
        </w:rPr>
        <w:t xml:space="preserve"> et </w:t>
      </w:r>
      <w:r w:rsidRPr="00202138">
        <w:rPr>
          <w:rFonts w:asciiTheme="minorHAnsi" w:hAnsiTheme="minorHAnsi"/>
          <w:lang w:val="fr-CH"/>
        </w:rPr>
        <w:t>à en rendre compte à la prochaine réunion physique du Conseil.</w:t>
      </w:r>
    </w:p>
    <w:p w14:paraId="6E7AA44E" w14:textId="09EBB885" w:rsidR="009D241D" w:rsidRPr="00202138" w:rsidRDefault="009D241D" w:rsidP="00930348">
      <w:pPr>
        <w:rPr>
          <w:rFonts w:asciiTheme="minorHAnsi" w:hAnsiTheme="minorHAnsi"/>
          <w:lang w:val="fr-CH"/>
        </w:rPr>
      </w:pPr>
      <w:r w:rsidRPr="00202138">
        <w:rPr>
          <w:rFonts w:asciiTheme="minorHAnsi" w:hAnsiTheme="minorHAnsi"/>
          <w:lang w:val="fr-CH"/>
        </w:rPr>
        <w:t>Un deuxième contrat a été conclu avec SPG Intercity cet été afin d'</w:t>
      </w:r>
      <w:r w:rsidR="00570826" w:rsidRPr="00202138">
        <w:rPr>
          <w:rFonts w:asciiTheme="minorHAnsi" w:hAnsiTheme="minorHAnsi"/>
          <w:lang w:val="fr-CH"/>
        </w:rPr>
        <w:t>étudier plus avant</w:t>
      </w:r>
      <w:r w:rsidRPr="00202138">
        <w:rPr>
          <w:rFonts w:asciiTheme="minorHAnsi" w:hAnsiTheme="minorHAnsi"/>
          <w:lang w:val="fr-CH"/>
        </w:rPr>
        <w:t xml:space="preserve"> l'option de vente et cession-bail</w:t>
      </w:r>
      <w:r w:rsidR="00570826" w:rsidRPr="00202138">
        <w:rPr>
          <w:rFonts w:asciiTheme="minorHAnsi" w:hAnsiTheme="minorHAnsi"/>
          <w:lang w:val="fr-CH"/>
        </w:rPr>
        <w:t>, notamment du point de vue de son attractivité</w:t>
      </w:r>
      <w:r w:rsidR="0008799A">
        <w:rPr>
          <w:rFonts w:asciiTheme="minorHAnsi" w:hAnsiTheme="minorHAnsi"/>
          <w:lang w:val="fr-CH"/>
        </w:rPr>
        <w:t xml:space="preserve"> sur le marché</w:t>
      </w:r>
      <w:r w:rsidR="00570826" w:rsidRPr="00202138">
        <w:rPr>
          <w:rFonts w:asciiTheme="minorHAnsi" w:hAnsiTheme="minorHAnsi"/>
          <w:lang w:val="fr-CH"/>
        </w:rPr>
        <w:t>. Un rapport à l'intention du secrétariat</w:t>
      </w:r>
      <w:r w:rsidR="005B2B84" w:rsidRPr="00202138">
        <w:rPr>
          <w:rFonts w:asciiTheme="minorHAnsi" w:hAnsiTheme="minorHAnsi"/>
          <w:lang w:val="fr-CH"/>
        </w:rPr>
        <w:t xml:space="preserve"> présentant </w:t>
      </w:r>
      <w:r w:rsidR="007B4CFF" w:rsidRPr="00202138">
        <w:rPr>
          <w:rFonts w:asciiTheme="minorHAnsi" w:hAnsiTheme="minorHAnsi"/>
          <w:lang w:val="fr-CH"/>
        </w:rPr>
        <w:t>l'avis de l'expert concernant la stratégie à suivre pour mettre la Tour en vente de manière optimale sera achevé d'ici à la fin du mois d'octobre.</w:t>
      </w:r>
      <w:r w:rsidR="00570826" w:rsidRPr="00202138">
        <w:rPr>
          <w:rFonts w:asciiTheme="minorHAnsi" w:hAnsiTheme="minorHAnsi"/>
          <w:lang w:val="fr-CH"/>
        </w:rPr>
        <w:t xml:space="preserve"> </w:t>
      </w:r>
    </w:p>
    <w:p w14:paraId="186338CD" w14:textId="79CDD6D3" w:rsidR="007B4CFF" w:rsidRPr="00202138" w:rsidRDefault="007B4CFF" w:rsidP="00930348">
      <w:pPr>
        <w:rPr>
          <w:rFonts w:asciiTheme="minorHAnsi" w:hAnsiTheme="minorHAnsi"/>
          <w:lang w:val="fr-CH"/>
        </w:rPr>
      </w:pPr>
      <w:r w:rsidRPr="00202138">
        <w:rPr>
          <w:rFonts w:asciiTheme="minorHAnsi" w:hAnsiTheme="minorHAnsi"/>
          <w:lang w:val="fr-CH"/>
        </w:rPr>
        <w:lastRenderedPageBreak/>
        <w:t>Les conclusions et les résultats de cette étude seront présentés et examinés à la prochaine réunion du Groupe MSAG qui aura lieu le 12 novembre 2020.</w:t>
      </w:r>
    </w:p>
    <w:p w14:paraId="6D9EB0B6" w14:textId="319B764F" w:rsidR="00BC01BB" w:rsidRPr="00202138" w:rsidRDefault="00281859" w:rsidP="00930348">
      <w:pPr>
        <w:pStyle w:val="Heading2"/>
        <w:rPr>
          <w:lang w:val="fr-CH"/>
        </w:rPr>
      </w:pPr>
      <w:r w:rsidRPr="00202138">
        <w:rPr>
          <w:lang w:val="fr-CH"/>
        </w:rPr>
        <w:t>3.</w:t>
      </w:r>
      <w:r w:rsidR="008A324B" w:rsidRPr="00202138">
        <w:rPr>
          <w:lang w:val="fr-CH"/>
        </w:rPr>
        <w:t>9</w:t>
      </w:r>
      <w:r w:rsidRPr="00202138">
        <w:rPr>
          <w:lang w:val="fr-CH"/>
        </w:rPr>
        <w:tab/>
      </w:r>
      <w:r w:rsidR="00E649D6" w:rsidRPr="00202138">
        <w:rPr>
          <w:lang w:val="fr-CH"/>
        </w:rPr>
        <w:t xml:space="preserve">Fusion de la Division de la gestion des installations et de la </w:t>
      </w:r>
      <w:r w:rsidR="00B00021" w:rsidRPr="00202138">
        <w:rPr>
          <w:lang w:val="fr-CH"/>
        </w:rPr>
        <w:t>D</w:t>
      </w:r>
      <w:r w:rsidR="00E649D6" w:rsidRPr="00202138">
        <w:rPr>
          <w:lang w:val="fr-CH"/>
        </w:rPr>
        <w:t xml:space="preserve">ivision responsable du projet de </w:t>
      </w:r>
      <w:r w:rsidR="0054386C" w:rsidRPr="00202138">
        <w:rPr>
          <w:lang w:val="fr-CH"/>
        </w:rPr>
        <w:t>bâtiment</w:t>
      </w:r>
    </w:p>
    <w:p w14:paraId="6864C08F" w14:textId="00B9886A" w:rsidR="008A324B" w:rsidRPr="00202138" w:rsidRDefault="004C19F7" w:rsidP="00930348">
      <w:pPr>
        <w:spacing w:before="240"/>
        <w:rPr>
          <w:lang w:val="fr-CH"/>
        </w:rPr>
      </w:pPr>
      <w:r w:rsidRPr="00202138">
        <w:rPr>
          <w:lang w:val="fr-CH"/>
        </w:rPr>
        <w:t>La fusion</w:t>
      </w:r>
      <w:r w:rsidR="007B4CFF" w:rsidRPr="00202138">
        <w:rPr>
          <w:lang w:val="fr-CH"/>
        </w:rPr>
        <w:t xml:space="preserve"> récente</w:t>
      </w:r>
      <w:r w:rsidRPr="00202138">
        <w:rPr>
          <w:lang w:val="fr-CH"/>
        </w:rPr>
        <w:t xml:space="preserve"> de </w:t>
      </w:r>
      <w:r w:rsidR="007B4CFF" w:rsidRPr="00202138">
        <w:rPr>
          <w:lang w:val="fr-CH"/>
        </w:rPr>
        <w:t xml:space="preserve">la Division de la gestion des installations (FMD) et de la Division responsable du projet de bâtiment (BPD) </w:t>
      </w:r>
      <w:r w:rsidRPr="00202138">
        <w:rPr>
          <w:lang w:val="fr-CH"/>
        </w:rPr>
        <w:t>a permis d</w:t>
      </w:r>
      <w:r w:rsidR="00F5358C" w:rsidRPr="00202138">
        <w:rPr>
          <w:lang w:val="fr-CH"/>
        </w:rPr>
        <w:t>'</w:t>
      </w:r>
      <w:r w:rsidRPr="00202138">
        <w:rPr>
          <w:lang w:val="fr-CH"/>
        </w:rPr>
        <w:t>utiliser les économies pour financer</w:t>
      </w:r>
      <w:r w:rsidR="00B00021" w:rsidRPr="00202138">
        <w:rPr>
          <w:lang w:val="fr-CH"/>
        </w:rPr>
        <w:t xml:space="preserve"> </w:t>
      </w:r>
      <w:r w:rsidRPr="00202138">
        <w:rPr>
          <w:lang w:val="fr-CH"/>
        </w:rPr>
        <w:t>la création d</w:t>
      </w:r>
      <w:r w:rsidR="00F5358C" w:rsidRPr="00202138">
        <w:rPr>
          <w:lang w:val="fr-CH"/>
        </w:rPr>
        <w:t>'</w:t>
      </w:r>
      <w:r w:rsidRPr="00202138">
        <w:rPr>
          <w:lang w:val="fr-CH"/>
        </w:rPr>
        <w:t>un poste temporaire (</w:t>
      </w:r>
      <w:r w:rsidR="0008799A">
        <w:rPr>
          <w:lang w:val="fr-CH"/>
        </w:rPr>
        <w:t>pour</w:t>
      </w:r>
      <w:r w:rsidRPr="00202138">
        <w:rPr>
          <w:lang w:val="fr-CH"/>
        </w:rPr>
        <w:t xml:space="preserve"> la durée du projet) de responsable de l</w:t>
      </w:r>
      <w:r w:rsidR="00F5358C" w:rsidRPr="00202138">
        <w:rPr>
          <w:lang w:val="fr-CH"/>
        </w:rPr>
        <w:t>'</w:t>
      </w:r>
      <w:r w:rsidRPr="00202138">
        <w:rPr>
          <w:lang w:val="fr-CH"/>
        </w:rPr>
        <w:t>aménagement des locaux.</w:t>
      </w:r>
      <w:r w:rsidR="00281859" w:rsidRPr="00202138">
        <w:rPr>
          <w:lang w:val="fr-CH"/>
        </w:rPr>
        <w:t xml:space="preserve"> </w:t>
      </w:r>
      <w:r w:rsidR="007B4CFF" w:rsidRPr="00202138">
        <w:rPr>
          <w:lang w:val="fr-CH"/>
        </w:rPr>
        <w:t>Le processus de recrutement et de sélection s'est déroulé au cours de l'été. Les étapes suivantes ont été mené</w:t>
      </w:r>
      <w:r w:rsidR="009976E6">
        <w:rPr>
          <w:lang w:val="fr-CH"/>
        </w:rPr>
        <w:t>e</w:t>
      </w:r>
      <w:r w:rsidR="007B4CFF" w:rsidRPr="00202138">
        <w:rPr>
          <w:lang w:val="fr-CH"/>
        </w:rPr>
        <w:t>s à ce jour:</w:t>
      </w:r>
    </w:p>
    <w:p w14:paraId="1720B8E3" w14:textId="3BF78096" w:rsidR="008A324B" w:rsidRPr="00202138" w:rsidRDefault="008A324B" w:rsidP="00930348">
      <w:pPr>
        <w:rPr>
          <w:lang w:val="fr-CH"/>
        </w:rPr>
      </w:pPr>
      <w:r w:rsidRPr="00202138">
        <w:rPr>
          <w:lang w:val="fr-CH"/>
        </w:rPr>
        <w:t>•</w:t>
      </w:r>
      <w:r w:rsidRPr="00202138">
        <w:rPr>
          <w:lang w:val="fr-CH"/>
        </w:rPr>
        <w:tab/>
        <w:t xml:space="preserve">Juin 2020: </w:t>
      </w:r>
      <w:r w:rsidR="007B4CFF" w:rsidRPr="00202138">
        <w:rPr>
          <w:lang w:val="fr-CH"/>
        </w:rPr>
        <w:t>publication de l'avis de vacance de poste</w:t>
      </w:r>
    </w:p>
    <w:p w14:paraId="5D619CAD" w14:textId="39E95C50" w:rsidR="008A324B" w:rsidRPr="00202138" w:rsidRDefault="008A324B" w:rsidP="00930348">
      <w:pPr>
        <w:rPr>
          <w:lang w:val="fr-CH"/>
        </w:rPr>
      </w:pPr>
      <w:r w:rsidRPr="00202138">
        <w:rPr>
          <w:lang w:val="fr-CH"/>
        </w:rPr>
        <w:t>•</w:t>
      </w:r>
      <w:r w:rsidRPr="00202138">
        <w:rPr>
          <w:lang w:val="fr-CH"/>
        </w:rPr>
        <w:tab/>
        <w:t>Juillet</w:t>
      </w:r>
      <w:r w:rsidR="009976E6">
        <w:rPr>
          <w:lang w:val="fr-CH"/>
        </w:rPr>
        <w:t>-</w:t>
      </w:r>
      <w:r w:rsidRPr="00202138">
        <w:rPr>
          <w:lang w:val="fr-CH"/>
        </w:rPr>
        <w:t xml:space="preserve">septembre 2020: </w:t>
      </w:r>
      <w:r w:rsidR="009976E6">
        <w:rPr>
          <w:lang w:val="fr-CH"/>
        </w:rPr>
        <w:t>e</w:t>
      </w:r>
      <w:r w:rsidR="007B4CFF" w:rsidRPr="00202138">
        <w:rPr>
          <w:lang w:val="fr-CH"/>
        </w:rPr>
        <w:t>ntretien avec les candidats et sélection</w:t>
      </w:r>
    </w:p>
    <w:p w14:paraId="04C48C3E" w14:textId="5E3D8B20" w:rsidR="008A324B" w:rsidRPr="00202138" w:rsidRDefault="008A324B" w:rsidP="00930348">
      <w:pPr>
        <w:rPr>
          <w:lang w:val="fr-CH"/>
        </w:rPr>
      </w:pPr>
      <w:r w:rsidRPr="00202138">
        <w:rPr>
          <w:lang w:val="fr-CH"/>
        </w:rPr>
        <w:t>•</w:t>
      </w:r>
      <w:r w:rsidRPr="00202138">
        <w:rPr>
          <w:lang w:val="fr-CH"/>
        </w:rPr>
        <w:tab/>
        <w:t xml:space="preserve">Octobre 2020: </w:t>
      </w:r>
      <w:r w:rsidR="007B4CFF" w:rsidRPr="00202138">
        <w:rPr>
          <w:lang w:val="fr-CH"/>
        </w:rPr>
        <w:t>désignation du candidat retenu.</w:t>
      </w:r>
    </w:p>
    <w:p w14:paraId="42DB2752" w14:textId="77777777" w:rsidR="008A324B" w:rsidRPr="00202138" w:rsidRDefault="008A324B" w:rsidP="00930348">
      <w:pPr>
        <w:rPr>
          <w:lang w:val="fr-CH"/>
        </w:rPr>
      </w:pPr>
      <w:r w:rsidRPr="00202138">
        <w:rPr>
          <w:lang w:val="fr-CH"/>
        </w:rPr>
        <w:t xml:space="preserve">Une fois qu'il/elle aura été recruté(e), le/la responsable engagera des échanges avec le personnel, gèrera les dispositions temporaires durant la phase de relogement du personnel et déterminera l'aménagement final des locaux conformément aux recommandations liées à l'espace de travail dans le nouveau bâtiment. </w:t>
      </w:r>
    </w:p>
    <w:p w14:paraId="14E17F65" w14:textId="2566D069" w:rsidR="00D1253C" w:rsidRPr="00202138" w:rsidRDefault="00281859" w:rsidP="00930348">
      <w:pPr>
        <w:pStyle w:val="Heading1"/>
        <w:rPr>
          <w:lang w:val="fr-CH" w:eastAsia="ja-JP"/>
        </w:rPr>
      </w:pPr>
      <w:r w:rsidRPr="00202138">
        <w:rPr>
          <w:lang w:val="fr-CH" w:eastAsia="ja-JP"/>
        </w:rPr>
        <w:t>4</w:t>
      </w:r>
      <w:r w:rsidRPr="00202138">
        <w:rPr>
          <w:lang w:val="fr-CH" w:eastAsia="ja-JP"/>
        </w:rPr>
        <w:tab/>
      </w:r>
      <w:r w:rsidR="00665530" w:rsidRPr="00202138">
        <w:rPr>
          <w:lang w:val="fr-CH" w:eastAsia="ja-JP"/>
        </w:rPr>
        <w:t>Mise à jour des informations financières</w:t>
      </w:r>
    </w:p>
    <w:p w14:paraId="29E0F1AD" w14:textId="0DCB201A" w:rsidR="00D1253C" w:rsidRPr="00202138" w:rsidRDefault="00281859" w:rsidP="00930348">
      <w:pPr>
        <w:pStyle w:val="Heading2"/>
        <w:rPr>
          <w:lang w:val="fr-CH"/>
        </w:rPr>
      </w:pPr>
      <w:r w:rsidRPr="00202138">
        <w:rPr>
          <w:lang w:val="fr-CH"/>
        </w:rPr>
        <w:t>4.1</w:t>
      </w:r>
      <w:r w:rsidRPr="00202138">
        <w:rPr>
          <w:lang w:val="fr-CH"/>
        </w:rPr>
        <w:tab/>
      </w:r>
      <w:r w:rsidR="00346939" w:rsidRPr="00202138">
        <w:rPr>
          <w:lang w:val="fr-CH"/>
        </w:rPr>
        <w:t>Confirmation du budget disponible</w:t>
      </w:r>
    </w:p>
    <w:p w14:paraId="35A4453A" w14:textId="4C4BF61C" w:rsidR="00D1253C" w:rsidRPr="00202138" w:rsidRDefault="005F04C0" w:rsidP="00930348">
      <w:pPr>
        <w:rPr>
          <w:lang w:val="fr-CH"/>
        </w:rPr>
      </w:pPr>
      <w:r w:rsidRPr="00202138">
        <w:rPr>
          <w:lang w:val="fr-CH"/>
        </w:rPr>
        <w:t>La Décision 619 a été adoptée à la session additionnelle du Conseil</w:t>
      </w:r>
      <w:r w:rsidR="00BD7976" w:rsidRPr="00202138">
        <w:rPr>
          <w:lang w:val="fr-CH"/>
        </w:rPr>
        <w:t xml:space="preserve"> </w:t>
      </w:r>
      <w:r w:rsidRPr="00202138">
        <w:rPr>
          <w:lang w:val="fr-CH"/>
        </w:rPr>
        <w:t>tenue à Genève le 27</w:t>
      </w:r>
      <w:r w:rsidR="00946460" w:rsidRPr="00202138">
        <w:rPr>
          <w:lang w:val="fr-CH"/>
        </w:rPr>
        <w:t> </w:t>
      </w:r>
      <w:r w:rsidRPr="00202138">
        <w:rPr>
          <w:lang w:val="fr-CH"/>
        </w:rPr>
        <w:t>septembre 2019, afin d</w:t>
      </w:r>
      <w:r w:rsidR="00F5358C" w:rsidRPr="00202138">
        <w:rPr>
          <w:lang w:val="fr-CH"/>
        </w:rPr>
        <w:t>'</w:t>
      </w:r>
      <w:r w:rsidRPr="00202138">
        <w:rPr>
          <w:lang w:val="fr-CH"/>
        </w:rPr>
        <w:t>approuver le coût direct final du projet de nouveau bâtiment du siège de l</w:t>
      </w:r>
      <w:r w:rsidR="00F5358C" w:rsidRPr="00202138">
        <w:rPr>
          <w:lang w:val="fr-CH"/>
        </w:rPr>
        <w:t>'</w:t>
      </w:r>
      <w:r w:rsidRPr="00202138">
        <w:rPr>
          <w:lang w:val="fr-CH"/>
        </w:rPr>
        <w:t>Union, d</w:t>
      </w:r>
      <w:r w:rsidR="00F5358C" w:rsidRPr="00202138">
        <w:rPr>
          <w:lang w:val="fr-CH"/>
        </w:rPr>
        <w:t>'</w:t>
      </w:r>
      <w:r w:rsidRPr="00202138">
        <w:rPr>
          <w:lang w:val="fr-CH"/>
        </w:rPr>
        <w:t>un montant de 170 139 000 CHF, comme indiqué dans le Document C19-ADD/2, intégralement financé au moyen des fonds disponibles, à savoir:</w:t>
      </w:r>
    </w:p>
    <w:p w14:paraId="7A009191" w14:textId="7CF59605" w:rsidR="00D1253C" w:rsidRPr="003D0799" w:rsidRDefault="00281859" w:rsidP="00930348">
      <w:pPr>
        <w:pStyle w:val="enumlev1"/>
        <w:rPr>
          <w:lang w:val="fr-CH" w:eastAsia="ja-JP"/>
        </w:rPr>
      </w:pPr>
      <w:r w:rsidRPr="00202138">
        <w:rPr>
          <w:lang w:val="fr-CH"/>
        </w:rPr>
        <w:t>•</w:t>
      </w:r>
      <w:r w:rsidRPr="00202138">
        <w:rPr>
          <w:lang w:val="fr-CH"/>
        </w:rPr>
        <w:tab/>
      </w:r>
      <w:r w:rsidR="00CB54BF" w:rsidRPr="00202138">
        <w:rPr>
          <w:lang w:val="fr-CH"/>
        </w:rPr>
        <w:t xml:space="preserve">un prêt du pays hôte </w:t>
      </w:r>
      <w:r w:rsidR="00CB54BF" w:rsidRPr="003D0799">
        <w:rPr>
          <w:lang w:val="fr-CH"/>
        </w:rPr>
        <w:t>d</w:t>
      </w:r>
      <w:r w:rsidR="00F5358C" w:rsidRPr="003D0799">
        <w:rPr>
          <w:lang w:val="fr-CH"/>
        </w:rPr>
        <w:t>'</w:t>
      </w:r>
      <w:r w:rsidR="00CB54BF" w:rsidRPr="003D0799">
        <w:rPr>
          <w:lang w:val="fr-CH"/>
        </w:rPr>
        <w:t xml:space="preserve">un montant de 150 000 000 CHF </w:t>
      </w:r>
      <w:r w:rsidR="00946460" w:rsidRPr="003D0799">
        <w:rPr>
          <w:lang w:val="fr-CH"/>
        </w:rPr>
        <w:t>–</w:t>
      </w:r>
      <w:r w:rsidR="00CB54BF" w:rsidRPr="003D0799">
        <w:rPr>
          <w:lang w:val="fr-CH"/>
        </w:rPr>
        <w:t xml:space="preserve"> comme indiqué au § 3.7 du présent rapport, la demande de prêt d</w:t>
      </w:r>
      <w:r w:rsidR="00F5358C" w:rsidRPr="003D0799">
        <w:rPr>
          <w:lang w:val="fr-CH"/>
        </w:rPr>
        <w:t>'</w:t>
      </w:r>
      <w:r w:rsidR="00CB54BF" w:rsidRPr="003D0799">
        <w:rPr>
          <w:lang w:val="fr-CH"/>
        </w:rPr>
        <w:t>un montant de 150 millions CHF a été soumise.</w:t>
      </w:r>
    </w:p>
    <w:p w14:paraId="02DD5D2B" w14:textId="420784B5" w:rsidR="00D1253C" w:rsidRPr="00202138" w:rsidRDefault="00281859" w:rsidP="00930348">
      <w:pPr>
        <w:pStyle w:val="enumlev1"/>
        <w:rPr>
          <w:lang w:val="fr-CH" w:eastAsia="ja-JP"/>
        </w:rPr>
      </w:pPr>
      <w:r w:rsidRPr="003D0799">
        <w:rPr>
          <w:lang w:val="fr-CH"/>
        </w:rPr>
        <w:t>•</w:t>
      </w:r>
      <w:r w:rsidRPr="003D0799">
        <w:rPr>
          <w:lang w:val="fr-CH"/>
        </w:rPr>
        <w:tab/>
      </w:r>
      <w:r w:rsidR="00FC20E4" w:rsidRPr="003D0799">
        <w:rPr>
          <w:lang w:val="fr-CH"/>
        </w:rPr>
        <w:t>le Fonds pour le nouveau bâtiment,</w:t>
      </w:r>
      <w:r w:rsidR="00FC20E4" w:rsidRPr="00202138">
        <w:rPr>
          <w:lang w:val="fr-CH"/>
        </w:rPr>
        <w:t xml:space="preserve"> d</w:t>
      </w:r>
      <w:r w:rsidR="00F5358C" w:rsidRPr="00202138">
        <w:rPr>
          <w:lang w:val="fr-CH"/>
        </w:rPr>
        <w:t>'</w:t>
      </w:r>
      <w:r w:rsidR="00FC20E4" w:rsidRPr="00202138">
        <w:rPr>
          <w:lang w:val="fr-CH"/>
        </w:rPr>
        <w:t>un montant de 5 000 000 CHF.</w:t>
      </w:r>
    </w:p>
    <w:p w14:paraId="014BE6E8" w14:textId="01ECA64F" w:rsidR="00D1253C" w:rsidRPr="00202138" w:rsidRDefault="00281859" w:rsidP="00930348">
      <w:pPr>
        <w:pStyle w:val="enumlev1"/>
        <w:spacing w:after="240"/>
        <w:rPr>
          <w:lang w:val="fr-CH"/>
        </w:rPr>
      </w:pPr>
      <w:r w:rsidRPr="00202138">
        <w:rPr>
          <w:lang w:val="fr-CH"/>
        </w:rPr>
        <w:t>•</w:t>
      </w:r>
      <w:r w:rsidRPr="00202138">
        <w:rPr>
          <w:lang w:val="fr-CH"/>
        </w:rPr>
        <w:tab/>
      </w:r>
      <w:r w:rsidR="008C373B" w:rsidRPr="00202138">
        <w:rPr>
          <w:lang w:val="fr-CH"/>
        </w:rPr>
        <w:t xml:space="preserve">des parrainages et dons à hauteur de 15 140 000 CHF </w:t>
      </w:r>
      <w:r w:rsidR="00946460" w:rsidRPr="00202138">
        <w:rPr>
          <w:lang w:val="fr-CH"/>
        </w:rPr>
        <w:t>–</w:t>
      </w:r>
      <w:r w:rsidR="008C373B" w:rsidRPr="00202138">
        <w:rPr>
          <w:lang w:val="fr-CH"/>
        </w:rPr>
        <w:t xml:space="preserve"> les fonds </w:t>
      </w:r>
      <w:r w:rsidR="009E75D5" w:rsidRPr="00202138">
        <w:rPr>
          <w:lang w:val="fr-CH"/>
        </w:rPr>
        <w:t xml:space="preserve">actuellement disponibles </w:t>
      </w:r>
      <w:r w:rsidR="008C373B" w:rsidRPr="00202138">
        <w:rPr>
          <w:lang w:val="fr-CH"/>
        </w:rPr>
        <w:t>qui ont effectivement été reçus au titre de parrainages et de dons</w:t>
      </w:r>
      <w:r w:rsidR="00B00021" w:rsidRPr="00202138">
        <w:rPr>
          <w:lang w:val="fr-CH"/>
        </w:rPr>
        <w:t xml:space="preserve"> se répartissent </w:t>
      </w:r>
      <w:r w:rsidR="008C373B" w:rsidRPr="00202138">
        <w:rPr>
          <w:lang w:val="fr-CH"/>
        </w:rPr>
        <w:t>comme suit:</w:t>
      </w:r>
    </w:p>
    <w:tbl>
      <w:tblPr>
        <w:tblW w:w="8794" w:type="dxa"/>
        <w:jc w:val="center"/>
        <w:tblCellMar>
          <w:left w:w="0" w:type="dxa"/>
          <w:right w:w="0" w:type="dxa"/>
        </w:tblCellMar>
        <w:tblLook w:val="04A0" w:firstRow="1" w:lastRow="0" w:firstColumn="1" w:lastColumn="0" w:noHBand="0" w:noVBand="1"/>
      </w:tblPr>
      <w:tblGrid>
        <w:gridCol w:w="2302"/>
        <w:gridCol w:w="4786"/>
        <w:gridCol w:w="1706"/>
      </w:tblGrid>
      <w:tr w:rsidR="008A324B" w:rsidRPr="00202138" w14:paraId="15F9037C" w14:textId="77777777" w:rsidTr="00A66AED">
        <w:trPr>
          <w:trHeight w:val="322"/>
          <w:jc w:val="center"/>
        </w:trPr>
        <w:tc>
          <w:tcPr>
            <w:tcW w:w="23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16C428C" w14:textId="77777777" w:rsidR="008A324B" w:rsidRPr="00202138" w:rsidRDefault="008A324B" w:rsidP="00930348">
            <w:pPr>
              <w:pStyle w:val="Tablehead"/>
              <w:rPr>
                <w:lang w:val="fr-CH" w:eastAsia="en-GB"/>
              </w:rPr>
            </w:pPr>
            <w:r w:rsidRPr="00202138">
              <w:rPr>
                <w:lang w:val="fr-CH" w:eastAsia="en-GB"/>
              </w:rPr>
              <w:t>Type de financement</w:t>
            </w:r>
          </w:p>
        </w:tc>
        <w:tc>
          <w:tcPr>
            <w:tcW w:w="478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141DB96" w14:textId="77777777" w:rsidR="008A324B" w:rsidRPr="00202138" w:rsidRDefault="008A324B" w:rsidP="00930348">
            <w:pPr>
              <w:pStyle w:val="Tablehead"/>
              <w:rPr>
                <w:lang w:val="fr-CH" w:eastAsia="en-GB"/>
              </w:rPr>
            </w:pPr>
            <w:r w:rsidRPr="00202138">
              <w:rPr>
                <w:lang w:val="fr-CH" w:eastAsia="en-GB"/>
              </w:rPr>
              <w:t>Pays</w:t>
            </w:r>
          </w:p>
        </w:tc>
        <w:tc>
          <w:tcPr>
            <w:tcW w:w="1706" w:type="dxa"/>
            <w:tcBorders>
              <w:top w:val="single" w:sz="4" w:space="0" w:color="auto"/>
              <w:left w:val="single" w:sz="4" w:space="0" w:color="auto"/>
              <w:bottom w:val="single" w:sz="4" w:space="0" w:color="auto"/>
              <w:right w:val="single" w:sz="4" w:space="0" w:color="auto"/>
            </w:tcBorders>
            <w:vAlign w:val="bottom"/>
          </w:tcPr>
          <w:p w14:paraId="3691E488" w14:textId="77777777" w:rsidR="008A324B" w:rsidRPr="00202138" w:rsidRDefault="008A324B" w:rsidP="00930348">
            <w:pPr>
              <w:pStyle w:val="Tablehead"/>
              <w:rPr>
                <w:lang w:val="fr-CH" w:eastAsia="en-GB"/>
              </w:rPr>
            </w:pPr>
            <w:r w:rsidRPr="00202138">
              <w:rPr>
                <w:lang w:val="fr-CH" w:eastAsia="en-GB"/>
              </w:rPr>
              <w:t>Montant reçu</w:t>
            </w:r>
          </w:p>
        </w:tc>
      </w:tr>
      <w:tr w:rsidR="008A324B" w:rsidRPr="00202138" w14:paraId="24880547" w14:textId="77777777" w:rsidTr="00A66AED">
        <w:trPr>
          <w:trHeight w:val="322"/>
          <w:jc w:val="center"/>
        </w:trPr>
        <w:tc>
          <w:tcPr>
            <w:tcW w:w="2302"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0D0769DE" w14:textId="77777777" w:rsidR="008A324B" w:rsidRPr="00202138" w:rsidRDefault="008A324B" w:rsidP="00930348">
            <w:pPr>
              <w:pStyle w:val="Tabletext"/>
              <w:rPr>
                <w:lang w:val="fr-CH" w:eastAsia="en-GB"/>
              </w:rPr>
            </w:pPr>
            <w:r w:rsidRPr="00202138">
              <w:rPr>
                <w:lang w:val="fr-CH" w:eastAsia="en-GB"/>
              </w:rPr>
              <w:t>Parrainage</w:t>
            </w:r>
          </w:p>
        </w:tc>
        <w:tc>
          <w:tcPr>
            <w:tcW w:w="4786"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70751780" w14:textId="77777777" w:rsidR="008A324B" w:rsidRPr="00202138" w:rsidRDefault="008A324B" w:rsidP="00930348">
            <w:pPr>
              <w:pStyle w:val="Tabletext"/>
              <w:rPr>
                <w:lang w:val="fr-CH" w:eastAsia="en-GB"/>
              </w:rPr>
            </w:pPr>
            <w:r w:rsidRPr="00202138">
              <w:rPr>
                <w:lang w:val="fr-CH" w:eastAsia="en-GB"/>
              </w:rPr>
              <w:t>Arabie saoudite (10 000 000 CHF)</w:t>
            </w:r>
          </w:p>
        </w:tc>
        <w:tc>
          <w:tcPr>
            <w:tcW w:w="1706" w:type="dxa"/>
            <w:tcBorders>
              <w:top w:val="single" w:sz="4" w:space="0" w:color="auto"/>
              <w:left w:val="single" w:sz="4" w:space="0" w:color="auto"/>
              <w:bottom w:val="dashSmallGap" w:sz="4" w:space="0" w:color="auto"/>
              <w:right w:val="single" w:sz="4" w:space="0" w:color="auto"/>
            </w:tcBorders>
            <w:vAlign w:val="center"/>
          </w:tcPr>
          <w:p w14:paraId="57138FFF" w14:textId="2D8EA924" w:rsidR="008A324B" w:rsidRPr="00202138" w:rsidRDefault="008A324B" w:rsidP="00930348">
            <w:pPr>
              <w:pStyle w:val="Tabletext"/>
              <w:jc w:val="center"/>
              <w:rPr>
                <w:lang w:val="fr-CH" w:eastAsia="en-GB"/>
              </w:rPr>
            </w:pPr>
            <w:r w:rsidRPr="00202138">
              <w:rPr>
                <w:lang w:val="fr-CH" w:eastAsia="en-GB"/>
              </w:rPr>
              <w:t>7 000 000,00</w:t>
            </w:r>
          </w:p>
        </w:tc>
      </w:tr>
      <w:tr w:rsidR="008A324B" w:rsidRPr="00202138" w14:paraId="68196C27" w14:textId="77777777" w:rsidTr="00A66AED">
        <w:trPr>
          <w:trHeight w:val="198"/>
          <w:jc w:val="center"/>
        </w:trPr>
        <w:tc>
          <w:tcPr>
            <w:tcW w:w="2302"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113F2DE4" w14:textId="77777777" w:rsidR="008A324B" w:rsidRPr="00202138" w:rsidRDefault="008A324B" w:rsidP="00930348">
            <w:pPr>
              <w:pStyle w:val="Tabletext"/>
              <w:rPr>
                <w:lang w:val="fr-CH" w:eastAsia="en-GB"/>
              </w:rPr>
            </w:pPr>
            <w:r w:rsidRPr="00202138">
              <w:rPr>
                <w:lang w:val="fr-CH" w:eastAsia="en-GB"/>
              </w:rPr>
              <w:t>Parrainage</w:t>
            </w:r>
          </w:p>
        </w:tc>
        <w:tc>
          <w:tcPr>
            <w:tcW w:w="4786"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3FD0470A" w14:textId="77777777" w:rsidR="008A324B" w:rsidRPr="00202138" w:rsidRDefault="008A324B" w:rsidP="00930348">
            <w:pPr>
              <w:pStyle w:val="Tabletext"/>
              <w:rPr>
                <w:lang w:val="fr-CH" w:eastAsia="en-GB"/>
              </w:rPr>
            </w:pPr>
            <w:r w:rsidRPr="00202138">
              <w:rPr>
                <w:lang w:val="fr-CH" w:eastAsia="en-GB"/>
              </w:rPr>
              <w:t>Émirats arabes unis (5 000 000 CHF)</w:t>
            </w:r>
          </w:p>
        </w:tc>
        <w:tc>
          <w:tcPr>
            <w:tcW w:w="1706" w:type="dxa"/>
            <w:tcBorders>
              <w:top w:val="dashSmallGap" w:sz="4" w:space="0" w:color="auto"/>
              <w:left w:val="single" w:sz="4" w:space="0" w:color="auto"/>
              <w:bottom w:val="dashSmallGap" w:sz="4" w:space="0" w:color="auto"/>
              <w:right w:val="single" w:sz="4" w:space="0" w:color="auto"/>
            </w:tcBorders>
            <w:vAlign w:val="center"/>
          </w:tcPr>
          <w:p w14:paraId="344221DA" w14:textId="543556D5" w:rsidR="008A324B" w:rsidRPr="00202138" w:rsidRDefault="008A324B" w:rsidP="00930348">
            <w:pPr>
              <w:pStyle w:val="Tabletext"/>
              <w:jc w:val="center"/>
              <w:rPr>
                <w:lang w:val="fr-CH" w:eastAsia="en-GB"/>
              </w:rPr>
            </w:pPr>
            <w:r w:rsidRPr="00202138">
              <w:rPr>
                <w:lang w:val="fr-CH" w:eastAsia="en-GB"/>
              </w:rPr>
              <w:t>3 000 000,00</w:t>
            </w:r>
          </w:p>
        </w:tc>
      </w:tr>
      <w:tr w:rsidR="008A324B" w:rsidRPr="00202138" w14:paraId="6EA36F4C" w14:textId="77777777" w:rsidTr="00A66AED">
        <w:trPr>
          <w:trHeight w:val="300"/>
          <w:jc w:val="center"/>
        </w:trPr>
        <w:tc>
          <w:tcPr>
            <w:tcW w:w="2302"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32570AB5" w14:textId="77777777" w:rsidR="008A324B" w:rsidRPr="00202138" w:rsidRDefault="008A324B" w:rsidP="00930348">
            <w:pPr>
              <w:pStyle w:val="Tabletext"/>
              <w:rPr>
                <w:lang w:val="fr-CH" w:eastAsia="en-GB"/>
              </w:rPr>
            </w:pPr>
            <w:r w:rsidRPr="00202138">
              <w:rPr>
                <w:lang w:val="fr-CH" w:eastAsia="en-GB"/>
              </w:rPr>
              <w:t>Don</w:t>
            </w:r>
          </w:p>
        </w:tc>
        <w:tc>
          <w:tcPr>
            <w:tcW w:w="4786"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504282DE" w14:textId="77777777" w:rsidR="008A324B" w:rsidRPr="00202138" w:rsidRDefault="008A324B" w:rsidP="00930348">
            <w:pPr>
              <w:pStyle w:val="Tabletext"/>
              <w:rPr>
                <w:lang w:val="fr-CH" w:eastAsia="en-GB"/>
              </w:rPr>
            </w:pPr>
            <w:r w:rsidRPr="00202138">
              <w:rPr>
                <w:lang w:val="fr-CH" w:eastAsia="en-GB"/>
              </w:rPr>
              <w:t>République tchèque (100 000 USD)</w:t>
            </w:r>
          </w:p>
        </w:tc>
        <w:tc>
          <w:tcPr>
            <w:tcW w:w="1706" w:type="dxa"/>
            <w:tcBorders>
              <w:top w:val="dashSmallGap" w:sz="4" w:space="0" w:color="auto"/>
              <w:left w:val="single" w:sz="4" w:space="0" w:color="auto"/>
              <w:bottom w:val="dashSmallGap" w:sz="4" w:space="0" w:color="auto"/>
              <w:right w:val="single" w:sz="4" w:space="0" w:color="auto"/>
            </w:tcBorders>
            <w:vAlign w:val="center"/>
          </w:tcPr>
          <w:p w14:paraId="22A35292" w14:textId="77777777" w:rsidR="008A324B" w:rsidRPr="00202138" w:rsidRDefault="008A324B" w:rsidP="00930348">
            <w:pPr>
              <w:pStyle w:val="Tabletext"/>
              <w:jc w:val="center"/>
              <w:rPr>
                <w:lang w:val="fr-CH" w:eastAsia="en-GB"/>
              </w:rPr>
            </w:pPr>
            <w:r w:rsidRPr="00202138">
              <w:rPr>
                <w:lang w:val="fr-CH" w:eastAsia="en-GB"/>
              </w:rPr>
              <w:t>95 251,40</w:t>
            </w:r>
          </w:p>
        </w:tc>
      </w:tr>
      <w:tr w:rsidR="008A324B" w:rsidRPr="00202138" w14:paraId="4A84DAE6" w14:textId="77777777" w:rsidTr="00A66AED">
        <w:trPr>
          <w:trHeight w:val="300"/>
          <w:jc w:val="center"/>
        </w:trPr>
        <w:tc>
          <w:tcPr>
            <w:tcW w:w="2302"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0EF1A2A9" w14:textId="77777777" w:rsidR="008A324B" w:rsidRPr="00202138" w:rsidRDefault="008A324B" w:rsidP="00930348">
            <w:pPr>
              <w:pStyle w:val="Tabletext"/>
              <w:rPr>
                <w:lang w:val="fr-CH" w:eastAsia="en-GB"/>
              </w:rPr>
            </w:pPr>
            <w:r w:rsidRPr="00202138">
              <w:rPr>
                <w:lang w:val="fr-CH" w:eastAsia="en-GB"/>
              </w:rPr>
              <w:t>Don</w:t>
            </w:r>
          </w:p>
        </w:tc>
        <w:tc>
          <w:tcPr>
            <w:tcW w:w="4786"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66F9DE2C" w14:textId="024C56B6" w:rsidR="008A324B" w:rsidRPr="00202138" w:rsidRDefault="008A324B" w:rsidP="00930348">
            <w:pPr>
              <w:pStyle w:val="Tabletext"/>
              <w:rPr>
                <w:lang w:val="fr-CH" w:eastAsia="en-GB"/>
              </w:rPr>
            </w:pPr>
            <w:r w:rsidRPr="00202138">
              <w:rPr>
                <w:lang w:val="fr-CH" w:eastAsia="en-GB"/>
              </w:rPr>
              <w:t>Ghana (40 000 USD)</w:t>
            </w:r>
          </w:p>
        </w:tc>
        <w:tc>
          <w:tcPr>
            <w:tcW w:w="1706" w:type="dxa"/>
            <w:tcBorders>
              <w:top w:val="dashSmallGap" w:sz="4" w:space="0" w:color="auto"/>
              <w:left w:val="single" w:sz="4" w:space="0" w:color="auto"/>
              <w:bottom w:val="dashSmallGap" w:sz="4" w:space="0" w:color="auto"/>
              <w:right w:val="single" w:sz="4" w:space="0" w:color="auto"/>
            </w:tcBorders>
            <w:vAlign w:val="center"/>
          </w:tcPr>
          <w:p w14:paraId="1ACD2158" w14:textId="544CE296" w:rsidR="008A324B" w:rsidRPr="00202138" w:rsidRDefault="008A324B" w:rsidP="00930348">
            <w:pPr>
              <w:pStyle w:val="Tabletext"/>
              <w:jc w:val="center"/>
              <w:rPr>
                <w:lang w:val="fr-CH" w:eastAsia="en-GB"/>
              </w:rPr>
            </w:pPr>
            <w:r w:rsidRPr="00202138">
              <w:rPr>
                <w:lang w:val="fr-CH" w:eastAsia="en-GB"/>
              </w:rPr>
              <w:t>39 920,16</w:t>
            </w:r>
          </w:p>
        </w:tc>
      </w:tr>
      <w:tr w:rsidR="008A324B" w:rsidRPr="00202138" w14:paraId="79DF2876" w14:textId="77777777" w:rsidTr="00A66AED">
        <w:trPr>
          <w:trHeight w:val="300"/>
          <w:jc w:val="center"/>
        </w:trPr>
        <w:tc>
          <w:tcPr>
            <w:tcW w:w="2302"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65CE90A7" w14:textId="77777777" w:rsidR="008A324B" w:rsidRPr="00202138" w:rsidRDefault="008A324B" w:rsidP="00930348">
            <w:pPr>
              <w:pStyle w:val="Tabletext"/>
              <w:rPr>
                <w:lang w:val="fr-CH" w:eastAsia="en-GB"/>
              </w:rPr>
            </w:pPr>
            <w:r w:rsidRPr="00202138">
              <w:rPr>
                <w:lang w:val="fr-CH" w:eastAsia="en-GB"/>
              </w:rPr>
              <w:t>Autre</w:t>
            </w:r>
          </w:p>
        </w:tc>
        <w:tc>
          <w:tcPr>
            <w:tcW w:w="4786"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905479" w14:textId="103FB5FC" w:rsidR="008A324B" w:rsidRPr="00202138" w:rsidRDefault="008A324B" w:rsidP="00930348">
            <w:pPr>
              <w:pStyle w:val="Tabletext"/>
              <w:rPr>
                <w:lang w:val="fr-CH" w:eastAsia="en-GB"/>
              </w:rPr>
            </w:pPr>
            <w:r w:rsidRPr="00202138">
              <w:rPr>
                <w:lang w:val="fr-CH" w:eastAsia="en-GB"/>
              </w:rPr>
              <w:t>Frais d'inscription au concours d'architecture (CHF)</w:t>
            </w:r>
          </w:p>
        </w:tc>
        <w:tc>
          <w:tcPr>
            <w:tcW w:w="1706" w:type="dxa"/>
            <w:tcBorders>
              <w:top w:val="dashSmallGap" w:sz="4" w:space="0" w:color="auto"/>
              <w:left w:val="single" w:sz="4" w:space="0" w:color="auto"/>
              <w:bottom w:val="single" w:sz="4" w:space="0" w:color="auto"/>
              <w:right w:val="single" w:sz="4" w:space="0" w:color="auto"/>
            </w:tcBorders>
            <w:vAlign w:val="center"/>
          </w:tcPr>
          <w:p w14:paraId="7C057ED2" w14:textId="77777777" w:rsidR="008A324B" w:rsidRPr="00202138" w:rsidRDefault="008A324B" w:rsidP="00930348">
            <w:pPr>
              <w:pStyle w:val="Tabletext"/>
              <w:jc w:val="center"/>
              <w:rPr>
                <w:lang w:val="fr-CH" w:eastAsia="en-GB"/>
              </w:rPr>
            </w:pPr>
            <w:r w:rsidRPr="00202138">
              <w:rPr>
                <w:lang w:val="fr-CH" w:eastAsia="en-GB"/>
              </w:rPr>
              <w:t>46 935,47</w:t>
            </w:r>
          </w:p>
        </w:tc>
      </w:tr>
      <w:tr w:rsidR="008A324B" w:rsidRPr="00202138" w14:paraId="255674A4" w14:textId="77777777" w:rsidTr="00A66AED">
        <w:trPr>
          <w:trHeight w:val="300"/>
          <w:jc w:val="center"/>
        </w:trPr>
        <w:tc>
          <w:tcPr>
            <w:tcW w:w="2302" w:type="dxa"/>
            <w:noWrap/>
            <w:tcMar>
              <w:top w:w="0" w:type="dxa"/>
              <w:left w:w="108" w:type="dxa"/>
              <w:bottom w:w="0" w:type="dxa"/>
              <w:right w:w="108" w:type="dxa"/>
            </w:tcMar>
            <w:vAlign w:val="bottom"/>
            <w:hideMark/>
          </w:tcPr>
          <w:p w14:paraId="01201F8C" w14:textId="77777777" w:rsidR="008A324B" w:rsidRPr="00202138" w:rsidRDefault="008A324B" w:rsidP="00930348">
            <w:pPr>
              <w:pStyle w:val="Tabletext"/>
              <w:rPr>
                <w:rFonts w:eastAsiaTheme="minorHAnsi"/>
                <w:szCs w:val="22"/>
                <w:lang w:val="fr-CH" w:eastAsia="en-GB"/>
              </w:rPr>
            </w:pPr>
          </w:p>
        </w:tc>
        <w:tc>
          <w:tcPr>
            <w:tcW w:w="4786" w:type="dxa"/>
            <w:noWrap/>
            <w:tcMar>
              <w:top w:w="0" w:type="dxa"/>
              <w:left w:w="108" w:type="dxa"/>
              <w:bottom w:w="0" w:type="dxa"/>
              <w:right w:w="108" w:type="dxa"/>
            </w:tcMar>
            <w:vAlign w:val="bottom"/>
            <w:hideMark/>
          </w:tcPr>
          <w:p w14:paraId="4866E7E5" w14:textId="77777777" w:rsidR="008A324B" w:rsidRPr="00202138" w:rsidRDefault="008A324B" w:rsidP="00930348">
            <w:pPr>
              <w:pStyle w:val="Tabletext"/>
              <w:jc w:val="right"/>
              <w:rPr>
                <w:b/>
                <w:bCs/>
                <w:lang w:val="fr-CH" w:eastAsia="en-GB"/>
              </w:rPr>
            </w:pPr>
            <w:r w:rsidRPr="00202138">
              <w:rPr>
                <w:b/>
                <w:bCs/>
                <w:lang w:val="fr-CH" w:eastAsia="en-GB"/>
              </w:rPr>
              <w:t>Total en CHF</w:t>
            </w:r>
          </w:p>
        </w:tc>
        <w:tc>
          <w:tcPr>
            <w:tcW w:w="1706" w:type="dxa"/>
            <w:vAlign w:val="center"/>
          </w:tcPr>
          <w:p w14:paraId="2EDB1236" w14:textId="10E69829" w:rsidR="008A324B" w:rsidRPr="00202138" w:rsidRDefault="008A324B" w:rsidP="00930348">
            <w:pPr>
              <w:pStyle w:val="Tabletext"/>
              <w:jc w:val="center"/>
              <w:rPr>
                <w:b/>
                <w:bCs/>
                <w:lang w:val="fr-CH" w:eastAsia="en-GB"/>
              </w:rPr>
            </w:pPr>
            <w:r w:rsidRPr="00202138">
              <w:rPr>
                <w:b/>
                <w:bCs/>
                <w:lang w:val="fr-CH" w:eastAsia="en-GB"/>
              </w:rPr>
              <w:t>10 182 107,03</w:t>
            </w:r>
          </w:p>
        </w:tc>
      </w:tr>
    </w:tbl>
    <w:p w14:paraId="381745E0" w14:textId="64097AA1" w:rsidR="00D1253C" w:rsidRPr="00202138" w:rsidRDefault="006509F4" w:rsidP="00930348">
      <w:pPr>
        <w:rPr>
          <w:rFonts w:asciiTheme="minorHAnsi" w:hAnsiTheme="minorHAnsi" w:cstheme="minorHAnsi"/>
          <w:color w:val="000000" w:themeColor="text1"/>
          <w:lang w:val="fr-CH"/>
        </w:rPr>
      </w:pPr>
      <w:r w:rsidRPr="00202138">
        <w:rPr>
          <w:rFonts w:asciiTheme="minorHAnsi" w:hAnsiTheme="minorHAnsi" w:cstheme="minorHAnsi"/>
          <w:color w:val="000000" w:themeColor="text1"/>
          <w:lang w:val="fr-CH" w:eastAsia="ja-JP"/>
        </w:rPr>
        <w:lastRenderedPageBreak/>
        <w:t xml:space="preserve">Lors de la session </w:t>
      </w:r>
      <w:r w:rsidR="007B4CFF" w:rsidRPr="00202138">
        <w:rPr>
          <w:rFonts w:asciiTheme="minorHAnsi" w:hAnsiTheme="minorHAnsi" w:cstheme="minorHAnsi"/>
          <w:color w:val="000000" w:themeColor="text1"/>
          <w:lang w:val="fr-CH" w:eastAsia="ja-JP"/>
        </w:rPr>
        <w:t>additionnelle</w:t>
      </w:r>
      <w:r w:rsidRPr="00202138">
        <w:rPr>
          <w:rFonts w:asciiTheme="minorHAnsi" w:hAnsiTheme="minorHAnsi" w:cstheme="minorHAnsi"/>
          <w:color w:val="000000" w:themeColor="text1"/>
          <w:lang w:val="fr-CH" w:eastAsia="ja-JP"/>
        </w:rPr>
        <w:t xml:space="preserve"> qu</w:t>
      </w:r>
      <w:r w:rsidR="00F5358C" w:rsidRPr="00202138">
        <w:rPr>
          <w:rFonts w:asciiTheme="minorHAnsi" w:hAnsiTheme="minorHAnsi" w:cstheme="minorHAnsi"/>
          <w:color w:val="000000" w:themeColor="text1"/>
          <w:lang w:val="fr-CH" w:eastAsia="ja-JP"/>
        </w:rPr>
        <w:t>'</w:t>
      </w:r>
      <w:r w:rsidRPr="00202138">
        <w:rPr>
          <w:rFonts w:asciiTheme="minorHAnsi" w:hAnsiTheme="minorHAnsi" w:cstheme="minorHAnsi"/>
          <w:color w:val="000000" w:themeColor="text1"/>
          <w:lang w:val="fr-CH" w:eastAsia="ja-JP"/>
        </w:rPr>
        <w:t xml:space="preserve">il a tenue en septembre 2019, le Conseil a décidé de créer un Fonds pour le registre des risques (point 3 du </w:t>
      </w:r>
      <w:r w:rsidRPr="00202138">
        <w:rPr>
          <w:rFonts w:asciiTheme="minorHAnsi" w:hAnsiTheme="minorHAnsi" w:cstheme="minorHAnsi"/>
          <w:i/>
          <w:color w:val="000000" w:themeColor="text1"/>
          <w:lang w:val="fr-CH" w:eastAsia="ja-JP"/>
        </w:rPr>
        <w:t>décide</w:t>
      </w:r>
      <w:r w:rsidRPr="00202138">
        <w:rPr>
          <w:rFonts w:asciiTheme="minorHAnsi" w:hAnsiTheme="minorHAnsi" w:cstheme="minorHAnsi"/>
          <w:color w:val="000000" w:themeColor="text1"/>
          <w:lang w:val="fr-CH" w:eastAsia="ja-JP"/>
        </w:rPr>
        <w:t xml:space="preserve"> de la Décision 619) visant à prévoir une garantie financière additionnelle pour compenser les risques non atténuables, qui sera financé au titre de décisions ultérieures du Conseil</w:t>
      </w:r>
      <w:r w:rsidR="00B00021" w:rsidRPr="00202138">
        <w:rPr>
          <w:rFonts w:asciiTheme="minorHAnsi" w:hAnsiTheme="minorHAnsi" w:cstheme="minorHAnsi"/>
          <w:color w:val="000000" w:themeColor="text1"/>
          <w:lang w:val="fr-CH" w:eastAsia="ja-JP"/>
        </w:rPr>
        <w:t xml:space="preserve"> à compter </w:t>
      </w:r>
      <w:r w:rsidRPr="00202138">
        <w:rPr>
          <w:rFonts w:asciiTheme="minorHAnsi" w:hAnsiTheme="minorHAnsi" w:cstheme="minorHAnsi"/>
          <w:color w:val="000000" w:themeColor="text1"/>
          <w:lang w:val="fr-CH" w:eastAsia="ja-JP"/>
        </w:rPr>
        <w:t>de 2020.</w:t>
      </w:r>
      <w:r w:rsidR="00281859" w:rsidRPr="00202138">
        <w:rPr>
          <w:rFonts w:asciiTheme="minorHAnsi" w:hAnsiTheme="minorHAnsi" w:cstheme="minorHAnsi"/>
          <w:color w:val="000000" w:themeColor="text1"/>
          <w:lang w:val="fr-CH"/>
        </w:rPr>
        <w:t xml:space="preserve"> </w:t>
      </w:r>
      <w:r w:rsidR="005C0945" w:rsidRPr="00202138">
        <w:rPr>
          <w:rFonts w:asciiTheme="minorHAnsi" w:hAnsiTheme="minorHAnsi" w:cstheme="minorHAnsi"/>
          <w:color w:val="000000" w:themeColor="text1"/>
          <w:lang w:val="fr-CH"/>
        </w:rPr>
        <w:t xml:space="preserve">Un montant de 1 425 000 CHF est actuellement affecté </w:t>
      </w:r>
      <w:r w:rsidR="00B00021" w:rsidRPr="00202138">
        <w:rPr>
          <w:rFonts w:asciiTheme="minorHAnsi" w:hAnsiTheme="minorHAnsi" w:cstheme="minorHAnsi"/>
          <w:color w:val="000000" w:themeColor="text1"/>
          <w:lang w:val="fr-CH"/>
        </w:rPr>
        <w:t>au</w:t>
      </w:r>
      <w:r w:rsidR="005C0945" w:rsidRPr="00202138">
        <w:rPr>
          <w:rFonts w:asciiTheme="minorHAnsi" w:hAnsiTheme="minorHAnsi" w:cstheme="minorHAnsi"/>
          <w:color w:val="000000" w:themeColor="text1"/>
          <w:lang w:val="fr-CH"/>
        </w:rPr>
        <w:t xml:space="preserve"> Fonds pour le registre des risques.</w:t>
      </w:r>
    </w:p>
    <w:p w14:paraId="6FE0832E" w14:textId="6FADFF06" w:rsidR="00CE5F09" w:rsidRPr="00202138" w:rsidRDefault="00281859" w:rsidP="00930348">
      <w:pPr>
        <w:pStyle w:val="Heading2"/>
        <w:rPr>
          <w:lang w:val="fr-CH"/>
        </w:rPr>
      </w:pPr>
      <w:r w:rsidRPr="00202138">
        <w:rPr>
          <w:lang w:val="fr-CH"/>
        </w:rPr>
        <w:t>4.2</w:t>
      </w:r>
      <w:r w:rsidRPr="00202138">
        <w:rPr>
          <w:lang w:val="fr-CH"/>
        </w:rPr>
        <w:tab/>
      </w:r>
      <w:r w:rsidR="0042234B" w:rsidRPr="00202138">
        <w:rPr>
          <w:lang w:val="fr-CH"/>
        </w:rPr>
        <w:t>Flux de trésorerie</w:t>
      </w:r>
    </w:p>
    <w:p w14:paraId="13156FA1" w14:textId="5B4B9208" w:rsidR="00CE5F09" w:rsidRPr="00202138" w:rsidRDefault="00791E54" w:rsidP="00930348">
      <w:pPr>
        <w:rPr>
          <w:lang w:val="fr-CH" w:eastAsia="zh-CN"/>
        </w:rPr>
      </w:pPr>
      <w:r w:rsidRPr="00202138">
        <w:rPr>
          <w:lang w:val="fr-CH" w:eastAsia="zh-CN"/>
        </w:rPr>
        <w:t>L</w:t>
      </w:r>
      <w:r w:rsidR="00F5358C" w:rsidRPr="00202138">
        <w:rPr>
          <w:lang w:val="fr-CH" w:eastAsia="zh-CN"/>
        </w:rPr>
        <w:t>'</w:t>
      </w:r>
      <w:r w:rsidRPr="00202138">
        <w:rPr>
          <w:lang w:val="fr-CH" w:eastAsia="zh-CN"/>
        </w:rPr>
        <w:t>un des aspects les plus essentiel</w:t>
      </w:r>
      <w:r w:rsidR="009E75D5" w:rsidRPr="00202138">
        <w:rPr>
          <w:lang w:val="fr-CH" w:eastAsia="zh-CN"/>
        </w:rPr>
        <w:t>s</w:t>
      </w:r>
      <w:r w:rsidRPr="00202138">
        <w:rPr>
          <w:lang w:val="fr-CH" w:eastAsia="zh-CN"/>
        </w:rPr>
        <w:t xml:space="preserve"> de ce projet tient aux flux de trésorerie</w:t>
      </w:r>
      <w:r w:rsidR="007B4CFF" w:rsidRPr="00202138">
        <w:rPr>
          <w:lang w:val="fr-CH" w:eastAsia="zh-CN"/>
        </w:rPr>
        <w:t xml:space="preserve"> (voir </w:t>
      </w:r>
      <w:r w:rsidR="007B4CFF" w:rsidRPr="00552A56">
        <w:rPr>
          <w:lang w:val="fr-CH" w:eastAsia="zh-CN"/>
        </w:rPr>
        <w:t>l'</w:t>
      </w:r>
      <w:hyperlink w:anchor="AnnexeB" w:history="1">
        <w:r w:rsidR="007B4CFF" w:rsidRPr="00552A56">
          <w:rPr>
            <w:rStyle w:val="Hyperlink"/>
            <w:lang w:val="fr-CH" w:eastAsia="zh-CN"/>
          </w:rPr>
          <w:t>An</w:t>
        </w:r>
        <w:r w:rsidR="007B4CFF" w:rsidRPr="00552A56">
          <w:rPr>
            <w:rStyle w:val="Hyperlink"/>
            <w:lang w:val="fr-CH" w:eastAsia="zh-CN"/>
          </w:rPr>
          <w:t>n</w:t>
        </w:r>
        <w:r w:rsidR="007B4CFF" w:rsidRPr="00552A56">
          <w:rPr>
            <w:rStyle w:val="Hyperlink"/>
            <w:lang w:val="fr-CH" w:eastAsia="zh-CN"/>
          </w:rPr>
          <w:t>exe B</w:t>
        </w:r>
      </w:hyperlink>
      <w:r w:rsidR="007B4CFF" w:rsidRPr="00552A56">
        <w:rPr>
          <w:lang w:val="fr-CH" w:eastAsia="zh-CN"/>
        </w:rPr>
        <w:t>)</w:t>
      </w:r>
      <w:r w:rsidRPr="00552A56">
        <w:rPr>
          <w:lang w:val="fr-CH" w:eastAsia="zh-CN"/>
        </w:rPr>
        <w:t xml:space="preserve"> et</w:t>
      </w:r>
      <w:r w:rsidRPr="00202138">
        <w:rPr>
          <w:lang w:val="fr-CH" w:eastAsia="zh-CN"/>
        </w:rPr>
        <w:t xml:space="preserve"> au suivi de ces flux de trésorerie effectué par Hill International.</w:t>
      </w:r>
      <w:r w:rsidR="00281859" w:rsidRPr="00202138">
        <w:rPr>
          <w:lang w:val="fr-CH" w:eastAsia="zh-CN"/>
        </w:rPr>
        <w:t xml:space="preserve"> </w:t>
      </w:r>
      <w:r w:rsidR="00CD3711" w:rsidRPr="00202138">
        <w:rPr>
          <w:lang w:val="fr-CH" w:eastAsia="zh-CN"/>
        </w:rPr>
        <w:t xml:space="preserve">Les flux de trésorerie permettent de donner </w:t>
      </w:r>
      <w:r w:rsidR="00B00021" w:rsidRPr="00202138">
        <w:rPr>
          <w:lang w:val="fr-CH" w:eastAsia="zh-CN"/>
        </w:rPr>
        <w:t xml:space="preserve">rapidement </w:t>
      </w:r>
      <w:r w:rsidR="00CD3711" w:rsidRPr="00202138">
        <w:rPr>
          <w:lang w:val="fr-CH" w:eastAsia="zh-CN"/>
        </w:rPr>
        <w:t>une indication claire</w:t>
      </w:r>
      <w:r w:rsidR="00BD7976" w:rsidRPr="00202138">
        <w:rPr>
          <w:lang w:val="fr-CH" w:eastAsia="zh-CN"/>
        </w:rPr>
        <w:t xml:space="preserve"> </w:t>
      </w:r>
      <w:r w:rsidR="00CD3711" w:rsidRPr="00202138">
        <w:rPr>
          <w:lang w:val="fr-CH" w:eastAsia="zh-CN"/>
        </w:rPr>
        <w:t>lorsqu</w:t>
      </w:r>
      <w:r w:rsidR="00F5358C" w:rsidRPr="00202138">
        <w:rPr>
          <w:lang w:val="fr-CH" w:eastAsia="zh-CN"/>
        </w:rPr>
        <w:t>'</w:t>
      </w:r>
      <w:r w:rsidR="00CD3711" w:rsidRPr="00202138">
        <w:rPr>
          <w:lang w:val="fr-CH" w:eastAsia="zh-CN"/>
        </w:rPr>
        <w:t>un projet commence à s</w:t>
      </w:r>
      <w:r w:rsidR="00F5358C" w:rsidRPr="00202138">
        <w:rPr>
          <w:lang w:val="fr-CH" w:eastAsia="zh-CN"/>
        </w:rPr>
        <w:t>'</w:t>
      </w:r>
      <w:r w:rsidR="00CD3711" w:rsidRPr="00202138">
        <w:rPr>
          <w:lang w:val="fr-CH" w:eastAsia="zh-CN"/>
        </w:rPr>
        <w:t xml:space="preserve">écarter </w:t>
      </w:r>
      <w:r w:rsidR="009E75D5" w:rsidRPr="00202138">
        <w:rPr>
          <w:lang w:val="fr-CH" w:eastAsia="zh-CN"/>
        </w:rPr>
        <w:t>de la progression attendue</w:t>
      </w:r>
      <w:r w:rsidR="00CD3711" w:rsidRPr="00202138">
        <w:rPr>
          <w:lang w:val="fr-CH" w:eastAsia="zh-CN"/>
        </w:rPr>
        <w:t>.</w:t>
      </w:r>
      <w:r w:rsidR="00281859" w:rsidRPr="00202138">
        <w:rPr>
          <w:lang w:val="fr-CH" w:eastAsia="zh-CN"/>
        </w:rPr>
        <w:t xml:space="preserve"> </w:t>
      </w:r>
      <w:r w:rsidR="00A638EE" w:rsidRPr="00202138">
        <w:rPr>
          <w:lang w:val="fr-CH" w:eastAsia="zh-CN"/>
        </w:rPr>
        <w:t>Afin d</w:t>
      </w:r>
      <w:r w:rsidR="00F5358C" w:rsidRPr="00202138">
        <w:rPr>
          <w:lang w:val="fr-CH" w:eastAsia="zh-CN"/>
        </w:rPr>
        <w:t>'</w:t>
      </w:r>
      <w:r w:rsidR="00A638EE" w:rsidRPr="00202138">
        <w:rPr>
          <w:lang w:val="fr-CH" w:eastAsia="zh-CN"/>
        </w:rPr>
        <w:t xml:space="preserve">éviter un tel écart, un rapport éprouvé visant à représenter les </w:t>
      </w:r>
      <w:r w:rsidR="009E75D5" w:rsidRPr="00202138">
        <w:rPr>
          <w:lang w:val="fr-CH" w:eastAsia="zh-CN"/>
        </w:rPr>
        <w:t>progrès</w:t>
      </w:r>
      <w:r w:rsidR="00A638EE" w:rsidRPr="00202138">
        <w:rPr>
          <w:lang w:val="fr-CH" w:eastAsia="zh-CN"/>
        </w:rPr>
        <w:t xml:space="preserve"> </w:t>
      </w:r>
      <w:r w:rsidR="009E75D5" w:rsidRPr="00202138">
        <w:rPr>
          <w:lang w:val="fr-CH" w:eastAsia="zh-CN"/>
        </w:rPr>
        <w:t>prévus</w:t>
      </w:r>
      <w:r w:rsidR="00A638EE" w:rsidRPr="00202138">
        <w:rPr>
          <w:lang w:val="fr-CH" w:eastAsia="zh-CN"/>
        </w:rPr>
        <w:t xml:space="preserve"> et les </w:t>
      </w:r>
      <w:r w:rsidR="009E75D5" w:rsidRPr="00202138">
        <w:rPr>
          <w:lang w:val="fr-CH" w:eastAsia="zh-CN"/>
        </w:rPr>
        <w:t>progrès</w:t>
      </w:r>
      <w:r w:rsidR="00A638EE" w:rsidRPr="00202138">
        <w:rPr>
          <w:lang w:val="fr-CH" w:eastAsia="zh-CN"/>
        </w:rPr>
        <w:t xml:space="preserve"> effectifs sous la forme d</w:t>
      </w:r>
      <w:r w:rsidR="00F5358C" w:rsidRPr="00202138">
        <w:rPr>
          <w:lang w:val="fr-CH" w:eastAsia="zh-CN"/>
        </w:rPr>
        <w:t>'</w:t>
      </w:r>
      <w:r w:rsidR="00A638EE" w:rsidRPr="00202138">
        <w:rPr>
          <w:lang w:val="fr-CH" w:eastAsia="zh-CN"/>
        </w:rPr>
        <w:t>un graphique, y compris les variations raisonnables, est utilisé pour identifier rapidement les problèmes éventuels</w:t>
      </w:r>
      <w:r w:rsidR="009E75D5" w:rsidRPr="00202138">
        <w:rPr>
          <w:lang w:val="fr-CH" w:eastAsia="zh-CN"/>
        </w:rPr>
        <w:t xml:space="preserve"> de façon que des </w:t>
      </w:r>
      <w:r w:rsidR="00A638EE" w:rsidRPr="00202138">
        <w:rPr>
          <w:lang w:val="fr-CH" w:eastAsia="zh-CN"/>
        </w:rPr>
        <w:t>mesures d</w:t>
      </w:r>
      <w:r w:rsidR="00F5358C" w:rsidRPr="00202138">
        <w:rPr>
          <w:lang w:val="fr-CH" w:eastAsia="zh-CN"/>
        </w:rPr>
        <w:t>'</w:t>
      </w:r>
      <w:r w:rsidR="00A638EE" w:rsidRPr="00202138">
        <w:rPr>
          <w:lang w:val="fr-CH" w:eastAsia="zh-CN"/>
        </w:rPr>
        <w:t>atténuation</w:t>
      </w:r>
      <w:r w:rsidR="009E75D5" w:rsidRPr="00202138">
        <w:rPr>
          <w:lang w:val="fr-CH" w:eastAsia="zh-CN"/>
        </w:rPr>
        <w:t xml:space="preserve"> puissent être mises en œuvre</w:t>
      </w:r>
      <w:r w:rsidR="00A638EE" w:rsidRPr="00202138">
        <w:rPr>
          <w:lang w:val="fr-CH" w:eastAsia="zh-CN"/>
        </w:rPr>
        <w:t>.</w:t>
      </w:r>
    </w:p>
    <w:p w14:paraId="386826F7" w14:textId="4B24CE91" w:rsidR="00CE5F09" w:rsidRPr="00202138" w:rsidRDefault="00850028" w:rsidP="00930348">
      <w:pPr>
        <w:keepLines/>
        <w:rPr>
          <w:lang w:val="fr-CH" w:eastAsia="zh-CN"/>
        </w:rPr>
      </w:pPr>
      <w:r w:rsidRPr="00202138">
        <w:rPr>
          <w:lang w:val="fr-CH" w:eastAsia="zh-CN"/>
        </w:rPr>
        <w:t>À l</w:t>
      </w:r>
      <w:r w:rsidR="00F5358C" w:rsidRPr="00202138">
        <w:rPr>
          <w:lang w:val="fr-CH" w:eastAsia="zh-CN"/>
        </w:rPr>
        <w:t>'</w:t>
      </w:r>
      <w:r w:rsidRPr="00202138">
        <w:rPr>
          <w:lang w:val="fr-CH" w:eastAsia="zh-CN"/>
        </w:rPr>
        <w:t>heure actuelle, les activités menées au titre du projet sont financées</w:t>
      </w:r>
      <w:r w:rsidR="00B00021" w:rsidRPr="00202138">
        <w:rPr>
          <w:lang w:val="fr-CH" w:eastAsia="zh-CN"/>
        </w:rPr>
        <w:t xml:space="preserve"> au titre </w:t>
      </w:r>
      <w:r w:rsidRPr="00202138">
        <w:rPr>
          <w:lang w:val="fr-CH" w:eastAsia="zh-CN"/>
        </w:rPr>
        <w:t>de la première tranche du prêt du pays hôte, d</w:t>
      </w:r>
      <w:r w:rsidR="00F5358C" w:rsidRPr="00202138">
        <w:rPr>
          <w:lang w:val="fr-CH" w:eastAsia="zh-CN"/>
        </w:rPr>
        <w:t>'</w:t>
      </w:r>
      <w:r w:rsidRPr="00202138">
        <w:rPr>
          <w:lang w:val="fr-CH" w:eastAsia="zh-CN"/>
        </w:rPr>
        <w:t>un montant de 12 millions CHF.</w:t>
      </w:r>
      <w:r w:rsidR="00281859" w:rsidRPr="00202138">
        <w:rPr>
          <w:lang w:val="fr-CH" w:eastAsia="zh-CN"/>
        </w:rPr>
        <w:t xml:space="preserve"> </w:t>
      </w:r>
      <w:r w:rsidR="00922DD8" w:rsidRPr="00202138">
        <w:rPr>
          <w:lang w:val="fr-CH" w:eastAsia="zh-CN"/>
        </w:rPr>
        <w:t xml:space="preserve">La mise à disposition des fonds </w:t>
      </w:r>
      <w:r w:rsidR="009E75D5" w:rsidRPr="00202138">
        <w:rPr>
          <w:lang w:val="fr-CH" w:eastAsia="zh-CN"/>
        </w:rPr>
        <w:t xml:space="preserve">est garantie </w:t>
      </w:r>
      <w:r w:rsidR="00922DD8" w:rsidRPr="00202138">
        <w:rPr>
          <w:lang w:val="fr-CH" w:eastAsia="zh-CN"/>
        </w:rPr>
        <w:t>jusqu</w:t>
      </w:r>
      <w:r w:rsidR="00F5358C" w:rsidRPr="00202138">
        <w:rPr>
          <w:lang w:val="fr-CH" w:eastAsia="zh-CN"/>
        </w:rPr>
        <w:t>'</w:t>
      </w:r>
      <w:r w:rsidR="00B00021" w:rsidRPr="00202138">
        <w:rPr>
          <w:lang w:val="fr-CH" w:eastAsia="zh-CN"/>
        </w:rPr>
        <w:t>en</w:t>
      </w:r>
      <w:r w:rsidR="00922DD8" w:rsidRPr="00202138">
        <w:rPr>
          <w:lang w:val="fr-CH" w:eastAsia="zh-CN"/>
        </w:rPr>
        <w:t xml:space="preserve"> juin 2021</w:t>
      </w:r>
      <w:r w:rsidR="009E75D5" w:rsidRPr="00202138">
        <w:rPr>
          <w:lang w:val="fr-CH" w:eastAsia="zh-CN"/>
        </w:rPr>
        <w:t>, de manière à</w:t>
      </w:r>
      <w:r w:rsidR="00922DD8" w:rsidRPr="00202138">
        <w:rPr>
          <w:lang w:val="fr-CH" w:eastAsia="zh-CN"/>
        </w:rPr>
        <w:t xml:space="preserve"> fournir un flux de trésorerie continu et </w:t>
      </w:r>
      <w:r w:rsidR="009E75D5" w:rsidRPr="00202138">
        <w:rPr>
          <w:lang w:val="fr-CH" w:eastAsia="zh-CN"/>
        </w:rPr>
        <w:t>à</w:t>
      </w:r>
      <w:r w:rsidR="00922DD8" w:rsidRPr="00202138">
        <w:rPr>
          <w:lang w:val="fr-CH" w:eastAsia="zh-CN"/>
        </w:rPr>
        <w:t xml:space="preserve"> ménager le temps nécessaire pour l</w:t>
      </w:r>
      <w:r w:rsidR="00F5358C" w:rsidRPr="00202138">
        <w:rPr>
          <w:lang w:val="fr-CH" w:eastAsia="zh-CN"/>
        </w:rPr>
        <w:t>'</w:t>
      </w:r>
      <w:r w:rsidR="00922DD8" w:rsidRPr="00202138">
        <w:rPr>
          <w:lang w:val="fr-CH" w:eastAsia="zh-CN"/>
        </w:rPr>
        <w:t>approbation de la seconde tranche du prêt, d</w:t>
      </w:r>
      <w:r w:rsidR="00F5358C" w:rsidRPr="00202138">
        <w:rPr>
          <w:lang w:val="fr-CH" w:eastAsia="zh-CN"/>
        </w:rPr>
        <w:t>'</w:t>
      </w:r>
      <w:r w:rsidR="00922DD8" w:rsidRPr="00202138">
        <w:rPr>
          <w:lang w:val="fr-CH" w:eastAsia="zh-CN"/>
        </w:rPr>
        <w:t>un montant de 138</w:t>
      </w:r>
      <w:r w:rsidR="00023B25" w:rsidRPr="00202138">
        <w:rPr>
          <w:lang w:val="fr-CH" w:eastAsia="zh-CN"/>
        </w:rPr>
        <w:t> </w:t>
      </w:r>
      <w:r w:rsidR="00922DD8" w:rsidRPr="00202138">
        <w:rPr>
          <w:lang w:val="fr-CH" w:eastAsia="zh-CN"/>
        </w:rPr>
        <w:t>millions</w:t>
      </w:r>
      <w:r w:rsidR="00023B25" w:rsidRPr="00202138">
        <w:rPr>
          <w:lang w:val="fr-CH" w:eastAsia="zh-CN"/>
        </w:rPr>
        <w:t> </w:t>
      </w:r>
      <w:r w:rsidR="00922DD8" w:rsidRPr="00202138">
        <w:rPr>
          <w:lang w:val="fr-CH" w:eastAsia="zh-CN"/>
        </w:rPr>
        <w:t>CHF</w:t>
      </w:r>
      <w:r w:rsidR="009E75D5" w:rsidRPr="00202138">
        <w:rPr>
          <w:lang w:val="fr-CH" w:eastAsia="zh-CN"/>
        </w:rPr>
        <w:t>,</w:t>
      </w:r>
      <w:r w:rsidR="00922DD8" w:rsidRPr="00202138">
        <w:rPr>
          <w:lang w:val="fr-CH" w:eastAsia="zh-CN"/>
        </w:rPr>
        <w:t xml:space="preserve"> et la signature du contrat de prêt avec la FIPOI.</w:t>
      </w:r>
    </w:p>
    <w:p w14:paraId="69A87FCE" w14:textId="0CE0A706" w:rsidR="00CE5F09" w:rsidRPr="00202138" w:rsidRDefault="00281859" w:rsidP="00930348">
      <w:pPr>
        <w:pStyle w:val="Heading2"/>
        <w:rPr>
          <w:lang w:val="fr-CH"/>
        </w:rPr>
      </w:pPr>
      <w:r w:rsidRPr="00202138">
        <w:rPr>
          <w:lang w:val="fr-CH"/>
        </w:rPr>
        <w:t>4.3</w:t>
      </w:r>
      <w:r w:rsidRPr="00202138">
        <w:rPr>
          <w:lang w:val="fr-CH"/>
        </w:rPr>
        <w:tab/>
      </w:r>
      <w:r w:rsidR="00BA5C90" w:rsidRPr="00202138">
        <w:rPr>
          <w:lang w:val="fr-CH"/>
        </w:rPr>
        <w:t xml:space="preserve">Dépenses </w:t>
      </w:r>
      <w:r w:rsidR="009E75D5" w:rsidRPr="00202138">
        <w:rPr>
          <w:lang w:val="fr-CH"/>
        </w:rPr>
        <w:t xml:space="preserve">engagées </w:t>
      </w:r>
      <w:r w:rsidR="00BA5C90" w:rsidRPr="00202138">
        <w:rPr>
          <w:lang w:val="fr-CH"/>
        </w:rPr>
        <w:t>à ce jour</w:t>
      </w:r>
    </w:p>
    <w:p w14:paraId="003BF66E" w14:textId="2F69BC7C" w:rsidR="00CE5F09" w:rsidRPr="00202138" w:rsidRDefault="00404C80" w:rsidP="00930348">
      <w:pPr>
        <w:rPr>
          <w:color w:val="000000" w:themeColor="text1"/>
          <w:lang w:val="fr-CH"/>
        </w:rPr>
      </w:pPr>
      <w:r w:rsidRPr="00202138">
        <w:rPr>
          <w:lang w:val="fr-CH" w:eastAsia="zh-CN"/>
        </w:rPr>
        <w:t>Les dépenses</w:t>
      </w:r>
      <w:r w:rsidR="00BD193A" w:rsidRPr="00202138">
        <w:rPr>
          <w:lang w:val="fr-CH" w:eastAsia="zh-CN"/>
        </w:rPr>
        <w:t xml:space="preserve"> courantes </w:t>
      </w:r>
      <w:r w:rsidRPr="00202138">
        <w:rPr>
          <w:rStyle w:val="Hyperlink"/>
          <w:rFonts w:asciiTheme="minorHAnsi" w:hAnsiTheme="minorHAnsi" w:cstheme="minorHAnsi"/>
          <w:color w:val="auto"/>
          <w:szCs w:val="22"/>
          <w:u w:val="none"/>
          <w:lang w:val="fr-CH" w:eastAsia="zh-CN"/>
        </w:rPr>
        <w:t>découlent exclusivement des honoraires du consortium d</w:t>
      </w:r>
      <w:r w:rsidR="00F5358C" w:rsidRPr="00202138">
        <w:rPr>
          <w:rStyle w:val="Hyperlink"/>
          <w:rFonts w:asciiTheme="minorHAnsi" w:hAnsiTheme="minorHAnsi" w:cstheme="minorHAnsi"/>
          <w:color w:val="auto"/>
          <w:szCs w:val="22"/>
          <w:u w:val="none"/>
          <w:lang w:val="fr-CH" w:eastAsia="zh-CN"/>
        </w:rPr>
        <w:t>'</w:t>
      </w:r>
      <w:r w:rsidRPr="00202138">
        <w:rPr>
          <w:rStyle w:val="Hyperlink"/>
          <w:rFonts w:asciiTheme="minorHAnsi" w:hAnsiTheme="minorHAnsi" w:cstheme="minorHAnsi"/>
          <w:color w:val="auto"/>
          <w:szCs w:val="22"/>
          <w:u w:val="none"/>
          <w:lang w:val="fr-CH" w:eastAsia="zh-CN"/>
        </w:rPr>
        <w:t>architectes, CDTK, et du consultant pour l</w:t>
      </w:r>
      <w:r w:rsidR="00F5358C" w:rsidRPr="00202138">
        <w:rPr>
          <w:rStyle w:val="Hyperlink"/>
          <w:rFonts w:asciiTheme="minorHAnsi" w:hAnsiTheme="minorHAnsi" w:cstheme="minorHAnsi"/>
          <w:color w:val="auto"/>
          <w:szCs w:val="22"/>
          <w:u w:val="none"/>
          <w:lang w:val="fr-CH" w:eastAsia="zh-CN"/>
        </w:rPr>
        <w:t>'</w:t>
      </w:r>
      <w:r w:rsidRPr="00202138">
        <w:rPr>
          <w:rStyle w:val="Hyperlink"/>
          <w:rFonts w:asciiTheme="minorHAnsi" w:hAnsiTheme="minorHAnsi" w:cstheme="minorHAnsi"/>
          <w:color w:val="auto"/>
          <w:szCs w:val="22"/>
          <w:u w:val="none"/>
          <w:lang w:val="fr-CH" w:eastAsia="zh-CN"/>
        </w:rPr>
        <w:t>appui à la gestion de projet, Hill International.</w:t>
      </w:r>
      <w:r w:rsidR="00281859" w:rsidRPr="00202138">
        <w:rPr>
          <w:lang w:val="fr-CH" w:eastAsia="zh-CN"/>
        </w:rPr>
        <w:t xml:space="preserve"> </w:t>
      </w:r>
      <w:r w:rsidR="00F23010" w:rsidRPr="00202138">
        <w:rPr>
          <w:lang w:val="fr-CH" w:eastAsia="zh-CN"/>
        </w:rPr>
        <w:t xml:space="preserve">Les dépenses engagées à ce jour sont conformes aux prévisions dont il est rendu compte </w:t>
      </w:r>
      <w:r w:rsidR="00BD193A" w:rsidRPr="00202138">
        <w:rPr>
          <w:lang w:val="fr-CH" w:eastAsia="zh-CN"/>
        </w:rPr>
        <w:t xml:space="preserve">chaque trimestre </w:t>
      </w:r>
      <w:r w:rsidR="00F23010" w:rsidRPr="00202138">
        <w:rPr>
          <w:lang w:val="fr-CH" w:eastAsia="zh-CN"/>
        </w:rPr>
        <w:t>au pays hôte</w:t>
      </w:r>
      <w:r w:rsidR="00BD7976" w:rsidRPr="00202138">
        <w:rPr>
          <w:lang w:val="fr-CH" w:eastAsia="zh-CN"/>
        </w:rPr>
        <w:t>,</w:t>
      </w:r>
      <w:r w:rsidR="00F23010" w:rsidRPr="00202138">
        <w:rPr>
          <w:lang w:val="fr-CH" w:eastAsia="zh-CN"/>
        </w:rPr>
        <w:t xml:space="preserve"> et les</w:t>
      </w:r>
      <w:r w:rsidR="00BD193A" w:rsidRPr="00202138">
        <w:rPr>
          <w:lang w:val="fr-CH" w:eastAsia="zh-CN"/>
        </w:rPr>
        <w:t xml:space="preserve"> demandes de financement </w:t>
      </w:r>
      <w:r w:rsidR="00F23010" w:rsidRPr="00202138">
        <w:rPr>
          <w:lang w:val="fr-CH" w:eastAsia="zh-CN"/>
        </w:rPr>
        <w:t>sont traité</w:t>
      </w:r>
      <w:r w:rsidR="00BD193A" w:rsidRPr="00202138">
        <w:rPr>
          <w:lang w:val="fr-CH" w:eastAsia="zh-CN"/>
        </w:rPr>
        <w:t>e</w:t>
      </w:r>
      <w:r w:rsidR="00F23010" w:rsidRPr="00202138">
        <w:rPr>
          <w:lang w:val="fr-CH" w:eastAsia="zh-CN"/>
        </w:rPr>
        <w:t>s chaque trimestre afin de couvrir les dépenses en cours au titre du projet.</w:t>
      </w:r>
    </w:p>
    <w:p w14:paraId="5FFA94BC" w14:textId="44C8F729" w:rsidR="00CE5F09" w:rsidRPr="00202138" w:rsidRDefault="00281859" w:rsidP="00930348">
      <w:pPr>
        <w:pStyle w:val="Heading2"/>
        <w:rPr>
          <w:lang w:val="fr-CH"/>
        </w:rPr>
      </w:pPr>
      <w:r w:rsidRPr="00202138">
        <w:rPr>
          <w:lang w:val="fr-CH"/>
        </w:rPr>
        <w:t>4.4</w:t>
      </w:r>
      <w:r w:rsidRPr="00202138">
        <w:rPr>
          <w:lang w:val="fr-CH"/>
        </w:rPr>
        <w:tab/>
      </w:r>
      <w:r w:rsidR="00B9425E" w:rsidRPr="00202138">
        <w:rPr>
          <w:lang w:val="fr-CH"/>
        </w:rPr>
        <w:t>Dépenses prévues par rapport aux dépenses effectives</w:t>
      </w:r>
    </w:p>
    <w:p w14:paraId="2B28C7E4" w14:textId="5A9547E5" w:rsidR="00CE5F09" w:rsidRPr="00202138" w:rsidRDefault="00DC62E1" w:rsidP="00930348">
      <w:pPr>
        <w:rPr>
          <w:b/>
          <w:bCs/>
          <w:color w:val="000000" w:themeColor="text1"/>
          <w:lang w:val="fr-CH"/>
        </w:rPr>
      </w:pPr>
      <w:r w:rsidRPr="00202138">
        <w:rPr>
          <w:lang w:val="fr-CH" w:eastAsia="zh-CN"/>
        </w:rPr>
        <w:t xml:space="preserve">Le graphique présenté dans </w:t>
      </w:r>
      <w:hyperlink w:anchor="AnnexeC" w:history="1">
        <w:r w:rsidRPr="00202138">
          <w:rPr>
            <w:lang w:val="fr-CH"/>
          </w:rPr>
          <w:t>l</w:t>
        </w:r>
        <w:r w:rsidR="00F5358C" w:rsidRPr="00202138">
          <w:rPr>
            <w:lang w:val="fr-CH"/>
          </w:rPr>
          <w:t>'</w:t>
        </w:r>
        <w:r w:rsidRPr="00202138">
          <w:rPr>
            <w:rStyle w:val="Hyperlink"/>
            <w:rFonts w:asciiTheme="minorHAnsi" w:hAnsiTheme="minorHAnsi" w:cstheme="minorHAnsi"/>
            <w:szCs w:val="22"/>
            <w:lang w:val="fr-CH" w:eastAsia="zh-CN"/>
          </w:rPr>
          <w:t>Anne</w:t>
        </w:r>
        <w:r w:rsidRPr="00202138">
          <w:rPr>
            <w:rStyle w:val="Hyperlink"/>
            <w:rFonts w:asciiTheme="minorHAnsi" w:hAnsiTheme="minorHAnsi" w:cstheme="minorHAnsi"/>
            <w:szCs w:val="22"/>
            <w:lang w:val="fr-CH" w:eastAsia="zh-CN"/>
          </w:rPr>
          <w:t>x</w:t>
        </w:r>
        <w:r w:rsidRPr="00202138">
          <w:rPr>
            <w:rStyle w:val="Hyperlink"/>
            <w:rFonts w:asciiTheme="minorHAnsi" w:hAnsiTheme="minorHAnsi" w:cstheme="minorHAnsi"/>
            <w:szCs w:val="22"/>
            <w:lang w:val="fr-CH" w:eastAsia="zh-CN"/>
          </w:rPr>
          <w:t>e C</w:t>
        </w:r>
      </w:hyperlink>
      <w:r w:rsidRPr="00202138">
        <w:rPr>
          <w:rStyle w:val="Hyperlink"/>
          <w:rFonts w:asciiTheme="minorHAnsi" w:hAnsiTheme="minorHAnsi" w:cstheme="minorHAnsi"/>
          <w:color w:val="auto"/>
          <w:szCs w:val="22"/>
          <w:u w:val="none"/>
          <w:lang w:val="fr-CH" w:eastAsia="zh-CN"/>
        </w:rPr>
        <w:t xml:space="preserve"> représente les dépenses réelles (barres rouges) par rapport aux dépenses prévues (barres bleues).</w:t>
      </w:r>
      <w:r w:rsidR="00281859" w:rsidRPr="00202138">
        <w:rPr>
          <w:lang w:val="fr-CH" w:eastAsia="zh-CN"/>
        </w:rPr>
        <w:t xml:space="preserve"> </w:t>
      </w:r>
      <w:r w:rsidR="00354C36" w:rsidRPr="00202138">
        <w:rPr>
          <w:lang w:val="fr-CH" w:eastAsia="zh-CN"/>
        </w:rPr>
        <w:t xml:space="preserve">Ce graphique permet de suivre </w:t>
      </w:r>
      <w:r w:rsidR="00BD193A" w:rsidRPr="00202138">
        <w:rPr>
          <w:lang w:val="fr-CH" w:eastAsia="zh-CN"/>
        </w:rPr>
        <w:t xml:space="preserve">chaque mois </w:t>
      </w:r>
      <w:r w:rsidR="00354C36" w:rsidRPr="00202138">
        <w:rPr>
          <w:lang w:val="fr-CH" w:eastAsia="zh-CN"/>
        </w:rPr>
        <w:t xml:space="preserve">de manière mesurable les dépenses </w:t>
      </w:r>
      <w:r w:rsidR="00BD193A" w:rsidRPr="00202138">
        <w:rPr>
          <w:lang w:val="fr-CH" w:eastAsia="zh-CN"/>
        </w:rPr>
        <w:t>encourues</w:t>
      </w:r>
      <w:r w:rsidR="00354C36" w:rsidRPr="00202138">
        <w:rPr>
          <w:lang w:val="fr-CH" w:eastAsia="zh-CN"/>
        </w:rPr>
        <w:t xml:space="preserve">, afin </w:t>
      </w:r>
      <w:r w:rsidR="00FA7A37" w:rsidRPr="00202138">
        <w:rPr>
          <w:lang w:val="fr-CH" w:eastAsia="zh-CN"/>
        </w:rPr>
        <w:t>que des</w:t>
      </w:r>
      <w:r w:rsidR="00354C36" w:rsidRPr="00202138">
        <w:rPr>
          <w:lang w:val="fr-CH" w:eastAsia="zh-CN"/>
        </w:rPr>
        <w:t xml:space="preserve"> mesures correctives </w:t>
      </w:r>
      <w:r w:rsidR="00FA7A37" w:rsidRPr="00202138">
        <w:rPr>
          <w:lang w:val="fr-CH" w:eastAsia="zh-CN"/>
        </w:rPr>
        <w:t>puissent être prises rapidement</w:t>
      </w:r>
      <w:r w:rsidR="0008799A">
        <w:rPr>
          <w:lang w:val="fr-CH" w:eastAsia="zh-CN"/>
        </w:rPr>
        <w:t>, s'il y a lieu</w:t>
      </w:r>
      <w:r w:rsidR="00354C36" w:rsidRPr="00202138">
        <w:rPr>
          <w:lang w:val="fr-CH" w:eastAsia="zh-CN"/>
        </w:rPr>
        <w:t>.</w:t>
      </w:r>
      <w:r w:rsidR="00281859" w:rsidRPr="00202138">
        <w:rPr>
          <w:lang w:val="fr-CH" w:eastAsia="zh-CN"/>
        </w:rPr>
        <w:t xml:space="preserve"> </w:t>
      </w:r>
      <w:r w:rsidR="00311821" w:rsidRPr="00202138">
        <w:rPr>
          <w:lang w:val="fr-CH" w:eastAsia="zh-CN"/>
        </w:rPr>
        <w:t>En outre, il permet de suivre les montants liés au registre des risques (</w:t>
      </w:r>
      <w:r w:rsidR="00BD193A" w:rsidRPr="00202138">
        <w:rPr>
          <w:lang w:val="fr-CH" w:eastAsia="zh-CN"/>
        </w:rPr>
        <w:t>courbe</w:t>
      </w:r>
      <w:r w:rsidR="00BD7976" w:rsidRPr="00202138">
        <w:rPr>
          <w:lang w:val="fr-CH" w:eastAsia="zh-CN"/>
        </w:rPr>
        <w:t xml:space="preserve"> </w:t>
      </w:r>
      <w:r w:rsidR="00311821" w:rsidRPr="00202138">
        <w:rPr>
          <w:lang w:val="fr-CH" w:eastAsia="zh-CN"/>
        </w:rPr>
        <w:t>en pointillés</w:t>
      </w:r>
      <w:r w:rsidR="00BD193A" w:rsidRPr="00202138">
        <w:rPr>
          <w:lang w:val="fr-CH" w:eastAsia="zh-CN"/>
        </w:rPr>
        <w:t xml:space="preserve"> noirs</w:t>
      </w:r>
      <w:r w:rsidR="00311821" w:rsidRPr="00202138">
        <w:rPr>
          <w:lang w:val="fr-CH" w:eastAsia="zh-CN"/>
        </w:rPr>
        <w:t xml:space="preserve">) à mesure </w:t>
      </w:r>
      <w:r w:rsidR="00FA7A37" w:rsidRPr="00202138">
        <w:rPr>
          <w:lang w:val="fr-CH" w:eastAsia="zh-CN"/>
        </w:rPr>
        <w:t>de l'avancement du</w:t>
      </w:r>
      <w:r w:rsidR="00311821" w:rsidRPr="00202138">
        <w:rPr>
          <w:lang w:val="fr-CH" w:eastAsia="zh-CN"/>
        </w:rPr>
        <w:t xml:space="preserve"> projet.</w:t>
      </w:r>
      <w:r w:rsidR="00BD193A" w:rsidRPr="00202138">
        <w:rPr>
          <w:lang w:val="fr-CH" w:eastAsia="zh-CN"/>
        </w:rPr>
        <w:t xml:space="preserve"> La provision pour imprévus </w:t>
      </w:r>
      <w:r w:rsidR="00484180" w:rsidRPr="00202138">
        <w:rPr>
          <w:lang w:val="fr-CH" w:eastAsia="zh-CN"/>
        </w:rPr>
        <w:t>(</w:t>
      </w:r>
      <w:r w:rsidR="00BD193A" w:rsidRPr="00202138">
        <w:rPr>
          <w:lang w:val="fr-CH" w:eastAsia="zh-CN"/>
        </w:rPr>
        <w:t xml:space="preserve">courbe </w:t>
      </w:r>
      <w:r w:rsidR="00484180" w:rsidRPr="00202138">
        <w:rPr>
          <w:lang w:val="fr-CH" w:eastAsia="zh-CN"/>
        </w:rPr>
        <w:t>verte) sera modifié</w:t>
      </w:r>
      <w:r w:rsidR="00BD193A" w:rsidRPr="00202138">
        <w:rPr>
          <w:lang w:val="fr-CH" w:eastAsia="zh-CN"/>
        </w:rPr>
        <w:t>e</w:t>
      </w:r>
      <w:r w:rsidR="00484180" w:rsidRPr="00202138">
        <w:rPr>
          <w:lang w:val="fr-CH" w:eastAsia="zh-CN"/>
        </w:rPr>
        <w:t xml:space="preserve"> à mesure que des prélèvements </w:t>
      </w:r>
      <w:r w:rsidR="00BD193A" w:rsidRPr="00202138">
        <w:rPr>
          <w:lang w:val="fr-CH" w:eastAsia="zh-CN"/>
        </w:rPr>
        <w:t xml:space="preserve">sur cette provision </w:t>
      </w:r>
      <w:r w:rsidR="00484180" w:rsidRPr="00202138">
        <w:rPr>
          <w:lang w:val="fr-CH" w:eastAsia="zh-CN"/>
        </w:rPr>
        <w:t>seront effectués.</w:t>
      </w:r>
    </w:p>
    <w:p w14:paraId="56893644" w14:textId="3ADD8ADC" w:rsidR="00CE5F09" w:rsidRPr="00202138" w:rsidRDefault="00281859" w:rsidP="00930348">
      <w:pPr>
        <w:pStyle w:val="Heading2"/>
        <w:rPr>
          <w:lang w:val="fr-CH"/>
        </w:rPr>
      </w:pPr>
      <w:r w:rsidRPr="00202138">
        <w:rPr>
          <w:lang w:val="fr-CH"/>
        </w:rPr>
        <w:t>4.5</w:t>
      </w:r>
      <w:r w:rsidRPr="00202138">
        <w:rPr>
          <w:lang w:val="fr-CH"/>
        </w:rPr>
        <w:tab/>
      </w:r>
      <w:r w:rsidR="00CD1ECE" w:rsidRPr="00202138">
        <w:rPr>
          <w:lang w:val="fr-CH"/>
        </w:rPr>
        <w:t>Coûts indirects du projet</w:t>
      </w:r>
    </w:p>
    <w:p w14:paraId="67CC2033" w14:textId="28582E1D" w:rsidR="00CE5F09" w:rsidRPr="00202138" w:rsidRDefault="00E348E9" w:rsidP="00930348">
      <w:pPr>
        <w:rPr>
          <w:lang w:val="fr-CH" w:eastAsia="zh-CN"/>
        </w:rPr>
      </w:pPr>
      <w:r w:rsidRPr="00202138">
        <w:rPr>
          <w:lang w:val="fr-CH" w:eastAsia="zh-CN"/>
        </w:rPr>
        <w:t xml:space="preserve">Conformément à la Décision 619 du Conseil et au tableau présenté à la réunion du </w:t>
      </w:r>
      <w:r w:rsidR="00FA7A37" w:rsidRPr="00202138">
        <w:rPr>
          <w:color w:val="000000"/>
          <w:lang w:val="fr-CH"/>
        </w:rPr>
        <w:t>Groupe de travail du Conseil sur les ressources financières et les ressources humaines (GTC-FHR)</w:t>
      </w:r>
      <w:r w:rsidRPr="00202138">
        <w:rPr>
          <w:lang w:val="fr-CH" w:eastAsia="zh-CN"/>
        </w:rPr>
        <w:t xml:space="preserve"> </w:t>
      </w:r>
      <w:r w:rsidR="00BD193A" w:rsidRPr="00202138">
        <w:rPr>
          <w:lang w:val="fr-CH" w:eastAsia="zh-CN"/>
        </w:rPr>
        <w:t xml:space="preserve">tenue </w:t>
      </w:r>
      <w:r w:rsidRPr="00202138">
        <w:rPr>
          <w:lang w:val="fr-CH" w:eastAsia="zh-CN"/>
        </w:rPr>
        <w:t>en février 2020, un montant de 935 000 CHF sera affecté</w:t>
      </w:r>
      <w:r w:rsidR="00BD193A" w:rsidRPr="00202138">
        <w:rPr>
          <w:lang w:val="fr-CH" w:eastAsia="zh-CN"/>
        </w:rPr>
        <w:t xml:space="preserve"> au titre des </w:t>
      </w:r>
      <w:r w:rsidRPr="00202138">
        <w:rPr>
          <w:lang w:val="fr-CH" w:eastAsia="zh-CN"/>
        </w:rPr>
        <w:t>coûts indirects.</w:t>
      </w:r>
      <w:r w:rsidR="001319AA" w:rsidRPr="00202138">
        <w:rPr>
          <w:lang w:val="fr-CH" w:eastAsia="zh-CN"/>
        </w:rPr>
        <w:t xml:space="preserve"> </w:t>
      </w:r>
    </w:p>
    <w:p w14:paraId="1CFC2D34" w14:textId="5B256926" w:rsidR="00CE5F09" w:rsidRPr="00202138" w:rsidRDefault="00281859" w:rsidP="00930348">
      <w:pPr>
        <w:pStyle w:val="Heading1"/>
        <w:rPr>
          <w:lang w:val="fr-CH" w:eastAsia="ja-JP"/>
        </w:rPr>
      </w:pPr>
      <w:r w:rsidRPr="00202138">
        <w:rPr>
          <w:lang w:val="fr-CH" w:eastAsia="ja-JP"/>
        </w:rPr>
        <w:t>5</w:t>
      </w:r>
      <w:r w:rsidRPr="00202138">
        <w:rPr>
          <w:lang w:val="fr-CH" w:eastAsia="ja-JP"/>
        </w:rPr>
        <w:tab/>
      </w:r>
      <w:r w:rsidR="00CB217D" w:rsidRPr="00202138">
        <w:rPr>
          <w:lang w:val="fr-CH" w:eastAsia="ja-JP"/>
        </w:rPr>
        <w:t>Définition des</w:t>
      </w:r>
      <w:r w:rsidR="00E20CC6" w:rsidRPr="00202138">
        <w:rPr>
          <w:lang w:val="fr-CH" w:eastAsia="ja-JP"/>
        </w:rPr>
        <w:t xml:space="preserve"> </w:t>
      </w:r>
      <w:r w:rsidR="00CB217D" w:rsidRPr="00202138">
        <w:rPr>
          <w:lang w:val="fr-CH" w:eastAsia="ja-JP"/>
        </w:rPr>
        <w:t>servitude</w:t>
      </w:r>
      <w:r w:rsidR="00E20CC6" w:rsidRPr="00202138">
        <w:rPr>
          <w:lang w:val="fr-CH" w:eastAsia="ja-JP"/>
        </w:rPr>
        <w:t>s</w:t>
      </w:r>
      <w:r w:rsidR="00CB217D" w:rsidRPr="00202138">
        <w:rPr>
          <w:lang w:val="fr-CH" w:eastAsia="ja-JP"/>
        </w:rPr>
        <w:t xml:space="preserve"> avant la soumission de la demande de permis</w:t>
      </w:r>
    </w:p>
    <w:p w14:paraId="115EF438" w14:textId="394EF451" w:rsidR="00CE5F09" w:rsidRPr="00202138" w:rsidRDefault="008972D8" w:rsidP="00930348">
      <w:pPr>
        <w:rPr>
          <w:lang w:val="fr-CH" w:eastAsia="zh-CN"/>
        </w:rPr>
      </w:pPr>
      <w:r w:rsidRPr="00202138">
        <w:rPr>
          <w:lang w:val="fr-CH" w:eastAsia="zh-CN"/>
        </w:rPr>
        <w:t xml:space="preserve">Avant la soumission de la demande de permis de </w:t>
      </w:r>
      <w:r w:rsidR="00E20CC6" w:rsidRPr="00202138">
        <w:rPr>
          <w:lang w:val="fr-CH" w:eastAsia="zh-CN"/>
        </w:rPr>
        <w:t>construire</w:t>
      </w:r>
      <w:r w:rsidRPr="00202138">
        <w:rPr>
          <w:lang w:val="fr-CH" w:eastAsia="zh-CN"/>
        </w:rPr>
        <w:t>, il</w:t>
      </w:r>
      <w:r w:rsidR="00BD193A" w:rsidRPr="00202138">
        <w:rPr>
          <w:lang w:val="fr-CH" w:eastAsia="zh-CN"/>
        </w:rPr>
        <w:t xml:space="preserve"> faut identifier et examiner </w:t>
      </w:r>
      <w:r w:rsidRPr="00202138">
        <w:rPr>
          <w:lang w:val="fr-CH" w:eastAsia="zh-CN"/>
        </w:rPr>
        <w:t xml:space="preserve">les </w:t>
      </w:r>
      <w:r w:rsidR="00E20CC6" w:rsidRPr="00202138">
        <w:rPr>
          <w:lang w:val="fr-CH" w:eastAsia="zh-CN"/>
        </w:rPr>
        <w:t>servitudes nouvelles et existantes</w:t>
      </w:r>
      <w:r w:rsidRPr="00202138">
        <w:rPr>
          <w:lang w:val="fr-CH" w:eastAsia="zh-CN"/>
        </w:rPr>
        <w:t>.</w:t>
      </w:r>
      <w:r w:rsidR="00281859" w:rsidRPr="00202138">
        <w:rPr>
          <w:lang w:val="fr-CH" w:eastAsia="zh-CN"/>
        </w:rPr>
        <w:t xml:space="preserve"> </w:t>
      </w:r>
      <w:r w:rsidR="006719DF" w:rsidRPr="00202138">
        <w:rPr>
          <w:lang w:val="fr-CH" w:eastAsia="zh-CN"/>
        </w:rPr>
        <w:t>Fin juin 2020, l</w:t>
      </w:r>
      <w:r w:rsidR="00D9624D" w:rsidRPr="00202138">
        <w:rPr>
          <w:lang w:val="fr-CH" w:eastAsia="zh-CN"/>
        </w:rPr>
        <w:t xml:space="preserve">e secrétariat </w:t>
      </w:r>
      <w:r w:rsidR="006719DF" w:rsidRPr="00202138">
        <w:rPr>
          <w:lang w:val="fr-CH" w:eastAsia="zh-CN"/>
        </w:rPr>
        <w:t>a</w:t>
      </w:r>
      <w:r w:rsidR="00BD193A" w:rsidRPr="00202138">
        <w:rPr>
          <w:lang w:val="fr-CH" w:eastAsia="zh-CN"/>
        </w:rPr>
        <w:t xml:space="preserve"> désign</w:t>
      </w:r>
      <w:r w:rsidR="006719DF" w:rsidRPr="00202138">
        <w:rPr>
          <w:lang w:val="fr-CH" w:eastAsia="zh-CN"/>
        </w:rPr>
        <w:t>é</w:t>
      </w:r>
      <w:r w:rsidR="00BD193A" w:rsidRPr="00202138">
        <w:rPr>
          <w:lang w:val="fr-CH" w:eastAsia="zh-CN"/>
        </w:rPr>
        <w:t xml:space="preserve"> </w:t>
      </w:r>
      <w:r w:rsidR="00D9624D" w:rsidRPr="00202138">
        <w:rPr>
          <w:lang w:val="fr-CH" w:eastAsia="zh-CN"/>
        </w:rPr>
        <w:t xml:space="preserve">un notaire connaissant </w:t>
      </w:r>
      <w:r w:rsidR="00E20CC6" w:rsidRPr="00202138">
        <w:rPr>
          <w:lang w:val="fr-CH" w:eastAsia="zh-CN"/>
        </w:rPr>
        <w:t>l'histoire</w:t>
      </w:r>
      <w:r w:rsidR="00D9624D" w:rsidRPr="00202138">
        <w:rPr>
          <w:lang w:val="fr-CH" w:eastAsia="zh-CN"/>
        </w:rPr>
        <w:t xml:space="preserve"> des bâtiments de l</w:t>
      </w:r>
      <w:r w:rsidR="00F5358C" w:rsidRPr="00202138">
        <w:rPr>
          <w:lang w:val="fr-CH" w:eastAsia="zh-CN"/>
        </w:rPr>
        <w:t>'</w:t>
      </w:r>
      <w:r w:rsidR="00D9624D" w:rsidRPr="00202138">
        <w:rPr>
          <w:lang w:val="fr-CH" w:eastAsia="zh-CN"/>
        </w:rPr>
        <w:t>UIT ainsi que le statut, les privilèges et les immunités de l</w:t>
      </w:r>
      <w:r w:rsidR="00F5358C" w:rsidRPr="00202138">
        <w:rPr>
          <w:lang w:val="fr-CH" w:eastAsia="zh-CN"/>
        </w:rPr>
        <w:t>'</w:t>
      </w:r>
      <w:r w:rsidR="00D9624D" w:rsidRPr="00202138">
        <w:rPr>
          <w:lang w:val="fr-CH" w:eastAsia="zh-CN"/>
        </w:rPr>
        <w:t>UIT.</w:t>
      </w:r>
      <w:r w:rsidR="00362DFB" w:rsidRPr="00202138">
        <w:rPr>
          <w:lang w:val="fr-CH" w:eastAsia="zh-CN"/>
        </w:rPr>
        <w:t xml:space="preserve"> </w:t>
      </w:r>
      <w:r w:rsidR="006719DF" w:rsidRPr="00202138">
        <w:rPr>
          <w:lang w:val="fr-CH" w:eastAsia="zh-CN"/>
        </w:rPr>
        <w:t>D</w:t>
      </w:r>
      <w:r w:rsidR="00362DFB" w:rsidRPr="00202138">
        <w:rPr>
          <w:lang w:val="fr-CH" w:eastAsia="zh-CN"/>
        </w:rPr>
        <w:t xml:space="preserve">es </w:t>
      </w:r>
      <w:r w:rsidR="00362DFB" w:rsidRPr="00202138">
        <w:rPr>
          <w:lang w:val="fr-CH" w:eastAsia="zh-CN"/>
        </w:rPr>
        <w:lastRenderedPageBreak/>
        <w:t xml:space="preserve">consultations </w:t>
      </w:r>
      <w:r w:rsidR="006719DF" w:rsidRPr="00202138">
        <w:rPr>
          <w:lang w:val="fr-CH" w:eastAsia="zh-CN"/>
        </w:rPr>
        <w:t xml:space="preserve">sont en cours </w:t>
      </w:r>
      <w:r w:rsidR="00362DFB" w:rsidRPr="00202138">
        <w:rPr>
          <w:lang w:val="fr-CH" w:eastAsia="zh-CN"/>
        </w:rPr>
        <w:t xml:space="preserve">auprès des différents propriétaires et/ou bénéficiaires afin de convenir des modalités </w:t>
      </w:r>
      <w:r w:rsidR="006719DF" w:rsidRPr="00202138">
        <w:rPr>
          <w:lang w:val="fr-CH" w:eastAsia="zh-CN"/>
        </w:rPr>
        <w:t xml:space="preserve">avant l'établissement des actes notariés. Dans le contexte de </w:t>
      </w:r>
      <w:r w:rsidR="00362DFB" w:rsidRPr="00202138">
        <w:rPr>
          <w:lang w:val="fr-CH" w:eastAsia="zh-CN"/>
        </w:rPr>
        <w:t>la demande de permis</w:t>
      </w:r>
      <w:r w:rsidR="006719DF" w:rsidRPr="00202138">
        <w:rPr>
          <w:lang w:val="fr-CH" w:eastAsia="zh-CN"/>
        </w:rPr>
        <w:t>, l</w:t>
      </w:r>
      <w:r w:rsidR="000E0C76" w:rsidRPr="00202138">
        <w:rPr>
          <w:lang w:val="fr-CH" w:eastAsia="zh-CN"/>
        </w:rPr>
        <w:t>e notaire certifiera l</w:t>
      </w:r>
      <w:r w:rsidR="00F5358C" w:rsidRPr="00202138">
        <w:rPr>
          <w:lang w:val="fr-CH" w:eastAsia="zh-CN"/>
        </w:rPr>
        <w:t>'</w:t>
      </w:r>
      <w:r w:rsidR="000E0C76" w:rsidRPr="00202138">
        <w:rPr>
          <w:lang w:val="fr-CH" w:eastAsia="zh-CN"/>
        </w:rPr>
        <w:t>accord et procèdera à</w:t>
      </w:r>
      <w:r w:rsidR="00BD193A" w:rsidRPr="00202138">
        <w:rPr>
          <w:lang w:val="fr-CH" w:eastAsia="zh-CN"/>
        </w:rPr>
        <w:t xml:space="preserve"> l</w:t>
      </w:r>
      <w:r w:rsidR="00F5358C" w:rsidRPr="00202138">
        <w:rPr>
          <w:lang w:val="fr-CH" w:eastAsia="zh-CN"/>
        </w:rPr>
        <w:t>'</w:t>
      </w:r>
      <w:r w:rsidR="00BD193A" w:rsidRPr="00202138">
        <w:rPr>
          <w:lang w:val="fr-CH" w:eastAsia="zh-CN"/>
        </w:rPr>
        <w:t xml:space="preserve">établissement </w:t>
      </w:r>
      <w:r w:rsidR="000E0C76" w:rsidRPr="00202138">
        <w:rPr>
          <w:lang w:val="fr-CH" w:eastAsia="zh-CN"/>
        </w:rPr>
        <w:t>de</w:t>
      </w:r>
      <w:r w:rsidR="004A2E8E" w:rsidRPr="00202138">
        <w:rPr>
          <w:lang w:val="fr-CH" w:eastAsia="zh-CN"/>
        </w:rPr>
        <w:t>s</w:t>
      </w:r>
      <w:r w:rsidR="000E0C76" w:rsidRPr="00202138">
        <w:rPr>
          <w:lang w:val="fr-CH" w:eastAsia="zh-CN"/>
        </w:rPr>
        <w:t xml:space="preserve"> servitude</w:t>
      </w:r>
      <w:r w:rsidR="004A2E8E" w:rsidRPr="00202138">
        <w:rPr>
          <w:lang w:val="fr-CH" w:eastAsia="zh-CN"/>
        </w:rPr>
        <w:t>s</w:t>
      </w:r>
      <w:r w:rsidR="006719DF" w:rsidRPr="00202138">
        <w:rPr>
          <w:lang w:val="fr-CH" w:eastAsia="zh-CN"/>
        </w:rPr>
        <w:t xml:space="preserve"> une fois le bâtiment achevé</w:t>
      </w:r>
      <w:r w:rsidR="000E0C76" w:rsidRPr="00202138">
        <w:rPr>
          <w:lang w:val="fr-CH" w:eastAsia="zh-CN"/>
        </w:rPr>
        <w:t>.</w:t>
      </w:r>
    </w:p>
    <w:p w14:paraId="02CBB109" w14:textId="09E99FFB" w:rsidR="00CE5F09" w:rsidRPr="00202138" w:rsidRDefault="00281859" w:rsidP="00930348">
      <w:pPr>
        <w:pStyle w:val="Heading1"/>
        <w:rPr>
          <w:lang w:val="fr-CH" w:eastAsia="ja-JP"/>
        </w:rPr>
      </w:pPr>
      <w:r w:rsidRPr="00202138">
        <w:rPr>
          <w:lang w:val="fr-CH" w:eastAsia="ja-JP"/>
        </w:rPr>
        <w:t>6</w:t>
      </w:r>
      <w:r w:rsidRPr="00202138">
        <w:rPr>
          <w:lang w:val="fr-CH" w:eastAsia="ja-JP"/>
        </w:rPr>
        <w:tab/>
      </w:r>
      <w:r w:rsidR="00E20CC6" w:rsidRPr="00202138">
        <w:rPr>
          <w:lang w:val="fr-CH" w:eastAsia="ja-JP"/>
        </w:rPr>
        <w:t>Création d'</w:t>
      </w:r>
      <w:r w:rsidR="00BE6EBA" w:rsidRPr="00202138">
        <w:rPr>
          <w:lang w:val="fr-CH" w:eastAsia="ja-JP"/>
        </w:rPr>
        <w:t>un système de classement des dossiers afin d</w:t>
      </w:r>
      <w:r w:rsidR="00F5358C" w:rsidRPr="00202138">
        <w:rPr>
          <w:lang w:val="fr-CH" w:eastAsia="ja-JP"/>
        </w:rPr>
        <w:t>'</w:t>
      </w:r>
      <w:r w:rsidR="00BE6EBA" w:rsidRPr="00202138">
        <w:rPr>
          <w:lang w:val="fr-CH" w:eastAsia="ja-JP"/>
        </w:rPr>
        <w:t>instaurer un environnement sans papier</w:t>
      </w:r>
    </w:p>
    <w:p w14:paraId="5B534B95" w14:textId="16744280" w:rsidR="002A2C61" w:rsidRPr="00202138" w:rsidRDefault="00281859" w:rsidP="00930348">
      <w:pPr>
        <w:rPr>
          <w:rStyle w:val="Hyperlink"/>
          <w:color w:val="auto"/>
          <w:u w:val="none"/>
          <w:lang w:val="fr-CH"/>
        </w:rPr>
      </w:pPr>
      <w:r w:rsidRPr="00202138">
        <w:rPr>
          <w:lang w:val="fr-CH" w:eastAsia="ja-JP"/>
        </w:rPr>
        <w:t>Alors que le projet de nouveau bâtiment de l'UIT suit son cours, il devient urgent de disposer de procédures de travail souples et sans papier, et, bien que l'UIT mette progressivement en place des méthodes de travail électroniques depuis de nombreuses années, nombre de processus ne sont pas entièrement numériques, comme le met en évidence la crise actuelle. Le personnel, les membres et les autres parties prenantes de l'UIT doivent être en mesure d'accéder aux informations en ligne et de les utiliser</w:t>
      </w:r>
      <w:r w:rsidR="00BD193A" w:rsidRPr="00202138">
        <w:rPr>
          <w:lang w:val="fr-CH" w:eastAsia="ja-JP"/>
        </w:rPr>
        <w:t xml:space="preserve"> </w:t>
      </w:r>
      <w:r w:rsidRPr="00202138">
        <w:rPr>
          <w:lang w:val="fr-CH" w:eastAsia="ja-JP"/>
        </w:rPr>
        <w:t xml:space="preserve">depuis de multiples sources, en temps réel et à tout moment (24 heures sur 24 et 7 jours sur 7). En outre, il existe une demande croissante concernant des outils plus collaboratifs. </w:t>
      </w:r>
      <w:r w:rsidR="008717CD" w:rsidRPr="00202138">
        <w:rPr>
          <w:lang w:val="fr-CH"/>
        </w:rPr>
        <w:t xml:space="preserve">Le </w:t>
      </w:r>
      <w:hyperlink r:id="rId28" w:history="1">
        <w:r w:rsidR="008717CD" w:rsidRPr="00202138">
          <w:rPr>
            <w:rStyle w:val="Hyperlink"/>
            <w:lang w:val="fr-CH" w:eastAsia="ja-JP"/>
          </w:rPr>
          <w:t>Document C20/53</w:t>
        </w:r>
      </w:hyperlink>
      <w:r w:rsidR="008717CD" w:rsidRPr="00202138">
        <w:rPr>
          <w:rStyle w:val="Hyperlink"/>
          <w:color w:val="auto"/>
          <w:u w:val="none"/>
          <w:lang w:val="fr-CH" w:eastAsia="ja-JP"/>
        </w:rPr>
        <w:t xml:space="preserve"> (Continuité des activités – Gestion de </w:t>
      </w:r>
      <w:r w:rsidR="00BD193A" w:rsidRPr="00202138">
        <w:rPr>
          <w:rStyle w:val="Hyperlink"/>
          <w:color w:val="auto"/>
          <w:u w:val="none"/>
          <w:lang w:val="fr-CH" w:eastAsia="ja-JP"/>
        </w:rPr>
        <w:t>l</w:t>
      </w:r>
      <w:r w:rsidR="008717CD" w:rsidRPr="00202138">
        <w:rPr>
          <w:rStyle w:val="Hyperlink"/>
          <w:color w:val="auto"/>
          <w:u w:val="none"/>
          <w:lang w:val="fr-CH" w:eastAsia="ja-JP"/>
        </w:rPr>
        <w:t xml:space="preserve">'information) et le </w:t>
      </w:r>
      <w:hyperlink r:id="rId29" w:history="1">
        <w:r w:rsidR="008717CD" w:rsidRPr="00202138">
          <w:rPr>
            <w:rStyle w:val="Hyperlink"/>
            <w:lang w:val="fr-CH"/>
          </w:rPr>
          <w:t>Document C20/15</w:t>
        </w:r>
      </w:hyperlink>
      <w:r w:rsidR="008717CD" w:rsidRPr="00202138">
        <w:rPr>
          <w:rStyle w:val="Hyperlink"/>
          <w:color w:val="auto"/>
          <w:u w:val="none"/>
          <w:lang w:val="fr-CH"/>
        </w:rPr>
        <w:t xml:space="preserve"> (Rapport d</w:t>
      </w:r>
      <w:r w:rsidR="00F5358C" w:rsidRPr="00202138">
        <w:rPr>
          <w:rStyle w:val="Hyperlink"/>
          <w:color w:val="auto"/>
          <w:u w:val="none"/>
          <w:lang w:val="fr-CH"/>
        </w:rPr>
        <w:t>'</w:t>
      </w:r>
      <w:r w:rsidR="008717CD" w:rsidRPr="00202138">
        <w:rPr>
          <w:rStyle w:val="Hyperlink"/>
          <w:color w:val="auto"/>
          <w:u w:val="none"/>
          <w:lang w:val="fr-CH"/>
        </w:rPr>
        <w:t>activité sur le projet ORMS) donnent de plus amples informations à cet égard.</w:t>
      </w:r>
    </w:p>
    <w:p w14:paraId="7F8F3D76" w14:textId="20912B73" w:rsidR="006719DF" w:rsidRPr="00202138" w:rsidRDefault="006719DF" w:rsidP="00930348">
      <w:pPr>
        <w:rPr>
          <w:lang w:val="fr-CH" w:eastAsia="ja-JP"/>
        </w:rPr>
      </w:pPr>
      <w:r w:rsidRPr="00202138">
        <w:rPr>
          <w:lang w:val="fr-CH" w:eastAsia="ja-JP"/>
        </w:rPr>
        <w:t>Le projet d'archivage du BR n'a pas pu avanc</w:t>
      </w:r>
      <w:r w:rsidR="008819EA" w:rsidRPr="00202138">
        <w:rPr>
          <w:lang w:val="fr-CH" w:eastAsia="ja-JP"/>
        </w:rPr>
        <w:t>er</w:t>
      </w:r>
      <w:r w:rsidRPr="00202138">
        <w:rPr>
          <w:lang w:val="fr-CH" w:eastAsia="ja-JP"/>
        </w:rPr>
        <w:t xml:space="preserve"> en raison du confinement (16 mars</w:t>
      </w:r>
      <w:r w:rsidR="004A3BDB">
        <w:rPr>
          <w:lang w:val="fr-CH" w:eastAsia="ja-JP"/>
        </w:rPr>
        <w:t xml:space="preserve"> </w:t>
      </w:r>
      <w:r w:rsidR="004A3BDB" w:rsidRPr="004A3BDB">
        <w:rPr>
          <w:lang w:val="fr-CH" w:eastAsia="ja-JP"/>
        </w:rPr>
        <w:t>–</w:t>
      </w:r>
      <w:r w:rsidR="004A3BDB">
        <w:rPr>
          <w:lang w:val="fr-CH" w:eastAsia="ja-JP"/>
        </w:rPr>
        <w:t xml:space="preserve"> </w:t>
      </w:r>
      <w:r w:rsidRPr="00202138">
        <w:rPr>
          <w:lang w:val="fr-CH" w:eastAsia="ja-JP"/>
        </w:rPr>
        <w:t>30 juin 2020) et de</w:t>
      </w:r>
      <w:r w:rsidR="003310B3">
        <w:rPr>
          <w:lang w:val="fr-CH" w:eastAsia="ja-JP"/>
        </w:rPr>
        <w:t>s</w:t>
      </w:r>
      <w:r w:rsidRPr="00202138">
        <w:rPr>
          <w:lang w:val="fr-CH" w:eastAsia="ja-JP"/>
        </w:rPr>
        <w:t xml:space="preserve"> mesures d'atténuation liées au </w:t>
      </w:r>
      <w:r w:rsidR="004A3BDB" w:rsidRPr="00202138">
        <w:rPr>
          <w:lang w:val="fr-CH" w:eastAsia="ja-JP"/>
        </w:rPr>
        <w:t>COVID</w:t>
      </w:r>
      <w:r w:rsidRPr="00202138">
        <w:rPr>
          <w:lang w:val="fr-CH" w:eastAsia="ja-JP"/>
        </w:rPr>
        <w:t>-19</w:t>
      </w:r>
      <w:r w:rsidR="003310B3">
        <w:rPr>
          <w:lang w:val="fr-CH" w:eastAsia="ja-JP"/>
        </w:rPr>
        <w:t xml:space="preserve"> toujours en place</w:t>
      </w:r>
      <w:r w:rsidRPr="00202138">
        <w:rPr>
          <w:lang w:val="fr-CH" w:eastAsia="ja-JP"/>
        </w:rPr>
        <w:t xml:space="preserve">. La priorité a été donnée </w:t>
      </w:r>
      <w:r w:rsidR="003310B3">
        <w:rPr>
          <w:lang w:val="fr-CH" w:eastAsia="ja-JP"/>
        </w:rPr>
        <w:t>à la collecte</w:t>
      </w:r>
      <w:r w:rsidRPr="00202138">
        <w:rPr>
          <w:lang w:val="fr-CH" w:eastAsia="ja-JP"/>
        </w:rPr>
        <w:t xml:space="preserve"> de</w:t>
      </w:r>
      <w:r w:rsidR="003310B3">
        <w:rPr>
          <w:lang w:val="fr-CH" w:eastAsia="ja-JP"/>
        </w:rPr>
        <w:t>s</w:t>
      </w:r>
      <w:r w:rsidRPr="00202138">
        <w:rPr>
          <w:lang w:val="fr-CH" w:eastAsia="ja-JP"/>
        </w:rPr>
        <w:t xml:space="preserve"> fich</w:t>
      </w:r>
      <w:r w:rsidR="003310B3">
        <w:rPr>
          <w:lang w:val="fr-CH" w:eastAsia="ja-JP"/>
        </w:rPr>
        <w:t>iers</w:t>
      </w:r>
      <w:r w:rsidRPr="00202138">
        <w:rPr>
          <w:lang w:val="fr-CH" w:eastAsia="ja-JP"/>
        </w:rPr>
        <w:t xml:space="preserve"> et le travail de transfert physique des fich</w:t>
      </w:r>
      <w:r w:rsidR="003310B3">
        <w:rPr>
          <w:lang w:val="fr-CH" w:eastAsia="ja-JP"/>
        </w:rPr>
        <w:t>iers</w:t>
      </w:r>
      <w:r w:rsidRPr="00202138">
        <w:rPr>
          <w:lang w:val="fr-CH" w:eastAsia="ja-JP"/>
        </w:rPr>
        <w:t xml:space="preserve"> de</w:t>
      </w:r>
      <w:r w:rsidR="003310B3">
        <w:rPr>
          <w:lang w:val="fr-CH" w:eastAsia="ja-JP"/>
        </w:rPr>
        <w:t>s</w:t>
      </w:r>
      <w:r w:rsidRPr="00202138">
        <w:rPr>
          <w:lang w:val="fr-CH" w:eastAsia="ja-JP"/>
        </w:rPr>
        <w:t xml:space="preserve"> réseau</w:t>
      </w:r>
      <w:r w:rsidR="003310B3">
        <w:rPr>
          <w:lang w:val="fr-CH" w:eastAsia="ja-JP"/>
        </w:rPr>
        <w:t>x</w:t>
      </w:r>
      <w:r w:rsidRPr="00202138">
        <w:rPr>
          <w:lang w:val="fr-CH" w:eastAsia="ja-JP"/>
        </w:rPr>
        <w:t xml:space="preserve"> à satellite </w:t>
      </w:r>
      <w:r w:rsidR="003310B3">
        <w:rPr>
          <w:lang w:val="fr-CH" w:eastAsia="ja-JP"/>
        </w:rPr>
        <w:t>vers</w:t>
      </w:r>
      <w:r w:rsidRPr="00202138">
        <w:rPr>
          <w:lang w:val="fr-CH" w:eastAsia="ja-JP"/>
        </w:rPr>
        <w:t xml:space="preserve"> le répertoire des archives a commencé. Une </w:t>
      </w:r>
      <w:r w:rsidR="003310B3">
        <w:rPr>
          <w:lang w:val="fr-CH" w:eastAsia="ja-JP"/>
        </w:rPr>
        <w:t>é</w:t>
      </w:r>
      <w:r w:rsidRPr="00202138">
        <w:rPr>
          <w:lang w:val="fr-CH" w:eastAsia="ja-JP"/>
        </w:rPr>
        <w:t xml:space="preserve">quipe de projet dédiée commencera </w:t>
      </w:r>
      <w:r w:rsidR="003310B3">
        <w:rPr>
          <w:lang w:val="fr-CH" w:eastAsia="ja-JP"/>
        </w:rPr>
        <w:t>le travail d'indexation</w:t>
      </w:r>
      <w:r w:rsidRPr="00202138">
        <w:rPr>
          <w:lang w:val="fr-CH" w:eastAsia="ja-JP"/>
        </w:rPr>
        <w:t xml:space="preserve"> en octobre 2020</w:t>
      </w:r>
      <w:r w:rsidR="003310B3">
        <w:rPr>
          <w:lang w:val="fr-CH" w:eastAsia="ja-JP"/>
        </w:rPr>
        <w:t>. Les travaux</w:t>
      </w:r>
      <w:r w:rsidRPr="00202138">
        <w:rPr>
          <w:lang w:val="fr-CH" w:eastAsia="ja-JP"/>
        </w:rPr>
        <w:t xml:space="preserve"> se poursuivr</w:t>
      </w:r>
      <w:r w:rsidR="003310B3">
        <w:rPr>
          <w:lang w:val="fr-CH" w:eastAsia="ja-JP"/>
        </w:rPr>
        <w:t>ont</w:t>
      </w:r>
      <w:r w:rsidRPr="00202138">
        <w:rPr>
          <w:lang w:val="fr-CH" w:eastAsia="ja-JP"/>
        </w:rPr>
        <w:t xml:space="preserve"> tout au long de 2021.</w:t>
      </w:r>
    </w:p>
    <w:p w14:paraId="25877E81" w14:textId="70A47DE8" w:rsidR="002A2C61" w:rsidRPr="00202138" w:rsidRDefault="00281859" w:rsidP="00930348">
      <w:pPr>
        <w:pStyle w:val="Heading1"/>
        <w:rPr>
          <w:lang w:val="fr-CH" w:eastAsia="ja-JP"/>
        </w:rPr>
      </w:pPr>
      <w:r w:rsidRPr="00202138">
        <w:rPr>
          <w:lang w:val="fr-CH" w:eastAsia="ja-JP"/>
        </w:rPr>
        <w:t>7</w:t>
      </w:r>
      <w:r w:rsidRPr="00202138">
        <w:rPr>
          <w:lang w:val="fr-CH" w:eastAsia="ja-JP"/>
        </w:rPr>
        <w:tab/>
      </w:r>
      <w:r w:rsidR="006C53AE" w:rsidRPr="00202138">
        <w:rPr>
          <w:lang w:val="fr-CH" w:eastAsia="ja-JP"/>
        </w:rPr>
        <w:t xml:space="preserve">Continuité des activités </w:t>
      </w:r>
      <w:r w:rsidR="00023B25" w:rsidRPr="00202138">
        <w:rPr>
          <w:lang w:val="fr-CH" w:eastAsia="ja-JP"/>
        </w:rPr>
        <w:t>–</w:t>
      </w:r>
      <w:r w:rsidR="006C53AE" w:rsidRPr="00202138">
        <w:rPr>
          <w:lang w:val="fr-CH" w:eastAsia="ja-JP"/>
        </w:rPr>
        <w:t xml:space="preserve"> Organisation des conférences pendant les phases de démolition du bâtiment Varembé et de construction du nouveau bâtiment</w:t>
      </w:r>
    </w:p>
    <w:p w14:paraId="63296483" w14:textId="79F6228E" w:rsidR="006719DF" w:rsidRPr="00202138" w:rsidRDefault="006719DF" w:rsidP="00930348">
      <w:pPr>
        <w:rPr>
          <w:lang w:val="fr-CH" w:eastAsia="en-GB"/>
        </w:rPr>
      </w:pPr>
      <w:r w:rsidRPr="00202138">
        <w:rPr>
          <w:lang w:val="fr-CH" w:eastAsia="en-GB"/>
        </w:rPr>
        <w:t>Étant donné que les dates des prochaines sessions du Conseil ont été approuvées par les États Membres lors de la consultation virtuelle tenue en</w:t>
      </w:r>
      <w:r w:rsidR="00DC3992">
        <w:rPr>
          <w:lang w:val="fr-CH" w:eastAsia="en-GB"/>
        </w:rPr>
        <w:t xml:space="preserve"> juin</w:t>
      </w:r>
      <w:r w:rsidRPr="00202138">
        <w:rPr>
          <w:lang w:val="fr-CH" w:eastAsia="en-GB"/>
        </w:rPr>
        <w:t xml:space="preserve"> 2020, le Département C&amp;P est désormais en mesure de présenter aux Secteurs des propositions concernant des salles et des dates au CICG pour la période de travail 2022-2026. Malheureusement, le CICG ne peut pas </w:t>
      </w:r>
      <w:r w:rsidR="00D4300F" w:rsidRPr="00202138">
        <w:rPr>
          <w:lang w:val="fr-CH" w:eastAsia="en-GB"/>
        </w:rPr>
        <w:t>répondre positivement à toutes nos demandes de dates</w:t>
      </w:r>
      <w:r w:rsidR="00DC3992">
        <w:rPr>
          <w:lang w:val="fr-CH" w:eastAsia="en-GB"/>
        </w:rPr>
        <w:t>,</w:t>
      </w:r>
      <w:r w:rsidR="00D4300F" w:rsidRPr="00202138">
        <w:rPr>
          <w:lang w:val="fr-CH" w:eastAsia="en-GB"/>
        </w:rPr>
        <w:t xml:space="preserve"> mais nous </w:t>
      </w:r>
      <w:r w:rsidR="00DC3992">
        <w:rPr>
          <w:lang w:val="fr-CH" w:eastAsia="en-GB"/>
        </w:rPr>
        <w:t>continuons notre travail de consultation avec le CICG</w:t>
      </w:r>
      <w:r w:rsidR="00D4300F" w:rsidRPr="00202138">
        <w:rPr>
          <w:lang w:val="fr-CH" w:eastAsia="en-GB"/>
        </w:rPr>
        <w:t xml:space="preserve"> pour trouver d'autres solutions, sachant qu'en ce qui concerne les GTC, les dates ne peuvent être confirmées avant 2021, ce qui signifie qu'il faut très certainement s'attendre à des changements de dates qui auront des répercussions sur la planification des réunions des Secteurs.</w:t>
      </w:r>
    </w:p>
    <w:p w14:paraId="6BAEB752" w14:textId="77777777" w:rsidR="00930348" w:rsidRDefault="00E63556" w:rsidP="00930348">
      <w:pPr>
        <w:rPr>
          <w:lang w:val="fr-CH" w:eastAsia="en-GB"/>
        </w:rPr>
      </w:pPr>
      <w:r w:rsidRPr="00202138">
        <w:rPr>
          <w:lang w:val="fr-CH" w:eastAsia="en-GB"/>
        </w:rPr>
        <w:t xml:space="preserve">En raison des </w:t>
      </w:r>
      <w:r w:rsidR="00DC3992">
        <w:rPr>
          <w:lang w:val="fr-CH" w:eastAsia="en-GB"/>
        </w:rPr>
        <w:t>restrictions touchant les voyages à cause du</w:t>
      </w:r>
      <w:r w:rsidRPr="00202138">
        <w:rPr>
          <w:lang w:val="fr-CH" w:eastAsia="en-GB"/>
        </w:rPr>
        <w:t xml:space="preserve"> </w:t>
      </w:r>
      <w:r w:rsidR="004A3BDB" w:rsidRPr="00202138">
        <w:rPr>
          <w:lang w:val="fr-CH" w:eastAsia="en-GB"/>
        </w:rPr>
        <w:t>COVID</w:t>
      </w:r>
      <w:r w:rsidRPr="00202138">
        <w:rPr>
          <w:lang w:val="fr-CH" w:eastAsia="en-GB"/>
        </w:rPr>
        <w:t xml:space="preserve">-19, les réunions et manifestations ont été tenues sous forme virtuelle d'avril à septembre 2020. La pandémie a clairement mis en avant l'importance des possibilités de participation à distance et montré que les réunions virtuelles </w:t>
      </w:r>
      <w:r w:rsidR="00DC3992">
        <w:rPr>
          <w:lang w:val="fr-CH" w:eastAsia="en-GB"/>
        </w:rPr>
        <w:t>offrent</w:t>
      </w:r>
      <w:r w:rsidRPr="00202138">
        <w:rPr>
          <w:lang w:val="fr-CH" w:eastAsia="en-GB"/>
        </w:rPr>
        <w:t xml:space="preserve"> une alternative réaliste à la participation physique pour la plupart des réunions de l'UIT. La consultation virtuelle des Conseillers de 2020, les réunions du GCR, du GCDT et du GCNT ainsi que les réunions des Commissions d'études sont autant d'exemples de réunions qui ont </w:t>
      </w:r>
      <w:r w:rsidR="00DC3992">
        <w:rPr>
          <w:lang w:val="fr-CH" w:eastAsia="en-GB"/>
        </w:rPr>
        <w:t>été</w:t>
      </w:r>
      <w:r w:rsidRPr="00202138">
        <w:rPr>
          <w:lang w:val="fr-CH" w:eastAsia="en-GB"/>
        </w:rPr>
        <w:t xml:space="preserve"> tenues à distance à cause du </w:t>
      </w:r>
      <w:r w:rsidR="004A3BDB" w:rsidRPr="00202138">
        <w:rPr>
          <w:lang w:val="fr-CH" w:eastAsia="en-GB"/>
        </w:rPr>
        <w:t>COVID</w:t>
      </w:r>
      <w:r w:rsidRPr="00202138">
        <w:rPr>
          <w:lang w:val="fr-CH" w:eastAsia="en-GB"/>
        </w:rPr>
        <w:t xml:space="preserve">-19 et l'ont été avec succès. La situation actuelle </w:t>
      </w:r>
      <w:r w:rsidR="00DC3992">
        <w:rPr>
          <w:lang w:val="fr-CH" w:eastAsia="en-GB"/>
        </w:rPr>
        <w:t>offre</w:t>
      </w:r>
      <w:r w:rsidRPr="00202138">
        <w:rPr>
          <w:lang w:val="fr-CH" w:eastAsia="en-GB"/>
        </w:rPr>
        <w:t xml:space="preserve"> une </w:t>
      </w:r>
      <w:r w:rsidR="00DC3992">
        <w:rPr>
          <w:lang w:val="fr-CH" w:eastAsia="en-GB"/>
        </w:rPr>
        <w:t>chance à</w:t>
      </w:r>
      <w:r w:rsidRPr="00202138">
        <w:rPr>
          <w:lang w:val="fr-CH" w:eastAsia="en-GB"/>
        </w:rPr>
        <w:t xml:space="preserve"> l'UIT de renforcer</w:t>
      </w:r>
      <w:r w:rsidR="00DC3992">
        <w:rPr>
          <w:lang w:val="fr-CH" w:eastAsia="en-GB"/>
        </w:rPr>
        <w:t xml:space="preserve"> encore</w:t>
      </w:r>
      <w:r w:rsidRPr="00202138">
        <w:rPr>
          <w:lang w:val="fr-CH" w:eastAsia="en-GB"/>
        </w:rPr>
        <w:t xml:space="preserve"> son rôle de pionnier dans le domaine des technologies de participation à distance en fournissant </w:t>
      </w:r>
      <w:r w:rsidR="00DC3992">
        <w:rPr>
          <w:lang w:val="fr-CH" w:eastAsia="en-GB"/>
        </w:rPr>
        <w:t>à ses</w:t>
      </w:r>
      <w:r w:rsidRPr="00202138">
        <w:rPr>
          <w:lang w:val="fr-CH" w:eastAsia="en-GB"/>
        </w:rPr>
        <w:t xml:space="preserve"> Membres, ainsi qu'aux autres organisations du système des Nations Unies</w:t>
      </w:r>
      <w:r w:rsidR="00DC3992">
        <w:rPr>
          <w:lang w:val="fr-CH" w:eastAsia="en-GB"/>
        </w:rPr>
        <w:t>,</w:t>
      </w:r>
      <w:r w:rsidRPr="00202138">
        <w:rPr>
          <w:lang w:val="fr-CH" w:eastAsia="en-GB"/>
        </w:rPr>
        <w:t xml:space="preserve"> un appui pour </w:t>
      </w:r>
      <w:r w:rsidR="00DC3992">
        <w:rPr>
          <w:lang w:val="fr-CH" w:eastAsia="en-GB"/>
        </w:rPr>
        <w:t>redimensionner</w:t>
      </w:r>
      <w:r w:rsidRPr="00202138">
        <w:rPr>
          <w:lang w:val="fr-CH" w:eastAsia="en-GB"/>
        </w:rPr>
        <w:t xml:space="preserve"> leur infrastructure et </w:t>
      </w:r>
      <w:r w:rsidR="00930348">
        <w:rPr>
          <w:lang w:val="fr-CH" w:eastAsia="en-GB"/>
        </w:rPr>
        <w:br w:type="page"/>
      </w:r>
    </w:p>
    <w:p w14:paraId="2D4AB908" w14:textId="4F0AC830" w:rsidR="00E63556" w:rsidRPr="00202138" w:rsidRDefault="00DC3992" w:rsidP="00930348">
      <w:pPr>
        <w:rPr>
          <w:lang w:val="fr-CH" w:eastAsia="en-GB"/>
        </w:rPr>
      </w:pPr>
      <w:r>
        <w:rPr>
          <w:lang w:val="fr-CH" w:eastAsia="en-GB"/>
        </w:rPr>
        <w:lastRenderedPageBreak/>
        <w:t xml:space="preserve">acquérir </w:t>
      </w:r>
      <w:r w:rsidR="009D2FD9" w:rsidRPr="00202138">
        <w:rPr>
          <w:lang w:val="fr-CH" w:eastAsia="en-GB"/>
        </w:rPr>
        <w:t xml:space="preserve">les compétences dont ils ont besoin </w:t>
      </w:r>
      <w:r>
        <w:rPr>
          <w:lang w:val="fr-CH" w:eastAsia="en-GB"/>
        </w:rPr>
        <w:t xml:space="preserve">pour </w:t>
      </w:r>
      <w:r w:rsidR="009D2FD9" w:rsidRPr="00202138">
        <w:rPr>
          <w:lang w:val="fr-CH" w:eastAsia="en-GB"/>
        </w:rPr>
        <w:t xml:space="preserve">la participation à distance. </w:t>
      </w:r>
      <w:r>
        <w:rPr>
          <w:lang w:val="fr-CH" w:eastAsia="en-GB"/>
        </w:rPr>
        <w:t>On disposerait ainsi</w:t>
      </w:r>
      <w:r w:rsidR="007E0CBC" w:rsidRPr="00202138">
        <w:rPr>
          <w:lang w:val="fr-CH" w:eastAsia="en-GB"/>
        </w:rPr>
        <w:t xml:space="preserve"> d'une infrastructure de réunion homogène </w:t>
      </w:r>
      <w:r>
        <w:rPr>
          <w:lang w:val="fr-CH" w:eastAsia="en-GB"/>
        </w:rPr>
        <w:t>à l'échelle</w:t>
      </w:r>
      <w:r w:rsidR="007E0CBC" w:rsidRPr="00202138">
        <w:rPr>
          <w:lang w:val="fr-CH" w:eastAsia="en-GB"/>
        </w:rPr>
        <w:t xml:space="preserve"> du réseau de l'UIT, ce qui renforcerait l'efficacité des réunions virtuelles et, à terme, réduir</w:t>
      </w:r>
      <w:r>
        <w:rPr>
          <w:lang w:val="fr-CH" w:eastAsia="en-GB"/>
        </w:rPr>
        <w:t>ait</w:t>
      </w:r>
      <w:r w:rsidR="007E0CBC" w:rsidRPr="00202138">
        <w:rPr>
          <w:lang w:val="fr-CH" w:eastAsia="en-GB"/>
        </w:rPr>
        <w:t xml:space="preserve"> au minimum la nécessité de tenir des réunions physiques.</w:t>
      </w:r>
    </w:p>
    <w:p w14:paraId="7ACE914C" w14:textId="352AEAAA" w:rsidR="007E0CBC" w:rsidRPr="00202138" w:rsidRDefault="003D74E8" w:rsidP="00930348">
      <w:pPr>
        <w:rPr>
          <w:lang w:val="fr-CH" w:eastAsia="en-GB"/>
        </w:rPr>
      </w:pPr>
      <w:r w:rsidRPr="00202138">
        <w:rPr>
          <w:lang w:val="fr-CH" w:eastAsia="en-GB"/>
        </w:rPr>
        <w:t>Rendre possible à plus grande échelle les réunions virtuelles et la participation à distance aux conférences, assemblées et réunion</w:t>
      </w:r>
      <w:r w:rsidR="00DC3992">
        <w:rPr>
          <w:lang w:val="fr-CH" w:eastAsia="en-GB"/>
        </w:rPr>
        <w:t>s</w:t>
      </w:r>
      <w:r w:rsidRPr="00202138">
        <w:rPr>
          <w:lang w:val="fr-CH" w:eastAsia="en-GB"/>
        </w:rPr>
        <w:t xml:space="preserve"> de l'UIT </w:t>
      </w:r>
      <w:r w:rsidR="00DC3992">
        <w:rPr>
          <w:lang w:val="fr-CH" w:eastAsia="en-GB"/>
        </w:rPr>
        <w:t>même lorsque</w:t>
      </w:r>
      <w:r w:rsidRPr="00202138">
        <w:rPr>
          <w:lang w:val="fr-CH" w:eastAsia="en-GB"/>
        </w:rPr>
        <w:t xml:space="preserve"> la crise du </w:t>
      </w:r>
      <w:r w:rsidR="004A3BDB" w:rsidRPr="00202138">
        <w:rPr>
          <w:lang w:val="fr-CH" w:eastAsia="en-GB"/>
        </w:rPr>
        <w:t>COVID</w:t>
      </w:r>
      <w:r w:rsidRPr="00202138">
        <w:rPr>
          <w:lang w:val="fr-CH" w:eastAsia="en-GB"/>
        </w:rPr>
        <w:t>-19</w:t>
      </w:r>
      <w:r w:rsidR="00DC3992">
        <w:rPr>
          <w:lang w:val="fr-CH" w:eastAsia="en-GB"/>
        </w:rPr>
        <w:t xml:space="preserve"> sera</w:t>
      </w:r>
      <w:r w:rsidRPr="00202138">
        <w:rPr>
          <w:lang w:val="fr-CH" w:eastAsia="en-GB"/>
        </w:rPr>
        <w:t xml:space="preserve"> terminée permettra</w:t>
      </w:r>
      <w:r w:rsidR="004322A8">
        <w:rPr>
          <w:lang w:val="fr-CH" w:eastAsia="en-GB"/>
        </w:rPr>
        <w:t>it</w:t>
      </w:r>
      <w:r w:rsidRPr="00202138">
        <w:rPr>
          <w:lang w:val="fr-CH" w:eastAsia="en-GB"/>
        </w:rPr>
        <w:t xml:space="preserve"> non seulement de </w:t>
      </w:r>
      <w:r w:rsidR="004322A8">
        <w:rPr>
          <w:lang w:val="fr-CH" w:eastAsia="en-GB"/>
        </w:rPr>
        <w:t>réduire</w:t>
      </w:r>
      <w:r w:rsidRPr="00202138">
        <w:rPr>
          <w:lang w:val="fr-CH" w:eastAsia="en-GB"/>
        </w:rPr>
        <w:t xml:space="preserve"> considérablement les émissions dues aux </w:t>
      </w:r>
      <w:r w:rsidR="004322A8">
        <w:rPr>
          <w:lang w:val="fr-CH" w:eastAsia="en-GB"/>
        </w:rPr>
        <w:t>voyages</w:t>
      </w:r>
      <w:r w:rsidRPr="00202138">
        <w:rPr>
          <w:lang w:val="fr-CH" w:eastAsia="en-GB"/>
        </w:rPr>
        <w:t xml:space="preserve"> en avion et à l'expédition du matériel, mais aussi de réduire la nécessité de disposer de salles de conférence et de réunion pendant </w:t>
      </w:r>
      <w:r w:rsidR="004322A8">
        <w:rPr>
          <w:lang w:val="fr-CH" w:eastAsia="en-GB"/>
        </w:rPr>
        <w:t>les phases de</w:t>
      </w:r>
      <w:r w:rsidRPr="00202138">
        <w:rPr>
          <w:lang w:val="fr-CH" w:eastAsia="en-GB"/>
        </w:rPr>
        <w:t xml:space="preserve"> démolition de Varembé et </w:t>
      </w:r>
      <w:r w:rsidR="004322A8">
        <w:rPr>
          <w:lang w:val="fr-CH" w:eastAsia="en-GB"/>
        </w:rPr>
        <w:t>de</w:t>
      </w:r>
      <w:r w:rsidRPr="00202138">
        <w:rPr>
          <w:lang w:val="fr-CH" w:eastAsia="en-GB"/>
        </w:rPr>
        <w:t xml:space="preserve"> construction du nouveau bâtiment.</w:t>
      </w:r>
    </w:p>
    <w:p w14:paraId="3D73764E" w14:textId="10B6470A" w:rsidR="002A2C61" w:rsidRPr="00202138" w:rsidRDefault="00281859" w:rsidP="00930348">
      <w:pPr>
        <w:pStyle w:val="Heading1"/>
        <w:rPr>
          <w:lang w:val="fr-CH" w:eastAsia="ja-JP"/>
        </w:rPr>
      </w:pPr>
      <w:r w:rsidRPr="00202138">
        <w:rPr>
          <w:lang w:val="fr-CH" w:eastAsia="ja-JP"/>
        </w:rPr>
        <w:t>8</w:t>
      </w:r>
      <w:r w:rsidRPr="00202138">
        <w:rPr>
          <w:lang w:val="fr-CH" w:eastAsia="ja-JP"/>
        </w:rPr>
        <w:tab/>
      </w:r>
      <w:r w:rsidR="009823B1" w:rsidRPr="00202138">
        <w:rPr>
          <w:lang w:val="fr-CH" w:eastAsia="ja-JP"/>
        </w:rPr>
        <w:t>Communication interne et externe dans le cadre de la construction du nouveau bâtiment</w:t>
      </w:r>
    </w:p>
    <w:p w14:paraId="3DCB194F" w14:textId="749FB951" w:rsidR="008819EA" w:rsidRPr="00202138" w:rsidRDefault="008F44DE" w:rsidP="00930348">
      <w:pPr>
        <w:rPr>
          <w:lang w:val="fr-CH" w:eastAsia="zh-CN"/>
        </w:rPr>
      </w:pPr>
      <w:r w:rsidRPr="00202138">
        <w:rPr>
          <w:lang w:val="fr-CH" w:eastAsia="zh-CN"/>
        </w:rPr>
        <w:t>L</w:t>
      </w:r>
      <w:r w:rsidR="00F5358C" w:rsidRPr="00202138">
        <w:rPr>
          <w:lang w:val="fr-CH" w:eastAsia="zh-CN"/>
        </w:rPr>
        <w:t>'</w:t>
      </w:r>
      <w:r w:rsidRPr="00202138">
        <w:rPr>
          <w:lang w:val="fr-CH" w:eastAsia="zh-CN"/>
        </w:rPr>
        <w:t xml:space="preserve">UIT a mis au point une stratégie </w:t>
      </w:r>
      <w:r w:rsidR="00DF3CFB" w:rsidRPr="00202138">
        <w:rPr>
          <w:lang w:val="fr-CH" w:eastAsia="zh-CN"/>
        </w:rPr>
        <w:t xml:space="preserve">pour </w:t>
      </w:r>
      <w:r w:rsidRPr="00202138">
        <w:rPr>
          <w:lang w:val="fr-CH" w:eastAsia="zh-CN"/>
        </w:rPr>
        <w:t>la communication interne et externe au sujet du</w:t>
      </w:r>
      <w:r w:rsidR="00BD193A" w:rsidRPr="00202138">
        <w:rPr>
          <w:lang w:val="fr-CH" w:eastAsia="zh-CN"/>
        </w:rPr>
        <w:t xml:space="preserve"> futur </w:t>
      </w:r>
      <w:r w:rsidRPr="00202138">
        <w:rPr>
          <w:lang w:val="fr-CH" w:eastAsia="zh-CN"/>
        </w:rPr>
        <w:t>siège de l</w:t>
      </w:r>
      <w:r w:rsidR="00F5358C" w:rsidRPr="00202138">
        <w:rPr>
          <w:lang w:val="fr-CH" w:eastAsia="zh-CN"/>
        </w:rPr>
        <w:t>'</w:t>
      </w:r>
      <w:r w:rsidRPr="00202138">
        <w:rPr>
          <w:lang w:val="fr-CH" w:eastAsia="zh-CN"/>
        </w:rPr>
        <w:t xml:space="preserve">UIT et des questions </w:t>
      </w:r>
      <w:r w:rsidR="00BD193A" w:rsidRPr="00202138">
        <w:rPr>
          <w:lang w:val="fr-CH" w:eastAsia="zh-CN"/>
        </w:rPr>
        <w:t xml:space="preserve">connexes </w:t>
      </w:r>
      <w:r w:rsidRPr="00202138">
        <w:rPr>
          <w:lang w:val="fr-CH" w:eastAsia="zh-CN"/>
        </w:rPr>
        <w:t xml:space="preserve">liées à la gestion du changement dans le cadre de la Stratégie et du plan de mise en </w:t>
      </w:r>
      <w:r w:rsidR="0054386C" w:rsidRPr="00202138">
        <w:rPr>
          <w:lang w:val="fr-CH" w:eastAsia="zh-CN"/>
        </w:rPr>
        <w:t>œuvre</w:t>
      </w:r>
      <w:r w:rsidRPr="00202138">
        <w:rPr>
          <w:lang w:val="fr-CH" w:eastAsia="zh-CN"/>
        </w:rPr>
        <w:t xml:space="preserve"> pour les conditions de travail du personnel.</w:t>
      </w:r>
      <w:r w:rsidR="00281859" w:rsidRPr="00202138">
        <w:rPr>
          <w:lang w:val="fr-CH" w:eastAsia="zh-CN"/>
        </w:rPr>
        <w:t xml:space="preserve"> </w:t>
      </w:r>
      <w:r w:rsidR="006F1EF6" w:rsidRPr="00202138">
        <w:rPr>
          <w:lang w:val="fr-CH" w:eastAsia="zh-CN"/>
        </w:rPr>
        <w:t>Le recrutement d</w:t>
      </w:r>
      <w:r w:rsidR="00F5358C" w:rsidRPr="00202138">
        <w:rPr>
          <w:lang w:val="fr-CH" w:eastAsia="zh-CN"/>
        </w:rPr>
        <w:t>'</w:t>
      </w:r>
      <w:r w:rsidR="006F1EF6" w:rsidRPr="00202138">
        <w:rPr>
          <w:lang w:val="fr-CH" w:eastAsia="zh-CN"/>
        </w:rPr>
        <w:t xml:space="preserve">un responsable de la communication interne et externe chargé de promouvoir la mise en </w:t>
      </w:r>
      <w:r w:rsidR="0054386C" w:rsidRPr="00202138">
        <w:rPr>
          <w:lang w:val="fr-CH" w:eastAsia="zh-CN"/>
        </w:rPr>
        <w:t>œuvre</w:t>
      </w:r>
      <w:r w:rsidR="006F1EF6" w:rsidRPr="00202138">
        <w:rPr>
          <w:lang w:val="fr-CH" w:eastAsia="zh-CN"/>
        </w:rPr>
        <w:t xml:space="preserve"> la stratégie, sur un poste </w:t>
      </w:r>
      <w:r w:rsidR="00BD193A" w:rsidRPr="00202138">
        <w:rPr>
          <w:lang w:val="fr-CH" w:eastAsia="zh-CN"/>
        </w:rPr>
        <w:t xml:space="preserve">temporaire </w:t>
      </w:r>
      <w:r w:rsidR="006F1EF6" w:rsidRPr="00202138">
        <w:rPr>
          <w:lang w:val="fr-CH" w:eastAsia="zh-CN"/>
        </w:rPr>
        <w:t>de grade P3</w:t>
      </w:r>
      <w:r w:rsidR="008819EA" w:rsidRPr="00202138">
        <w:rPr>
          <w:lang w:val="fr-CH" w:eastAsia="zh-CN"/>
        </w:rPr>
        <w:t xml:space="preserve"> est imminent, puisque le</w:t>
      </w:r>
      <w:r w:rsidR="00B13301">
        <w:rPr>
          <w:lang w:val="fr-CH" w:eastAsia="zh-CN"/>
        </w:rPr>
        <w:t xml:space="preserve"> choix du</w:t>
      </w:r>
      <w:r w:rsidR="008819EA" w:rsidRPr="00202138">
        <w:rPr>
          <w:lang w:val="fr-CH" w:eastAsia="zh-CN"/>
        </w:rPr>
        <w:t xml:space="preserve"> candidat a été </w:t>
      </w:r>
      <w:r w:rsidR="00B13301">
        <w:rPr>
          <w:lang w:val="fr-CH" w:eastAsia="zh-CN"/>
        </w:rPr>
        <w:t>fait</w:t>
      </w:r>
      <w:r w:rsidR="008819EA" w:rsidRPr="00202138">
        <w:rPr>
          <w:lang w:val="fr-CH" w:eastAsia="zh-CN"/>
        </w:rPr>
        <w:t xml:space="preserve"> et </w:t>
      </w:r>
      <w:r w:rsidR="00B13301">
        <w:rPr>
          <w:lang w:val="fr-CH" w:eastAsia="zh-CN"/>
        </w:rPr>
        <w:t>validé</w:t>
      </w:r>
      <w:r w:rsidR="008819EA" w:rsidRPr="00202138">
        <w:rPr>
          <w:lang w:val="fr-CH" w:eastAsia="zh-CN"/>
        </w:rPr>
        <w:t xml:space="preserve"> par le Secrétaire général.</w:t>
      </w:r>
      <w:r w:rsidR="00B13301">
        <w:rPr>
          <w:lang w:val="fr-CH" w:eastAsia="zh-CN"/>
        </w:rPr>
        <w:t xml:space="preserve"> </w:t>
      </w:r>
      <w:r w:rsidR="008819EA" w:rsidRPr="00202138">
        <w:rPr>
          <w:lang w:val="fr-CH" w:eastAsia="zh-CN"/>
        </w:rPr>
        <w:t xml:space="preserve">Parallèlement, la communication interne a été renforcée avec la création d'un groupe de travail sur la communication interne qui se réunit chaque semaine depuis le 20 mai 2020 et rend compte à l'Équipe d'intervention opérationnelle (ORT). Un bulletin d'actualités numérique élaboré par les fonctionnaires pour les fonctionnaires, </w:t>
      </w:r>
      <w:r w:rsidR="009B44BA" w:rsidRPr="00202138">
        <w:rPr>
          <w:lang w:val="fr-CH" w:eastAsia="zh-CN"/>
        </w:rPr>
        <w:t xml:space="preserve">intitulé "ITU Connections", a été lancé mi-août 2020 en vue de promouvoir une meilleure communication et de préparer le terrain pour un nouvel outil de collaboration sociale décentralisée qui devrait permettre une meilleure prise en compte des </w:t>
      </w:r>
      <w:r w:rsidR="00B13301">
        <w:rPr>
          <w:lang w:val="fr-CH" w:eastAsia="zh-CN"/>
        </w:rPr>
        <w:t>préoccupations</w:t>
      </w:r>
      <w:r w:rsidR="009B44BA" w:rsidRPr="00202138">
        <w:rPr>
          <w:lang w:val="fr-CH" w:eastAsia="zh-CN"/>
        </w:rPr>
        <w:t xml:space="preserve"> des fonctionnaires, </w:t>
      </w:r>
      <w:r w:rsidR="00B13301">
        <w:rPr>
          <w:lang w:val="fr-CH" w:eastAsia="zh-CN"/>
        </w:rPr>
        <w:t>le renforcement de</w:t>
      </w:r>
      <w:r w:rsidR="009B44BA" w:rsidRPr="00202138">
        <w:rPr>
          <w:lang w:val="fr-CH" w:eastAsia="zh-CN"/>
        </w:rPr>
        <w:t xml:space="preserve"> la confiance et </w:t>
      </w:r>
      <w:r w:rsidR="00B13301">
        <w:rPr>
          <w:lang w:val="fr-CH" w:eastAsia="zh-CN"/>
        </w:rPr>
        <w:t>l'instauration d'</w:t>
      </w:r>
      <w:r w:rsidR="009B44BA" w:rsidRPr="00202138">
        <w:rPr>
          <w:lang w:val="fr-CH" w:eastAsia="zh-CN"/>
        </w:rPr>
        <w:t>une culture de l'engagement.</w:t>
      </w:r>
    </w:p>
    <w:p w14:paraId="1F4517C3" w14:textId="4304215D" w:rsidR="002A2C61" w:rsidRPr="00202138" w:rsidRDefault="00281859" w:rsidP="00930348">
      <w:pPr>
        <w:pStyle w:val="Heading1"/>
        <w:rPr>
          <w:lang w:val="fr-CH" w:eastAsia="ja-JP"/>
        </w:rPr>
      </w:pPr>
      <w:r w:rsidRPr="00202138">
        <w:rPr>
          <w:lang w:val="fr-CH" w:eastAsia="ja-JP"/>
        </w:rPr>
        <w:t>9</w:t>
      </w:r>
      <w:r w:rsidRPr="00202138">
        <w:rPr>
          <w:lang w:val="fr-CH" w:eastAsia="ja-JP"/>
        </w:rPr>
        <w:tab/>
      </w:r>
      <w:r w:rsidR="00EE35CC" w:rsidRPr="00202138">
        <w:rPr>
          <w:lang w:val="fr-CH" w:eastAsia="ja-JP"/>
        </w:rPr>
        <w:t xml:space="preserve">Incidences du </w:t>
      </w:r>
      <w:r w:rsidR="00DF3CFB" w:rsidRPr="00202138">
        <w:rPr>
          <w:lang w:val="fr-CH" w:eastAsia="ja-JP"/>
        </w:rPr>
        <w:t>COVID</w:t>
      </w:r>
      <w:r w:rsidR="00EE35CC" w:rsidRPr="00202138">
        <w:rPr>
          <w:lang w:val="fr-CH" w:eastAsia="ja-JP"/>
        </w:rPr>
        <w:t>-19</w:t>
      </w:r>
    </w:p>
    <w:p w14:paraId="38AD64FD" w14:textId="0223CE72" w:rsidR="002A2C61" w:rsidRPr="00202138" w:rsidRDefault="00F531B7" w:rsidP="00930348">
      <w:pPr>
        <w:keepLines/>
        <w:rPr>
          <w:lang w:val="fr-CH" w:eastAsia="zh-CN"/>
        </w:rPr>
      </w:pPr>
      <w:r w:rsidRPr="00202138">
        <w:rPr>
          <w:lang w:val="fr-CH" w:eastAsia="zh-CN"/>
        </w:rPr>
        <w:t>À</w:t>
      </w:r>
      <w:r w:rsidR="003522A6" w:rsidRPr="00202138">
        <w:rPr>
          <w:lang w:val="fr-CH" w:eastAsia="zh-CN"/>
        </w:rPr>
        <w:t xml:space="preserve"> l</w:t>
      </w:r>
      <w:r w:rsidR="00F5358C" w:rsidRPr="00202138">
        <w:rPr>
          <w:lang w:val="fr-CH" w:eastAsia="zh-CN"/>
        </w:rPr>
        <w:t>'</w:t>
      </w:r>
      <w:r w:rsidR="003522A6" w:rsidRPr="00202138">
        <w:rPr>
          <w:lang w:val="fr-CH" w:eastAsia="zh-CN"/>
        </w:rPr>
        <w:t>instar de tout le personnel de l</w:t>
      </w:r>
      <w:r w:rsidR="00F5358C" w:rsidRPr="00202138">
        <w:rPr>
          <w:lang w:val="fr-CH" w:eastAsia="zh-CN"/>
        </w:rPr>
        <w:t>'</w:t>
      </w:r>
      <w:r w:rsidR="003522A6" w:rsidRPr="00202138">
        <w:rPr>
          <w:lang w:val="fr-CH" w:eastAsia="zh-CN"/>
        </w:rPr>
        <w:t>UIT, la Division BPD est en télétravail depuis la mi-mars.</w:t>
      </w:r>
      <w:r w:rsidR="00281859" w:rsidRPr="00202138">
        <w:rPr>
          <w:lang w:val="fr-CH" w:eastAsia="zh-CN"/>
        </w:rPr>
        <w:t xml:space="preserve"> </w:t>
      </w:r>
      <w:r w:rsidR="004C17CC" w:rsidRPr="00202138">
        <w:rPr>
          <w:lang w:val="fr-CH" w:eastAsia="zh-CN"/>
        </w:rPr>
        <w:t>Toutes les activités de conception, y compris les ateliers thématiques, les réunions de coordination technique avec CTDK et ses sous-traitants</w:t>
      </w:r>
      <w:r w:rsidR="00DF3CFB" w:rsidRPr="00202138">
        <w:rPr>
          <w:lang w:val="fr-CH" w:eastAsia="zh-CN"/>
        </w:rPr>
        <w:t xml:space="preserve"> et</w:t>
      </w:r>
      <w:r w:rsidR="004C17CC" w:rsidRPr="00202138">
        <w:rPr>
          <w:lang w:val="fr-CH" w:eastAsia="zh-CN"/>
        </w:rPr>
        <w:t xml:space="preserve"> les consultations avec les parties prenantes en interne pour la confirmation des exigences </w:t>
      </w:r>
      <w:r w:rsidR="00DF3CFB" w:rsidRPr="00202138">
        <w:rPr>
          <w:lang w:val="fr-CH" w:eastAsia="zh-CN"/>
        </w:rPr>
        <w:t>fonctionnelles</w:t>
      </w:r>
      <w:r w:rsidR="004C17CC" w:rsidRPr="00202138">
        <w:rPr>
          <w:lang w:val="fr-CH" w:eastAsia="zh-CN"/>
        </w:rPr>
        <w:t xml:space="preserve">, en particulier sur le plan </w:t>
      </w:r>
      <w:r w:rsidR="00DF3CFB" w:rsidRPr="00202138">
        <w:rPr>
          <w:lang w:val="fr-CH" w:eastAsia="zh-CN"/>
        </w:rPr>
        <w:t>technique</w:t>
      </w:r>
      <w:r w:rsidR="004C17CC" w:rsidRPr="00202138">
        <w:rPr>
          <w:lang w:val="fr-CH" w:eastAsia="zh-CN"/>
        </w:rPr>
        <w:t>, ont été</w:t>
      </w:r>
      <w:r w:rsidR="00BD193A" w:rsidRPr="00202138">
        <w:rPr>
          <w:lang w:val="fr-CH" w:eastAsia="zh-CN"/>
        </w:rPr>
        <w:t xml:space="preserve"> menées </w:t>
      </w:r>
      <w:r w:rsidR="004C17CC" w:rsidRPr="00202138">
        <w:rPr>
          <w:lang w:val="fr-CH" w:eastAsia="zh-CN"/>
        </w:rPr>
        <w:t>à distance.</w:t>
      </w:r>
    </w:p>
    <w:p w14:paraId="6F080CE2" w14:textId="304C99A8" w:rsidR="002A2C61" w:rsidRPr="00202138" w:rsidRDefault="009B44BA" w:rsidP="00930348">
      <w:pPr>
        <w:rPr>
          <w:lang w:val="fr-CH" w:eastAsia="zh-CN"/>
        </w:rPr>
      </w:pPr>
      <w:r w:rsidRPr="00202138">
        <w:rPr>
          <w:lang w:val="fr-CH" w:eastAsia="zh-CN"/>
        </w:rPr>
        <w:t>L'</w:t>
      </w:r>
      <w:r w:rsidR="003B3D72" w:rsidRPr="00202138">
        <w:rPr>
          <w:lang w:val="fr-CH" w:eastAsia="zh-CN"/>
        </w:rPr>
        <w:t>étape majeure pour cette année est la soumission de la demande de permis fin 2020.</w:t>
      </w:r>
      <w:r w:rsidR="00281859" w:rsidRPr="00202138">
        <w:rPr>
          <w:lang w:val="fr-CH" w:eastAsia="zh-CN"/>
        </w:rPr>
        <w:t xml:space="preserve"> </w:t>
      </w:r>
      <w:r w:rsidR="000949E9" w:rsidRPr="00202138">
        <w:rPr>
          <w:lang w:val="fr-CH" w:eastAsia="zh-CN"/>
        </w:rPr>
        <w:t>Dans ce contexte, l</w:t>
      </w:r>
      <w:r w:rsidR="00F5358C" w:rsidRPr="00202138">
        <w:rPr>
          <w:lang w:val="fr-CH" w:eastAsia="zh-CN"/>
        </w:rPr>
        <w:t>'</w:t>
      </w:r>
      <w:r w:rsidR="000949E9" w:rsidRPr="00202138">
        <w:rPr>
          <w:lang w:val="fr-CH" w:eastAsia="zh-CN"/>
        </w:rPr>
        <w:t xml:space="preserve">UIT </w:t>
      </w:r>
      <w:r w:rsidRPr="00202138">
        <w:rPr>
          <w:lang w:val="fr-CH" w:eastAsia="zh-CN"/>
        </w:rPr>
        <w:t>a</w:t>
      </w:r>
      <w:r w:rsidR="000949E9" w:rsidRPr="00202138">
        <w:rPr>
          <w:lang w:val="fr-CH" w:eastAsia="zh-CN"/>
        </w:rPr>
        <w:t xml:space="preserve"> consult</w:t>
      </w:r>
      <w:r w:rsidRPr="00202138">
        <w:rPr>
          <w:lang w:val="fr-CH" w:eastAsia="zh-CN"/>
        </w:rPr>
        <w:t>é avec succès</w:t>
      </w:r>
      <w:r w:rsidR="000949E9" w:rsidRPr="00202138">
        <w:rPr>
          <w:lang w:val="fr-CH" w:eastAsia="zh-CN"/>
        </w:rPr>
        <w:t xml:space="preserve"> les autorités locales</w:t>
      </w:r>
      <w:r w:rsidR="008A324B" w:rsidRPr="00202138">
        <w:rPr>
          <w:lang w:val="fr-CH" w:eastAsia="zh-CN"/>
        </w:rPr>
        <w:t xml:space="preserve"> </w:t>
      </w:r>
      <w:r w:rsidRPr="00202138">
        <w:rPr>
          <w:lang w:val="fr-CH" w:eastAsia="zh-CN"/>
        </w:rPr>
        <w:t>à distance</w:t>
      </w:r>
      <w:r w:rsidR="008A324B" w:rsidRPr="00202138">
        <w:rPr>
          <w:lang w:val="fr-CH" w:eastAsia="zh-CN"/>
        </w:rPr>
        <w:t>.</w:t>
      </w:r>
    </w:p>
    <w:p w14:paraId="28C709DD" w14:textId="7D0FED2E" w:rsidR="009B44BA" w:rsidRPr="00202138" w:rsidRDefault="002D2450" w:rsidP="00930348">
      <w:pPr>
        <w:rPr>
          <w:lang w:val="fr-CH" w:eastAsia="zh-CN"/>
        </w:rPr>
      </w:pPr>
      <w:r w:rsidRPr="00202138">
        <w:rPr>
          <w:lang w:val="fr-CH" w:eastAsia="zh-CN"/>
        </w:rPr>
        <w:t xml:space="preserve">Les risques ont </w:t>
      </w:r>
      <w:r w:rsidR="00B80F82" w:rsidRPr="00202138">
        <w:rPr>
          <w:lang w:val="fr-CH" w:eastAsia="zh-CN"/>
        </w:rPr>
        <w:t>évolué</w:t>
      </w:r>
      <w:r w:rsidRPr="00202138">
        <w:rPr>
          <w:lang w:val="fr-CH" w:eastAsia="zh-CN"/>
        </w:rPr>
        <w:t>, et le registre des risques est actuellement mis à jour à la lumière de la crise actuelle</w:t>
      </w:r>
      <w:r w:rsidR="00BD193A" w:rsidRPr="00202138">
        <w:rPr>
          <w:lang w:val="fr-CH" w:eastAsia="zh-CN"/>
        </w:rPr>
        <w:t xml:space="preserve">, en vue de réévaluer la </w:t>
      </w:r>
      <w:r w:rsidRPr="00202138">
        <w:rPr>
          <w:lang w:val="fr-CH" w:eastAsia="zh-CN"/>
        </w:rPr>
        <w:t>probabilité, les incidences et les mesures d</w:t>
      </w:r>
      <w:r w:rsidR="00F5358C" w:rsidRPr="00202138">
        <w:rPr>
          <w:lang w:val="fr-CH" w:eastAsia="zh-CN"/>
        </w:rPr>
        <w:t>'</w:t>
      </w:r>
      <w:r w:rsidRPr="00202138">
        <w:rPr>
          <w:lang w:val="fr-CH" w:eastAsia="zh-CN"/>
        </w:rPr>
        <w:t>atténuation</w:t>
      </w:r>
      <w:r w:rsidR="00522FC8" w:rsidRPr="00202138">
        <w:rPr>
          <w:lang w:val="fr-CH" w:eastAsia="zh-CN"/>
        </w:rPr>
        <w:t>.</w:t>
      </w:r>
      <w:r w:rsidR="00BD7976" w:rsidRPr="00202138">
        <w:rPr>
          <w:lang w:val="fr-CH" w:eastAsia="zh-CN"/>
        </w:rPr>
        <w:t xml:space="preserve"> </w:t>
      </w:r>
      <w:r w:rsidR="009B44BA" w:rsidRPr="00202138">
        <w:rPr>
          <w:lang w:val="fr-CH" w:eastAsia="zh-CN"/>
        </w:rPr>
        <w:t>Des éléments</w:t>
      </w:r>
      <w:r w:rsidR="005871C1" w:rsidRPr="00202138">
        <w:rPr>
          <w:lang w:val="fr-CH" w:eastAsia="zh-CN"/>
        </w:rPr>
        <w:t xml:space="preserve"> </w:t>
      </w:r>
      <w:r w:rsidR="009B44BA" w:rsidRPr="00202138">
        <w:rPr>
          <w:lang w:val="fr-CH" w:eastAsia="zh-CN"/>
        </w:rPr>
        <w:t>ont</w:t>
      </w:r>
      <w:r w:rsidR="005871C1" w:rsidRPr="00202138">
        <w:rPr>
          <w:lang w:val="fr-CH" w:eastAsia="zh-CN"/>
        </w:rPr>
        <w:t xml:space="preserve"> été ajouté</w:t>
      </w:r>
      <w:r w:rsidR="009B44BA" w:rsidRPr="00202138">
        <w:rPr>
          <w:lang w:val="fr-CH" w:eastAsia="zh-CN"/>
        </w:rPr>
        <w:t>s</w:t>
      </w:r>
      <w:r w:rsidR="005871C1" w:rsidRPr="00202138">
        <w:rPr>
          <w:lang w:val="fr-CH" w:eastAsia="zh-CN"/>
        </w:rPr>
        <w:t xml:space="preserve"> au registre des risques pour</w:t>
      </w:r>
      <w:r w:rsidR="00BD193A" w:rsidRPr="00202138">
        <w:rPr>
          <w:lang w:val="fr-CH" w:eastAsia="zh-CN"/>
        </w:rPr>
        <w:t xml:space="preserve"> prendre en considération </w:t>
      </w:r>
      <w:r w:rsidR="005871C1" w:rsidRPr="00202138">
        <w:rPr>
          <w:lang w:val="fr-CH" w:eastAsia="zh-CN"/>
        </w:rPr>
        <w:t>et anticiper les changements éventuels qui pourraient</w:t>
      </w:r>
      <w:r w:rsidR="00BD193A" w:rsidRPr="00202138">
        <w:rPr>
          <w:lang w:val="fr-CH" w:eastAsia="zh-CN"/>
        </w:rPr>
        <w:t xml:space="preserve"> être apportés à </w:t>
      </w:r>
      <w:r w:rsidR="005871C1" w:rsidRPr="00202138">
        <w:rPr>
          <w:lang w:val="fr-CH" w:eastAsia="zh-CN"/>
        </w:rPr>
        <w:t>la conception</w:t>
      </w:r>
      <w:r w:rsidR="00BD193A" w:rsidRPr="00202138">
        <w:rPr>
          <w:lang w:val="fr-CH" w:eastAsia="zh-CN"/>
        </w:rPr>
        <w:t xml:space="preserve"> à la suite</w:t>
      </w:r>
      <w:r w:rsidR="00BD7976" w:rsidRPr="00202138">
        <w:rPr>
          <w:lang w:val="fr-CH" w:eastAsia="zh-CN"/>
        </w:rPr>
        <w:t xml:space="preserve"> </w:t>
      </w:r>
      <w:r w:rsidR="005871C1" w:rsidRPr="00202138">
        <w:rPr>
          <w:lang w:val="fr-CH" w:eastAsia="zh-CN"/>
        </w:rPr>
        <w:t>d</w:t>
      </w:r>
      <w:r w:rsidR="00F5358C" w:rsidRPr="00202138">
        <w:rPr>
          <w:lang w:val="fr-CH" w:eastAsia="zh-CN"/>
        </w:rPr>
        <w:t>'</w:t>
      </w:r>
      <w:r w:rsidR="005871C1" w:rsidRPr="00202138">
        <w:rPr>
          <w:lang w:val="fr-CH" w:eastAsia="zh-CN"/>
        </w:rPr>
        <w:t xml:space="preserve">une analyse des incidences du </w:t>
      </w:r>
      <w:r w:rsidR="00D71828" w:rsidRPr="00202138">
        <w:rPr>
          <w:lang w:val="fr-CH" w:eastAsia="zh-CN"/>
        </w:rPr>
        <w:t>COVID</w:t>
      </w:r>
      <w:r w:rsidR="005871C1" w:rsidRPr="00202138">
        <w:rPr>
          <w:lang w:val="fr-CH" w:eastAsia="zh-CN"/>
        </w:rPr>
        <w:t>-19 sur le nouveau cahier des charges pour le bâtiment.</w:t>
      </w:r>
      <w:r w:rsidR="009B44BA" w:rsidRPr="00202138">
        <w:rPr>
          <w:lang w:val="fr-CH" w:eastAsia="zh-CN"/>
        </w:rPr>
        <w:t xml:space="preserve"> Des coûts approximatifs ont été anticipés</w:t>
      </w:r>
      <w:r w:rsidR="005A7705">
        <w:rPr>
          <w:lang w:val="fr-CH" w:eastAsia="zh-CN"/>
        </w:rPr>
        <w:t>,</w:t>
      </w:r>
      <w:r w:rsidR="009B44BA" w:rsidRPr="00202138">
        <w:rPr>
          <w:lang w:val="fr-CH" w:eastAsia="zh-CN"/>
        </w:rPr>
        <w:t xml:space="preserve"> mais ils devront être confirmés dès lors que les incidence</w:t>
      </w:r>
      <w:r w:rsidR="00D71828">
        <w:rPr>
          <w:lang w:val="fr-CH" w:eastAsia="zh-CN"/>
        </w:rPr>
        <w:t>s</w:t>
      </w:r>
      <w:r w:rsidR="009B44BA" w:rsidRPr="00202138">
        <w:rPr>
          <w:lang w:val="fr-CH" w:eastAsia="zh-CN"/>
        </w:rPr>
        <w:t xml:space="preserve"> sur la conception des bureaux seront connues.</w:t>
      </w:r>
    </w:p>
    <w:p w14:paraId="0E3C678F" w14:textId="16D6F44F" w:rsidR="00F60913" w:rsidRPr="00202138" w:rsidRDefault="00F60913" w:rsidP="00930348">
      <w:pPr>
        <w:rPr>
          <w:lang w:val="fr-CH" w:eastAsia="zh-CN"/>
        </w:rPr>
      </w:pPr>
      <w:r w:rsidRPr="00202138">
        <w:rPr>
          <w:lang w:val="fr-CH" w:eastAsia="zh-CN"/>
        </w:rPr>
        <w:lastRenderedPageBreak/>
        <w:t xml:space="preserve">Un document </w:t>
      </w:r>
      <w:r w:rsidR="000E6D41" w:rsidRPr="00202138">
        <w:rPr>
          <w:lang w:val="fr-CH" w:eastAsia="zh-CN"/>
        </w:rPr>
        <w:t>contenant</w:t>
      </w:r>
      <w:r w:rsidRPr="00202138">
        <w:rPr>
          <w:lang w:val="fr-CH" w:eastAsia="zh-CN"/>
        </w:rPr>
        <w:t xml:space="preserve"> des travaux de recherche menés par des spécialistes de l'aménagement des espaces de travail </w:t>
      </w:r>
      <w:r w:rsidR="000E6D41" w:rsidRPr="00202138">
        <w:rPr>
          <w:lang w:val="fr-CH" w:eastAsia="zh-CN"/>
        </w:rPr>
        <w:t>sur un environnement de travail post-Covid a été transmis et présenté</w:t>
      </w:r>
      <w:r w:rsidRPr="00202138">
        <w:rPr>
          <w:lang w:val="fr-CH" w:eastAsia="zh-CN"/>
        </w:rPr>
        <w:t xml:space="preserve"> </w:t>
      </w:r>
      <w:r w:rsidR="000E6D41" w:rsidRPr="00202138">
        <w:rPr>
          <w:lang w:val="fr-CH" w:eastAsia="zh-CN"/>
        </w:rPr>
        <w:t xml:space="preserve">à la réunion du Groupe MSAG en juillet. Pour traiter ce dernier point à examiner dans ce contexte, le secrétariat a recommandé d'avoir recours à </w:t>
      </w:r>
      <w:r w:rsidR="005A7705">
        <w:rPr>
          <w:lang w:val="fr-CH" w:eastAsia="zh-CN"/>
        </w:rPr>
        <w:t>des</w:t>
      </w:r>
      <w:r w:rsidR="000E6D41" w:rsidRPr="00202138">
        <w:rPr>
          <w:lang w:val="fr-CH" w:eastAsia="zh-CN"/>
        </w:rPr>
        <w:t xml:space="preserve"> consultant</w:t>
      </w:r>
      <w:r w:rsidR="00AC5D72">
        <w:rPr>
          <w:lang w:val="fr-CH" w:eastAsia="zh-CN"/>
        </w:rPr>
        <w:t>s</w:t>
      </w:r>
      <w:r w:rsidR="000E6D41" w:rsidRPr="00202138">
        <w:rPr>
          <w:lang w:val="fr-CH" w:eastAsia="zh-CN"/>
        </w:rPr>
        <w:t xml:space="preserve"> extérieur</w:t>
      </w:r>
      <w:r w:rsidR="00AC5D72">
        <w:rPr>
          <w:lang w:val="fr-CH" w:eastAsia="zh-CN"/>
        </w:rPr>
        <w:t>s</w:t>
      </w:r>
      <w:r w:rsidR="005A7705">
        <w:rPr>
          <w:lang w:val="fr-CH" w:eastAsia="zh-CN"/>
        </w:rPr>
        <w:t>, si nécessaire</w:t>
      </w:r>
      <w:r w:rsidR="000E6D41" w:rsidRPr="00202138">
        <w:rPr>
          <w:lang w:val="fr-CH" w:eastAsia="zh-CN"/>
        </w:rPr>
        <w:t xml:space="preserve">. La fourniture des services correspondants est </w:t>
      </w:r>
      <w:r w:rsidR="005A7705">
        <w:rPr>
          <w:lang w:val="fr-CH" w:eastAsia="zh-CN"/>
        </w:rPr>
        <w:t>financée au titre du budget</w:t>
      </w:r>
      <w:r w:rsidR="000E6D41" w:rsidRPr="00202138">
        <w:rPr>
          <w:lang w:val="fr-CH" w:eastAsia="zh-CN"/>
        </w:rPr>
        <w:t xml:space="preserve"> prévu pour les coûts indirects du projet approuvé par les Conseillers dans la Décision 619.</w:t>
      </w:r>
    </w:p>
    <w:p w14:paraId="361944D3" w14:textId="718E7847" w:rsidR="000E6D41" w:rsidRPr="00202138" w:rsidRDefault="000E6D41" w:rsidP="00930348">
      <w:pPr>
        <w:rPr>
          <w:lang w:val="fr-CH" w:eastAsia="zh-CN"/>
        </w:rPr>
      </w:pPr>
      <w:r w:rsidRPr="00202138">
        <w:rPr>
          <w:lang w:val="fr-CH" w:eastAsia="zh-CN"/>
        </w:rPr>
        <w:t>Par conséquent, un appel d'offre</w:t>
      </w:r>
      <w:r w:rsidR="005A7705">
        <w:rPr>
          <w:lang w:val="fr-CH" w:eastAsia="zh-CN"/>
        </w:rPr>
        <w:t>s</w:t>
      </w:r>
      <w:r w:rsidRPr="00202138">
        <w:rPr>
          <w:lang w:val="fr-CH" w:eastAsia="zh-CN"/>
        </w:rPr>
        <w:t xml:space="preserve"> a été publié début septembre en vue de désigner un cabinet spécialisé qui sera chargé d'élaborer un plan de mise en </w:t>
      </w:r>
      <w:r w:rsidR="00D673C2" w:rsidRPr="00202138">
        <w:rPr>
          <w:lang w:val="fr-CH" w:eastAsia="zh-CN"/>
        </w:rPr>
        <w:t>œuvre pour les condition</w:t>
      </w:r>
      <w:r w:rsidR="00AC5D72">
        <w:rPr>
          <w:lang w:val="fr-CH" w:eastAsia="zh-CN"/>
        </w:rPr>
        <w:t>s</w:t>
      </w:r>
      <w:r w:rsidR="00D673C2" w:rsidRPr="00202138">
        <w:rPr>
          <w:lang w:val="fr-CH" w:eastAsia="zh-CN"/>
        </w:rPr>
        <w:t xml:space="preserve"> de travail du personnel. </w:t>
      </w:r>
      <w:r w:rsidR="005A7705">
        <w:rPr>
          <w:lang w:val="fr-CH" w:eastAsia="zh-CN"/>
        </w:rPr>
        <w:t>Vu l</w:t>
      </w:r>
      <w:r w:rsidR="00D673C2" w:rsidRPr="00202138">
        <w:rPr>
          <w:lang w:val="fr-CH" w:eastAsia="zh-CN"/>
        </w:rPr>
        <w:t xml:space="preserve">es répercussions les plus récentes du </w:t>
      </w:r>
      <w:r w:rsidR="00AC5D72" w:rsidRPr="00202138">
        <w:rPr>
          <w:lang w:val="fr-CH" w:eastAsia="zh-CN"/>
        </w:rPr>
        <w:t>COVID</w:t>
      </w:r>
      <w:r w:rsidR="00D673C2" w:rsidRPr="00202138">
        <w:rPr>
          <w:lang w:val="fr-CH" w:eastAsia="zh-CN"/>
        </w:rPr>
        <w:t xml:space="preserve">-19 sur les méthodes de travail, notamment le fait que le télétravail et le travail à domicile sont devenus une nécessité, le premier document attendu comprendra </w:t>
      </w:r>
      <w:r w:rsidR="005A7705">
        <w:rPr>
          <w:lang w:val="fr-CH" w:eastAsia="zh-CN"/>
        </w:rPr>
        <w:t>des conclusions et des résultats initiaux</w:t>
      </w:r>
      <w:r w:rsidR="00D673C2" w:rsidRPr="00202138">
        <w:rPr>
          <w:lang w:val="fr-CH" w:eastAsia="zh-CN"/>
        </w:rPr>
        <w:t xml:space="preserve"> concernent les profils de poste et les méthodes de travail à l'UIT, ainsi que des recommandation</w:t>
      </w:r>
      <w:r w:rsidR="00AC5D72">
        <w:rPr>
          <w:lang w:val="fr-CH" w:eastAsia="zh-CN"/>
        </w:rPr>
        <w:t>s</w:t>
      </w:r>
      <w:r w:rsidR="00D673C2" w:rsidRPr="00202138">
        <w:rPr>
          <w:lang w:val="fr-CH" w:eastAsia="zh-CN"/>
        </w:rPr>
        <w:t xml:space="preserve"> à envisager de mettre en œuvre dans le cadre de la proposition de relogement du personnel et pour l'attribution et/ou la conception des espaces de bureaux dans le nouveau bâtiment. Bien que ce point ne relève pas du mandat du Groupe MSAG, des membres ont recommandé que </w:t>
      </w:r>
      <w:r w:rsidR="00021ECA">
        <w:rPr>
          <w:lang w:val="fr-CH" w:eastAsia="zh-CN"/>
        </w:rPr>
        <w:t>les demandes de</w:t>
      </w:r>
      <w:r w:rsidR="00D673C2" w:rsidRPr="00202138">
        <w:rPr>
          <w:lang w:val="fr-CH" w:eastAsia="zh-CN"/>
        </w:rPr>
        <w:t xml:space="preserve"> télétravail </w:t>
      </w:r>
      <w:r w:rsidR="003A4EDB">
        <w:rPr>
          <w:lang w:val="fr-CH" w:eastAsia="zh-CN"/>
        </w:rPr>
        <w:t xml:space="preserve">types </w:t>
      </w:r>
      <w:r w:rsidR="00D673C2" w:rsidRPr="00202138">
        <w:rPr>
          <w:lang w:val="fr-CH" w:eastAsia="zh-CN"/>
        </w:rPr>
        <w:t>à l'UIT soi</w:t>
      </w:r>
      <w:r w:rsidR="00021ECA">
        <w:rPr>
          <w:lang w:val="fr-CH" w:eastAsia="zh-CN"/>
        </w:rPr>
        <w:t>en</w:t>
      </w:r>
      <w:r w:rsidR="00D673C2" w:rsidRPr="00202138">
        <w:rPr>
          <w:lang w:val="fr-CH" w:eastAsia="zh-CN"/>
        </w:rPr>
        <w:t>t examinée</w:t>
      </w:r>
      <w:r w:rsidR="00021ECA">
        <w:rPr>
          <w:lang w:val="fr-CH" w:eastAsia="zh-CN"/>
        </w:rPr>
        <w:t>s</w:t>
      </w:r>
      <w:r w:rsidR="00D673C2" w:rsidRPr="00202138">
        <w:rPr>
          <w:lang w:val="fr-CH" w:eastAsia="zh-CN"/>
        </w:rPr>
        <w:t xml:space="preserve"> conjointement avec </w:t>
      </w:r>
      <w:r w:rsidR="003A4EDB">
        <w:rPr>
          <w:lang w:val="fr-CH" w:eastAsia="zh-CN"/>
        </w:rPr>
        <w:t>les demandes de</w:t>
      </w:r>
      <w:r w:rsidR="00D673C2" w:rsidRPr="00202138">
        <w:rPr>
          <w:lang w:val="fr-CH" w:eastAsia="zh-CN"/>
        </w:rPr>
        <w:t xml:space="preserve"> réunions virtuelles présentées par les membres.</w:t>
      </w:r>
    </w:p>
    <w:p w14:paraId="0D5BD49E" w14:textId="5DD86AC4" w:rsidR="00D673C2" w:rsidRPr="00202138" w:rsidRDefault="00D673C2" w:rsidP="00930348">
      <w:pPr>
        <w:rPr>
          <w:lang w:val="fr-CH" w:eastAsia="zh-CN"/>
        </w:rPr>
      </w:pPr>
      <w:r w:rsidRPr="00202138">
        <w:rPr>
          <w:lang w:val="fr-CH" w:eastAsia="zh-CN"/>
        </w:rPr>
        <w:t>Le but de l'appel d'offre</w:t>
      </w:r>
      <w:r w:rsidR="00021ECA">
        <w:rPr>
          <w:lang w:val="fr-CH" w:eastAsia="zh-CN"/>
        </w:rPr>
        <w:t>s</w:t>
      </w:r>
      <w:r w:rsidRPr="00202138">
        <w:rPr>
          <w:lang w:val="fr-CH" w:eastAsia="zh-CN"/>
        </w:rPr>
        <w:t xml:space="preserve"> est de </w:t>
      </w:r>
      <w:r w:rsidR="000E2D17" w:rsidRPr="00202138">
        <w:rPr>
          <w:lang w:val="fr-CH" w:eastAsia="zh-CN"/>
        </w:rPr>
        <w:t>s'assurer l'appui et l'accompagnement d'une entreprise spécialisée rassemblant tous les profils et toutes les compétences professionnels nécessaire</w:t>
      </w:r>
      <w:r w:rsidR="00AC5D72">
        <w:rPr>
          <w:lang w:val="fr-CH" w:eastAsia="zh-CN"/>
        </w:rPr>
        <w:t>s</w:t>
      </w:r>
      <w:r w:rsidR="000E2D17" w:rsidRPr="00202138">
        <w:rPr>
          <w:lang w:val="fr-CH" w:eastAsia="zh-CN"/>
        </w:rPr>
        <w:t xml:space="preserve"> pour aider l'équipe des ressources humaines et l'équipe chargée du projet de nouveau bâtiment pendant toute la durée du projet, de l'automne 2020 à mi-2027.</w:t>
      </w:r>
    </w:p>
    <w:p w14:paraId="5ED594FF" w14:textId="7ABCFFAC" w:rsidR="000E2D17" w:rsidRPr="00202138" w:rsidRDefault="000E2D17" w:rsidP="00930348">
      <w:pPr>
        <w:rPr>
          <w:lang w:val="fr-CH" w:eastAsia="zh-CN"/>
        </w:rPr>
      </w:pPr>
      <w:r w:rsidRPr="00202138">
        <w:rPr>
          <w:lang w:val="fr-CH" w:eastAsia="zh-CN"/>
        </w:rPr>
        <w:t xml:space="preserve">Malheureusement, ni les autorités suisses ni </w:t>
      </w:r>
      <w:r w:rsidR="00021ECA">
        <w:rPr>
          <w:lang w:val="fr-CH" w:eastAsia="zh-CN"/>
        </w:rPr>
        <w:t>l'Union européenne</w:t>
      </w:r>
      <w:r w:rsidRPr="00202138">
        <w:rPr>
          <w:lang w:val="fr-CH" w:eastAsia="zh-CN"/>
        </w:rPr>
        <w:t xml:space="preserve"> n'ont publié de recommandations </w:t>
      </w:r>
      <w:r w:rsidR="00021ECA">
        <w:rPr>
          <w:lang w:val="fr-CH" w:eastAsia="zh-CN"/>
        </w:rPr>
        <w:t>relatives à</w:t>
      </w:r>
      <w:r w:rsidRPr="00202138">
        <w:rPr>
          <w:lang w:val="fr-CH" w:eastAsia="zh-CN"/>
        </w:rPr>
        <w:t xml:space="preserve"> l'espacement minimal nécessaire entre les postes de travail</w:t>
      </w:r>
      <w:r w:rsidR="00021ECA">
        <w:rPr>
          <w:lang w:val="fr-CH" w:eastAsia="zh-CN"/>
        </w:rPr>
        <w:t xml:space="preserve"> pour l'après COVID-19</w:t>
      </w:r>
      <w:r w:rsidRPr="00202138">
        <w:rPr>
          <w:lang w:val="fr-CH" w:eastAsia="zh-CN"/>
        </w:rPr>
        <w:t xml:space="preserve">. Toutefois, l'équipe chargée de la conception a vérifié si </w:t>
      </w:r>
      <w:r w:rsidR="00460C40">
        <w:rPr>
          <w:lang w:val="fr-CH" w:eastAsia="zh-CN"/>
        </w:rPr>
        <w:t>le</w:t>
      </w:r>
      <w:r w:rsidRPr="00202138">
        <w:rPr>
          <w:lang w:val="fr-CH" w:eastAsia="zh-CN"/>
        </w:rPr>
        <w:t xml:space="preserve"> nouveau bâtiment</w:t>
      </w:r>
      <w:r w:rsidR="00460C40">
        <w:rPr>
          <w:lang w:val="fr-CH" w:eastAsia="zh-CN"/>
        </w:rPr>
        <w:t>, dans sa capacité actuelle,</w:t>
      </w:r>
      <w:r w:rsidRPr="00202138">
        <w:rPr>
          <w:lang w:val="fr-CH" w:eastAsia="zh-CN"/>
        </w:rPr>
        <w:t xml:space="preserve"> permettrait d'accueillir le personnel actuel dans l'éventualité où il serait nécessaire de prévoir une distance d'au moins deux mètres entre chaque personne. Le </w:t>
      </w:r>
      <w:r w:rsidR="00021ECA">
        <w:rPr>
          <w:lang w:val="fr-CH" w:eastAsia="zh-CN"/>
        </w:rPr>
        <w:t>s</w:t>
      </w:r>
      <w:r w:rsidRPr="00202138">
        <w:rPr>
          <w:lang w:val="fr-CH" w:eastAsia="zh-CN"/>
        </w:rPr>
        <w:t xml:space="preserve">ecrétariat a confirmé que cela serait impossible, sauf si le nombre moyen de fonctionnaires sur place par jour peut être réduit moyennant une modification de la politique </w:t>
      </w:r>
      <w:r w:rsidR="00021ECA">
        <w:rPr>
          <w:lang w:val="fr-CH" w:eastAsia="zh-CN"/>
        </w:rPr>
        <w:t>prévoyant</w:t>
      </w:r>
      <w:r w:rsidRPr="00202138">
        <w:rPr>
          <w:lang w:val="fr-CH" w:eastAsia="zh-CN"/>
        </w:rPr>
        <w:t xml:space="preserve"> des bureaux </w:t>
      </w:r>
      <w:r w:rsidR="00021ECA">
        <w:rPr>
          <w:lang w:val="fr-CH" w:eastAsia="zh-CN"/>
        </w:rPr>
        <w:t xml:space="preserve">nominatifs </w:t>
      </w:r>
      <w:r w:rsidRPr="00202138">
        <w:rPr>
          <w:lang w:val="fr-CH" w:eastAsia="zh-CN"/>
        </w:rPr>
        <w:t>et la mise en œuvre de la politique sur le télétravail.</w:t>
      </w:r>
    </w:p>
    <w:p w14:paraId="7F2B5C85" w14:textId="48717D7F" w:rsidR="002A2C61" w:rsidRPr="00202138" w:rsidRDefault="000E2D17" w:rsidP="00930348">
      <w:pPr>
        <w:rPr>
          <w:lang w:val="fr-CH" w:eastAsia="zh-CN"/>
        </w:rPr>
      </w:pPr>
      <w:r w:rsidRPr="00202138">
        <w:rPr>
          <w:lang w:val="fr-CH" w:eastAsia="zh-CN"/>
        </w:rPr>
        <w:t xml:space="preserve">Pour l'heure, et en attendant les résultats de l'analyse de l'espace de travail effectuée par </w:t>
      </w:r>
      <w:r w:rsidR="008F1C50">
        <w:rPr>
          <w:lang w:val="fr-CH" w:eastAsia="zh-CN"/>
        </w:rPr>
        <w:t>l</w:t>
      </w:r>
      <w:r w:rsidRPr="00202138">
        <w:rPr>
          <w:lang w:val="fr-CH" w:eastAsia="zh-CN"/>
        </w:rPr>
        <w:t xml:space="preserve">es spécialistes, il reste difficile d'anticiper les </w:t>
      </w:r>
      <w:r w:rsidR="008F1C50">
        <w:rPr>
          <w:lang w:val="fr-CH" w:eastAsia="zh-CN"/>
        </w:rPr>
        <w:t>incidences</w:t>
      </w:r>
      <w:r w:rsidRPr="00202138">
        <w:rPr>
          <w:lang w:val="fr-CH" w:eastAsia="zh-CN"/>
        </w:rPr>
        <w:t xml:space="preserve"> réelles du </w:t>
      </w:r>
      <w:r w:rsidR="00AC5D72" w:rsidRPr="00202138">
        <w:rPr>
          <w:lang w:val="fr-CH" w:eastAsia="zh-CN"/>
        </w:rPr>
        <w:t>COVID</w:t>
      </w:r>
      <w:r w:rsidRPr="00202138">
        <w:rPr>
          <w:lang w:val="fr-CH" w:eastAsia="zh-CN"/>
        </w:rPr>
        <w:t xml:space="preserve">-19. L'UIT réaffirme qu'elle fera de son mieux pour réduire autant que faire se peut </w:t>
      </w:r>
      <w:r w:rsidR="008F1C50">
        <w:rPr>
          <w:lang w:val="fr-CH" w:eastAsia="zh-CN"/>
        </w:rPr>
        <w:t>les incidences</w:t>
      </w:r>
      <w:r w:rsidRPr="00202138">
        <w:rPr>
          <w:lang w:val="fr-CH" w:eastAsia="zh-CN"/>
        </w:rPr>
        <w:t xml:space="preserve"> </w:t>
      </w:r>
      <w:r w:rsidR="008F1C50">
        <w:rPr>
          <w:lang w:val="fr-CH" w:eastAsia="zh-CN"/>
        </w:rPr>
        <w:t xml:space="preserve">de la pandémie </w:t>
      </w:r>
      <w:r w:rsidRPr="00202138">
        <w:rPr>
          <w:lang w:val="fr-CH" w:eastAsia="zh-CN"/>
        </w:rPr>
        <w:t xml:space="preserve">sur la durée du projet ainsi que ses </w:t>
      </w:r>
      <w:r w:rsidR="00460C40">
        <w:rPr>
          <w:lang w:val="fr-CH" w:eastAsia="zh-CN"/>
        </w:rPr>
        <w:t>incidences</w:t>
      </w:r>
      <w:r w:rsidRPr="00202138">
        <w:rPr>
          <w:lang w:val="fr-CH" w:eastAsia="zh-CN"/>
        </w:rPr>
        <w:t xml:space="preserve"> financières sur le coût du projet</w:t>
      </w:r>
      <w:r w:rsidR="00202138" w:rsidRPr="00202138">
        <w:rPr>
          <w:lang w:val="fr-CH" w:eastAsia="zh-CN"/>
        </w:rPr>
        <w:t xml:space="preserve"> à terme.</w:t>
      </w:r>
    </w:p>
    <w:p w14:paraId="1EE1A38B" w14:textId="67871E67" w:rsidR="0032071E" w:rsidRPr="00202138" w:rsidRDefault="0032071E" w:rsidP="00930348">
      <w:pPr>
        <w:rPr>
          <w:lang w:val="fr-CH" w:eastAsia="zh-CN"/>
        </w:rPr>
      </w:pPr>
    </w:p>
    <w:p w14:paraId="0CE325FD" w14:textId="013525B1" w:rsidR="008A324B" w:rsidRPr="00202138" w:rsidRDefault="008A324B" w:rsidP="00930348">
      <w:pPr>
        <w:tabs>
          <w:tab w:val="clear" w:pos="567"/>
          <w:tab w:val="clear" w:pos="1134"/>
          <w:tab w:val="clear" w:pos="1701"/>
          <w:tab w:val="clear" w:pos="2268"/>
          <w:tab w:val="clear" w:pos="2835"/>
        </w:tabs>
        <w:overflowPunct/>
        <w:autoSpaceDE/>
        <w:autoSpaceDN/>
        <w:adjustRightInd/>
        <w:spacing w:before="0"/>
        <w:textAlignment w:val="auto"/>
        <w:rPr>
          <w:lang w:val="fr-CH" w:eastAsia="zh-CN"/>
        </w:rPr>
      </w:pPr>
      <w:r w:rsidRPr="00202138">
        <w:rPr>
          <w:lang w:val="fr-CH" w:eastAsia="zh-CN"/>
        </w:rPr>
        <w:br w:type="page"/>
      </w:r>
    </w:p>
    <w:p w14:paraId="5973B149" w14:textId="303AD1C5" w:rsidR="002A2C61" w:rsidRPr="00202138" w:rsidRDefault="00281859" w:rsidP="00930348">
      <w:pPr>
        <w:pStyle w:val="AnnexNo"/>
        <w:spacing w:before="0" w:after="120"/>
        <w:rPr>
          <w:lang w:val="fr-CH" w:eastAsia="ja-JP"/>
        </w:rPr>
      </w:pPr>
      <w:r w:rsidRPr="00202138">
        <w:rPr>
          <w:lang w:val="fr-CH" w:eastAsia="ja-JP"/>
        </w:rPr>
        <w:lastRenderedPageBreak/>
        <w:t>Annexe A</w:t>
      </w:r>
      <w:bookmarkStart w:id="8" w:name="AnnexeA"/>
      <w:bookmarkEnd w:id="8"/>
    </w:p>
    <w:p w14:paraId="5B8E395F" w14:textId="70ECE328" w:rsidR="008A324B" w:rsidRDefault="00202138" w:rsidP="00930348">
      <w:pPr>
        <w:pStyle w:val="Annextitle"/>
        <w:spacing w:before="120"/>
        <w:rPr>
          <w:lang w:val="fr-CH" w:eastAsia="ja-JP"/>
        </w:rPr>
      </w:pPr>
      <w:r w:rsidRPr="00202138">
        <w:rPr>
          <w:lang w:val="fr-CH" w:eastAsia="ja-JP"/>
        </w:rPr>
        <w:t>Extrait du Registre des risques</w:t>
      </w:r>
      <w:r w:rsidR="008A324B" w:rsidRPr="00202138">
        <w:rPr>
          <w:lang w:val="fr-CH" w:eastAsia="ja-JP"/>
        </w:rPr>
        <w:t xml:space="preserve"> – 10 </w:t>
      </w:r>
      <w:r w:rsidRPr="00202138">
        <w:rPr>
          <w:lang w:val="fr-CH" w:eastAsia="ja-JP"/>
        </w:rPr>
        <w:t>risques les plus importants</w:t>
      </w:r>
    </w:p>
    <w:tbl>
      <w:tblPr>
        <w:tblW w:w="10915" w:type="dxa"/>
        <w:jc w:val="center"/>
        <w:tblLayout w:type="fixed"/>
        <w:tblCellMar>
          <w:left w:w="70" w:type="dxa"/>
          <w:right w:w="70" w:type="dxa"/>
        </w:tblCellMar>
        <w:tblLook w:val="04A0" w:firstRow="1" w:lastRow="0" w:firstColumn="1" w:lastColumn="0" w:noHBand="0" w:noVBand="1"/>
      </w:tblPr>
      <w:tblGrid>
        <w:gridCol w:w="552"/>
        <w:gridCol w:w="1575"/>
        <w:gridCol w:w="1984"/>
        <w:gridCol w:w="2268"/>
        <w:gridCol w:w="851"/>
        <w:gridCol w:w="567"/>
        <w:gridCol w:w="859"/>
        <w:gridCol w:w="2259"/>
      </w:tblGrid>
      <w:tr w:rsidR="007A1083" w:rsidRPr="007A1083" w14:paraId="50F7BECD" w14:textId="77777777" w:rsidTr="00311D68">
        <w:trPr>
          <w:trHeight w:val="614"/>
          <w:jc w:val="center"/>
        </w:trPr>
        <w:tc>
          <w:tcPr>
            <w:tcW w:w="552"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57F28D9F" w14:textId="77777777" w:rsidR="007A1083" w:rsidRPr="007A1083" w:rsidRDefault="007A1083" w:rsidP="00C2412C">
            <w:pPr>
              <w:spacing w:before="60" w:after="60"/>
              <w:rPr>
                <w:rFonts w:cs="Calibri"/>
                <w:b/>
                <w:bCs/>
                <w:color w:val="000000"/>
                <w:sz w:val="14"/>
                <w:szCs w:val="18"/>
                <w:lang w:eastAsia="es-ES"/>
              </w:rPr>
            </w:pPr>
            <w:r w:rsidRPr="007A1083">
              <w:rPr>
                <w:rFonts w:cs="Calibri"/>
                <w:b/>
                <w:bCs/>
                <w:color w:val="000000"/>
                <w:sz w:val="14"/>
                <w:szCs w:val="18"/>
                <w:lang w:eastAsia="es-ES"/>
              </w:rPr>
              <w:t>Code de risque</w:t>
            </w:r>
          </w:p>
        </w:tc>
        <w:tc>
          <w:tcPr>
            <w:tcW w:w="1575" w:type="dxa"/>
            <w:tcBorders>
              <w:top w:val="single" w:sz="8" w:space="0" w:color="FFFFFF"/>
              <w:left w:val="nil"/>
              <w:bottom w:val="single" w:sz="8" w:space="0" w:color="FFFFFF"/>
              <w:right w:val="single" w:sz="12" w:space="0" w:color="FFFFFF"/>
            </w:tcBorders>
            <w:shd w:val="clear" w:color="auto" w:fill="D9D9D9" w:themeFill="background1" w:themeFillShade="D9"/>
            <w:vAlign w:val="center"/>
            <w:hideMark/>
          </w:tcPr>
          <w:p w14:paraId="0F2FDF30" w14:textId="77777777" w:rsidR="007A1083" w:rsidRPr="007A1083" w:rsidRDefault="007A1083" w:rsidP="00C2412C">
            <w:pPr>
              <w:spacing w:before="60" w:after="60"/>
              <w:jc w:val="center"/>
              <w:rPr>
                <w:rFonts w:cs="Calibri"/>
                <w:b/>
                <w:bCs/>
                <w:color w:val="000000"/>
                <w:sz w:val="14"/>
                <w:szCs w:val="18"/>
                <w:lang w:eastAsia="es-ES"/>
              </w:rPr>
            </w:pPr>
            <w:r w:rsidRPr="007A1083">
              <w:rPr>
                <w:rFonts w:cs="Calibri"/>
                <w:b/>
                <w:bCs/>
                <w:color w:val="000000"/>
                <w:sz w:val="14"/>
                <w:szCs w:val="18"/>
                <w:lang w:eastAsia="es-ES"/>
              </w:rPr>
              <w:t>Nom du risque</w:t>
            </w:r>
          </w:p>
        </w:tc>
        <w:tc>
          <w:tcPr>
            <w:tcW w:w="1984"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tcPr>
          <w:p w14:paraId="3A91E06C" w14:textId="77777777" w:rsidR="007A1083" w:rsidRPr="007A1083" w:rsidRDefault="007A1083" w:rsidP="00C2412C">
            <w:pPr>
              <w:spacing w:before="60" w:after="60"/>
              <w:jc w:val="center"/>
              <w:rPr>
                <w:rFonts w:cs="Calibri"/>
                <w:b/>
                <w:bCs/>
                <w:color w:val="000000"/>
                <w:sz w:val="14"/>
                <w:szCs w:val="18"/>
                <w:lang w:eastAsia="es-ES"/>
              </w:rPr>
            </w:pPr>
            <w:r w:rsidRPr="007A1083">
              <w:rPr>
                <w:rFonts w:cs="Calibri"/>
                <w:b/>
                <w:bCs/>
                <w:color w:val="000000"/>
                <w:sz w:val="14"/>
                <w:szCs w:val="18"/>
                <w:lang w:eastAsia="es-ES"/>
              </w:rPr>
              <w:t>Cause</w:t>
            </w:r>
          </w:p>
        </w:tc>
        <w:tc>
          <w:tcPr>
            <w:tcW w:w="2268"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tcPr>
          <w:p w14:paraId="095B5A9E" w14:textId="77777777" w:rsidR="007A1083" w:rsidRPr="007A1083" w:rsidRDefault="007A1083" w:rsidP="00C2412C">
            <w:pPr>
              <w:spacing w:before="60" w:after="60"/>
              <w:jc w:val="center"/>
              <w:rPr>
                <w:rFonts w:cs="Calibri"/>
                <w:b/>
                <w:bCs/>
                <w:color w:val="000000"/>
                <w:sz w:val="14"/>
                <w:szCs w:val="18"/>
                <w:lang w:eastAsia="es-ES"/>
              </w:rPr>
            </w:pPr>
            <w:r w:rsidRPr="007A1083">
              <w:rPr>
                <w:rFonts w:cs="Calibri"/>
                <w:b/>
                <w:bCs/>
                <w:color w:val="000000"/>
                <w:sz w:val="14"/>
                <w:szCs w:val="18"/>
                <w:lang w:eastAsia="es-ES"/>
              </w:rPr>
              <w:t>Atténuation</w:t>
            </w:r>
          </w:p>
        </w:tc>
        <w:tc>
          <w:tcPr>
            <w:tcW w:w="851"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10B0088A" w14:textId="77777777" w:rsidR="007A1083" w:rsidRPr="007A1083" w:rsidRDefault="007A1083" w:rsidP="00C2412C">
            <w:pPr>
              <w:spacing w:before="60" w:after="60"/>
              <w:jc w:val="center"/>
              <w:rPr>
                <w:rFonts w:cs="Calibri"/>
                <w:b/>
                <w:bCs/>
                <w:color w:val="000000"/>
                <w:sz w:val="14"/>
                <w:szCs w:val="18"/>
                <w:lang w:eastAsia="es-ES"/>
              </w:rPr>
            </w:pPr>
            <w:r w:rsidRPr="007A1083">
              <w:rPr>
                <w:rFonts w:cs="Calibri"/>
                <w:b/>
                <w:bCs/>
                <w:color w:val="000000"/>
                <w:sz w:val="14"/>
                <w:szCs w:val="18"/>
                <w:lang w:eastAsia="es-ES"/>
              </w:rPr>
              <w:t>Probabilité</w:t>
            </w:r>
            <w:r w:rsidRPr="007A1083">
              <w:rPr>
                <w:rFonts w:cs="Calibri"/>
                <w:b/>
                <w:bCs/>
                <w:color w:val="000000"/>
                <w:sz w:val="14"/>
                <w:szCs w:val="18"/>
                <w:lang w:eastAsia="es-ES"/>
              </w:rPr>
              <w:br/>
              <w:t>(A)</w:t>
            </w:r>
          </w:p>
        </w:tc>
        <w:tc>
          <w:tcPr>
            <w:tcW w:w="567"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4C443EE5" w14:textId="77777777" w:rsidR="007A1083" w:rsidRPr="007A1083" w:rsidRDefault="007A1083" w:rsidP="00C2412C">
            <w:pPr>
              <w:spacing w:before="60" w:after="60"/>
              <w:jc w:val="center"/>
              <w:rPr>
                <w:rFonts w:cs="Calibri"/>
                <w:b/>
                <w:bCs/>
                <w:color w:val="000000"/>
                <w:sz w:val="14"/>
                <w:szCs w:val="18"/>
                <w:lang w:eastAsia="es-ES"/>
              </w:rPr>
            </w:pPr>
            <w:r w:rsidRPr="007A1083">
              <w:rPr>
                <w:rFonts w:cs="Calibri"/>
                <w:b/>
                <w:bCs/>
                <w:color w:val="000000"/>
                <w:sz w:val="14"/>
                <w:szCs w:val="18"/>
                <w:lang w:eastAsia="es-ES"/>
              </w:rPr>
              <w:t>Impact</w:t>
            </w:r>
          </w:p>
        </w:tc>
        <w:tc>
          <w:tcPr>
            <w:tcW w:w="859"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712DA9D6" w14:textId="48AB98EB" w:rsidR="007A1083" w:rsidRPr="007A1083" w:rsidRDefault="007A1083" w:rsidP="00C2412C">
            <w:pPr>
              <w:spacing w:before="60" w:after="60"/>
              <w:jc w:val="center"/>
              <w:rPr>
                <w:rFonts w:cs="Calibri"/>
                <w:b/>
                <w:bCs/>
                <w:color w:val="000000"/>
                <w:sz w:val="14"/>
                <w:szCs w:val="18"/>
                <w:lang w:eastAsia="es-ES"/>
              </w:rPr>
            </w:pPr>
            <w:r w:rsidRPr="007A1083">
              <w:rPr>
                <w:rFonts w:cs="Calibri"/>
                <w:b/>
                <w:bCs/>
                <w:color w:val="000000"/>
                <w:sz w:val="14"/>
                <w:szCs w:val="18"/>
                <w:lang w:eastAsia="es-ES"/>
              </w:rPr>
              <w:t>Coût pondéré</w:t>
            </w:r>
            <w:r w:rsidRPr="007A1083">
              <w:rPr>
                <w:rFonts w:cs="Calibri"/>
                <w:b/>
                <w:bCs/>
                <w:color w:val="000000"/>
                <w:sz w:val="14"/>
                <w:szCs w:val="18"/>
                <w:lang w:eastAsia="es-ES"/>
              </w:rPr>
              <w:br/>
              <w:t>CHF</w:t>
            </w:r>
          </w:p>
        </w:tc>
        <w:tc>
          <w:tcPr>
            <w:tcW w:w="2259" w:type="dxa"/>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7FD95DFD" w14:textId="77777777" w:rsidR="007A1083" w:rsidRPr="007A1083" w:rsidRDefault="007A1083" w:rsidP="00C2412C">
            <w:pPr>
              <w:spacing w:before="60" w:after="60"/>
              <w:jc w:val="center"/>
              <w:rPr>
                <w:rFonts w:cs="Calibri"/>
                <w:b/>
                <w:bCs/>
                <w:color w:val="000000"/>
                <w:sz w:val="14"/>
                <w:szCs w:val="18"/>
                <w:lang w:eastAsia="es-ES"/>
              </w:rPr>
            </w:pPr>
            <w:r w:rsidRPr="007A1083">
              <w:rPr>
                <w:rFonts w:cs="Calibri"/>
                <w:b/>
                <w:bCs/>
                <w:color w:val="000000"/>
                <w:sz w:val="14"/>
                <w:szCs w:val="18"/>
                <w:lang w:eastAsia="es-ES"/>
              </w:rPr>
              <w:t>Commentaires sur les coûts</w:t>
            </w:r>
            <w:r w:rsidRPr="007A1083" w:rsidDel="002A4A16">
              <w:rPr>
                <w:rFonts w:cs="Calibri"/>
                <w:b/>
                <w:bCs/>
                <w:color w:val="000000"/>
                <w:sz w:val="14"/>
                <w:szCs w:val="18"/>
                <w:lang w:eastAsia="es-ES"/>
              </w:rPr>
              <w:t xml:space="preserve"> </w:t>
            </w:r>
          </w:p>
        </w:tc>
      </w:tr>
      <w:tr w:rsidR="007A1083" w:rsidRPr="007A1083" w14:paraId="44B956CA" w14:textId="77777777" w:rsidTr="00AD5360">
        <w:trPr>
          <w:trHeight w:val="294"/>
          <w:jc w:val="center"/>
        </w:trPr>
        <w:tc>
          <w:tcPr>
            <w:tcW w:w="2127"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B5F9D1B" w14:textId="77777777" w:rsidR="007A1083" w:rsidRPr="007A1083" w:rsidRDefault="007A1083" w:rsidP="00C2412C">
            <w:pPr>
              <w:spacing w:before="60" w:after="60"/>
              <w:rPr>
                <w:rFonts w:cs="Calibri"/>
                <w:sz w:val="14"/>
                <w:szCs w:val="18"/>
                <w:lang w:eastAsia="es-ES"/>
              </w:rPr>
            </w:pPr>
            <w:r w:rsidRPr="007A1083">
              <w:rPr>
                <w:rFonts w:cs="Calibri"/>
                <w:b/>
                <w:bCs/>
                <w:color w:val="000000"/>
                <w:sz w:val="20"/>
                <w:lang w:eastAsia="es-ES"/>
              </w:rPr>
              <w:t>Continuité des activités</w:t>
            </w:r>
          </w:p>
        </w:tc>
        <w:tc>
          <w:tcPr>
            <w:tcW w:w="1984" w:type="dxa"/>
            <w:tcBorders>
              <w:top w:val="single" w:sz="12" w:space="0" w:color="FFFFFF" w:themeColor="background1"/>
              <w:bottom w:val="single" w:sz="12" w:space="0" w:color="FFFFFF" w:themeColor="background1"/>
            </w:tcBorders>
            <w:shd w:val="clear" w:color="auto" w:fill="D9D9D9" w:themeFill="background1" w:themeFillShade="D9"/>
          </w:tcPr>
          <w:p w14:paraId="2E1AFE75" w14:textId="77777777" w:rsidR="007A1083" w:rsidRPr="007A1083" w:rsidRDefault="007A1083" w:rsidP="00C2412C">
            <w:pPr>
              <w:spacing w:before="60" w:after="60"/>
              <w:jc w:val="center"/>
              <w:rPr>
                <w:rFonts w:cs="Calibri"/>
                <w:sz w:val="14"/>
                <w:szCs w:val="18"/>
                <w:lang w:eastAsia="es-ES"/>
              </w:rPr>
            </w:pPr>
          </w:p>
        </w:tc>
        <w:tc>
          <w:tcPr>
            <w:tcW w:w="2268" w:type="dxa"/>
            <w:tcBorders>
              <w:top w:val="single" w:sz="12" w:space="0" w:color="FFFFFF" w:themeColor="background1"/>
              <w:bottom w:val="single" w:sz="12" w:space="0" w:color="FFFFFF" w:themeColor="background1"/>
            </w:tcBorders>
            <w:shd w:val="clear" w:color="auto" w:fill="D9D9D9" w:themeFill="background1" w:themeFillShade="D9"/>
          </w:tcPr>
          <w:p w14:paraId="5CA0ACB0" w14:textId="77777777" w:rsidR="007A1083" w:rsidRPr="007A1083" w:rsidRDefault="007A1083" w:rsidP="00C2412C">
            <w:pPr>
              <w:spacing w:before="60" w:after="60"/>
              <w:jc w:val="center"/>
              <w:rPr>
                <w:rFonts w:cs="Calibri"/>
                <w:sz w:val="14"/>
                <w:szCs w:val="18"/>
                <w:lang w:eastAsia="es-ES"/>
              </w:rPr>
            </w:pPr>
          </w:p>
        </w:tc>
        <w:tc>
          <w:tcPr>
            <w:tcW w:w="851" w:type="dxa"/>
            <w:tcBorders>
              <w:top w:val="single" w:sz="12" w:space="0" w:color="FFFFFF" w:themeColor="background1"/>
              <w:bottom w:val="single" w:sz="12" w:space="0" w:color="FFFFFF" w:themeColor="background1"/>
            </w:tcBorders>
            <w:shd w:val="clear" w:color="auto" w:fill="D9D9D9" w:themeFill="background1" w:themeFillShade="D9"/>
          </w:tcPr>
          <w:p w14:paraId="1B0DC224" w14:textId="77777777" w:rsidR="007A1083" w:rsidRPr="007A1083" w:rsidRDefault="007A1083" w:rsidP="00C2412C">
            <w:pPr>
              <w:spacing w:before="60" w:after="60"/>
              <w:jc w:val="center"/>
              <w:rPr>
                <w:rFonts w:cs="Calibri"/>
                <w:sz w:val="14"/>
                <w:szCs w:val="18"/>
                <w:lang w:eastAsia="es-ES"/>
              </w:rPr>
            </w:pPr>
          </w:p>
        </w:tc>
        <w:tc>
          <w:tcPr>
            <w:tcW w:w="567" w:type="dxa"/>
            <w:tcBorders>
              <w:top w:val="single" w:sz="12" w:space="0" w:color="FFFFFF" w:themeColor="background1"/>
              <w:bottom w:val="single" w:sz="12" w:space="0" w:color="FFFFFF" w:themeColor="background1"/>
            </w:tcBorders>
            <w:shd w:val="clear" w:color="auto" w:fill="D9D9D9" w:themeFill="background1" w:themeFillShade="D9"/>
            <w:noWrap/>
          </w:tcPr>
          <w:p w14:paraId="79DDAF9F" w14:textId="77777777" w:rsidR="007A1083" w:rsidRPr="007A1083" w:rsidRDefault="007A1083" w:rsidP="00C2412C">
            <w:pPr>
              <w:spacing w:before="60" w:after="60"/>
              <w:jc w:val="center"/>
              <w:rPr>
                <w:rFonts w:cs="Calibri"/>
                <w:sz w:val="14"/>
                <w:szCs w:val="18"/>
                <w:lang w:eastAsia="es-ES"/>
              </w:rPr>
            </w:pPr>
          </w:p>
        </w:tc>
        <w:tc>
          <w:tcPr>
            <w:tcW w:w="859" w:type="dxa"/>
            <w:tcBorders>
              <w:top w:val="single" w:sz="12" w:space="0" w:color="FFFFFF" w:themeColor="background1"/>
              <w:bottom w:val="single" w:sz="12" w:space="0" w:color="FFFFFF" w:themeColor="background1"/>
            </w:tcBorders>
            <w:shd w:val="clear" w:color="auto" w:fill="D9D9D9" w:themeFill="background1" w:themeFillShade="D9"/>
          </w:tcPr>
          <w:p w14:paraId="48A77114" w14:textId="77777777" w:rsidR="007A1083" w:rsidRPr="007A1083" w:rsidRDefault="007A1083" w:rsidP="00C2412C">
            <w:pPr>
              <w:spacing w:before="60" w:after="60"/>
              <w:rPr>
                <w:rFonts w:cs="Calibri"/>
                <w:sz w:val="14"/>
                <w:szCs w:val="18"/>
                <w:lang w:eastAsia="es-ES"/>
              </w:rPr>
            </w:pPr>
          </w:p>
        </w:tc>
        <w:tc>
          <w:tcPr>
            <w:tcW w:w="225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AA9F218" w14:textId="77777777" w:rsidR="007A1083" w:rsidRPr="007A1083" w:rsidRDefault="007A1083" w:rsidP="00C2412C">
            <w:pPr>
              <w:spacing w:before="60" w:after="60"/>
              <w:rPr>
                <w:rFonts w:cs="Calibri"/>
                <w:sz w:val="14"/>
                <w:szCs w:val="18"/>
                <w:lang w:eastAsia="es-ES"/>
              </w:rPr>
            </w:pPr>
          </w:p>
        </w:tc>
      </w:tr>
      <w:tr w:rsidR="007A1083" w:rsidRPr="007A1083" w14:paraId="773B371F" w14:textId="77777777" w:rsidTr="00311D68">
        <w:trPr>
          <w:trHeight w:val="2656"/>
          <w:jc w:val="center"/>
        </w:trPr>
        <w:tc>
          <w:tcPr>
            <w:tcW w:w="552" w:type="dxa"/>
            <w:tcBorders>
              <w:top w:val="single" w:sz="12" w:space="0" w:color="FFFFFF" w:themeColor="background1"/>
              <w:left w:val="single" w:sz="4" w:space="0" w:color="BFBFBF"/>
              <w:bottom w:val="single" w:sz="4" w:space="0" w:color="BFBFBF"/>
              <w:right w:val="single" w:sz="4" w:space="0" w:color="BFBFBF"/>
            </w:tcBorders>
            <w:shd w:val="clear" w:color="auto" w:fill="auto"/>
            <w:hideMark/>
          </w:tcPr>
          <w:p w14:paraId="15435595"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0066</w:t>
            </w:r>
          </w:p>
        </w:tc>
        <w:tc>
          <w:tcPr>
            <w:tcW w:w="1575" w:type="dxa"/>
            <w:tcBorders>
              <w:top w:val="single" w:sz="12" w:space="0" w:color="FFFFFF" w:themeColor="background1"/>
              <w:left w:val="nil"/>
              <w:bottom w:val="single" w:sz="4" w:space="0" w:color="BFBFBF"/>
              <w:right w:val="single" w:sz="4" w:space="0" w:color="BFBFBF"/>
            </w:tcBorders>
            <w:shd w:val="clear" w:color="auto" w:fill="auto"/>
            <w:hideMark/>
          </w:tcPr>
          <w:p w14:paraId="5336F292"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Mise à disposition de salles de conférence à Genève pendant la période de construction initiale (durée approximative: 18 mois).</w:t>
            </w:r>
          </w:p>
        </w:tc>
        <w:tc>
          <w:tcPr>
            <w:tcW w:w="1984" w:type="dxa"/>
            <w:tcBorders>
              <w:top w:val="single" w:sz="12" w:space="0" w:color="FFFFFF" w:themeColor="background1"/>
              <w:left w:val="nil"/>
              <w:bottom w:val="single" w:sz="4" w:space="0" w:color="BFBFBF"/>
              <w:right w:val="single" w:sz="8" w:space="0" w:color="BFBFBF" w:themeColor="background1" w:themeShade="BF"/>
            </w:tcBorders>
          </w:tcPr>
          <w:p w14:paraId="7E04A2C7"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Informations sur les besoins de l'UIT non fournies à temps.</w:t>
            </w:r>
          </w:p>
          <w:p w14:paraId="12E5A109"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Instance susceptible d'accueillir les conférences de l'UIT non identifiée.</w:t>
            </w:r>
          </w:p>
        </w:tc>
        <w:tc>
          <w:tcPr>
            <w:tcW w:w="2268" w:type="dxa"/>
            <w:tcBorders>
              <w:top w:val="single" w:sz="12" w:space="0" w:color="FFFFFF" w:themeColor="background1"/>
              <w:left w:val="single" w:sz="8" w:space="0" w:color="BFBFBF" w:themeColor="background1" w:themeShade="BF"/>
              <w:bottom w:val="single" w:sz="4" w:space="0" w:color="BFBFBF"/>
              <w:right w:val="single" w:sz="8" w:space="0" w:color="BFBFBF" w:themeColor="background1" w:themeShade="BF"/>
            </w:tcBorders>
          </w:tcPr>
          <w:p w14:paraId="0E5F89C0"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 xml:space="preserve">Le Département C&amp;P travaille avec les Secteurs et le Secrétariat général de l'UIT pour fournir dès que possible un calendrier complet avec la demande de l'UIT en termes de salles de conférence. </w:t>
            </w:r>
            <w:r w:rsidRPr="007A1083">
              <w:rPr>
                <w:rFonts w:cs="Calibri"/>
                <w:sz w:val="14"/>
                <w:szCs w:val="18"/>
                <w:lang w:eastAsia="es-ES"/>
              </w:rPr>
              <w:br/>
              <w:t>Chercher une instance susceptible d'accueillir les conférences de l'UIT.</w:t>
            </w:r>
            <w:r w:rsidRPr="007A1083">
              <w:rPr>
                <w:rFonts w:cs="Calibri"/>
                <w:sz w:val="14"/>
                <w:szCs w:val="18"/>
                <w:lang w:eastAsia="es-ES"/>
              </w:rPr>
              <w:br/>
              <w:t>Chance: Le recours intensif aux téléconférences et aux réunions virtuelles pourrait devenir une occasion de se libérer de la nécessité d'accueillir des conférences pendant la phase de démolition de Varembé et la phase de construction du nouveau bâtiment.</w:t>
            </w:r>
          </w:p>
        </w:tc>
        <w:tc>
          <w:tcPr>
            <w:tcW w:w="851" w:type="dxa"/>
            <w:tcBorders>
              <w:top w:val="single" w:sz="12" w:space="0" w:color="FFFFFF" w:themeColor="background1"/>
              <w:left w:val="single" w:sz="8" w:space="0" w:color="BFBFBF" w:themeColor="background1" w:themeShade="BF"/>
              <w:bottom w:val="single" w:sz="4" w:space="0" w:color="BFBFBF"/>
              <w:right w:val="single" w:sz="4" w:space="0" w:color="BFBFBF"/>
            </w:tcBorders>
            <w:shd w:val="clear" w:color="auto" w:fill="auto"/>
            <w:hideMark/>
          </w:tcPr>
          <w:p w14:paraId="02343610"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0,50</w:t>
            </w:r>
          </w:p>
        </w:tc>
        <w:tc>
          <w:tcPr>
            <w:tcW w:w="567" w:type="dxa"/>
            <w:tcBorders>
              <w:top w:val="single" w:sz="12" w:space="0" w:color="FFFFFF" w:themeColor="background1"/>
              <w:left w:val="nil"/>
              <w:bottom w:val="single" w:sz="4" w:space="0" w:color="BFBFBF"/>
              <w:right w:val="single" w:sz="4" w:space="0" w:color="BFBFBF"/>
            </w:tcBorders>
            <w:shd w:val="clear" w:color="auto" w:fill="auto"/>
            <w:noWrap/>
            <w:hideMark/>
          </w:tcPr>
          <w:p w14:paraId="280AB6D7"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0,40</w:t>
            </w:r>
          </w:p>
        </w:tc>
        <w:tc>
          <w:tcPr>
            <w:tcW w:w="859" w:type="dxa"/>
            <w:tcBorders>
              <w:top w:val="single" w:sz="12" w:space="0" w:color="FFFFFF" w:themeColor="background1"/>
              <w:left w:val="nil"/>
              <w:bottom w:val="single" w:sz="4" w:space="0" w:color="BFBFBF"/>
              <w:right w:val="single" w:sz="4" w:space="0" w:color="BFBFBF"/>
            </w:tcBorders>
            <w:shd w:val="clear" w:color="auto" w:fill="auto"/>
            <w:hideMark/>
          </w:tcPr>
          <w:p w14:paraId="3E152455"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1 215 667</w:t>
            </w:r>
          </w:p>
        </w:tc>
        <w:tc>
          <w:tcPr>
            <w:tcW w:w="2259" w:type="dxa"/>
            <w:tcBorders>
              <w:top w:val="single" w:sz="12" w:space="0" w:color="FFFFFF" w:themeColor="background1"/>
              <w:left w:val="nil"/>
              <w:bottom w:val="single" w:sz="4" w:space="0" w:color="BFBFBF"/>
              <w:right w:val="single" w:sz="4" w:space="0" w:color="BFBFBF"/>
            </w:tcBorders>
            <w:shd w:val="clear" w:color="auto" w:fill="auto"/>
          </w:tcPr>
          <w:p w14:paraId="4C1FB3A2"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Montant pour financer les dépenses liées au respect des exigences UN</w:t>
            </w:r>
            <w:r w:rsidRPr="007A1083">
              <w:rPr>
                <w:rFonts w:cs="Calibri"/>
                <w:sz w:val="14"/>
                <w:szCs w:val="18"/>
                <w:lang w:eastAsia="es-ES"/>
              </w:rPr>
              <w:noBreakHyphen/>
              <w:t>MOSS dans le cas de salles de conférence louées.</w:t>
            </w:r>
          </w:p>
        </w:tc>
      </w:tr>
      <w:tr w:rsidR="007A1083" w:rsidRPr="007A1083" w14:paraId="38FF781F" w14:textId="77777777" w:rsidTr="00AD5360">
        <w:trPr>
          <w:trHeight w:val="198"/>
          <w:jc w:val="center"/>
        </w:trPr>
        <w:tc>
          <w:tcPr>
            <w:tcW w:w="2127" w:type="dxa"/>
            <w:gridSpan w:val="2"/>
            <w:tcBorders>
              <w:top w:val="nil"/>
              <w:left w:val="single" w:sz="4" w:space="0" w:color="BFBFBF"/>
              <w:bottom w:val="single" w:sz="4" w:space="0" w:color="BFBFBF"/>
              <w:right w:val="single" w:sz="4" w:space="0" w:color="BFBFBF"/>
            </w:tcBorders>
            <w:shd w:val="clear" w:color="auto" w:fill="D9D9D9" w:themeFill="background1" w:themeFillShade="D9"/>
          </w:tcPr>
          <w:p w14:paraId="35BEA855" w14:textId="77777777" w:rsidR="007A1083" w:rsidRPr="007A1083" w:rsidRDefault="007A1083" w:rsidP="00C2412C">
            <w:pPr>
              <w:spacing w:before="60" w:after="60"/>
              <w:rPr>
                <w:rFonts w:cs="Calibri"/>
                <w:sz w:val="14"/>
                <w:szCs w:val="18"/>
                <w:lang w:eastAsia="es-ES"/>
              </w:rPr>
            </w:pPr>
            <w:r w:rsidRPr="007A1083">
              <w:rPr>
                <w:rFonts w:cs="Calibri"/>
                <w:b/>
                <w:bCs/>
                <w:color w:val="000000"/>
                <w:sz w:val="20"/>
                <w:lang w:eastAsia="es-ES"/>
              </w:rPr>
              <w:t>COVID-19</w:t>
            </w:r>
          </w:p>
        </w:tc>
        <w:tc>
          <w:tcPr>
            <w:tcW w:w="1984" w:type="dxa"/>
            <w:tcBorders>
              <w:top w:val="nil"/>
              <w:left w:val="nil"/>
              <w:bottom w:val="single" w:sz="8" w:space="0" w:color="BFBFBF"/>
              <w:right w:val="nil"/>
            </w:tcBorders>
            <w:shd w:val="clear" w:color="auto" w:fill="D9D9D9" w:themeFill="background1" w:themeFillShade="D9"/>
          </w:tcPr>
          <w:p w14:paraId="6E4C9952" w14:textId="77777777" w:rsidR="007A1083" w:rsidRPr="007A1083" w:rsidRDefault="007A1083" w:rsidP="00C2412C">
            <w:pPr>
              <w:spacing w:before="60" w:after="60"/>
              <w:jc w:val="center"/>
              <w:rPr>
                <w:rFonts w:cs="Calibri"/>
                <w:sz w:val="14"/>
                <w:szCs w:val="18"/>
                <w:lang w:eastAsia="es-ES"/>
              </w:rPr>
            </w:pPr>
          </w:p>
        </w:tc>
        <w:tc>
          <w:tcPr>
            <w:tcW w:w="2268" w:type="dxa"/>
            <w:tcBorders>
              <w:top w:val="nil"/>
              <w:left w:val="nil"/>
              <w:bottom w:val="single" w:sz="8" w:space="0" w:color="BFBFBF"/>
              <w:right w:val="nil"/>
            </w:tcBorders>
            <w:shd w:val="clear" w:color="auto" w:fill="D9D9D9" w:themeFill="background1" w:themeFillShade="D9"/>
          </w:tcPr>
          <w:p w14:paraId="0BA2D3D5" w14:textId="77777777" w:rsidR="007A1083" w:rsidRPr="007A1083" w:rsidRDefault="007A1083" w:rsidP="00C2412C">
            <w:pPr>
              <w:spacing w:before="60" w:after="60"/>
              <w:jc w:val="center"/>
              <w:rPr>
                <w:rFonts w:cs="Calibri"/>
                <w:sz w:val="14"/>
                <w:szCs w:val="18"/>
                <w:lang w:eastAsia="es-ES"/>
              </w:rPr>
            </w:pPr>
          </w:p>
        </w:tc>
        <w:tc>
          <w:tcPr>
            <w:tcW w:w="851" w:type="dxa"/>
            <w:tcBorders>
              <w:top w:val="nil"/>
              <w:left w:val="nil"/>
              <w:bottom w:val="single" w:sz="4" w:space="0" w:color="BFBFBF"/>
              <w:right w:val="single" w:sz="4" w:space="0" w:color="BFBFBF"/>
            </w:tcBorders>
            <w:shd w:val="clear" w:color="auto" w:fill="D9D9D9" w:themeFill="background1" w:themeFillShade="D9"/>
          </w:tcPr>
          <w:p w14:paraId="00A53B5E" w14:textId="77777777" w:rsidR="007A1083" w:rsidRPr="007A1083" w:rsidRDefault="007A1083" w:rsidP="00C2412C">
            <w:pPr>
              <w:spacing w:before="60" w:after="60"/>
              <w:jc w:val="center"/>
              <w:rPr>
                <w:rFonts w:cs="Calibri"/>
                <w:sz w:val="14"/>
                <w:szCs w:val="18"/>
                <w:lang w:eastAsia="es-ES"/>
              </w:rPr>
            </w:pPr>
          </w:p>
        </w:tc>
        <w:tc>
          <w:tcPr>
            <w:tcW w:w="567" w:type="dxa"/>
            <w:tcBorders>
              <w:top w:val="nil"/>
              <w:left w:val="nil"/>
              <w:bottom w:val="single" w:sz="4" w:space="0" w:color="BFBFBF"/>
              <w:right w:val="single" w:sz="4" w:space="0" w:color="BFBFBF"/>
            </w:tcBorders>
            <w:shd w:val="clear" w:color="auto" w:fill="D9D9D9" w:themeFill="background1" w:themeFillShade="D9"/>
            <w:noWrap/>
          </w:tcPr>
          <w:p w14:paraId="5DE34656" w14:textId="77777777" w:rsidR="007A1083" w:rsidRPr="007A1083" w:rsidRDefault="007A1083" w:rsidP="00C2412C">
            <w:pPr>
              <w:spacing w:before="60" w:after="60"/>
              <w:jc w:val="center"/>
              <w:rPr>
                <w:rFonts w:cs="Calibri"/>
                <w:sz w:val="14"/>
                <w:szCs w:val="18"/>
                <w:lang w:eastAsia="es-ES"/>
              </w:rPr>
            </w:pPr>
          </w:p>
        </w:tc>
        <w:tc>
          <w:tcPr>
            <w:tcW w:w="859" w:type="dxa"/>
            <w:tcBorders>
              <w:top w:val="nil"/>
              <w:left w:val="nil"/>
              <w:bottom w:val="single" w:sz="4" w:space="0" w:color="BFBFBF"/>
              <w:right w:val="single" w:sz="4" w:space="0" w:color="BFBFBF"/>
            </w:tcBorders>
            <w:shd w:val="clear" w:color="auto" w:fill="D9D9D9" w:themeFill="background1" w:themeFillShade="D9"/>
          </w:tcPr>
          <w:p w14:paraId="730E2C21" w14:textId="77777777" w:rsidR="007A1083" w:rsidRPr="007A1083" w:rsidRDefault="007A1083" w:rsidP="00C2412C">
            <w:pPr>
              <w:spacing w:before="60" w:after="60"/>
              <w:jc w:val="center"/>
              <w:rPr>
                <w:rFonts w:cs="Calibri"/>
                <w:sz w:val="14"/>
                <w:szCs w:val="18"/>
                <w:lang w:eastAsia="es-ES"/>
              </w:rPr>
            </w:pPr>
          </w:p>
        </w:tc>
        <w:tc>
          <w:tcPr>
            <w:tcW w:w="2259" w:type="dxa"/>
            <w:tcBorders>
              <w:top w:val="nil"/>
              <w:left w:val="nil"/>
              <w:bottom w:val="single" w:sz="4" w:space="0" w:color="BFBFBF"/>
              <w:right w:val="single" w:sz="4" w:space="0" w:color="BFBFBF"/>
            </w:tcBorders>
            <w:shd w:val="clear" w:color="auto" w:fill="D9D9D9" w:themeFill="background1" w:themeFillShade="D9"/>
          </w:tcPr>
          <w:p w14:paraId="01BFDFF5" w14:textId="77777777" w:rsidR="007A1083" w:rsidRPr="007A1083" w:rsidRDefault="007A1083" w:rsidP="00C2412C">
            <w:pPr>
              <w:spacing w:before="60" w:after="60"/>
              <w:rPr>
                <w:rFonts w:cs="Calibri"/>
                <w:sz w:val="14"/>
                <w:szCs w:val="18"/>
                <w:lang w:eastAsia="es-ES"/>
              </w:rPr>
            </w:pPr>
          </w:p>
        </w:tc>
      </w:tr>
      <w:tr w:rsidR="007A1083" w:rsidRPr="007A1083" w14:paraId="7DC5496E" w14:textId="77777777" w:rsidTr="00311D68">
        <w:trPr>
          <w:trHeight w:val="480"/>
          <w:jc w:val="center"/>
        </w:trPr>
        <w:tc>
          <w:tcPr>
            <w:tcW w:w="552" w:type="dxa"/>
            <w:tcBorders>
              <w:top w:val="nil"/>
              <w:left w:val="single" w:sz="4" w:space="0" w:color="BFBFBF"/>
              <w:bottom w:val="single" w:sz="4" w:space="0" w:color="BFBFBF"/>
              <w:right w:val="single" w:sz="4" w:space="0" w:color="BFBFBF"/>
            </w:tcBorders>
            <w:shd w:val="clear" w:color="000000" w:fill="FFFFFF"/>
            <w:hideMark/>
          </w:tcPr>
          <w:p w14:paraId="3BB006FE"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0034</w:t>
            </w:r>
          </w:p>
        </w:tc>
        <w:tc>
          <w:tcPr>
            <w:tcW w:w="1575" w:type="dxa"/>
            <w:tcBorders>
              <w:top w:val="nil"/>
              <w:left w:val="nil"/>
              <w:bottom w:val="single" w:sz="4" w:space="0" w:color="BFBFBF"/>
              <w:right w:val="single" w:sz="4" w:space="0" w:color="BFBFBF"/>
            </w:tcBorders>
            <w:shd w:val="clear" w:color="auto" w:fill="auto"/>
            <w:hideMark/>
          </w:tcPr>
          <w:p w14:paraId="6B0924EC"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Coût supplémentaire pour le relogement du personnel pendant la phase de démolition et de construction.</w:t>
            </w:r>
          </w:p>
        </w:tc>
        <w:tc>
          <w:tcPr>
            <w:tcW w:w="1984" w:type="dxa"/>
            <w:tcBorders>
              <w:top w:val="single" w:sz="8" w:space="0" w:color="BFBFBF"/>
              <w:left w:val="nil"/>
              <w:bottom w:val="single" w:sz="8" w:space="0" w:color="BFBFBF"/>
              <w:right w:val="single" w:sz="8" w:space="0" w:color="BFBFBF"/>
            </w:tcBorders>
          </w:tcPr>
          <w:p w14:paraId="58DA6C17"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Espace insuffisant pour attribuer un bureau à chaque fonctionnaire tout en maintenant la distanciation sociale.</w:t>
            </w:r>
          </w:p>
        </w:tc>
        <w:tc>
          <w:tcPr>
            <w:tcW w:w="2268" w:type="dxa"/>
            <w:tcBorders>
              <w:top w:val="single" w:sz="8" w:space="0" w:color="BFBFBF"/>
              <w:left w:val="single" w:sz="8" w:space="0" w:color="BFBFBF"/>
              <w:bottom w:val="single" w:sz="8" w:space="0" w:color="BFBFBF"/>
              <w:right w:val="single" w:sz="4" w:space="0" w:color="BFBFBF"/>
            </w:tcBorders>
          </w:tcPr>
          <w:p w14:paraId="4E71A005"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Mettre en œuvre une politique de bureaux non nominatif et le télétravail.</w:t>
            </w:r>
          </w:p>
        </w:tc>
        <w:tc>
          <w:tcPr>
            <w:tcW w:w="851" w:type="dxa"/>
            <w:tcBorders>
              <w:top w:val="nil"/>
              <w:left w:val="single" w:sz="4" w:space="0" w:color="BFBFBF"/>
              <w:bottom w:val="single" w:sz="4" w:space="0" w:color="BFBFBF"/>
              <w:right w:val="single" w:sz="4" w:space="0" w:color="BFBFBF"/>
            </w:tcBorders>
            <w:shd w:val="clear" w:color="auto" w:fill="auto"/>
            <w:hideMark/>
          </w:tcPr>
          <w:p w14:paraId="7814CEB5"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0,50</w:t>
            </w:r>
          </w:p>
        </w:tc>
        <w:tc>
          <w:tcPr>
            <w:tcW w:w="567" w:type="dxa"/>
            <w:tcBorders>
              <w:top w:val="nil"/>
              <w:left w:val="nil"/>
              <w:bottom w:val="single" w:sz="4" w:space="0" w:color="BFBFBF"/>
              <w:right w:val="single" w:sz="4" w:space="0" w:color="BFBFBF"/>
            </w:tcBorders>
            <w:shd w:val="clear" w:color="auto" w:fill="auto"/>
            <w:noWrap/>
            <w:hideMark/>
          </w:tcPr>
          <w:p w14:paraId="514AEF5D"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0,40</w:t>
            </w:r>
          </w:p>
        </w:tc>
        <w:tc>
          <w:tcPr>
            <w:tcW w:w="859" w:type="dxa"/>
            <w:tcBorders>
              <w:top w:val="nil"/>
              <w:left w:val="nil"/>
              <w:bottom w:val="single" w:sz="4" w:space="0" w:color="BFBFBF"/>
              <w:right w:val="single" w:sz="4" w:space="0" w:color="BFBFBF"/>
            </w:tcBorders>
            <w:shd w:val="clear" w:color="auto" w:fill="auto"/>
            <w:hideMark/>
          </w:tcPr>
          <w:p w14:paraId="42CD9522"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2 966 667</w:t>
            </w:r>
          </w:p>
        </w:tc>
        <w:tc>
          <w:tcPr>
            <w:tcW w:w="2259" w:type="dxa"/>
            <w:tcBorders>
              <w:top w:val="nil"/>
              <w:left w:val="nil"/>
              <w:bottom w:val="single" w:sz="4" w:space="0" w:color="BFBFBF"/>
              <w:right w:val="single" w:sz="4" w:space="0" w:color="BFBFBF"/>
            </w:tcBorders>
            <w:shd w:val="clear" w:color="auto" w:fill="auto"/>
          </w:tcPr>
          <w:p w14:paraId="63DF04BA"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Coût moyen pondéré, montant prévu pour le déménagement et le relogement (temporaire) du personnel.</w:t>
            </w:r>
          </w:p>
        </w:tc>
      </w:tr>
      <w:tr w:rsidR="007A1083" w:rsidRPr="007A1083" w14:paraId="6220DED1" w14:textId="77777777" w:rsidTr="00311D68">
        <w:trPr>
          <w:trHeight w:val="1083"/>
          <w:jc w:val="center"/>
        </w:trPr>
        <w:tc>
          <w:tcPr>
            <w:tcW w:w="552" w:type="dxa"/>
            <w:tcBorders>
              <w:top w:val="nil"/>
              <w:left w:val="single" w:sz="4" w:space="0" w:color="BFBFBF"/>
              <w:bottom w:val="single" w:sz="4" w:space="0" w:color="BFBFBF"/>
              <w:right w:val="single" w:sz="4" w:space="0" w:color="BFBFBF"/>
            </w:tcBorders>
            <w:shd w:val="clear" w:color="auto" w:fill="auto"/>
            <w:hideMark/>
          </w:tcPr>
          <w:p w14:paraId="149EF674"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0092</w:t>
            </w:r>
          </w:p>
        </w:tc>
        <w:tc>
          <w:tcPr>
            <w:tcW w:w="1575" w:type="dxa"/>
            <w:tcBorders>
              <w:top w:val="nil"/>
              <w:left w:val="nil"/>
              <w:bottom w:val="single" w:sz="4" w:space="0" w:color="BFBFBF"/>
              <w:right w:val="single" w:sz="4" w:space="0" w:color="BFBFBF"/>
            </w:tcBorders>
            <w:shd w:val="clear" w:color="000000" w:fill="FFFFFF"/>
            <w:hideMark/>
          </w:tcPr>
          <w:p w14:paraId="31616C6D" w14:textId="288F9C57" w:rsidR="007A1083" w:rsidRPr="007A1083" w:rsidRDefault="007A1083" w:rsidP="00C2412C">
            <w:pPr>
              <w:spacing w:before="60" w:after="60"/>
              <w:rPr>
                <w:rFonts w:cs="Calibri"/>
                <w:sz w:val="14"/>
                <w:szCs w:val="18"/>
                <w:lang w:eastAsia="es-ES"/>
              </w:rPr>
            </w:pPr>
            <w:r w:rsidRPr="007A1083">
              <w:rPr>
                <w:rFonts w:cs="Calibri"/>
                <w:sz w:val="14"/>
                <w:szCs w:val="18"/>
                <w:lang w:eastAsia="es-ES"/>
              </w:rPr>
              <w:t>Incidences inconnues de la pandémie de COVID</w:t>
            </w:r>
            <w:r w:rsidR="003B78DE">
              <w:rPr>
                <w:rFonts w:cs="Calibri"/>
                <w:sz w:val="14"/>
                <w:szCs w:val="18"/>
                <w:lang w:eastAsia="es-ES"/>
              </w:rPr>
              <w:noBreakHyphen/>
            </w:r>
            <w:r w:rsidRPr="007A1083">
              <w:rPr>
                <w:rFonts w:cs="Calibri"/>
                <w:sz w:val="14"/>
                <w:szCs w:val="18"/>
                <w:lang w:eastAsia="es-ES"/>
              </w:rPr>
              <w:t>19 sur le calendrier estimé du projet de bâtiment.</w:t>
            </w:r>
          </w:p>
        </w:tc>
        <w:tc>
          <w:tcPr>
            <w:tcW w:w="1984" w:type="dxa"/>
            <w:tcBorders>
              <w:top w:val="single" w:sz="8" w:space="0" w:color="BFBFBF"/>
              <w:left w:val="nil"/>
              <w:bottom w:val="single" w:sz="8" w:space="0" w:color="BFBFBF"/>
              <w:right w:val="single" w:sz="8" w:space="0" w:color="BFBFBF"/>
            </w:tcBorders>
            <w:shd w:val="clear" w:color="000000" w:fill="FFFFFF"/>
          </w:tcPr>
          <w:p w14:paraId="0189527D"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Caractère imprévisible de la pandémie.</w:t>
            </w:r>
          </w:p>
        </w:tc>
        <w:tc>
          <w:tcPr>
            <w:tcW w:w="2268" w:type="dxa"/>
            <w:tcBorders>
              <w:top w:val="single" w:sz="8" w:space="0" w:color="BFBFBF"/>
              <w:left w:val="single" w:sz="8" w:space="0" w:color="BFBFBF"/>
              <w:bottom w:val="single" w:sz="8" w:space="0" w:color="BFBFBF"/>
              <w:right w:val="single" w:sz="4" w:space="0" w:color="BFBFBF"/>
            </w:tcBorders>
            <w:shd w:val="clear" w:color="000000" w:fill="FFFFFF"/>
          </w:tcPr>
          <w:p w14:paraId="37094560" w14:textId="77777777" w:rsidR="00351F4B" w:rsidRDefault="007A1083" w:rsidP="00C2412C">
            <w:pPr>
              <w:spacing w:before="60" w:after="60"/>
              <w:rPr>
                <w:rFonts w:cs="Calibri"/>
                <w:sz w:val="14"/>
                <w:szCs w:val="18"/>
                <w:lang w:eastAsia="es-ES"/>
              </w:rPr>
            </w:pPr>
            <w:r w:rsidRPr="007A1083">
              <w:rPr>
                <w:rFonts w:cs="Calibri"/>
                <w:sz w:val="14"/>
                <w:szCs w:val="18"/>
                <w:lang w:eastAsia="es-ES"/>
              </w:rPr>
              <w:t>Élaborer et quantifier des mesures d'atténuation</w:t>
            </w:r>
          </w:p>
          <w:p w14:paraId="0C2E446E" w14:textId="0652F18C" w:rsidR="007A1083" w:rsidRPr="007A1083" w:rsidRDefault="007A1083" w:rsidP="00C2412C">
            <w:pPr>
              <w:spacing w:before="60" w:after="60"/>
              <w:rPr>
                <w:rFonts w:cs="Calibri"/>
                <w:sz w:val="14"/>
                <w:szCs w:val="18"/>
                <w:lang w:eastAsia="es-ES"/>
              </w:rPr>
            </w:pPr>
            <w:r w:rsidRPr="007A1083">
              <w:rPr>
                <w:rFonts w:cs="Calibri"/>
                <w:sz w:val="14"/>
                <w:szCs w:val="18"/>
                <w:lang w:eastAsia="es-ES"/>
              </w:rPr>
              <w:t>Inclure des bonnes pratiques mises en œuvre dans d'autres organisations et dans le secteur privé.</w:t>
            </w:r>
          </w:p>
        </w:tc>
        <w:tc>
          <w:tcPr>
            <w:tcW w:w="851" w:type="dxa"/>
            <w:tcBorders>
              <w:top w:val="nil"/>
              <w:left w:val="single" w:sz="4" w:space="0" w:color="BFBFBF"/>
              <w:bottom w:val="single" w:sz="4" w:space="0" w:color="BFBFBF"/>
              <w:right w:val="single" w:sz="4" w:space="0" w:color="BFBFBF"/>
            </w:tcBorders>
            <w:shd w:val="clear" w:color="000000" w:fill="FFFFFF"/>
            <w:hideMark/>
          </w:tcPr>
          <w:p w14:paraId="6603DA38"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0,70</w:t>
            </w:r>
          </w:p>
        </w:tc>
        <w:tc>
          <w:tcPr>
            <w:tcW w:w="567" w:type="dxa"/>
            <w:tcBorders>
              <w:top w:val="nil"/>
              <w:left w:val="nil"/>
              <w:bottom w:val="single" w:sz="4" w:space="0" w:color="BFBFBF"/>
              <w:right w:val="single" w:sz="4" w:space="0" w:color="BFBFBF"/>
            </w:tcBorders>
            <w:shd w:val="clear" w:color="000000" w:fill="FFFFFF"/>
            <w:noWrap/>
            <w:hideMark/>
          </w:tcPr>
          <w:p w14:paraId="3CD78CC5"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0,40</w:t>
            </w:r>
          </w:p>
        </w:tc>
        <w:tc>
          <w:tcPr>
            <w:tcW w:w="859" w:type="dxa"/>
            <w:tcBorders>
              <w:top w:val="nil"/>
              <w:left w:val="nil"/>
              <w:bottom w:val="single" w:sz="4" w:space="0" w:color="BFBFBF"/>
              <w:right w:val="single" w:sz="4" w:space="0" w:color="BFBFBF"/>
            </w:tcBorders>
            <w:shd w:val="clear" w:color="auto" w:fill="auto"/>
            <w:hideMark/>
          </w:tcPr>
          <w:p w14:paraId="34402B72"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1 572 583</w:t>
            </w:r>
          </w:p>
        </w:tc>
        <w:tc>
          <w:tcPr>
            <w:tcW w:w="2259" w:type="dxa"/>
            <w:tcBorders>
              <w:top w:val="nil"/>
              <w:left w:val="nil"/>
              <w:bottom w:val="single" w:sz="4" w:space="0" w:color="BFBFBF"/>
              <w:right w:val="single" w:sz="4" w:space="0" w:color="BFBFBF"/>
            </w:tcBorders>
            <w:shd w:val="clear" w:color="000000" w:fill="FFFFFF"/>
          </w:tcPr>
          <w:p w14:paraId="1CCF9201" w14:textId="0DC5FE5B" w:rsidR="007A1083" w:rsidRPr="007A1083" w:rsidRDefault="007A1083" w:rsidP="00C2412C">
            <w:pPr>
              <w:spacing w:before="60" w:after="60"/>
              <w:rPr>
                <w:rFonts w:cs="Calibri"/>
                <w:sz w:val="14"/>
                <w:szCs w:val="18"/>
                <w:lang w:eastAsia="es-ES"/>
              </w:rPr>
            </w:pPr>
            <w:r w:rsidRPr="007A1083">
              <w:rPr>
                <w:rFonts w:cs="Calibri"/>
                <w:sz w:val="14"/>
                <w:szCs w:val="18"/>
                <w:lang w:eastAsia="es-ES"/>
              </w:rPr>
              <w:t xml:space="preserve">Mise en œuvre de mesures d'atténuation selon le protocole </w:t>
            </w:r>
            <w:r w:rsidR="003B78DE" w:rsidRPr="007A1083">
              <w:rPr>
                <w:rFonts w:cs="Calibri"/>
                <w:sz w:val="14"/>
                <w:szCs w:val="18"/>
                <w:lang w:eastAsia="es-ES"/>
              </w:rPr>
              <w:t>COVID</w:t>
            </w:r>
            <w:r w:rsidRPr="007A1083">
              <w:rPr>
                <w:rFonts w:cs="Calibri"/>
                <w:sz w:val="14"/>
                <w:szCs w:val="18"/>
                <w:lang w:eastAsia="es-ES"/>
              </w:rPr>
              <w:t>-19 actuel.</w:t>
            </w:r>
          </w:p>
        </w:tc>
      </w:tr>
      <w:tr w:rsidR="007A1083" w:rsidRPr="007A1083" w14:paraId="1672D315" w14:textId="77777777" w:rsidTr="00311D68">
        <w:trPr>
          <w:trHeight w:val="480"/>
          <w:jc w:val="center"/>
        </w:trPr>
        <w:tc>
          <w:tcPr>
            <w:tcW w:w="552" w:type="dxa"/>
            <w:tcBorders>
              <w:top w:val="nil"/>
              <w:left w:val="single" w:sz="4" w:space="0" w:color="BFBFBF"/>
              <w:bottom w:val="single" w:sz="4" w:space="0" w:color="BFBFBF"/>
              <w:right w:val="single" w:sz="4" w:space="0" w:color="BFBFBF"/>
            </w:tcBorders>
            <w:shd w:val="clear" w:color="auto" w:fill="auto"/>
            <w:hideMark/>
          </w:tcPr>
          <w:p w14:paraId="2210E972"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0094</w:t>
            </w:r>
          </w:p>
        </w:tc>
        <w:tc>
          <w:tcPr>
            <w:tcW w:w="1575" w:type="dxa"/>
            <w:tcBorders>
              <w:top w:val="nil"/>
              <w:left w:val="nil"/>
              <w:bottom w:val="single" w:sz="4" w:space="0" w:color="BFBFBF"/>
              <w:right w:val="single" w:sz="4" w:space="0" w:color="BFBFBF"/>
            </w:tcBorders>
            <w:shd w:val="clear" w:color="auto" w:fill="auto"/>
            <w:hideMark/>
          </w:tcPr>
          <w:p w14:paraId="7DD87501"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Acceptation par le personnel de l'agencement des bureaux pour l'après COVID-19.</w:t>
            </w:r>
          </w:p>
        </w:tc>
        <w:tc>
          <w:tcPr>
            <w:tcW w:w="1984" w:type="dxa"/>
            <w:tcBorders>
              <w:top w:val="single" w:sz="8" w:space="0" w:color="BFBFBF"/>
              <w:left w:val="nil"/>
              <w:bottom w:val="single" w:sz="4" w:space="0" w:color="BFBFBF"/>
              <w:right w:val="single" w:sz="8" w:space="0" w:color="BFBFBF"/>
            </w:tcBorders>
          </w:tcPr>
          <w:p w14:paraId="740DA936"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Sensibilisation à la propagation des maladies.</w:t>
            </w:r>
          </w:p>
        </w:tc>
        <w:tc>
          <w:tcPr>
            <w:tcW w:w="2268" w:type="dxa"/>
            <w:tcBorders>
              <w:top w:val="single" w:sz="8" w:space="0" w:color="BFBFBF"/>
              <w:left w:val="single" w:sz="8" w:space="0" w:color="BFBFBF"/>
              <w:bottom w:val="single" w:sz="4" w:space="0" w:color="BFBFBF"/>
              <w:right w:val="single" w:sz="4" w:space="0" w:color="BFBFBF"/>
            </w:tcBorders>
          </w:tcPr>
          <w:p w14:paraId="4B217494"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Communication appropriée reposant sur des éléments concrets et des décisions de la direction.</w:t>
            </w:r>
          </w:p>
        </w:tc>
        <w:tc>
          <w:tcPr>
            <w:tcW w:w="851" w:type="dxa"/>
            <w:tcBorders>
              <w:top w:val="nil"/>
              <w:left w:val="single" w:sz="4" w:space="0" w:color="BFBFBF"/>
              <w:bottom w:val="single" w:sz="4" w:space="0" w:color="BFBFBF"/>
              <w:right w:val="single" w:sz="4" w:space="0" w:color="BFBFBF"/>
            </w:tcBorders>
            <w:shd w:val="clear" w:color="auto" w:fill="auto"/>
            <w:hideMark/>
          </w:tcPr>
          <w:p w14:paraId="5D822443"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0,50</w:t>
            </w:r>
          </w:p>
        </w:tc>
        <w:tc>
          <w:tcPr>
            <w:tcW w:w="567" w:type="dxa"/>
            <w:tcBorders>
              <w:top w:val="nil"/>
              <w:left w:val="nil"/>
              <w:bottom w:val="single" w:sz="4" w:space="0" w:color="BFBFBF"/>
              <w:right w:val="single" w:sz="4" w:space="0" w:color="BFBFBF"/>
            </w:tcBorders>
            <w:shd w:val="clear" w:color="auto" w:fill="auto"/>
            <w:noWrap/>
            <w:hideMark/>
          </w:tcPr>
          <w:p w14:paraId="64B5F7A7"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0,40</w:t>
            </w:r>
          </w:p>
        </w:tc>
        <w:tc>
          <w:tcPr>
            <w:tcW w:w="859" w:type="dxa"/>
            <w:tcBorders>
              <w:top w:val="nil"/>
              <w:left w:val="nil"/>
              <w:bottom w:val="single" w:sz="4" w:space="0" w:color="BFBFBF"/>
              <w:right w:val="single" w:sz="4" w:space="0" w:color="BFBFBF"/>
            </w:tcBorders>
            <w:shd w:val="clear" w:color="auto" w:fill="auto"/>
            <w:hideMark/>
          </w:tcPr>
          <w:p w14:paraId="33EAAF4A"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w:t>
            </w:r>
          </w:p>
        </w:tc>
        <w:tc>
          <w:tcPr>
            <w:tcW w:w="2259" w:type="dxa"/>
            <w:tcBorders>
              <w:top w:val="nil"/>
              <w:left w:val="nil"/>
              <w:bottom w:val="single" w:sz="4" w:space="0" w:color="BFBFBF"/>
              <w:right w:val="single" w:sz="4" w:space="0" w:color="BFBFBF"/>
            </w:tcBorders>
            <w:shd w:val="clear" w:color="auto" w:fill="auto"/>
          </w:tcPr>
          <w:p w14:paraId="4D5379C2"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Impossible à quantifier.</w:t>
            </w:r>
          </w:p>
        </w:tc>
      </w:tr>
      <w:tr w:rsidR="007A1083" w:rsidRPr="007A1083" w14:paraId="1E8CAB3F" w14:textId="77777777" w:rsidTr="00AD5360">
        <w:trPr>
          <w:trHeight w:val="208"/>
          <w:jc w:val="center"/>
        </w:trPr>
        <w:tc>
          <w:tcPr>
            <w:tcW w:w="10915" w:type="dxa"/>
            <w:gridSpan w:val="8"/>
            <w:tcBorders>
              <w:top w:val="nil"/>
              <w:left w:val="single" w:sz="4" w:space="0" w:color="BFBFBF"/>
              <w:bottom w:val="single" w:sz="8" w:space="0" w:color="BFBFBF"/>
              <w:right w:val="single" w:sz="4" w:space="0" w:color="BFBFBF"/>
            </w:tcBorders>
            <w:shd w:val="clear" w:color="auto" w:fill="D9D9D9" w:themeFill="background1" w:themeFillShade="D9"/>
          </w:tcPr>
          <w:p w14:paraId="4E188AAB" w14:textId="77777777" w:rsidR="007A1083" w:rsidRPr="007A1083" w:rsidRDefault="007A1083" w:rsidP="00C2412C">
            <w:pPr>
              <w:spacing w:before="60" w:after="60"/>
              <w:rPr>
                <w:rFonts w:cs="Calibri"/>
                <w:sz w:val="14"/>
                <w:szCs w:val="18"/>
                <w:lang w:eastAsia="es-ES"/>
              </w:rPr>
            </w:pPr>
            <w:r w:rsidRPr="007A1083">
              <w:rPr>
                <w:rFonts w:cs="Calibri"/>
                <w:b/>
                <w:bCs/>
                <w:color w:val="000000"/>
                <w:sz w:val="20"/>
                <w:lang w:eastAsia="es-ES"/>
              </w:rPr>
              <w:t>Gestion du changement &amp; Communication</w:t>
            </w:r>
          </w:p>
        </w:tc>
      </w:tr>
      <w:tr w:rsidR="007A1083" w:rsidRPr="007A1083" w14:paraId="2486A45A" w14:textId="77777777" w:rsidTr="00311D68">
        <w:trPr>
          <w:trHeight w:val="1145"/>
          <w:jc w:val="center"/>
        </w:trPr>
        <w:tc>
          <w:tcPr>
            <w:tcW w:w="552" w:type="dxa"/>
            <w:tcBorders>
              <w:top w:val="single" w:sz="8" w:space="0" w:color="BFBFBF"/>
              <w:left w:val="single" w:sz="4" w:space="0" w:color="BFBFBF"/>
              <w:bottom w:val="single" w:sz="8" w:space="0" w:color="BFBFBF"/>
              <w:right w:val="single" w:sz="8" w:space="0" w:color="BFBFBF"/>
            </w:tcBorders>
            <w:shd w:val="clear" w:color="000000" w:fill="FFFFFF"/>
            <w:hideMark/>
          </w:tcPr>
          <w:p w14:paraId="159263A9"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0068</w:t>
            </w:r>
          </w:p>
        </w:tc>
        <w:tc>
          <w:tcPr>
            <w:tcW w:w="1575" w:type="dxa"/>
            <w:tcBorders>
              <w:top w:val="single" w:sz="8" w:space="0" w:color="BFBFBF"/>
              <w:left w:val="single" w:sz="8" w:space="0" w:color="BFBFBF"/>
              <w:bottom w:val="single" w:sz="8" w:space="0" w:color="BFBFBF"/>
              <w:right w:val="single" w:sz="8" w:space="0" w:color="BFBFBF"/>
            </w:tcBorders>
            <w:shd w:val="clear" w:color="auto" w:fill="auto"/>
            <w:hideMark/>
          </w:tcPr>
          <w:p w14:paraId="2C0600B8"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Les responsables n'appuient pas le projet. Pas d'appui de la part de la direction et pas de parrainages.</w:t>
            </w:r>
          </w:p>
        </w:tc>
        <w:tc>
          <w:tcPr>
            <w:tcW w:w="1984" w:type="dxa"/>
            <w:tcBorders>
              <w:top w:val="single" w:sz="8" w:space="0" w:color="BFBFBF"/>
              <w:left w:val="single" w:sz="8" w:space="0" w:color="BFBFBF"/>
              <w:bottom w:val="single" w:sz="8" w:space="0" w:color="BFBFBF"/>
              <w:right w:val="single" w:sz="8" w:space="0" w:color="BFBFBF"/>
            </w:tcBorders>
          </w:tcPr>
          <w:p w14:paraId="7D5660C4"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 xml:space="preserve">Il se peut que l'équipe de projet n'ait pas l'autorité nécessaire pour atteindre les objectifs du projet. En pareils cas, l'appui de la haute direction est essentiel à la réussite du projet. </w:t>
            </w:r>
          </w:p>
        </w:tc>
        <w:tc>
          <w:tcPr>
            <w:tcW w:w="2268" w:type="dxa"/>
            <w:tcBorders>
              <w:top w:val="single" w:sz="8" w:space="0" w:color="BFBFBF"/>
              <w:left w:val="single" w:sz="8" w:space="0" w:color="BFBFBF"/>
              <w:bottom w:val="single" w:sz="8" w:space="0" w:color="BFBFBF"/>
              <w:right w:val="single" w:sz="8" w:space="0" w:color="BFBFBF"/>
            </w:tcBorders>
          </w:tcPr>
          <w:p w14:paraId="75CB3BCE"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 xml:space="preserve">Faire participer les responsables dès le début du processus, car ils insufflent l'autorité et l'influence nécessaires à la réussite d'un changement au travail et jouent un rôle essentiel en période de changement. </w:t>
            </w:r>
          </w:p>
        </w:tc>
        <w:tc>
          <w:tcPr>
            <w:tcW w:w="851" w:type="dxa"/>
            <w:tcBorders>
              <w:top w:val="single" w:sz="8" w:space="0" w:color="BFBFBF"/>
              <w:left w:val="single" w:sz="8" w:space="0" w:color="BFBFBF"/>
              <w:bottom w:val="single" w:sz="8" w:space="0" w:color="BFBFBF"/>
              <w:right w:val="single" w:sz="8" w:space="0" w:color="BFBFBF"/>
            </w:tcBorders>
            <w:shd w:val="clear" w:color="auto" w:fill="auto"/>
            <w:hideMark/>
          </w:tcPr>
          <w:p w14:paraId="10C250BD"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0,30</w:t>
            </w:r>
          </w:p>
        </w:tc>
        <w:tc>
          <w:tcPr>
            <w:tcW w:w="567" w:type="dxa"/>
            <w:tcBorders>
              <w:top w:val="single" w:sz="8" w:space="0" w:color="BFBFBF"/>
              <w:left w:val="single" w:sz="8" w:space="0" w:color="BFBFBF"/>
              <w:bottom w:val="single" w:sz="8" w:space="0" w:color="BFBFBF"/>
              <w:right w:val="single" w:sz="8" w:space="0" w:color="BFBFBF"/>
            </w:tcBorders>
            <w:shd w:val="clear" w:color="auto" w:fill="auto"/>
            <w:noWrap/>
            <w:hideMark/>
          </w:tcPr>
          <w:p w14:paraId="09A022BA"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0,70</w:t>
            </w:r>
          </w:p>
        </w:tc>
        <w:tc>
          <w:tcPr>
            <w:tcW w:w="859" w:type="dxa"/>
            <w:tcBorders>
              <w:top w:val="single" w:sz="8" w:space="0" w:color="BFBFBF"/>
              <w:left w:val="single" w:sz="8" w:space="0" w:color="BFBFBF"/>
              <w:bottom w:val="single" w:sz="8" w:space="0" w:color="BFBFBF"/>
              <w:right w:val="single" w:sz="8" w:space="0" w:color="BFBFBF"/>
            </w:tcBorders>
            <w:shd w:val="clear" w:color="000000" w:fill="FFFFFF"/>
            <w:hideMark/>
          </w:tcPr>
          <w:p w14:paraId="5F60F8A9"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w:t>
            </w:r>
          </w:p>
        </w:tc>
        <w:tc>
          <w:tcPr>
            <w:tcW w:w="2259" w:type="dxa"/>
            <w:tcBorders>
              <w:top w:val="single" w:sz="8" w:space="0" w:color="BFBFBF"/>
              <w:left w:val="single" w:sz="8" w:space="0" w:color="BFBFBF"/>
              <w:bottom w:val="single" w:sz="8" w:space="0" w:color="BFBFBF"/>
              <w:right w:val="single" w:sz="4" w:space="0" w:color="BFBFBF"/>
            </w:tcBorders>
            <w:shd w:val="clear" w:color="auto" w:fill="auto"/>
          </w:tcPr>
          <w:p w14:paraId="263042FD"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Impossible à quantifier.</w:t>
            </w:r>
          </w:p>
        </w:tc>
      </w:tr>
      <w:tr w:rsidR="007A1083" w:rsidRPr="007A1083" w14:paraId="3155F05B" w14:textId="77777777" w:rsidTr="00311D68">
        <w:trPr>
          <w:trHeight w:val="615"/>
          <w:jc w:val="center"/>
        </w:trPr>
        <w:tc>
          <w:tcPr>
            <w:tcW w:w="552" w:type="dxa"/>
            <w:tcBorders>
              <w:top w:val="single" w:sz="8" w:space="0" w:color="BFBFBF"/>
              <w:left w:val="single" w:sz="4" w:space="0" w:color="BFBFBF"/>
              <w:bottom w:val="single" w:sz="4" w:space="0" w:color="BFBFBF"/>
              <w:right w:val="single" w:sz="8" w:space="0" w:color="BFBFBF"/>
            </w:tcBorders>
            <w:shd w:val="clear" w:color="000000" w:fill="FFFFFF"/>
          </w:tcPr>
          <w:p w14:paraId="5C5BCC43"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0070</w:t>
            </w:r>
          </w:p>
        </w:tc>
        <w:tc>
          <w:tcPr>
            <w:tcW w:w="1575" w:type="dxa"/>
            <w:tcBorders>
              <w:top w:val="single" w:sz="8" w:space="0" w:color="BFBFBF"/>
              <w:left w:val="single" w:sz="8" w:space="0" w:color="BFBFBF"/>
              <w:bottom w:val="single" w:sz="4" w:space="0" w:color="BFBFBF"/>
              <w:right w:val="single" w:sz="8" w:space="0" w:color="BFBFBF"/>
            </w:tcBorders>
            <w:shd w:val="clear" w:color="auto" w:fill="auto"/>
          </w:tcPr>
          <w:p w14:paraId="48B80FB0"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Communication inadéquate.</w:t>
            </w:r>
          </w:p>
        </w:tc>
        <w:tc>
          <w:tcPr>
            <w:tcW w:w="1984" w:type="dxa"/>
            <w:tcBorders>
              <w:top w:val="single" w:sz="8" w:space="0" w:color="BFBFBF"/>
              <w:left w:val="single" w:sz="8" w:space="0" w:color="BFBFBF"/>
              <w:bottom w:val="single" w:sz="4" w:space="0" w:color="BFBFBF"/>
              <w:right w:val="single" w:sz="8" w:space="0" w:color="BFBFBF"/>
            </w:tcBorders>
          </w:tcPr>
          <w:p w14:paraId="583EBB9C"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Sous-estimation de l'importance d'une communication appropriée.</w:t>
            </w:r>
          </w:p>
        </w:tc>
        <w:tc>
          <w:tcPr>
            <w:tcW w:w="2268" w:type="dxa"/>
            <w:tcBorders>
              <w:top w:val="single" w:sz="8" w:space="0" w:color="BFBFBF"/>
              <w:left w:val="single" w:sz="8" w:space="0" w:color="BFBFBF"/>
              <w:bottom w:val="single" w:sz="4" w:space="0" w:color="BFBFBF"/>
              <w:right w:val="single" w:sz="8" w:space="0" w:color="BFBFBF"/>
            </w:tcBorders>
          </w:tcPr>
          <w:p w14:paraId="79B0465B"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Recrutement d'un spécialiste de la communication chargé d'assurer une communication appropriée</w:t>
            </w:r>
          </w:p>
        </w:tc>
        <w:tc>
          <w:tcPr>
            <w:tcW w:w="851" w:type="dxa"/>
            <w:tcBorders>
              <w:top w:val="single" w:sz="8" w:space="0" w:color="BFBFBF"/>
              <w:left w:val="single" w:sz="8" w:space="0" w:color="BFBFBF"/>
              <w:bottom w:val="single" w:sz="4" w:space="0" w:color="BFBFBF"/>
              <w:right w:val="single" w:sz="8" w:space="0" w:color="BFBFBF"/>
            </w:tcBorders>
            <w:shd w:val="clear" w:color="auto" w:fill="auto"/>
          </w:tcPr>
          <w:p w14:paraId="7A880678"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0,30</w:t>
            </w:r>
          </w:p>
        </w:tc>
        <w:tc>
          <w:tcPr>
            <w:tcW w:w="567" w:type="dxa"/>
            <w:tcBorders>
              <w:top w:val="single" w:sz="8" w:space="0" w:color="BFBFBF"/>
              <w:left w:val="single" w:sz="8" w:space="0" w:color="BFBFBF"/>
              <w:bottom w:val="single" w:sz="4" w:space="0" w:color="BFBFBF"/>
              <w:right w:val="single" w:sz="8" w:space="0" w:color="BFBFBF"/>
            </w:tcBorders>
            <w:shd w:val="clear" w:color="auto" w:fill="auto"/>
            <w:noWrap/>
          </w:tcPr>
          <w:p w14:paraId="4F6D1BB5"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0,60</w:t>
            </w:r>
          </w:p>
        </w:tc>
        <w:tc>
          <w:tcPr>
            <w:tcW w:w="859" w:type="dxa"/>
            <w:tcBorders>
              <w:top w:val="single" w:sz="8" w:space="0" w:color="BFBFBF"/>
              <w:left w:val="single" w:sz="8" w:space="0" w:color="BFBFBF"/>
              <w:bottom w:val="single" w:sz="4" w:space="0" w:color="BFBFBF"/>
              <w:right w:val="single" w:sz="8" w:space="0" w:color="BFBFBF"/>
            </w:tcBorders>
            <w:shd w:val="clear" w:color="000000" w:fill="FFFFFF"/>
          </w:tcPr>
          <w:p w14:paraId="27CCE12C"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w:t>
            </w:r>
          </w:p>
        </w:tc>
        <w:tc>
          <w:tcPr>
            <w:tcW w:w="2259" w:type="dxa"/>
            <w:tcBorders>
              <w:top w:val="single" w:sz="8" w:space="0" w:color="BFBFBF"/>
              <w:left w:val="single" w:sz="8" w:space="0" w:color="BFBFBF"/>
              <w:bottom w:val="single" w:sz="4" w:space="0" w:color="BFBFBF"/>
              <w:right w:val="single" w:sz="4" w:space="0" w:color="BFBFBF"/>
            </w:tcBorders>
            <w:shd w:val="clear" w:color="auto" w:fill="auto"/>
          </w:tcPr>
          <w:p w14:paraId="79E71678"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Impossible à quantifier.</w:t>
            </w:r>
          </w:p>
        </w:tc>
      </w:tr>
      <w:tr w:rsidR="007A1083" w:rsidRPr="007A1083" w14:paraId="4769FA02" w14:textId="77777777" w:rsidTr="00AD5360">
        <w:trPr>
          <w:trHeight w:val="296"/>
          <w:jc w:val="center"/>
        </w:trPr>
        <w:tc>
          <w:tcPr>
            <w:tcW w:w="2127" w:type="dxa"/>
            <w:gridSpan w:val="2"/>
            <w:tcBorders>
              <w:top w:val="nil"/>
              <w:left w:val="single" w:sz="4" w:space="0" w:color="BFBFBF"/>
              <w:bottom w:val="single" w:sz="8" w:space="0" w:color="BFBFBF"/>
              <w:right w:val="single" w:sz="4" w:space="0" w:color="BFBFBF"/>
            </w:tcBorders>
            <w:shd w:val="clear" w:color="auto" w:fill="D9D9D9" w:themeFill="background1" w:themeFillShade="D9"/>
          </w:tcPr>
          <w:p w14:paraId="48F2A927" w14:textId="77777777" w:rsidR="007A1083" w:rsidRPr="007A1083" w:rsidRDefault="007A1083" w:rsidP="00C2412C">
            <w:pPr>
              <w:spacing w:before="60" w:after="60"/>
              <w:rPr>
                <w:rFonts w:cs="Calibri"/>
                <w:sz w:val="14"/>
                <w:szCs w:val="18"/>
                <w:lang w:eastAsia="es-ES"/>
              </w:rPr>
            </w:pPr>
            <w:r w:rsidRPr="007A1083">
              <w:rPr>
                <w:rFonts w:cs="Calibri"/>
                <w:b/>
                <w:bCs/>
                <w:color w:val="000000"/>
                <w:sz w:val="20"/>
                <w:lang w:eastAsia="es-ES"/>
              </w:rPr>
              <w:t>Programme</w:t>
            </w:r>
          </w:p>
        </w:tc>
        <w:tc>
          <w:tcPr>
            <w:tcW w:w="1984" w:type="dxa"/>
            <w:tcBorders>
              <w:top w:val="nil"/>
              <w:left w:val="nil"/>
              <w:bottom w:val="single" w:sz="8" w:space="0" w:color="BFBFBF"/>
              <w:right w:val="nil"/>
            </w:tcBorders>
            <w:shd w:val="clear" w:color="auto" w:fill="D9D9D9" w:themeFill="background1" w:themeFillShade="D9"/>
          </w:tcPr>
          <w:p w14:paraId="20500BB2" w14:textId="77777777" w:rsidR="007A1083" w:rsidRPr="007A1083" w:rsidRDefault="007A1083" w:rsidP="00C2412C">
            <w:pPr>
              <w:spacing w:before="60" w:after="60"/>
              <w:jc w:val="center"/>
              <w:rPr>
                <w:rFonts w:cs="Calibri"/>
                <w:sz w:val="14"/>
                <w:szCs w:val="18"/>
                <w:lang w:eastAsia="es-ES"/>
              </w:rPr>
            </w:pPr>
          </w:p>
        </w:tc>
        <w:tc>
          <w:tcPr>
            <w:tcW w:w="2268" w:type="dxa"/>
            <w:tcBorders>
              <w:top w:val="nil"/>
              <w:left w:val="nil"/>
              <w:bottom w:val="single" w:sz="8" w:space="0" w:color="BFBFBF"/>
              <w:right w:val="nil"/>
            </w:tcBorders>
            <w:shd w:val="clear" w:color="auto" w:fill="D9D9D9" w:themeFill="background1" w:themeFillShade="D9"/>
          </w:tcPr>
          <w:p w14:paraId="39DD6CED" w14:textId="77777777" w:rsidR="007A1083" w:rsidRPr="007A1083" w:rsidRDefault="007A1083" w:rsidP="00C2412C">
            <w:pPr>
              <w:spacing w:before="60" w:after="60"/>
              <w:rPr>
                <w:rFonts w:cs="Calibri"/>
                <w:sz w:val="14"/>
                <w:szCs w:val="18"/>
                <w:lang w:eastAsia="es-ES"/>
              </w:rPr>
            </w:pPr>
          </w:p>
        </w:tc>
        <w:tc>
          <w:tcPr>
            <w:tcW w:w="851" w:type="dxa"/>
            <w:tcBorders>
              <w:top w:val="nil"/>
              <w:left w:val="nil"/>
              <w:bottom w:val="single" w:sz="8" w:space="0" w:color="BFBFBF"/>
              <w:right w:val="single" w:sz="4" w:space="0" w:color="BFBFBF"/>
            </w:tcBorders>
            <w:shd w:val="clear" w:color="auto" w:fill="D9D9D9" w:themeFill="background1" w:themeFillShade="D9"/>
          </w:tcPr>
          <w:p w14:paraId="7EA8A1F3" w14:textId="77777777" w:rsidR="007A1083" w:rsidRPr="007A1083" w:rsidRDefault="007A1083" w:rsidP="00C2412C">
            <w:pPr>
              <w:spacing w:before="60" w:after="60"/>
              <w:jc w:val="center"/>
              <w:rPr>
                <w:rFonts w:cs="Calibri"/>
                <w:sz w:val="14"/>
                <w:szCs w:val="18"/>
                <w:lang w:eastAsia="es-ES"/>
              </w:rPr>
            </w:pPr>
          </w:p>
        </w:tc>
        <w:tc>
          <w:tcPr>
            <w:tcW w:w="567" w:type="dxa"/>
            <w:tcBorders>
              <w:top w:val="nil"/>
              <w:left w:val="nil"/>
              <w:bottom w:val="single" w:sz="8" w:space="0" w:color="BFBFBF"/>
              <w:right w:val="single" w:sz="4" w:space="0" w:color="BFBFBF"/>
            </w:tcBorders>
            <w:shd w:val="clear" w:color="auto" w:fill="D9D9D9" w:themeFill="background1" w:themeFillShade="D9"/>
            <w:noWrap/>
          </w:tcPr>
          <w:p w14:paraId="2659F006" w14:textId="77777777" w:rsidR="007A1083" w:rsidRPr="007A1083" w:rsidRDefault="007A1083" w:rsidP="00C2412C">
            <w:pPr>
              <w:spacing w:before="60" w:after="60"/>
              <w:jc w:val="center"/>
              <w:rPr>
                <w:rFonts w:cs="Calibri"/>
                <w:sz w:val="14"/>
                <w:szCs w:val="18"/>
                <w:lang w:eastAsia="es-ES"/>
              </w:rPr>
            </w:pPr>
          </w:p>
        </w:tc>
        <w:tc>
          <w:tcPr>
            <w:tcW w:w="859" w:type="dxa"/>
            <w:tcBorders>
              <w:top w:val="nil"/>
              <w:left w:val="nil"/>
              <w:bottom w:val="single" w:sz="8" w:space="0" w:color="BFBFBF"/>
              <w:right w:val="single" w:sz="4" w:space="0" w:color="BFBFBF"/>
            </w:tcBorders>
            <w:shd w:val="clear" w:color="auto" w:fill="D9D9D9" w:themeFill="background1" w:themeFillShade="D9"/>
          </w:tcPr>
          <w:p w14:paraId="6359DCAF" w14:textId="77777777" w:rsidR="007A1083" w:rsidRPr="007A1083" w:rsidRDefault="007A1083" w:rsidP="00C2412C">
            <w:pPr>
              <w:spacing w:before="60" w:after="60"/>
              <w:jc w:val="center"/>
              <w:rPr>
                <w:rFonts w:cs="Calibri"/>
                <w:sz w:val="14"/>
                <w:szCs w:val="18"/>
                <w:lang w:eastAsia="es-ES"/>
              </w:rPr>
            </w:pPr>
          </w:p>
        </w:tc>
        <w:tc>
          <w:tcPr>
            <w:tcW w:w="2259" w:type="dxa"/>
            <w:tcBorders>
              <w:top w:val="nil"/>
              <w:left w:val="nil"/>
              <w:bottom w:val="single" w:sz="8" w:space="0" w:color="BFBFBF"/>
              <w:right w:val="single" w:sz="4" w:space="0" w:color="BFBFBF"/>
            </w:tcBorders>
            <w:shd w:val="clear" w:color="auto" w:fill="D9D9D9" w:themeFill="background1" w:themeFillShade="D9"/>
          </w:tcPr>
          <w:p w14:paraId="097422DC" w14:textId="77777777" w:rsidR="007A1083" w:rsidRPr="007A1083" w:rsidRDefault="007A1083" w:rsidP="00C2412C">
            <w:pPr>
              <w:spacing w:before="60" w:after="60"/>
              <w:rPr>
                <w:rFonts w:cs="Calibri"/>
                <w:sz w:val="14"/>
                <w:szCs w:val="18"/>
                <w:lang w:eastAsia="es-ES"/>
              </w:rPr>
            </w:pPr>
          </w:p>
        </w:tc>
      </w:tr>
      <w:tr w:rsidR="007A1083" w:rsidRPr="007A1083" w14:paraId="21BE891C" w14:textId="77777777" w:rsidTr="00311D68">
        <w:trPr>
          <w:trHeight w:val="960"/>
          <w:jc w:val="center"/>
        </w:trPr>
        <w:tc>
          <w:tcPr>
            <w:tcW w:w="552" w:type="dxa"/>
            <w:tcBorders>
              <w:top w:val="single" w:sz="8" w:space="0" w:color="BFBFBF"/>
              <w:left w:val="single" w:sz="4" w:space="0" w:color="BFBFBF"/>
              <w:bottom w:val="single" w:sz="4" w:space="0" w:color="BFBFBF"/>
              <w:right w:val="single" w:sz="8" w:space="0" w:color="BFBFBF"/>
            </w:tcBorders>
            <w:shd w:val="clear" w:color="auto" w:fill="auto"/>
            <w:hideMark/>
          </w:tcPr>
          <w:p w14:paraId="47A8FF62"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0088</w:t>
            </w:r>
          </w:p>
        </w:tc>
        <w:tc>
          <w:tcPr>
            <w:tcW w:w="1575" w:type="dxa"/>
            <w:tcBorders>
              <w:top w:val="single" w:sz="8" w:space="0" w:color="BFBFBF"/>
              <w:left w:val="single" w:sz="8" w:space="0" w:color="BFBFBF"/>
              <w:bottom w:val="single" w:sz="4" w:space="0" w:color="BFBFBF"/>
              <w:right w:val="single" w:sz="8" w:space="0" w:color="BFBFBF"/>
            </w:tcBorders>
            <w:shd w:val="clear" w:color="000000" w:fill="FFFFFF"/>
            <w:hideMark/>
          </w:tcPr>
          <w:p w14:paraId="395A3894"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Problème d'étanchéité et/ou risque de pollution du sol dans le sous-sol de la Tour.</w:t>
            </w:r>
          </w:p>
        </w:tc>
        <w:tc>
          <w:tcPr>
            <w:tcW w:w="1984" w:type="dxa"/>
            <w:tcBorders>
              <w:top w:val="single" w:sz="8" w:space="0" w:color="BFBFBF"/>
              <w:left w:val="single" w:sz="8" w:space="0" w:color="BFBFBF"/>
              <w:bottom w:val="single" w:sz="4" w:space="0" w:color="BFBFBF"/>
              <w:right w:val="single" w:sz="8" w:space="0" w:color="BFBFBF"/>
            </w:tcBorders>
          </w:tcPr>
          <w:p w14:paraId="553967C5"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Système d'étanchéité ancien et/ou racines des arbres qui se développent.</w:t>
            </w:r>
          </w:p>
        </w:tc>
        <w:tc>
          <w:tcPr>
            <w:tcW w:w="2268" w:type="dxa"/>
            <w:tcBorders>
              <w:top w:val="single" w:sz="8" w:space="0" w:color="BFBFBF"/>
              <w:left w:val="single" w:sz="8" w:space="0" w:color="BFBFBF"/>
              <w:bottom w:val="single" w:sz="4" w:space="0" w:color="BFBFBF"/>
              <w:right w:val="single" w:sz="8" w:space="0" w:color="BFBFBF"/>
            </w:tcBorders>
          </w:tcPr>
          <w:p w14:paraId="164EE0E3"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 xml:space="preserve">Définition du niveau d'impact. </w:t>
            </w:r>
            <w:r w:rsidRPr="007A1083">
              <w:rPr>
                <w:rFonts w:cs="Calibri"/>
                <w:sz w:val="14"/>
                <w:szCs w:val="18"/>
                <w:lang w:eastAsia="es-ES"/>
              </w:rPr>
              <w:br/>
              <w:t>Étude concernant l'état actuel du système d'étanchéité et l'existence d'une pollution du sol.</w:t>
            </w:r>
          </w:p>
        </w:tc>
        <w:tc>
          <w:tcPr>
            <w:tcW w:w="851" w:type="dxa"/>
            <w:tcBorders>
              <w:top w:val="single" w:sz="8" w:space="0" w:color="BFBFBF"/>
              <w:left w:val="single" w:sz="8" w:space="0" w:color="BFBFBF"/>
              <w:bottom w:val="single" w:sz="4" w:space="0" w:color="BFBFBF"/>
              <w:right w:val="single" w:sz="8" w:space="0" w:color="BFBFBF"/>
            </w:tcBorders>
            <w:shd w:val="clear" w:color="auto" w:fill="auto"/>
            <w:hideMark/>
          </w:tcPr>
          <w:p w14:paraId="6B1622A7"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0,50</w:t>
            </w:r>
          </w:p>
        </w:tc>
        <w:tc>
          <w:tcPr>
            <w:tcW w:w="567" w:type="dxa"/>
            <w:tcBorders>
              <w:top w:val="single" w:sz="8" w:space="0" w:color="BFBFBF"/>
              <w:left w:val="single" w:sz="8" w:space="0" w:color="BFBFBF"/>
              <w:bottom w:val="single" w:sz="4" w:space="0" w:color="BFBFBF"/>
              <w:right w:val="single" w:sz="8" w:space="0" w:color="BFBFBF"/>
            </w:tcBorders>
            <w:shd w:val="clear" w:color="auto" w:fill="auto"/>
            <w:noWrap/>
            <w:hideMark/>
          </w:tcPr>
          <w:p w14:paraId="4B3C57BB"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0,40</w:t>
            </w:r>
          </w:p>
        </w:tc>
        <w:tc>
          <w:tcPr>
            <w:tcW w:w="859" w:type="dxa"/>
            <w:tcBorders>
              <w:top w:val="single" w:sz="8" w:space="0" w:color="BFBFBF"/>
              <w:left w:val="single" w:sz="8" w:space="0" w:color="BFBFBF"/>
              <w:bottom w:val="single" w:sz="4" w:space="0" w:color="BFBFBF"/>
              <w:right w:val="single" w:sz="8" w:space="0" w:color="BFBFBF"/>
            </w:tcBorders>
            <w:shd w:val="clear" w:color="auto" w:fill="auto"/>
            <w:hideMark/>
          </w:tcPr>
          <w:p w14:paraId="64FE6C89"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502 500</w:t>
            </w:r>
          </w:p>
        </w:tc>
        <w:tc>
          <w:tcPr>
            <w:tcW w:w="2259" w:type="dxa"/>
            <w:tcBorders>
              <w:top w:val="single" w:sz="8" w:space="0" w:color="BFBFBF"/>
              <w:left w:val="single" w:sz="8" w:space="0" w:color="BFBFBF"/>
              <w:bottom w:val="single" w:sz="4" w:space="0" w:color="BFBFBF"/>
              <w:right w:val="single" w:sz="4" w:space="0" w:color="BFBFBF"/>
            </w:tcBorders>
            <w:shd w:val="clear" w:color="000000" w:fill="FFFFFF"/>
          </w:tcPr>
          <w:p w14:paraId="0F96A82D"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Coût moyen pondéré fondé sur le remplacement du système d'étanchéité.</w:t>
            </w:r>
          </w:p>
        </w:tc>
      </w:tr>
      <w:tr w:rsidR="007A1083" w:rsidRPr="007A1083" w14:paraId="689C5880" w14:textId="77777777" w:rsidTr="00311D68">
        <w:trPr>
          <w:trHeight w:val="480"/>
          <w:jc w:val="center"/>
        </w:trPr>
        <w:tc>
          <w:tcPr>
            <w:tcW w:w="552" w:type="dxa"/>
            <w:tcBorders>
              <w:top w:val="single" w:sz="4" w:space="0" w:color="BFBFBF"/>
              <w:left w:val="single" w:sz="4" w:space="0" w:color="BFBFBF"/>
              <w:bottom w:val="single" w:sz="4" w:space="0" w:color="BFBFBF"/>
              <w:right w:val="single" w:sz="8" w:space="0" w:color="BFBFBF"/>
            </w:tcBorders>
            <w:shd w:val="clear" w:color="000000" w:fill="FFFFFF"/>
            <w:hideMark/>
          </w:tcPr>
          <w:p w14:paraId="259ECAF2"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0090</w:t>
            </w:r>
          </w:p>
        </w:tc>
        <w:tc>
          <w:tcPr>
            <w:tcW w:w="1575" w:type="dxa"/>
            <w:tcBorders>
              <w:top w:val="single" w:sz="4" w:space="0" w:color="BFBFBF"/>
              <w:left w:val="single" w:sz="8" w:space="0" w:color="BFBFBF"/>
              <w:bottom w:val="single" w:sz="4" w:space="0" w:color="BFBFBF"/>
              <w:right w:val="single" w:sz="8" w:space="0" w:color="BFBFBF"/>
            </w:tcBorders>
            <w:shd w:val="clear" w:color="auto" w:fill="auto"/>
            <w:hideMark/>
          </w:tcPr>
          <w:p w14:paraId="57DC5C3C"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Possible demande émanant des parties prenantes de l'UIT de modifier le cahier des charges du projet au stade de la conception.</w:t>
            </w:r>
          </w:p>
        </w:tc>
        <w:tc>
          <w:tcPr>
            <w:tcW w:w="1984" w:type="dxa"/>
            <w:tcBorders>
              <w:top w:val="single" w:sz="4" w:space="0" w:color="BFBFBF"/>
              <w:left w:val="single" w:sz="8" w:space="0" w:color="BFBFBF"/>
              <w:bottom w:val="single" w:sz="4" w:space="0" w:color="BFBFBF"/>
              <w:right w:val="single" w:sz="8" w:space="0" w:color="BFBFBF"/>
            </w:tcBorders>
          </w:tcPr>
          <w:p w14:paraId="3BCB5E16"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Réévaluation du cahier des charges initial.</w:t>
            </w:r>
          </w:p>
        </w:tc>
        <w:tc>
          <w:tcPr>
            <w:tcW w:w="2268" w:type="dxa"/>
            <w:tcBorders>
              <w:top w:val="single" w:sz="4" w:space="0" w:color="BFBFBF"/>
              <w:left w:val="single" w:sz="8" w:space="0" w:color="BFBFBF"/>
              <w:bottom w:val="single" w:sz="4" w:space="0" w:color="BFBFBF"/>
              <w:right w:val="single" w:sz="8" w:space="0" w:color="BFBFBF"/>
            </w:tcBorders>
          </w:tcPr>
          <w:p w14:paraId="03E5483D"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Mettre en œuvre les recommandations formulées par l'expert en stratégie pour les espaces de travail (appel d'offres en cours).</w:t>
            </w:r>
          </w:p>
          <w:p w14:paraId="0E110243"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Assurer la liaison avec les parties prenantes internes.</w:t>
            </w:r>
          </w:p>
        </w:tc>
        <w:tc>
          <w:tcPr>
            <w:tcW w:w="851" w:type="dxa"/>
            <w:tcBorders>
              <w:top w:val="single" w:sz="4" w:space="0" w:color="BFBFBF"/>
              <w:left w:val="single" w:sz="8" w:space="0" w:color="BFBFBF"/>
              <w:bottom w:val="single" w:sz="4" w:space="0" w:color="BFBFBF"/>
              <w:right w:val="single" w:sz="8" w:space="0" w:color="BFBFBF"/>
            </w:tcBorders>
            <w:shd w:val="clear" w:color="auto" w:fill="auto"/>
            <w:hideMark/>
          </w:tcPr>
          <w:p w14:paraId="3D907D5C"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0,50</w:t>
            </w:r>
          </w:p>
        </w:tc>
        <w:tc>
          <w:tcPr>
            <w:tcW w:w="567" w:type="dxa"/>
            <w:tcBorders>
              <w:top w:val="single" w:sz="4" w:space="0" w:color="BFBFBF"/>
              <w:left w:val="single" w:sz="8" w:space="0" w:color="BFBFBF"/>
              <w:bottom w:val="single" w:sz="4" w:space="0" w:color="BFBFBF"/>
              <w:right w:val="single" w:sz="8" w:space="0" w:color="BFBFBF"/>
            </w:tcBorders>
            <w:shd w:val="clear" w:color="auto" w:fill="auto"/>
            <w:noWrap/>
            <w:hideMark/>
          </w:tcPr>
          <w:p w14:paraId="6B261506"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0,40</w:t>
            </w:r>
          </w:p>
        </w:tc>
        <w:tc>
          <w:tcPr>
            <w:tcW w:w="859" w:type="dxa"/>
            <w:tcBorders>
              <w:top w:val="single" w:sz="4" w:space="0" w:color="BFBFBF"/>
              <w:left w:val="single" w:sz="8" w:space="0" w:color="BFBFBF"/>
              <w:bottom w:val="single" w:sz="4" w:space="0" w:color="BFBFBF"/>
              <w:right w:val="single" w:sz="8" w:space="0" w:color="BFBFBF"/>
            </w:tcBorders>
            <w:shd w:val="clear" w:color="auto" w:fill="auto"/>
            <w:hideMark/>
          </w:tcPr>
          <w:p w14:paraId="2F0188E2" w14:textId="77777777" w:rsidR="007A1083" w:rsidRPr="007A1083" w:rsidRDefault="007A1083" w:rsidP="00C2412C">
            <w:pPr>
              <w:spacing w:before="60" w:after="60"/>
              <w:jc w:val="center"/>
              <w:rPr>
                <w:rFonts w:cs="Calibri"/>
                <w:sz w:val="14"/>
                <w:szCs w:val="18"/>
                <w:lang w:eastAsia="es-ES"/>
              </w:rPr>
            </w:pPr>
            <w:r w:rsidRPr="007A1083">
              <w:rPr>
                <w:rFonts w:cs="Calibri"/>
                <w:sz w:val="14"/>
                <w:szCs w:val="18"/>
                <w:lang w:eastAsia="es-ES"/>
              </w:rPr>
              <w:t>603 299</w:t>
            </w:r>
          </w:p>
        </w:tc>
        <w:tc>
          <w:tcPr>
            <w:tcW w:w="2259" w:type="dxa"/>
            <w:tcBorders>
              <w:top w:val="single" w:sz="4" w:space="0" w:color="BFBFBF"/>
              <w:left w:val="single" w:sz="8" w:space="0" w:color="BFBFBF"/>
              <w:bottom w:val="single" w:sz="4" w:space="0" w:color="BFBFBF"/>
              <w:right w:val="single" w:sz="4" w:space="0" w:color="BFBFBF"/>
            </w:tcBorders>
            <w:shd w:val="clear" w:color="000000" w:fill="FFFFFF"/>
          </w:tcPr>
          <w:p w14:paraId="68ED09C2" w14:textId="77777777" w:rsidR="007A1083" w:rsidRPr="007A1083" w:rsidRDefault="007A1083" w:rsidP="00C2412C">
            <w:pPr>
              <w:spacing w:before="60" w:after="60"/>
              <w:rPr>
                <w:rFonts w:cs="Calibri"/>
                <w:sz w:val="14"/>
                <w:szCs w:val="18"/>
                <w:lang w:eastAsia="es-ES"/>
              </w:rPr>
            </w:pPr>
            <w:r w:rsidRPr="007A1083">
              <w:rPr>
                <w:rFonts w:cs="Calibri"/>
                <w:sz w:val="14"/>
                <w:szCs w:val="18"/>
                <w:lang w:eastAsia="es-ES"/>
              </w:rPr>
              <w:t>Coût moyen pondéré fondé sur les honoraires du prestataire de services ECPSS et de l'architecte.</w:t>
            </w:r>
          </w:p>
        </w:tc>
      </w:tr>
    </w:tbl>
    <w:p w14:paraId="50FC1E76" w14:textId="77777777" w:rsidR="007A1083" w:rsidRPr="007A1083" w:rsidRDefault="007A1083" w:rsidP="00930348">
      <w:pPr>
        <w:rPr>
          <w:lang w:eastAsia="ja-JP"/>
        </w:rPr>
      </w:pPr>
    </w:p>
    <w:p w14:paraId="73296749" w14:textId="77777777" w:rsidR="007A1083" w:rsidRPr="007A1083" w:rsidRDefault="007A1083" w:rsidP="00930348">
      <w:pPr>
        <w:rPr>
          <w:lang w:eastAsia="ja-JP"/>
        </w:rPr>
        <w:sectPr w:rsidR="007A1083" w:rsidRPr="007A1083" w:rsidSect="008A324B">
          <w:headerReference w:type="default" r:id="rId30"/>
          <w:footerReference w:type="default" r:id="rId31"/>
          <w:footerReference w:type="first" r:id="rId32"/>
          <w:pgSz w:w="11907" w:h="16840" w:code="9"/>
          <w:pgMar w:top="1418" w:right="1134" w:bottom="1418" w:left="1134" w:header="720" w:footer="720" w:gutter="0"/>
          <w:paperSrc w:first="261" w:other="261"/>
          <w:cols w:space="720"/>
          <w:titlePg/>
          <w:docGrid w:linePitch="326"/>
        </w:sectPr>
      </w:pPr>
    </w:p>
    <w:p w14:paraId="166C543B" w14:textId="77777777" w:rsidR="007A1083" w:rsidRPr="007A1083" w:rsidRDefault="007A1083" w:rsidP="00930348">
      <w:pPr>
        <w:spacing w:before="360" w:after="240"/>
        <w:jc w:val="center"/>
        <w:rPr>
          <w:caps/>
          <w:sz w:val="28"/>
        </w:rPr>
      </w:pPr>
      <w:r w:rsidRPr="007A1083">
        <w:rPr>
          <w:caps/>
          <w:sz w:val="28"/>
        </w:rPr>
        <w:lastRenderedPageBreak/>
        <w:t>Annexe B</w:t>
      </w:r>
      <w:bookmarkStart w:id="9" w:name="AnnexeB"/>
      <w:bookmarkEnd w:id="9"/>
    </w:p>
    <w:p w14:paraId="54E826E3" w14:textId="77777777" w:rsidR="007A1083" w:rsidRPr="007A1083" w:rsidRDefault="007A1083" w:rsidP="00930348">
      <w:pPr>
        <w:keepNext/>
        <w:tabs>
          <w:tab w:val="clear" w:pos="567"/>
          <w:tab w:val="clear" w:pos="1134"/>
          <w:tab w:val="clear" w:pos="1701"/>
          <w:tab w:val="clear" w:pos="2268"/>
          <w:tab w:val="clear" w:pos="2835"/>
          <w:tab w:val="left" w:pos="2948"/>
          <w:tab w:val="left" w:pos="4082"/>
        </w:tabs>
        <w:spacing w:before="240" w:after="480"/>
        <w:jc w:val="center"/>
        <w:rPr>
          <w:b/>
        </w:rPr>
      </w:pPr>
      <w:r w:rsidRPr="007A1083">
        <w:rPr>
          <w:b/>
        </w:rPr>
        <w:t>Flux de trésorerie en CHF (septembre 2020)</w:t>
      </w:r>
    </w:p>
    <w:p w14:paraId="6928A8EE" w14:textId="77777777" w:rsidR="007A1083" w:rsidRPr="007A1083" w:rsidRDefault="007A1083" w:rsidP="00930348">
      <w:pPr>
        <w:keepNext/>
        <w:keepLines/>
        <w:spacing w:after="120"/>
        <w:jc w:val="center"/>
      </w:pPr>
      <w:r w:rsidRPr="007A1083">
        <w:object w:dxaOrig="18500" w:dyaOrig="3800" w14:anchorId="11455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25pt;height:136.5pt" o:ole="">
            <v:imagedata r:id="rId33" o:title=""/>
          </v:shape>
          <o:OLEObject Type="Embed" ProgID="Excel.Sheet.12" ShapeID="_x0000_i1025" DrawAspect="Content" ObjectID="_1664190804" r:id="rId34"/>
        </w:object>
      </w:r>
    </w:p>
    <w:p w14:paraId="57E5A3D4" w14:textId="77777777" w:rsidR="007A1083" w:rsidRPr="007A1083" w:rsidRDefault="007A1083" w:rsidP="00930348">
      <w:pPr>
        <w:keepNext/>
        <w:tabs>
          <w:tab w:val="clear" w:pos="567"/>
          <w:tab w:val="clear" w:pos="1134"/>
          <w:tab w:val="clear" w:pos="1701"/>
          <w:tab w:val="clear" w:pos="2268"/>
          <w:tab w:val="clear" w:pos="2835"/>
          <w:tab w:val="left" w:pos="2948"/>
          <w:tab w:val="left" w:pos="4082"/>
        </w:tabs>
        <w:spacing w:before="360" w:after="480"/>
        <w:jc w:val="center"/>
        <w:rPr>
          <w:b/>
          <w:bCs/>
        </w:rPr>
      </w:pPr>
      <w:r w:rsidRPr="007A1083">
        <w:rPr>
          <w:b/>
          <w:bCs/>
        </w:rPr>
        <w:br w:type="page"/>
      </w:r>
    </w:p>
    <w:p w14:paraId="6806C6D0" w14:textId="77777777" w:rsidR="00351F4B" w:rsidRDefault="00351F4B" w:rsidP="00930348">
      <w:pPr>
        <w:keepNext/>
        <w:tabs>
          <w:tab w:val="clear" w:pos="567"/>
          <w:tab w:val="clear" w:pos="1134"/>
          <w:tab w:val="clear" w:pos="1701"/>
          <w:tab w:val="clear" w:pos="2268"/>
          <w:tab w:val="clear" w:pos="2835"/>
          <w:tab w:val="left" w:pos="2948"/>
          <w:tab w:val="left" w:pos="4082"/>
        </w:tabs>
        <w:jc w:val="center"/>
        <w:rPr>
          <w:b/>
          <w:bCs/>
        </w:rPr>
      </w:pPr>
    </w:p>
    <w:p w14:paraId="1FCACF0A" w14:textId="6B4242BA" w:rsidR="007A1083" w:rsidRPr="007A1083" w:rsidRDefault="007A1083" w:rsidP="00930348">
      <w:pPr>
        <w:keepNext/>
        <w:tabs>
          <w:tab w:val="clear" w:pos="567"/>
          <w:tab w:val="clear" w:pos="1134"/>
          <w:tab w:val="clear" w:pos="1701"/>
          <w:tab w:val="clear" w:pos="2268"/>
          <w:tab w:val="clear" w:pos="2835"/>
          <w:tab w:val="left" w:pos="2948"/>
          <w:tab w:val="left" w:pos="4082"/>
        </w:tabs>
        <w:spacing w:before="240" w:after="480"/>
        <w:jc w:val="center"/>
        <w:rPr>
          <w:b/>
          <w:bCs/>
        </w:rPr>
      </w:pPr>
      <w:r w:rsidRPr="007A1083">
        <w:rPr>
          <w:b/>
          <w:bCs/>
        </w:rPr>
        <w:t>Planification financière pour la première tranche du prêt (septembre 2020)</w:t>
      </w:r>
    </w:p>
    <w:p w14:paraId="42757000" w14:textId="77777777" w:rsidR="007A1083" w:rsidRPr="007A1083" w:rsidRDefault="007A1083" w:rsidP="00930348">
      <w:pPr>
        <w:keepNext/>
        <w:keepLines/>
        <w:spacing w:after="120"/>
        <w:jc w:val="center"/>
      </w:pPr>
      <w:r w:rsidRPr="007A1083">
        <w:object w:dxaOrig="16610" w:dyaOrig="7390" w14:anchorId="2D027A80">
          <v:shape id="_x0000_i1026" type="#_x0000_t75" style="width:609.75pt;height:271.5pt" o:ole="">
            <v:imagedata r:id="rId35" o:title=""/>
          </v:shape>
          <o:OLEObject Type="Embed" ProgID="Excel.Sheet.12" ShapeID="_x0000_i1026" DrawAspect="Content" ObjectID="_1664190805" r:id="rId36"/>
        </w:object>
      </w:r>
    </w:p>
    <w:p w14:paraId="2E5680C6" w14:textId="77777777" w:rsidR="007A1083" w:rsidRPr="007A1083" w:rsidRDefault="007A1083" w:rsidP="00930348">
      <w:r w:rsidRPr="007A1083">
        <w:br w:type="page"/>
      </w:r>
    </w:p>
    <w:p w14:paraId="4796FE6D" w14:textId="77777777" w:rsidR="007A1083" w:rsidRPr="007A1083" w:rsidRDefault="007A1083" w:rsidP="00930348">
      <w:pPr>
        <w:spacing w:after="240"/>
        <w:jc w:val="center"/>
        <w:rPr>
          <w:caps/>
          <w:sz w:val="28"/>
        </w:rPr>
      </w:pPr>
      <w:r w:rsidRPr="007A1083">
        <w:rPr>
          <w:caps/>
          <w:sz w:val="28"/>
        </w:rPr>
        <w:lastRenderedPageBreak/>
        <w:t>Annexe C</w:t>
      </w:r>
      <w:bookmarkStart w:id="10" w:name="AnnexeC"/>
      <w:bookmarkEnd w:id="10"/>
    </w:p>
    <w:p w14:paraId="06AB74EA" w14:textId="77777777" w:rsidR="007A1083" w:rsidRPr="007A1083" w:rsidRDefault="007A1083" w:rsidP="00930348">
      <w:pPr>
        <w:spacing w:before="240" w:after="240"/>
        <w:jc w:val="center"/>
        <w:rPr>
          <w:b/>
          <w:sz w:val="28"/>
        </w:rPr>
      </w:pPr>
      <w:r w:rsidRPr="007A1083">
        <w:rPr>
          <w:b/>
          <w:sz w:val="28"/>
        </w:rPr>
        <w:t>Engagements réels par rapport aux engagements prévus</w:t>
      </w:r>
    </w:p>
    <w:bookmarkStart w:id="11" w:name="_MON_1664108834"/>
    <w:bookmarkEnd w:id="11"/>
    <w:p w14:paraId="7AB0FC43" w14:textId="4DBDD9CA" w:rsidR="007A1083" w:rsidRPr="007A1083" w:rsidRDefault="0034288C" w:rsidP="00930348">
      <w:pPr>
        <w:keepNext/>
        <w:keepLines/>
        <w:spacing w:after="120"/>
        <w:jc w:val="center"/>
      </w:pPr>
      <w:r w:rsidRPr="007A1083">
        <w:object w:dxaOrig="19200" w:dyaOrig="7830" w14:anchorId="532245CF">
          <v:shape id="_x0000_i1027" type="#_x0000_t75" style="width:678.75pt;height:275.25pt" o:ole="">
            <v:imagedata r:id="rId37" o:title=""/>
          </v:shape>
          <o:OLEObject Type="Embed" ProgID="Excel.Sheet.12" ShapeID="_x0000_i1027" DrawAspect="Content" ObjectID="_1664190806" r:id="rId38"/>
        </w:object>
      </w:r>
    </w:p>
    <w:p w14:paraId="15C09B6A" w14:textId="3B880E91" w:rsidR="007A1083" w:rsidRPr="00C2412C" w:rsidRDefault="007A1083" w:rsidP="00C2412C">
      <w:pPr>
        <w:spacing w:before="360"/>
        <w:jc w:val="center"/>
      </w:pPr>
      <w:r w:rsidRPr="007A1083">
        <w:t>______________</w:t>
      </w:r>
    </w:p>
    <w:sectPr w:rsidR="007A1083" w:rsidRPr="00C2412C" w:rsidSect="007A1083">
      <w:headerReference w:type="default" r:id="rId39"/>
      <w:footerReference w:type="default" r:id="rId40"/>
      <w:footerReference w:type="first" r:id="rId41"/>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3684F" w14:textId="77777777" w:rsidR="004A32FB" w:rsidRDefault="004A32FB">
      <w:pPr>
        <w:spacing w:before="0"/>
      </w:pPr>
      <w:r>
        <w:separator/>
      </w:r>
    </w:p>
  </w:endnote>
  <w:endnote w:type="continuationSeparator" w:id="0">
    <w:p w14:paraId="37B2EB17" w14:textId="77777777" w:rsidR="004A32FB" w:rsidRDefault="004A32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4965" w14:textId="3C01C965" w:rsidR="007A1083" w:rsidRPr="00064F8C" w:rsidRDefault="00C2412C" w:rsidP="00FF1850">
    <w:pPr>
      <w:pStyle w:val="Footer"/>
      <w:rPr>
        <w:color w:val="D9D9D9" w:themeColor="background1" w:themeShade="D9"/>
      </w:rPr>
    </w:pPr>
    <w:r w:rsidRPr="00064F8C">
      <w:rPr>
        <w:color w:val="D9D9D9" w:themeColor="background1" w:themeShade="D9"/>
      </w:rPr>
      <w:fldChar w:fldCharType="begin"/>
    </w:r>
    <w:r w:rsidRPr="00064F8C">
      <w:rPr>
        <w:color w:val="D9D9D9" w:themeColor="background1" w:themeShade="D9"/>
      </w:rPr>
      <w:instrText xml:space="preserve"> FILENAME \p \* MERGEFORMAT </w:instrText>
    </w:r>
    <w:r w:rsidRPr="00064F8C">
      <w:rPr>
        <w:color w:val="D9D9D9" w:themeColor="background1" w:themeShade="D9"/>
      </w:rPr>
      <w:fldChar w:fldCharType="separate"/>
    </w:r>
    <w:r w:rsidRPr="00064F8C">
      <w:rPr>
        <w:color w:val="D9D9D9" w:themeColor="background1" w:themeShade="D9"/>
      </w:rPr>
      <w:t>P:\FRA\SG\CONSEIL\C20\000\007REV1F.docx</w:t>
    </w:r>
    <w:r w:rsidRPr="00064F8C">
      <w:rPr>
        <w:color w:val="D9D9D9" w:themeColor="background1" w:themeShade="D9"/>
      </w:rPr>
      <w:fldChar w:fldCharType="end"/>
    </w:r>
    <w:r w:rsidR="007A1083" w:rsidRPr="00064F8C">
      <w:rPr>
        <w:color w:val="D9D9D9" w:themeColor="background1" w:themeShade="D9"/>
      </w:rPr>
      <w:t xml:space="preserve"> (477916)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93476" w14:textId="0BFE2C66" w:rsidR="007A1083" w:rsidRPr="00A427A3" w:rsidRDefault="00A427A3" w:rsidP="00A427A3">
    <w:pPr>
      <w:spacing w:after="120"/>
      <w:jc w:val="center"/>
      <w:rPr>
        <w:sz w:val="22"/>
        <w:szCs w:val="22"/>
      </w:rPr>
    </w:pPr>
    <w:r w:rsidRPr="00A427A3">
      <w:rPr>
        <w:sz w:val="22"/>
        <w:szCs w:val="22"/>
      </w:rPr>
      <w:t xml:space="preserve">• </w:t>
    </w:r>
    <w:hyperlink r:id="rId1" w:history="1">
      <w:r w:rsidRPr="00A427A3">
        <w:rPr>
          <w:rStyle w:val="Hyperlink"/>
          <w:sz w:val="22"/>
          <w:szCs w:val="22"/>
        </w:rPr>
        <w:t>http://www.itu.int/council</w:t>
      </w:r>
    </w:hyperlink>
    <w:r w:rsidRPr="00A427A3">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0058" w14:textId="6617E7C1" w:rsidR="00F5358C" w:rsidRPr="00064F8C" w:rsidRDefault="00C2412C" w:rsidP="00FF1850">
    <w:pPr>
      <w:pStyle w:val="Footer"/>
      <w:rPr>
        <w:color w:val="D9D9D9" w:themeColor="background1" w:themeShade="D9"/>
      </w:rPr>
    </w:pPr>
    <w:r w:rsidRPr="00064F8C">
      <w:rPr>
        <w:color w:val="D9D9D9" w:themeColor="background1" w:themeShade="D9"/>
      </w:rPr>
      <w:fldChar w:fldCharType="begin"/>
    </w:r>
    <w:r w:rsidRPr="00064F8C">
      <w:rPr>
        <w:color w:val="D9D9D9" w:themeColor="background1" w:themeShade="D9"/>
      </w:rPr>
      <w:instrText xml:space="preserve"> FILENAME \p \* MERGEFORMAT </w:instrText>
    </w:r>
    <w:r w:rsidRPr="00064F8C">
      <w:rPr>
        <w:color w:val="D9D9D9" w:themeColor="background1" w:themeShade="D9"/>
      </w:rPr>
      <w:fldChar w:fldCharType="separate"/>
    </w:r>
    <w:r w:rsidRPr="00064F8C">
      <w:rPr>
        <w:color w:val="D9D9D9" w:themeColor="background1" w:themeShade="D9"/>
      </w:rPr>
      <w:t>P:\FRA\SG\CONSEIL\C20\000\007REV1F.docx</w:t>
    </w:r>
    <w:r w:rsidRPr="00064F8C">
      <w:rPr>
        <w:color w:val="D9D9D9" w:themeColor="background1" w:themeShade="D9"/>
      </w:rPr>
      <w:fldChar w:fldCharType="end"/>
    </w:r>
    <w:r w:rsidR="00F5358C" w:rsidRPr="00064F8C">
      <w:rPr>
        <w:color w:val="D9D9D9" w:themeColor="background1" w:themeShade="D9"/>
      </w:rPr>
      <w:t xml:space="preserve"> (4</w:t>
    </w:r>
    <w:r w:rsidR="00FF1850" w:rsidRPr="00064F8C">
      <w:rPr>
        <w:color w:val="D9D9D9" w:themeColor="background1" w:themeShade="D9"/>
      </w:rPr>
      <w:t>77916</w:t>
    </w:r>
    <w:r w:rsidR="00F5358C" w:rsidRPr="00064F8C">
      <w:rPr>
        <w:color w:val="D9D9D9" w:themeColor="background1" w:themeShade="D9"/>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E41E" w14:textId="548C4B12" w:rsidR="00FF1850" w:rsidRPr="00FF1850" w:rsidRDefault="00C2412C" w:rsidP="00FF1850">
    <w:pPr>
      <w:pStyle w:val="Footer"/>
    </w:pPr>
    <w:fldSimple w:instr=" FILENAME \p \* MERGEFORMAT ">
      <w:r>
        <w:t>P:\FRA\SG\CONSEIL\C20\000\007REV1F.docx</w:t>
      </w:r>
    </w:fldSimple>
    <w:r w:rsidR="00FF1850" w:rsidRPr="00FF1850">
      <w:t xml:space="preserve"> (4</w:t>
    </w:r>
    <w:r w:rsidR="00FF1850">
      <w:t>77916</w:t>
    </w:r>
    <w:r w:rsidR="00FF1850" w:rsidRPr="00FF185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62178" w14:textId="77777777" w:rsidR="004A32FB" w:rsidRDefault="004A32FB">
      <w:r>
        <w:t>____________________</w:t>
      </w:r>
    </w:p>
  </w:footnote>
  <w:footnote w:type="continuationSeparator" w:id="0">
    <w:p w14:paraId="4D05B9B1" w14:textId="77777777" w:rsidR="004A32FB" w:rsidRDefault="004A32FB">
      <w:r>
        <w:continuationSeparator/>
      </w:r>
    </w:p>
  </w:footnote>
  <w:footnote w:id="1">
    <w:p w14:paraId="4902E5DB" w14:textId="674EEB01" w:rsidR="006E0B6F" w:rsidRPr="006E0B6F" w:rsidRDefault="006E0B6F" w:rsidP="00C624DD">
      <w:pPr>
        <w:pStyle w:val="FootnoteText"/>
        <w:rPr>
          <w:lang w:val="fr-CH"/>
        </w:rPr>
      </w:pPr>
      <w:r>
        <w:rPr>
          <w:rStyle w:val="FootnoteReference"/>
        </w:rPr>
        <w:footnoteRef/>
      </w:r>
      <w:r>
        <w:tab/>
      </w:r>
      <w:r w:rsidR="00C624DD" w:rsidRPr="00064F8C">
        <w:rPr>
          <w:sz w:val="20"/>
        </w:rPr>
        <w:t>L'analyse de valeur vise à promouvoir le remplacement des matériels et des méthodes par d'autres options moins coûteuses, sans compromettre leur caractère fonctionnel.</w:t>
      </w:r>
    </w:p>
  </w:footnote>
  <w:footnote w:id="2">
    <w:p w14:paraId="10128856" w14:textId="2FF5F48A" w:rsidR="0059066A" w:rsidRPr="0059066A" w:rsidRDefault="0059066A">
      <w:pPr>
        <w:pStyle w:val="FootnoteText"/>
        <w:rPr>
          <w:lang w:val="fr-CH"/>
        </w:rPr>
      </w:pPr>
      <w:r>
        <w:rPr>
          <w:rStyle w:val="FootnoteReference"/>
        </w:rPr>
        <w:footnoteRef/>
      </w:r>
      <w:r>
        <w:tab/>
      </w:r>
      <w:r w:rsidR="00990FE1" w:rsidRPr="00064F8C">
        <w:rPr>
          <w:sz w:val="20"/>
        </w:rPr>
        <w:t xml:space="preserve">Déclaration du Groupe </w:t>
      </w:r>
      <w:r w:rsidRPr="00064F8C">
        <w:rPr>
          <w:sz w:val="20"/>
          <w:lang w:val="fr-CH"/>
        </w:rPr>
        <w:t xml:space="preserve">MSAG </w:t>
      </w:r>
      <w:r w:rsidR="00990FE1" w:rsidRPr="00064F8C">
        <w:rPr>
          <w:sz w:val="20"/>
          <w:lang w:val="fr-CH"/>
        </w:rPr>
        <w:t>disponible dans le</w:t>
      </w:r>
      <w:r w:rsidRPr="00064F8C">
        <w:rPr>
          <w:sz w:val="20"/>
          <w:lang w:val="fr-CH"/>
        </w:rPr>
        <w:t xml:space="preserve"> Document </w:t>
      </w:r>
      <w:hyperlink r:id="rId1" w:history="1">
        <w:r w:rsidRPr="00064F8C">
          <w:rPr>
            <w:rStyle w:val="Hyperlink"/>
            <w:sz w:val="20"/>
            <w:lang w:val="fr-CH"/>
          </w:rPr>
          <w:t>C20/48(Rév.1)</w:t>
        </w:r>
      </w:hyperlink>
      <w:r w:rsidRPr="00064F8C">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D584" w14:textId="77777777" w:rsidR="007A1083" w:rsidRDefault="007A1083" w:rsidP="00475FB3">
    <w:pPr>
      <w:pStyle w:val="Header"/>
    </w:pPr>
    <w:r>
      <w:fldChar w:fldCharType="begin"/>
    </w:r>
    <w:r>
      <w:instrText>PAGE</w:instrText>
    </w:r>
    <w:r>
      <w:fldChar w:fldCharType="separate"/>
    </w:r>
    <w:r>
      <w:rPr>
        <w:noProof/>
      </w:rPr>
      <w:t>2</w:t>
    </w:r>
    <w:r>
      <w:rPr>
        <w:noProof/>
      </w:rPr>
      <w:fldChar w:fldCharType="end"/>
    </w:r>
  </w:p>
  <w:p w14:paraId="462F1B5E" w14:textId="77777777" w:rsidR="007A1083" w:rsidRDefault="007A1083" w:rsidP="00106B19">
    <w:pPr>
      <w:pStyle w:val="Header"/>
    </w:pPr>
    <w:r w:rsidRPr="00946460">
      <w:t>C20/7</w:t>
    </w:r>
    <w:r>
      <w:t>(Rév.1)</w:t>
    </w:r>
    <w:r w:rsidRPr="00946460">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217C9" w14:textId="77777777" w:rsidR="00F5358C" w:rsidRDefault="00F5358C" w:rsidP="00475FB3">
    <w:pPr>
      <w:pStyle w:val="Header"/>
    </w:pPr>
    <w:r>
      <w:fldChar w:fldCharType="begin"/>
    </w:r>
    <w:r>
      <w:instrText>PAGE</w:instrText>
    </w:r>
    <w:r>
      <w:fldChar w:fldCharType="separate"/>
    </w:r>
    <w:r>
      <w:rPr>
        <w:noProof/>
      </w:rPr>
      <w:t>2</w:t>
    </w:r>
    <w:r>
      <w:rPr>
        <w:noProof/>
      </w:rPr>
      <w:fldChar w:fldCharType="end"/>
    </w:r>
  </w:p>
  <w:p w14:paraId="0CC74D32" w14:textId="5D999A45" w:rsidR="00F5358C" w:rsidRDefault="00F5358C" w:rsidP="00106B19">
    <w:pPr>
      <w:pStyle w:val="Header"/>
    </w:pPr>
    <w:bookmarkStart w:id="12" w:name="lt_pId280"/>
    <w:r w:rsidRPr="00946460">
      <w:t>C20/7</w:t>
    </w:r>
    <w:r w:rsidR="00FF1850">
      <w:t>(Rév.1)</w:t>
    </w:r>
    <w:r w:rsidRPr="00946460">
      <w:t>-F</w:t>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4FEA67"/>
    <w:multiLevelType w:val="hybridMultilevel"/>
    <w:tmpl w:val="2242687A"/>
    <w:lvl w:ilvl="0" w:tplc="9BAEEEF0">
      <w:start w:val="1"/>
      <w:numFmt w:val="ideographDigital"/>
      <w:lvlText w:val=""/>
      <w:lvlJc w:val="left"/>
    </w:lvl>
    <w:lvl w:ilvl="1" w:tplc="06C61302">
      <w:numFmt w:val="decimal"/>
      <w:lvlText w:val=""/>
      <w:lvlJc w:val="left"/>
    </w:lvl>
    <w:lvl w:ilvl="2" w:tplc="AACE4D9C">
      <w:numFmt w:val="decimal"/>
      <w:lvlText w:val=""/>
      <w:lvlJc w:val="left"/>
    </w:lvl>
    <w:lvl w:ilvl="3" w:tplc="B37420FE">
      <w:numFmt w:val="decimal"/>
      <w:lvlText w:val=""/>
      <w:lvlJc w:val="left"/>
    </w:lvl>
    <w:lvl w:ilvl="4" w:tplc="08C6176C">
      <w:numFmt w:val="decimal"/>
      <w:lvlText w:val=""/>
      <w:lvlJc w:val="left"/>
    </w:lvl>
    <w:lvl w:ilvl="5" w:tplc="E20C8776">
      <w:numFmt w:val="decimal"/>
      <w:lvlText w:val=""/>
      <w:lvlJc w:val="left"/>
    </w:lvl>
    <w:lvl w:ilvl="6" w:tplc="5C360250">
      <w:numFmt w:val="decimal"/>
      <w:lvlText w:val=""/>
      <w:lvlJc w:val="left"/>
    </w:lvl>
    <w:lvl w:ilvl="7" w:tplc="2BAA6C44">
      <w:numFmt w:val="decimal"/>
      <w:lvlText w:val=""/>
      <w:lvlJc w:val="left"/>
    </w:lvl>
    <w:lvl w:ilvl="8" w:tplc="01D6DE44">
      <w:numFmt w:val="decimal"/>
      <w:lvlText w:val=""/>
      <w:lvlJc w:val="left"/>
    </w:lvl>
  </w:abstractNum>
  <w:abstractNum w:abstractNumId="1" w15:restartNumberingAfterBreak="0">
    <w:nsid w:val="1F536C60"/>
    <w:multiLevelType w:val="hybridMultilevel"/>
    <w:tmpl w:val="5A387F8E"/>
    <w:lvl w:ilvl="0" w:tplc="111A7864">
      <w:numFmt w:val="bullet"/>
      <w:lvlText w:val="-"/>
      <w:lvlJc w:val="left"/>
      <w:pPr>
        <w:ind w:left="1069" w:hanging="360"/>
      </w:pPr>
      <w:rPr>
        <w:rFonts w:ascii="Calibri" w:eastAsia="SimSun" w:hAnsi="Calibri" w:cs="Calibri" w:hint="default"/>
      </w:rPr>
    </w:lvl>
    <w:lvl w:ilvl="1" w:tplc="32E6063E">
      <w:start w:val="1"/>
      <w:numFmt w:val="bullet"/>
      <w:lvlText w:val=""/>
      <w:lvlJc w:val="left"/>
      <w:pPr>
        <w:ind w:left="1789" w:hanging="360"/>
      </w:pPr>
      <w:rPr>
        <w:rFonts w:ascii="Symbol" w:hAnsi="Symbol" w:hint="default"/>
      </w:rPr>
    </w:lvl>
    <w:lvl w:ilvl="2" w:tplc="E404EAA4" w:tentative="1">
      <w:start w:val="1"/>
      <w:numFmt w:val="bullet"/>
      <w:lvlText w:val=""/>
      <w:lvlJc w:val="left"/>
      <w:pPr>
        <w:ind w:left="2509" w:hanging="360"/>
      </w:pPr>
      <w:rPr>
        <w:rFonts w:ascii="Wingdings" w:hAnsi="Wingdings" w:hint="default"/>
      </w:rPr>
    </w:lvl>
    <w:lvl w:ilvl="3" w:tplc="304EA1D8" w:tentative="1">
      <w:start w:val="1"/>
      <w:numFmt w:val="bullet"/>
      <w:lvlText w:val=""/>
      <w:lvlJc w:val="left"/>
      <w:pPr>
        <w:ind w:left="3229" w:hanging="360"/>
      </w:pPr>
      <w:rPr>
        <w:rFonts w:ascii="Symbol" w:hAnsi="Symbol" w:hint="default"/>
      </w:rPr>
    </w:lvl>
    <w:lvl w:ilvl="4" w:tplc="65BC596A" w:tentative="1">
      <w:start w:val="1"/>
      <w:numFmt w:val="bullet"/>
      <w:lvlText w:val="o"/>
      <w:lvlJc w:val="left"/>
      <w:pPr>
        <w:ind w:left="3949" w:hanging="360"/>
      </w:pPr>
      <w:rPr>
        <w:rFonts w:ascii="Courier New" w:hAnsi="Courier New" w:cs="Courier New" w:hint="default"/>
      </w:rPr>
    </w:lvl>
    <w:lvl w:ilvl="5" w:tplc="BB7E3FB4" w:tentative="1">
      <w:start w:val="1"/>
      <w:numFmt w:val="bullet"/>
      <w:lvlText w:val=""/>
      <w:lvlJc w:val="left"/>
      <w:pPr>
        <w:ind w:left="4669" w:hanging="360"/>
      </w:pPr>
      <w:rPr>
        <w:rFonts w:ascii="Wingdings" w:hAnsi="Wingdings" w:hint="default"/>
      </w:rPr>
    </w:lvl>
    <w:lvl w:ilvl="6" w:tplc="4CF6CEBC" w:tentative="1">
      <w:start w:val="1"/>
      <w:numFmt w:val="bullet"/>
      <w:lvlText w:val=""/>
      <w:lvlJc w:val="left"/>
      <w:pPr>
        <w:ind w:left="5389" w:hanging="360"/>
      </w:pPr>
      <w:rPr>
        <w:rFonts w:ascii="Symbol" w:hAnsi="Symbol" w:hint="default"/>
      </w:rPr>
    </w:lvl>
    <w:lvl w:ilvl="7" w:tplc="935810DE" w:tentative="1">
      <w:start w:val="1"/>
      <w:numFmt w:val="bullet"/>
      <w:lvlText w:val="o"/>
      <w:lvlJc w:val="left"/>
      <w:pPr>
        <w:ind w:left="6109" w:hanging="360"/>
      </w:pPr>
      <w:rPr>
        <w:rFonts w:ascii="Courier New" w:hAnsi="Courier New" w:cs="Courier New" w:hint="default"/>
      </w:rPr>
    </w:lvl>
    <w:lvl w:ilvl="8" w:tplc="565A23C6" w:tentative="1">
      <w:start w:val="1"/>
      <w:numFmt w:val="bullet"/>
      <w:lvlText w:val=""/>
      <w:lvlJc w:val="left"/>
      <w:pPr>
        <w:ind w:left="6829" w:hanging="360"/>
      </w:pPr>
      <w:rPr>
        <w:rFonts w:ascii="Wingdings" w:hAnsi="Wingdings" w:hint="default"/>
      </w:rPr>
    </w:lvl>
  </w:abstractNum>
  <w:abstractNum w:abstractNumId="2" w15:restartNumberingAfterBreak="0">
    <w:nsid w:val="327C7A03"/>
    <w:multiLevelType w:val="hybridMultilevel"/>
    <w:tmpl w:val="30D48D94"/>
    <w:lvl w:ilvl="0" w:tplc="5100D286">
      <w:start w:val="1"/>
      <w:numFmt w:val="bullet"/>
      <w:lvlText w:val=""/>
      <w:lvlJc w:val="left"/>
      <w:pPr>
        <w:ind w:left="720" w:hanging="360"/>
      </w:pPr>
      <w:rPr>
        <w:rFonts w:ascii="Symbol" w:hAnsi="Symbol" w:hint="default"/>
      </w:rPr>
    </w:lvl>
    <w:lvl w:ilvl="1" w:tplc="02BE709C">
      <w:start w:val="1"/>
      <w:numFmt w:val="bullet"/>
      <w:lvlText w:val="o"/>
      <w:lvlJc w:val="left"/>
      <w:pPr>
        <w:ind w:left="1440" w:hanging="360"/>
      </w:pPr>
      <w:rPr>
        <w:rFonts w:ascii="Courier New" w:hAnsi="Courier New" w:cs="Courier New" w:hint="default"/>
      </w:rPr>
    </w:lvl>
    <w:lvl w:ilvl="2" w:tplc="B4E2CF10">
      <w:start w:val="1"/>
      <w:numFmt w:val="bullet"/>
      <w:lvlText w:val=""/>
      <w:lvlJc w:val="left"/>
      <w:pPr>
        <w:ind w:left="2160" w:hanging="360"/>
      </w:pPr>
      <w:rPr>
        <w:rFonts w:ascii="Wingdings" w:hAnsi="Wingdings" w:hint="default"/>
      </w:rPr>
    </w:lvl>
    <w:lvl w:ilvl="3" w:tplc="4D8A3EEC">
      <w:start w:val="1"/>
      <w:numFmt w:val="bullet"/>
      <w:lvlText w:val=""/>
      <w:lvlJc w:val="left"/>
      <w:pPr>
        <w:ind w:left="2880" w:hanging="360"/>
      </w:pPr>
      <w:rPr>
        <w:rFonts w:ascii="Symbol" w:hAnsi="Symbol" w:hint="default"/>
      </w:rPr>
    </w:lvl>
    <w:lvl w:ilvl="4" w:tplc="52166904">
      <w:start w:val="1"/>
      <w:numFmt w:val="bullet"/>
      <w:lvlText w:val="o"/>
      <w:lvlJc w:val="left"/>
      <w:pPr>
        <w:ind w:left="3600" w:hanging="360"/>
      </w:pPr>
      <w:rPr>
        <w:rFonts w:ascii="Courier New" w:hAnsi="Courier New" w:cs="Courier New" w:hint="default"/>
      </w:rPr>
    </w:lvl>
    <w:lvl w:ilvl="5" w:tplc="319EC21A">
      <w:start w:val="1"/>
      <w:numFmt w:val="bullet"/>
      <w:lvlText w:val=""/>
      <w:lvlJc w:val="left"/>
      <w:pPr>
        <w:ind w:left="4320" w:hanging="360"/>
      </w:pPr>
      <w:rPr>
        <w:rFonts w:ascii="Wingdings" w:hAnsi="Wingdings" w:hint="default"/>
      </w:rPr>
    </w:lvl>
    <w:lvl w:ilvl="6" w:tplc="0F546C2C">
      <w:start w:val="1"/>
      <w:numFmt w:val="bullet"/>
      <w:lvlText w:val=""/>
      <w:lvlJc w:val="left"/>
      <w:pPr>
        <w:ind w:left="5040" w:hanging="360"/>
      </w:pPr>
      <w:rPr>
        <w:rFonts w:ascii="Symbol" w:hAnsi="Symbol" w:hint="default"/>
      </w:rPr>
    </w:lvl>
    <w:lvl w:ilvl="7" w:tplc="6D7822FC">
      <w:start w:val="1"/>
      <w:numFmt w:val="bullet"/>
      <w:lvlText w:val="o"/>
      <w:lvlJc w:val="left"/>
      <w:pPr>
        <w:ind w:left="5760" w:hanging="360"/>
      </w:pPr>
      <w:rPr>
        <w:rFonts w:ascii="Courier New" w:hAnsi="Courier New" w:cs="Courier New" w:hint="default"/>
      </w:rPr>
    </w:lvl>
    <w:lvl w:ilvl="8" w:tplc="794268BC">
      <w:start w:val="1"/>
      <w:numFmt w:val="bullet"/>
      <w:lvlText w:val=""/>
      <w:lvlJc w:val="left"/>
      <w:pPr>
        <w:ind w:left="6480" w:hanging="360"/>
      </w:pPr>
      <w:rPr>
        <w:rFonts w:ascii="Wingdings" w:hAnsi="Wingdings" w:hint="default"/>
      </w:rPr>
    </w:lvl>
  </w:abstractNum>
  <w:abstractNum w:abstractNumId="3" w15:restartNumberingAfterBreak="0">
    <w:nsid w:val="337C6677"/>
    <w:multiLevelType w:val="hybridMultilevel"/>
    <w:tmpl w:val="84C059B8"/>
    <w:lvl w:ilvl="0" w:tplc="928219AE">
      <w:start w:val="1"/>
      <w:numFmt w:val="bullet"/>
      <w:lvlText w:val=""/>
      <w:lvlJc w:val="left"/>
      <w:pPr>
        <w:ind w:left="720" w:hanging="360"/>
      </w:pPr>
      <w:rPr>
        <w:rFonts w:ascii="Symbol" w:hAnsi="Symbol" w:hint="default"/>
      </w:rPr>
    </w:lvl>
    <w:lvl w:ilvl="1" w:tplc="A5CACF04" w:tentative="1">
      <w:start w:val="1"/>
      <w:numFmt w:val="bullet"/>
      <w:lvlText w:val="o"/>
      <w:lvlJc w:val="left"/>
      <w:pPr>
        <w:ind w:left="1440" w:hanging="360"/>
      </w:pPr>
      <w:rPr>
        <w:rFonts w:ascii="Courier New" w:hAnsi="Courier New" w:cs="Courier New" w:hint="default"/>
      </w:rPr>
    </w:lvl>
    <w:lvl w:ilvl="2" w:tplc="76CA890E" w:tentative="1">
      <w:start w:val="1"/>
      <w:numFmt w:val="bullet"/>
      <w:lvlText w:val=""/>
      <w:lvlJc w:val="left"/>
      <w:pPr>
        <w:ind w:left="2160" w:hanging="360"/>
      </w:pPr>
      <w:rPr>
        <w:rFonts w:ascii="Wingdings" w:hAnsi="Wingdings" w:hint="default"/>
      </w:rPr>
    </w:lvl>
    <w:lvl w:ilvl="3" w:tplc="6F0C8422" w:tentative="1">
      <w:start w:val="1"/>
      <w:numFmt w:val="bullet"/>
      <w:lvlText w:val=""/>
      <w:lvlJc w:val="left"/>
      <w:pPr>
        <w:ind w:left="2880" w:hanging="360"/>
      </w:pPr>
      <w:rPr>
        <w:rFonts w:ascii="Symbol" w:hAnsi="Symbol" w:hint="default"/>
      </w:rPr>
    </w:lvl>
    <w:lvl w:ilvl="4" w:tplc="8E32A564" w:tentative="1">
      <w:start w:val="1"/>
      <w:numFmt w:val="bullet"/>
      <w:lvlText w:val="o"/>
      <w:lvlJc w:val="left"/>
      <w:pPr>
        <w:ind w:left="3600" w:hanging="360"/>
      </w:pPr>
      <w:rPr>
        <w:rFonts w:ascii="Courier New" w:hAnsi="Courier New" w:cs="Courier New" w:hint="default"/>
      </w:rPr>
    </w:lvl>
    <w:lvl w:ilvl="5" w:tplc="9970E628" w:tentative="1">
      <w:start w:val="1"/>
      <w:numFmt w:val="bullet"/>
      <w:lvlText w:val=""/>
      <w:lvlJc w:val="left"/>
      <w:pPr>
        <w:ind w:left="4320" w:hanging="360"/>
      </w:pPr>
      <w:rPr>
        <w:rFonts w:ascii="Wingdings" w:hAnsi="Wingdings" w:hint="default"/>
      </w:rPr>
    </w:lvl>
    <w:lvl w:ilvl="6" w:tplc="509AB064" w:tentative="1">
      <w:start w:val="1"/>
      <w:numFmt w:val="bullet"/>
      <w:lvlText w:val=""/>
      <w:lvlJc w:val="left"/>
      <w:pPr>
        <w:ind w:left="5040" w:hanging="360"/>
      </w:pPr>
      <w:rPr>
        <w:rFonts w:ascii="Symbol" w:hAnsi="Symbol" w:hint="default"/>
      </w:rPr>
    </w:lvl>
    <w:lvl w:ilvl="7" w:tplc="663C85F6" w:tentative="1">
      <w:start w:val="1"/>
      <w:numFmt w:val="bullet"/>
      <w:lvlText w:val="o"/>
      <w:lvlJc w:val="left"/>
      <w:pPr>
        <w:ind w:left="5760" w:hanging="360"/>
      </w:pPr>
      <w:rPr>
        <w:rFonts w:ascii="Courier New" w:hAnsi="Courier New" w:cs="Courier New" w:hint="default"/>
      </w:rPr>
    </w:lvl>
    <w:lvl w:ilvl="8" w:tplc="C7AE1B50" w:tentative="1">
      <w:start w:val="1"/>
      <w:numFmt w:val="bullet"/>
      <w:lvlText w:val=""/>
      <w:lvlJc w:val="left"/>
      <w:pPr>
        <w:ind w:left="6480" w:hanging="360"/>
      </w:pPr>
      <w:rPr>
        <w:rFonts w:ascii="Wingdings" w:hAnsi="Wingdings" w:hint="default"/>
      </w:rPr>
    </w:lvl>
  </w:abstractNum>
  <w:abstractNum w:abstractNumId="4" w15:restartNumberingAfterBreak="0">
    <w:nsid w:val="35D456B4"/>
    <w:multiLevelType w:val="hybridMultilevel"/>
    <w:tmpl w:val="DDACB454"/>
    <w:lvl w:ilvl="0" w:tplc="FC026F9E">
      <w:start w:val="1"/>
      <w:numFmt w:val="bullet"/>
      <w:lvlText w:val=""/>
      <w:lvlJc w:val="left"/>
      <w:pPr>
        <w:ind w:left="720" w:hanging="360"/>
      </w:pPr>
      <w:rPr>
        <w:rFonts w:ascii="Symbol" w:hAnsi="Symbol" w:cs="Symbol" w:hint="default"/>
      </w:rPr>
    </w:lvl>
    <w:lvl w:ilvl="1" w:tplc="9FF88D68" w:tentative="1">
      <w:start w:val="1"/>
      <w:numFmt w:val="bullet"/>
      <w:lvlText w:val="o"/>
      <w:lvlJc w:val="left"/>
      <w:pPr>
        <w:ind w:left="1440" w:hanging="360"/>
      </w:pPr>
      <w:rPr>
        <w:rFonts w:ascii="Courier New" w:hAnsi="Courier New" w:cs="Courier New" w:hint="default"/>
      </w:rPr>
    </w:lvl>
    <w:lvl w:ilvl="2" w:tplc="6798BD8A" w:tentative="1">
      <w:start w:val="1"/>
      <w:numFmt w:val="bullet"/>
      <w:lvlText w:val=""/>
      <w:lvlJc w:val="left"/>
      <w:pPr>
        <w:ind w:left="2160" w:hanging="360"/>
      </w:pPr>
      <w:rPr>
        <w:rFonts w:ascii="Wingdings" w:hAnsi="Wingdings" w:cs="Wingdings" w:hint="default"/>
      </w:rPr>
    </w:lvl>
    <w:lvl w:ilvl="3" w:tplc="FFEA4A16" w:tentative="1">
      <w:start w:val="1"/>
      <w:numFmt w:val="bullet"/>
      <w:lvlText w:val=""/>
      <w:lvlJc w:val="left"/>
      <w:pPr>
        <w:ind w:left="2880" w:hanging="360"/>
      </w:pPr>
      <w:rPr>
        <w:rFonts w:ascii="Symbol" w:hAnsi="Symbol" w:cs="Symbol" w:hint="default"/>
      </w:rPr>
    </w:lvl>
    <w:lvl w:ilvl="4" w:tplc="B61009DA" w:tentative="1">
      <w:start w:val="1"/>
      <w:numFmt w:val="bullet"/>
      <w:lvlText w:val="o"/>
      <w:lvlJc w:val="left"/>
      <w:pPr>
        <w:ind w:left="3600" w:hanging="360"/>
      </w:pPr>
      <w:rPr>
        <w:rFonts w:ascii="Courier New" w:hAnsi="Courier New" w:cs="Courier New" w:hint="default"/>
      </w:rPr>
    </w:lvl>
    <w:lvl w:ilvl="5" w:tplc="59D48564" w:tentative="1">
      <w:start w:val="1"/>
      <w:numFmt w:val="bullet"/>
      <w:lvlText w:val=""/>
      <w:lvlJc w:val="left"/>
      <w:pPr>
        <w:ind w:left="4320" w:hanging="360"/>
      </w:pPr>
      <w:rPr>
        <w:rFonts w:ascii="Wingdings" w:hAnsi="Wingdings" w:cs="Wingdings" w:hint="default"/>
      </w:rPr>
    </w:lvl>
    <w:lvl w:ilvl="6" w:tplc="F670E9D4" w:tentative="1">
      <w:start w:val="1"/>
      <w:numFmt w:val="bullet"/>
      <w:lvlText w:val=""/>
      <w:lvlJc w:val="left"/>
      <w:pPr>
        <w:ind w:left="5040" w:hanging="360"/>
      </w:pPr>
      <w:rPr>
        <w:rFonts w:ascii="Symbol" w:hAnsi="Symbol" w:cs="Symbol" w:hint="default"/>
      </w:rPr>
    </w:lvl>
    <w:lvl w:ilvl="7" w:tplc="180605F6" w:tentative="1">
      <w:start w:val="1"/>
      <w:numFmt w:val="bullet"/>
      <w:lvlText w:val="o"/>
      <w:lvlJc w:val="left"/>
      <w:pPr>
        <w:ind w:left="5760" w:hanging="360"/>
      </w:pPr>
      <w:rPr>
        <w:rFonts w:ascii="Courier New" w:hAnsi="Courier New" w:cs="Courier New" w:hint="default"/>
      </w:rPr>
    </w:lvl>
    <w:lvl w:ilvl="8" w:tplc="2B001BD4" w:tentative="1">
      <w:start w:val="1"/>
      <w:numFmt w:val="bullet"/>
      <w:lvlText w:val=""/>
      <w:lvlJc w:val="left"/>
      <w:pPr>
        <w:ind w:left="6480" w:hanging="360"/>
      </w:pPr>
      <w:rPr>
        <w:rFonts w:ascii="Wingdings" w:hAnsi="Wingdings" w:cs="Wingdings" w:hint="default"/>
      </w:rPr>
    </w:lvl>
  </w:abstractNum>
  <w:abstractNum w:abstractNumId="5" w15:restartNumberingAfterBreak="0">
    <w:nsid w:val="407336C6"/>
    <w:multiLevelType w:val="hybridMultilevel"/>
    <w:tmpl w:val="F2346D10"/>
    <w:lvl w:ilvl="0" w:tplc="0409000F">
      <w:start w:val="1"/>
      <w:numFmt w:val="decimal"/>
      <w:lvlText w:val="%1."/>
      <w:lvlJc w:val="left"/>
      <w:pPr>
        <w:ind w:left="720" w:hanging="360"/>
      </w:pPr>
    </w:lvl>
    <w:lvl w:ilvl="1" w:tplc="977AD050">
      <w:numFmt w:val="bullet"/>
      <w:lvlText w:val="•"/>
      <w:lvlJc w:val="left"/>
      <w:pPr>
        <w:ind w:left="1650" w:hanging="57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E4A73"/>
    <w:multiLevelType w:val="hybridMultilevel"/>
    <w:tmpl w:val="B01248F4"/>
    <w:lvl w:ilvl="0" w:tplc="AC8C0BBC">
      <w:start w:val="1"/>
      <w:numFmt w:val="bullet"/>
      <w:lvlText w:val=""/>
      <w:lvlJc w:val="left"/>
      <w:pPr>
        <w:ind w:left="720" w:hanging="360"/>
      </w:pPr>
      <w:rPr>
        <w:rFonts w:ascii="Symbol" w:hAnsi="Symbol" w:hint="default"/>
      </w:rPr>
    </w:lvl>
    <w:lvl w:ilvl="1" w:tplc="9FC00E54">
      <w:start w:val="1"/>
      <w:numFmt w:val="bullet"/>
      <w:lvlText w:val="o"/>
      <w:lvlJc w:val="left"/>
      <w:pPr>
        <w:ind w:left="1440" w:hanging="360"/>
      </w:pPr>
      <w:rPr>
        <w:rFonts w:ascii="Courier New" w:hAnsi="Courier New" w:cs="Courier New" w:hint="default"/>
      </w:rPr>
    </w:lvl>
    <w:lvl w:ilvl="2" w:tplc="14F8CEC0">
      <w:start w:val="1"/>
      <w:numFmt w:val="bullet"/>
      <w:lvlText w:val=""/>
      <w:lvlJc w:val="left"/>
      <w:pPr>
        <w:ind w:left="2160" w:hanging="360"/>
      </w:pPr>
      <w:rPr>
        <w:rFonts w:ascii="Wingdings" w:hAnsi="Wingdings" w:hint="default"/>
      </w:rPr>
    </w:lvl>
    <w:lvl w:ilvl="3" w:tplc="3A9E4C8A">
      <w:start w:val="1"/>
      <w:numFmt w:val="bullet"/>
      <w:lvlText w:val=""/>
      <w:lvlJc w:val="left"/>
      <w:pPr>
        <w:ind w:left="2880" w:hanging="360"/>
      </w:pPr>
      <w:rPr>
        <w:rFonts w:ascii="Symbol" w:hAnsi="Symbol" w:hint="default"/>
      </w:rPr>
    </w:lvl>
    <w:lvl w:ilvl="4" w:tplc="AB0211F8">
      <w:start w:val="1"/>
      <w:numFmt w:val="bullet"/>
      <w:lvlText w:val="o"/>
      <w:lvlJc w:val="left"/>
      <w:pPr>
        <w:ind w:left="3600" w:hanging="360"/>
      </w:pPr>
      <w:rPr>
        <w:rFonts w:ascii="Courier New" w:hAnsi="Courier New" w:cs="Courier New" w:hint="default"/>
      </w:rPr>
    </w:lvl>
    <w:lvl w:ilvl="5" w:tplc="B4C22C02">
      <w:start w:val="1"/>
      <w:numFmt w:val="bullet"/>
      <w:lvlText w:val=""/>
      <w:lvlJc w:val="left"/>
      <w:pPr>
        <w:ind w:left="4320" w:hanging="360"/>
      </w:pPr>
      <w:rPr>
        <w:rFonts w:ascii="Wingdings" w:hAnsi="Wingdings" w:hint="default"/>
      </w:rPr>
    </w:lvl>
    <w:lvl w:ilvl="6" w:tplc="964C6472">
      <w:start w:val="1"/>
      <w:numFmt w:val="bullet"/>
      <w:lvlText w:val=""/>
      <w:lvlJc w:val="left"/>
      <w:pPr>
        <w:ind w:left="5040" w:hanging="360"/>
      </w:pPr>
      <w:rPr>
        <w:rFonts w:ascii="Symbol" w:hAnsi="Symbol" w:hint="default"/>
      </w:rPr>
    </w:lvl>
    <w:lvl w:ilvl="7" w:tplc="D8CC8ADE">
      <w:start w:val="1"/>
      <w:numFmt w:val="bullet"/>
      <w:lvlText w:val="o"/>
      <w:lvlJc w:val="left"/>
      <w:pPr>
        <w:ind w:left="5760" w:hanging="360"/>
      </w:pPr>
      <w:rPr>
        <w:rFonts w:ascii="Courier New" w:hAnsi="Courier New" w:cs="Courier New" w:hint="default"/>
      </w:rPr>
    </w:lvl>
    <w:lvl w:ilvl="8" w:tplc="0AE434C2">
      <w:start w:val="1"/>
      <w:numFmt w:val="bullet"/>
      <w:lvlText w:val=""/>
      <w:lvlJc w:val="left"/>
      <w:pPr>
        <w:ind w:left="6480" w:hanging="360"/>
      </w:pPr>
      <w:rPr>
        <w:rFonts w:ascii="Wingdings" w:hAnsi="Wingdings" w:hint="default"/>
      </w:rPr>
    </w:lvl>
  </w:abstractNum>
  <w:abstractNum w:abstractNumId="7" w15:restartNumberingAfterBreak="0">
    <w:nsid w:val="58E20CF5"/>
    <w:multiLevelType w:val="hybridMultilevel"/>
    <w:tmpl w:val="9AD088CC"/>
    <w:lvl w:ilvl="0" w:tplc="7032BDCA">
      <w:start w:val="1"/>
      <w:numFmt w:val="bullet"/>
      <w:lvlText w:val=""/>
      <w:lvlJc w:val="left"/>
      <w:pPr>
        <w:ind w:left="1069" w:hanging="360"/>
      </w:pPr>
      <w:rPr>
        <w:rFonts w:ascii="Symbol" w:hAnsi="Symbol" w:hint="default"/>
      </w:rPr>
    </w:lvl>
    <w:lvl w:ilvl="1" w:tplc="5EEACC78">
      <w:start w:val="1"/>
      <w:numFmt w:val="bullet"/>
      <w:lvlText w:val=""/>
      <w:lvlJc w:val="left"/>
      <w:pPr>
        <w:ind w:left="1789" w:hanging="360"/>
      </w:pPr>
      <w:rPr>
        <w:rFonts w:ascii="Symbol" w:hAnsi="Symbol" w:hint="default"/>
      </w:rPr>
    </w:lvl>
    <w:lvl w:ilvl="2" w:tplc="9A4E3988" w:tentative="1">
      <w:start w:val="1"/>
      <w:numFmt w:val="bullet"/>
      <w:lvlText w:val=""/>
      <w:lvlJc w:val="left"/>
      <w:pPr>
        <w:ind w:left="2509" w:hanging="360"/>
      </w:pPr>
      <w:rPr>
        <w:rFonts w:ascii="Wingdings" w:hAnsi="Wingdings" w:hint="default"/>
      </w:rPr>
    </w:lvl>
    <w:lvl w:ilvl="3" w:tplc="64F21C22" w:tentative="1">
      <w:start w:val="1"/>
      <w:numFmt w:val="bullet"/>
      <w:lvlText w:val=""/>
      <w:lvlJc w:val="left"/>
      <w:pPr>
        <w:ind w:left="3229" w:hanging="360"/>
      </w:pPr>
      <w:rPr>
        <w:rFonts w:ascii="Symbol" w:hAnsi="Symbol" w:hint="default"/>
      </w:rPr>
    </w:lvl>
    <w:lvl w:ilvl="4" w:tplc="AF8C3C1E" w:tentative="1">
      <w:start w:val="1"/>
      <w:numFmt w:val="bullet"/>
      <w:lvlText w:val="o"/>
      <w:lvlJc w:val="left"/>
      <w:pPr>
        <w:ind w:left="3949" w:hanging="360"/>
      </w:pPr>
      <w:rPr>
        <w:rFonts w:ascii="Courier New" w:hAnsi="Courier New" w:cs="Courier New" w:hint="default"/>
      </w:rPr>
    </w:lvl>
    <w:lvl w:ilvl="5" w:tplc="AADC3BD6" w:tentative="1">
      <w:start w:val="1"/>
      <w:numFmt w:val="bullet"/>
      <w:lvlText w:val=""/>
      <w:lvlJc w:val="left"/>
      <w:pPr>
        <w:ind w:left="4669" w:hanging="360"/>
      </w:pPr>
      <w:rPr>
        <w:rFonts w:ascii="Wingdings" w:hAnsi="Wingdings" w:hint="default"/>
      </w:rPr>
    </w:lvl>
    <w:lvl w:ilvl="6" w:tplc="CBE6B5F6" w:tentative="1">
      <w:start w:val="1"/>
      <w:numFmt w:val="bullet"/>
      <w:lvlText w:val=""/>
      <w:lvlJc w:val="left"/>
      <w:pPr>
        <w:ind w:left="5389" w:hanging="360"/>
      </w:pPr>
      <w:rPr>
        <w:rFonts w:ascii="Symbol" w:hAnsi="Symbol" w:hint="default"/>
      </w:rPr>
    </w:lvl>
    <w:lvl w:ilvl="7" w:tplc="405C7CA4" w:tentative="1">
      <w:start w:val="1"/>
      <w:numFmt w:val="bullet"/>
      <w:lvlText w:val="o"/>
      <w:lvlJc w:val="left"/>
      <w:pPr>
        <w:ind w:left="6109" w:hanging="360"/>
      </w:pPr>
      <w:rPr>
        <w:rFonts w:ascii="Courier New" w:hAnsi="Courier New" w:cs="Courier New" w:hint="default"/>
      </w:rPr>
    </w:lvl>
    <w:lvl w:ilvl="8" w:tplc="21D43686" w:tentative="1">
      <w:start w:val="1"/>
      <w:numFmt w:val="bullet"/>
      <w:lvlText w:val=""/>
      <w:lvlJc w:val="left"/>
      <w:pPr>
        <w:ind w:left="6829" w:hanging="360"/>
      </w:pPr>
      <w:rPr>
        <w:rFonts w:ascii="Wingdings" w:hAnsi="Wingdings" w:hint="default"/>
      </w:rPr>
    </w:lvl>
  </w:abstractNum>
  <w:abstractNum w:abstractNumId="8" w15:restartNumberingAfterBreak="0">
    <w:nsid w:val="61751DCE"/>
    <w:multiLevelType w:val="hybridMultilevel"/>
    <w:tmpl w:val="BF5CAA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2994AB7"/>
    <w:multiLevelType w:val="hybridMultilevel"/>
    <w:tmpl w:val="0608C92E"/>
    <w:lvl w:ilvl="0" w:tplc="A03E093C">
      <w:start w:val="5"/>
      <w:numFmt w:val="decimal"/>
      <w:lvlText w:val="%1"/>
      <w:lvlJc w:val="left"/>
      <w:pPr>
        <w:ind w:left="720" w:hanging="360"/>
      </w:pPr>
      <w:rPr>
        <w:rFonts w:hint="default"/>
      </w:rPr>
    </w:lvl>
    <w:lvl w:ilvl="1" w:tplc="993AE088" w:tentative="1">
      <w:start w:val="1"/>
      <w:numFmt w:val="lowerLetter"/>
      <w:lvlText w:val="%2."/>
      <w:lvlJc w:val="left"/>
      <w:pPr>
        <w:ind w:left="1440" w:hanging="360"/>
      </w:pPr>
    </w:lvl>
    <w:lvl w:ilvl="2" w:tplc="5C20914A" w:tentative="1">
      <w:start w:val="1"/>
      <w:numFmt w:val="lowerRoman"/>
      <w:lvlText w:val="%3."/>
      <w:lvlJc w:val="right"/>
      <w:pPr>
        <w:ind w:left="2160" w:hanging="180"/>
      </w:pPr>
    </w:lvl>
    <w:lvl w:ilvl="3" w:tplc="27903726" w:tentative="1">
      <w:start w:val="1"/>
      <w:numFmt w:val="decimal"/>
      <w:lvlText w:val="%4."/>
      <w:lvlJc w:val="left"/>
      <w:pPr>
        <w:ind w:left="2880" w:hanging="360"/>
      </w:pPr>
    </w:lvl>
    <w:lvl w:ilvl="4" w:tplc="FA1A5288" w:tentative="1">
      <w:start w:val="1"/>
      <w:numFmt w:val="lowerLetter"/>
      <w:lvlText w:val="%5."/>
      <w:lvlJc w:val="left"/>
      <w:pPr>
        <w:ind w:left="3600" w:hanging="360"/>
      </w:pPr>
    </w:lvl>
    <w:lvl w:ilvl="5" w:tplc="C054C746" w:tentative="1">
      <w:start w:val="1"/>
      <w:numFmt w:val="lowerRoman"/>
      <w:lvlText w:val="%6."/>
      <w:lvlJc w:val="right"/>
      <w:pPr>
        <w:ind w:left="4320" w:hanging="180"/>
      </w:pPr>
    </w:lvl>
    <w:lvl w:ilvl="6" w:tplc="42AAF160" w:tentative="1">
      <w:start w:val="1"/>
      <w:numFmt w:val="decimal"/>
      <w:lvlText w:val="%7."/>
      <w:lvlJc w:val="left"/>
      <w:pPr>
        <w:ind w:left="5040" w:hanging="360"/>
      </w:pPr>
    </w:lvl>
    <w:lvl w:ilvl="7" w:tplc="8D741634" w:tentative="1">
      <w:start w:val="1"/>
      <w:numFmt w:val="lowerLetter"/>
      <w:lvlText w:val="%8."/>
      <w:lvlJc w:val="left"/>
      <w:pPr>
        <w:ind w:left="5760" w:hanging="360"/>
      </w:pPr>
    </w:lvl>
    <w:lvl w:ilvl="8" w:tplc="38D24F5E" w:tentative="1">
      <w:start w:val="1"/>
      <w:numFmt w:val="lowerRoman"/>
      <w:lvlText w:val="%9."/>
      <w:lvlJc w:val="right"/>
      <w:pPr>
        <w:ind w:left="6480" w:hanging="180"/>
      </w:pPr>
    </w:lvl>
  </w:abstractNum>
  <w:abstractNum w:abstractNumId="10" w15:restartNumberingAfterBreak="0">
    <w:nsid w:val="64FE38B1"/>
    <w:multiLevelType w:val="multilevel"/>
    <w:tmpl w:val="0D70FFFA"/>
    <w:lvl w:ilvl="0">
      <w:start w:val="1"/>
      <w:numFmt w:val="decimal"/>
      <w:lvlText w:val="%1."/>
      <w:lvlJc w:val="left"/>
      <w:pPr>
        <w:ind w:left="360" w:hanging="360"/>
      </w:pPr>
    </w:lvl>
    <w:lvl w:ilvl="1">
      <w:start w:val="2"/>
      <w:numFmt w:val="decimal"/>
      <w:isLgl/>
      <w:lvlText w:val="%1.%2"/>
      <w:lvlJc w:val="left"/>
      <w:pPr>
        <w:ind w:left="708" w:hanging="708"/>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1"/>
  </w:num>
  <w:num w:numId="6">
    <w:abstractNumId w:val="4"/>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819297-FF12-4068-A928-7096FB6FD450}"/>
    <w:docVar w:name="dgnword-eventsink" w:val="1964322207440"/>
  </w:docVars>
  <w:rsids>
    <w:rsidRoot w:val="00D5338D"/>
    <w:rsid w:val="00010C6B"/>
    <w:rsid w:val="00011EA9"/>
    <w:rsid w:val="000128C9"/>
    <w:rsid w:val="00014433"/>
    <w:rsid w:val="00021ECA"/>
    <w:rsid w:val="00023B25"/>
    <w:rsid w:val="0003107C"/>
    <w:rsid w:val="00032755"/>
    <w:rsid w:val="0004676C"/>
    <w:rsid w:val="00046CEA"/>
    <w:rsid w:val="0005473B"/>
    <w:rsid w:val="00057D9D"/>
    <w:rsid w:val="00064F8C"/>
    <w:rsid w:val="00067BDF"/>
    <w:rsid w:val="000805CE"/>
    <w:rsid w:val="000809D7"/>
    <w:rsid w:val="00081937"/>
    <w:rsid w:val="00084835"/>
    <w:rsid w:val="00086D22"/>
    <w:rsid w:val="0008799A"/>
    <w:rsid w:val="000949E9"/>
    <w:rsid w:val="000A6522"/>
    <w:rsid w:val="000B19E5"/>
    <w:rsid w:val="000B28C0"/>
    <w:rsid w:val="000B612D"/>
    <w:rsid w:val="000B675C"/>
    <w:rsid w:val="000C088E"/>
    <w:rsid w:val="000C61B6"/>
    <w:rsid w:val="000D03F0"/>
    <w:rsid w:val="000D0D0A"/>
    <w:rsid w:val="000D1B61"/>
    <w:rsid w:val="000D6241"/>
    <w:rsid w:val="000E0C76"/>
    <w:rsid w:val="000E2D17"/>
    <w:rsid w:val="000E3568"/>
    <w:rsid w:val="000E5D05"/>
    <w:rsid w:val="000E6D41"/>
    <w:rsid w:val="00103163"/>
    <w:rsid w:val="00106B19"/>
    <w:rsid w:val="00115D93"/>
    <w:rsid w:val="00115E9B"/>
    <w:rsid w:val="0011785D"/>
    <w:rsid w:val="001245EC"/>
    <w:rsid w:val="001247A8"/>
    <w:rsid w:val="001319AA"/>
    <w:rsid w:val="001378C0"/>
    <w:rsid w:val="00141258"/>
    <w:rsid w:val="00144B65"/>
    <w:rsid w:val="00152E19"/>
    <w:rsid w:val="00156881"/>
    <w:rsid w:val="001617B1"/>
    <w:rsid w:val="00163C86"/>
    <w:rsid w:val="001730FA"/>
    <w:rsid w:val="00177089"/>
    <w:rsid w:val="0018694A"/>
    <w:rsid w:val="00186AE6"/>
    <w:rsid w:val="00187FBE"/>
    <w:rsid w:val="001A3287"/>
    <w:rsid w:val="001A6508"/>
    <w:rsid w:val="001C13D7"/>
    <w:rsid w:val="001D4766"/>
    <w:rsid w:val="001D4C31"/>
    <w:rsid w:val="001D5972"/>
    <w:rsid w:val="001E4D21"/>
    <w:rsid w:val="001E76FD"/>
    <w:rsid w:val="001E79F8"/>
    <w:rsid w:val="001F2E4C"/>
    <w:rsid w:val="001F3945"/>
    <w:rsid w:val="001F59E9"/>
    <w:rsid w:val="001F6B03"/>
    <w:rsid w:val="001F786D"/>
    <w:rsid w:val="0020000A"/>
    <w:rsid w:val="00202138"/>
    <w:rsid w:val="00207CBD"/>
    <w:rsid w:val="00207CD1"/>
    <w:rsid w:val="0021646D"/>
    <w:rsid w:val="00222F40"/>
    <w:rsid w:val="002268DE"/>
    <w:rsid w:val="0023242D"/>
    <w:rsid w:val="00240A71"/>
    <w:rsid w:val="002477A2"/>
    <w:rsid w:val="0025012F"/>
    <w:rsid w:val="002576C8"/>
    <w:rsid w:val="0025780D"/>
    <w:rsid w:val="0026344B"/>
    <w:rsid w:val="00263A51"/>
    <w:rsid w:val="0026518E"/>
    <w:rsid w:val="00267E02"/>
    <w:rsid w:val="00272C64"/>
    <w:rsid w:val="002735AF"/>
    <w:rsid w:val="0027743F"/>
    <w:rsid w:val="00281859"/>
    <w:rsid w:val="00284497"/>
    <w:rsid w:val="002943E8"/>
    <w:rsid w:val="00297CD8"/>
    <w:rsid w:val="002A2C61"/>
    <w:rsid w:val="002A4A8E"/>
    <w:rsid w:val="002A5D44"/>
    <w:rsid w:val="002B46E2"/>
    <w:rsid w:val="002C4A18"/>
    <w:rsid w:val="002D2450"/>
    <w:rsid w:val="002D2AB2"/>
    <w:rsid w:val="002D3FC8"/>
    <w:rsid w:val="002D5A20"/>
    <w:rsid w:val="002E0BC4"/>
    <w:rsid w:val="002E462C"/>
    <w:rsid w:val="002E5A99"/>
    <w:rsid w:val="002F1B76"/>
    <w:rsid w:val="00302CDB"/>
    <w:rsid w:val="00311821"/>
    <w:rsid w:val="00311D68"/>
    <w:rsid w:val="0031797D"/>
    <w:rsid w:val="0032071E"/>
    <w:rsid w:val="003210F1"/>
    <w:rsid w:val="003225F8"/>
    <w:rsid w:val="003310B3"/>
    <w:rsid w:val="0033568E"/>
    <w:rsid w:val="00335E22"/>
    <w:rsid w:val="00341111"/>
    <w:rsid w:val="0034288C"/>
    <w:rsid w:val="00346939"/>
    <w:rsid w:val="00351F4B"/>
    <w:rsid w:val="003522A6"/>
    <w:rsid w:val="00354C36"/>
    <w:rsid w:val="00355EFF"/>
    <w:rsid w:val="00355FF5"/>
    <w:rsid w:val="003573B5"/>
    <w:rsid w:val="00361350"/>
    <w:rsid w:val="00362DFB"/>
    <w:rsid w:val="003666B1"/>
    <w:rsid w:val="003671CE"/>
    <w:rsid w:val="00367887"/>
    <w:rsid w:val="00371631"/>
    <w:rsid w:val="00377F7F"/>
    <w:rsid w:val="00383103"/>
    <w:rsid w:val="00392A12"/>
    <w:rsid w:val="003944FE"/>
    <w:rsid w:val="003A4EDB"/>
    <w:rsid w:val="003A7132"/>
    <w:rsid w:val="003B3D72"/>
    <w:rsid w:val="003B78DE"/>
    <w:rsid w:val="003C3FAE"/>
    <w:rsid w:val="003D0799"/>
    <w:rsid w:val="003D1255"/>
    <w:rsid w:val="003D5A0B"/>
    <w:rsid w:val="003D74E8"/>
    <w:rsid w:val="003D7AEB"/>
    <w:rsid w:val="003E476B"/>
    <w:rsid w:val="003E67AB"/>
    <w:rsid w:val="003E74F5"/>
    <w:rsid w:val="003F65FF"/>
    <w:rsid w:val="004038CB"/>
    <w:rsid w:val="00404C80"/>
    <w:rsid w:val="0040546F"/>
    <w:rsid w:val="00405493"/>
    <w:rsid w:val="00410029"/>
    <w:rsid w:val="0041528B"/>
    <w:rsid w:val="004155B2"/>
    <w:rsid w:val="0042234B"/>
    <w:rsid w:val="00422D01"/>
    <w:rsid w:val="0042404A"/>
    <w:rsid w:val="004322A8"/>
    <w:rsid w:val="00434F12"/>
    <w:rsid w:val="00434F15"/>
    <w:rsid w:val="00441F7E"/>
    <w:rsid w:val="0044618F"/>
    <w:rsid w:val="00450FB1"/>
    <w:rsid w:val="004523BC"/>
    <w:rsid w:val="00455126"/>
    <w:rsid w:val="00455F68"/>
    <w:rsid w:val="00460475"/>
    <w:rsid w:val="00460C40"/>
    <w:rsid w:val="004645B2"/>
    <w:rsid w:val="00466442"/>
    <w:rsid w:val="00466931"/>
    <w:rsid w:val="0046769A"/>
    <w:rsid w:val="004678B9"/>
    <w:rsid w:val="00470E6E"/>
    <w:rsid w:val="00473C09"/>
    <w:rsid w:val="00475187"/>
    <w:rsid w:val="00475FB3"/>
    <w:rsid w:val="004805BD"/>
    <w:rsid w:val="004827D3"/>
    <w:rsid w:val="00484180"/>
    <w:rsid w:val="00495873"/>
    <w:rsid w:val="004A2E8E"/>
    <w:rsid w:val="004A32FB"/>
    <w:rsid w:val="004A3BDB"/>
    <w:rsid w:val="004C17CC"/>
    <w:rsid w:val="004C19F7"/>
    <w:rsid w:val="004C37A9"/>
    <w:rsid w:val="004D2E40"/>
    <w:rsid w:val="004D2FFB"/>
    <w:rsid w:val="004D5CBA"/>
    <w:rsid w:val="004E3E50"/>
    <w:rsid w:val="004F0023"/>
    <w:rsid w:val="004F259E"/>
    <w:rsid w:val="00500A3B"/>
    <w:rsid w:val="00505B5A"/>
    <w:rsid w:val="005076DE"/>
    <w:rsid w:val="005119F4"/>
    <w:rsid w:val="00511F1D"/>
    <w:rsid w:val="00520F36"/>
    <w:rsid w:val="00521DD2"/>
    <w:rsid w:val="00522FC8"/>
    <w:rsid w:val="00533C6B"/>
    <w:rsid w:val="00540615"/>
    <w:rsid w:val="00540A6D"/>
    <w:rsid w:val="00541572"/>
    <w:rsid w:val="0054386C"/>
    <w:rsid w:val="00546DF1"/>
    <w:rsid w:val="00552A56"/>
    <w:rsid w:val="0056156E"/>
    <w:rsid w:val="00570826"/>
    <w:rsid w:val="00571EEA"/>
    <w:rsid w:val="00574E02"/>
    <w:rsid w:val="00575417"/>
    <w:rsid w:val="005768E1"/>
    <w:rsid w:val="005801F6"/>
    <w:rsid w:val="005805AC"/>
    <w:rsid w:val="005817C5"/>
    <w:rsid w:val="00583E24"/>
    <w:rsid w:val="0058676D"/>
    <w:rsid w:val="005871C1"/>
    <w:rsid w:val="0059066A"/>
    <w:rsid w:val="0059512C"/>
    <w:rsid w:val="005A230D"/>
    <w:rsid w:val="005A7705"/>
    <w:rsid w:val="005B1938"/>
    <w:rsid w:val="005B2B84"/>
    <w:rsid w:val="005B3C85"/>
    <w:rsid w:val="005C0595"/>
    <w:rsid w:val="005C0945"/>
    <w:rsid w:val="005C1837"/>
    <w:rsid w:val="005C1D67"/>
    <w:rsid w:val="005C3890"/>
    <w:rsid w:val="005D5379"/>
    <w:rsid w:val="005E1257"/>
    <w:rsid w:val="005E26AC"/>
    <w:rsid w:val="005E4383"/>
    <w:rsid w:val="005E5920"/>
    <w:rsid w:val="005E65CE"/>
    <w:rsid w:val="005F04C0"/>
    <w:rsid w:val="005F7BFE"/>
    <w:rsid w:val="00600017"/>
    <w:rsid w:val="006000FA"/>
    <w:rsid w:val="00602F88"/>
    <w:rsid w:val="00605572"/>
    <w:rsid w:val="00606DB5"/>
    <w:rsid w:val="00614716"/>
    <w:rsid w:val="0061517C"/>
    <w:rsid w:val="00615A51"/>
    <w:rsid w:val="006161A0"/>
    <w:rsid w:val="006235CA"/>
    <w:rsid w:val="006275C4"/>
    <w:rsid w:val="0063088E"/>
    <w:rsid w:val="006509F4"/>
    <w:rsid w:val="00652C3F"/>
    <w:rsid w:val="00657EBA"/>
    <w:rsid w:val="006643AB"/>
    <w:rsid w:val="00665530"/>
    <w:rsid w:val="006719DF"/>
    <w:rsid w:val="00671F85"/>
    <w:rsid w:val="00672DF2"/>
    <w:rsid w:val="0067691A"/>
    <w:rsid w:val="00684131"/>
    <w:rsid w:val="006940BA"/>
    <w:rsid w:val="0069525E"/>
    <w:rsid w:val="006952DE"/>
    <w:rsid w:val="00696CD0"/>
    <w:rsid w:val="006B15B3"/>
    <w:rsid w:val="006B2675"/>
    <w:rsid w:val="006B302A"/>
    <w:rsid w:val="006C53AE"/>
    <w:rsid w:val="006D00AF"/>
    <w:rsid w:val="006D3610"/>
    <w:rsid w:val="006D3EF5"/>
    <w:rsid w:val="006D7994"/>
    <w:rsid w:val="006E0B6F"/>
    <w:rsid w:val="006F1EF6"/>
    <w:rsid w:val="00701180"/>
    <w:rsid w:val="007210CD"/>
    <w:rsid w:val="00732045"/>
    <w:rsid w:val="007339A0"/>
    <w:rsid w:val="007369DB"/>
    <w:rsid w:val="00742C7A"/>
    <w:rsid w:val="00745A59"/>
    <w:rsid w:val="007510A6"/>
    <w:rsid w:val="007753AC"/>
    <w:rsid w:val="007832DA"/>
    <w:rsid w:val="007842C9"/>
    <w:rsid w:val="00790409"/>
    <w:rsid w:val="00791E54"/>
    <w:rsid w:val="00792556"/>
    <w:rsid w:val="00794832"/>
    <w:rsid w:val="0079500F"/>
    <w:rsid w:val="00795519"/>
    <w:rsid w:val="007956C2"/>
    <w:rsid w:val="007A1083"/>
    <w:rsid w:val="007A187E"/>
    <w:rsid w:val="007A5ACC"/>
    <w:rsid w:val="007B48DF"/>
    <w:rsid w:val="007B4CFF"/>
    <w:rsid w:val="007C0973"/>
    <w:rsid w:val="007C1327"/>
    <w:rsid w:val="007C3D88"/>
    <w:rsid w:val="007C72C2"/>
    <w:rsid w:val="007D28AF"/>
    <w:rsid w:val="007D4436"/>
    <w:rsid w:val="007E01A0"/>
    <w:rsid w:val="007E05CB"/>
    <w:rsid w:val="007E0CBC"/>
    <w:rsid w:val="007E2C52"/>
    <w:rsid w:val="007F257A"/>
    <w:rsid w:val="007F3665"/>
    <w:rsid w:val="00800037"/>
    <w:rsid w:val="008072F4"/>
    <w:rsid w:val="00817E7E"/>
    <w:rsid w:val="00820527"/>
    <w:rsid w:val="00825FED"/>
    <w:rsid w:val="00832E5D"/>
    <w:rsid w:val="0084041B"/>
    <w:rsid w:val="00845A83"/>
    <w:rsid w:val="00850028"/>
    <w:rsid w:val="00854967"/>
    <w:rsid w:val="00861D73"/>
    <w:rsid w:val="008717CD"/>
    <w:rsid w:val="00876FFE"/>
    <w:rsid w:val="00877BEF"/>
    <w:rsid w:val="008819EA"/>
    <w:rsid w:val="00887A3E"/>
    <w:rsid w:val="008911D7"/>
    <w:rsid w:val="00893854"/>
    <w:rsid w:val="00893E01"/>
    <w:rsid w:val="00894FB5"/>
    <w:rsid w:val="008972D8"/>
    <w:rsid w:val="008A066F"/>
    <w:rsid w:val="008A324B"/>
    <w:rsid w:val="008A4E87"/>
    <w:rsid w:val="008A4EF0"/>
    <w:rsid w:val="008B5EF0"/>
    <w:rsid w:val="008C338E"/>
    <w:rsid w:val="008C373B"/>
    <w:rsid w:val="008D4C76"/>
    <w:rsid w:val="008D5FB8"/>
    <w:rsid w:val="008D76E6"/>
    <w:rsid w:val="008D7706"/>
    <w:rsid w:val="008E5A2A"/>
    <w:rsid w:val="008F0F7E"/>
    <w:rsid w:val="008F1C50"/>
    <w:rsid w:val="008F4257"/>
    <w:rsid w:val="008F44DE"/>
    <w:rsid w:val="00903E3B"/>
    <w:rsid w:val="009055B2"/>
    <w:rsid w:val="00905CB5"/>
    <w:rsid w:val="00914362"/>
    <w:rsid w:val="00922DD8"/>
    <w:rsid w:val="0092392D"/>
    <w:rsid w:val="009259C1"/>
    <w:rsid w:val="00927400"/>
    <w:rsid w:val="00930348"/>
    <w:rsid w:val="0093234A"/>
    <w:rsid w:val="00940733"/>
    <w:rsid w:val="00944BC9"/>
    <w:rsid w:val="00946460"/>
    <w:rsid w:val="00964A6F"/>
    <w:rsid w:val="00964C88"/>
    <w:rsid w:val="00973171"/>
    <w:rsid w:val="009823B1"/>
    <w:rsid w:val="00986638"/>
    <w:rsid w:val="00990FE1"/>
    <w:rsid w:val="00993057"/>
    <w:rsid w:val="00995B22"/>
    <w:rsid w:val="009976E6"/>
    <w:rsid w:val="009A7485"/>
    <w:rsid w:val="009B23C4"/>
    <w:rsid w:val="009B44BA"/>
    <w:rsid w:val="009C307F"/>
    <w:rsid w:val="009C353C"/>
    <w:rsid w:val="009C6A0A"/>
    <w:rsid w:val="009D0A7E"/>
    <w:rsid w:val="009D241D"/>
    <w:rsid w:val="009D285C"/>
    <w:rsid w:val="009D2FD9"/>
    <w:rsid w:val="009D52C3"/>
    <w:rsid w:val="009E18ED"/>
    <w:rsid w:val="009E5118"/>
    <w:rsid w:val="009E7378"/>
    <w:rsid w:val="009E75D5"/>
    <w:rsid w:val="009F0499"/>
    <w:rsid w:val="009F49CF"/>
    <w:rsid w:val="00A06D3E"/>
    <w:rsid w:val="00A1355F"/>
    <w:rsid w:val="00A13ED2"/>
    <w:rsid w:val="00A2113E"/>
    <w:rsid w:val="00A23A51"/>
    <w:rsid w:val="00A24607"/>
    <w:rsid w:val="00A25CD3"/>
    <w:rsid w:val="00A324AA"/>
    <w:rsid w:val="00A41A54"/>
    <w:rsid w:val="00A427A3"/>
    <w:rsid w:val="00A45039"/>
    <w:rsid w:val="00A528DB"/>
    <w:rsid w:val="00A5335D"/>
    <w:rsid w:val="00A638EE"/>
    <w:rsid w:val="00A66AED"/>
    <w:rsid w:val="00A66C72"/>
    <w:rsid w:val="00A745BF"/>
    <w:rsid w:val="00A82767"/>
    <w:rsid w:val="00A82D13"/>
    <w:rsid w:val="00A83ED6"/>
    <w:rsid w:val="00A85551"/>
    <w:rsid w:val="00AA332F"/>
    <w:rsid w:val="00AA7BBB"/>
    <w:rsid w:val="00AB64A8"/>
    <w:rsid w:val="00AB77B6"/>
    <w:rsid w:val="00AC0266"/>
    <w:rsid w:val="00AC5D72"/>
    <w:rsid w:val="00AD24EC"/>
    <w:rsid w:val="00AE0413"/>
    <w:rsid w:val="00AE529E"/>
    <w:rsid w:val="00AF5180"/>
    <w:rsid w:val="00AF6734"/>
    <w:rsid w:val="00B00021"/>
    <w:rsid w:val="00B04447"/>
    <w:rsid w:val="00B05522"/>
    <w:rsid w:val="00B05AB1"/>
    <w:rsid w:val="00B13301"/>
    <w:rsid w:val="00B17F93"/>
    <w:rsid w:val="00B309F9"/>
    <w:rsid w:val="00B3249B"/>
    <w:rsid w:val="00B32B60"/>
    <w:rsid w:val="00B33307"/>
    <w:rsid w:val="00B34683"/>
    <w:rsid w:val="00B411A7"/>
    <w:rsid w:val="00B537E8"/>
    <w:rsid w:val="00B61619"/>
    <w:rsid w:val="00B666FA"/>
    <w:rsid w:val="00B775E0"/>
    <w:rsid w:val="00B80F82"/>
    <w:rsid w:val="00B86650"/>
    <w:rsid w:val="00B9425E"/>
    <w:rsid w:val="00B966CA"/>
    <w:rsid w:val="00BA02C7"/>
    <w:rsid w:val="00BA35FE"/>
    <w:rsid w:val="00BA5C90"/>
    <w:rsid w:val="00BB4545"/>
    <w:rsid w:val="00BC01BB"/>
    <w:rsid w:val="00BD0828"/>
    <w:rsid w:val="00BD193A"/>
    <w:rsid w:val="00BD5873"/>
    <w:rsid w:val="00BD7976"/>
    <w:rsid w:val="00BE6EBA"/>
    <w:rsid w:val="00BE7B93"/>
    <w:rsid w:val="00BF10BB"/>
    <w:rsid w:val="00C02BDA"/>
    <w:rsid w:val="00C04BE3"/>
    <w:rsid w:val="00C135C8"/>
    <w:rsid w:val="00C14405"/>
    <w:rsid w:val="00C2412C"/>
    <w:rsid w:val="00C25D29"/>
    <w:rsid w:val="00C25E89"/>
    <w:rsid w:val="00C27A7C"/>
    <w:rsid w:val="00C34116"/>
    <w:rsid w:val="00C356D0"/>
    <w:rsid w:val="00C624DD"/>
    <w:rsid w:val="00C93224"/>
    <w:rsid w:val="00C94046"/>
    <w:rsid w:val="00C9596C"/>
    <w:rsid w:val="00CA05FE"/>
    <w:rsid w:val="00CA08ED"/>
    <w:rsid w:val="00CA7026"/>
    <w:rsid w:val="00CB217D"/>
    <w:rsid w:val="00CB4D35"/>
    <w:rsid w:val="00CB54BF"/>
    <w:rsid w:val="00CC4D6B"/>
    <w:rsid w:val="00CC5847"/>
    <w:rsid w:val="00CD1ECE"/>
    <w:rsid w:val="00CD3711"/>
    <w:rsid w:val="00CD5B8C"/>
    <w:rsid w:val="00CE401D"/>
    <w:rsid w:val="00CE556D"/>
    <w:rsid w:val="00CE5F09"/>
    <w:rsid w:val="00CF183B"/>
    <w:rsid w:val="00CF42A7"/>
    <w:rsid w:val="00CF74D2"/>
    <w:rsid w:val="00D00201"/>
    <w:rsid w:val="00D1077B"/>
    <w:rsid w:val="00D1253C"/>
    <w:rsid w:val="00D12561"/>
    <w:rsid w:val="00D14D2D"/>
    <w:rsid w:val="00D1598B"/>
    <w:rsid w:val="00D24814"/>
    <w:rsid w:val="00D2514F"/>
    <w:rsid w:val="00D30C98"/>
    <w:rsid w:val="00D344D2"/>
    <w:rsid w:val="00D36A26"/>
    <w:rsid w:val="00D375CD"/>
    <w:rsid w:val="00D4124A"/>
    <w:rsid w:val="00D4300F"/>
    <w:rsid w:val="00D43A23"/>
    <w:rsid w:val="00D50C3D"/>
    <w:rsid w:val="00D5338D"/>
    <w:rsid w:val="00D553A2"/>
    <w:rsid w:val="00D673C2"/>
    <w:rsid w:val="00D70A37"/>
    <w:rsid w:val="00D71828"/>
    <w:rsid w:val="00D75786"/>
    <w:rsid w:val="00D75BAB"/>
    <w:rsid w:val="00D774D3"/>
    <w:rsid w:val="00D83B86"/>
    <w:rsid w:val="00D84843"/>
    <w:rsid w:val="00D851CF"/>
    <w:rsid w:val="00D904E8"/>
    <w:rsid w:val="00D9624D"/>
    <w:rsid w:val="00DA08C3"/>
    <w:rsid w:val="00DA3388"/>
    <w:rsid w:val="00DA4237"/>
    <w:rsid w:val="00DA50B9"/>
    <w:rsid w:val="00DB5A3E"/>
    <w:rsid w:val="00DC2278"/>
    <w:rsid w:val="00DC22AA"/>
    <w:rsid w:val="00DC3992"/>
    <w:rsid w:val="00DC62E1"/>
    <w:rsid w:val="00DC7DE6"/>
    <w:rsid w:val="00DD4902"/>
    <w:rsid w:val="00DE4FD1"/>
    <w:rsid w:val="00DE57EB"/>
    <w:rsid w:val="00DE665C"/>
    <w:rsid w:val="00DF3CFB"/>
    <w:rsid w:val="00DF74DD"/>
    <w:rsid w:val="00E0233D"/>
    <w:rsid w:val="00E069C5"/>
    <w:rsid w:val="00E155A8"/>
    <w:rsid w:val="00E1578B"/>
    <w:rsid w:val="00E20CC6"/>
    <w:rsid w:val="00E25AD0"/>
    <w:rsid w:val="00E3329E"/>
    <w:rsid w:val="00E348E9"/>
    <w:rsid w:val="00E63556"/>
    <w:rsid w:val="00E649D6"/>
    <w:rsid w:val="00E9160F"/>
    <w:rsid w:val="00E94CAE"/>
    <w:rsid w:val="00E97D3D"/>
    <w:rsid w:val="00EB1CEE"/>
    <w:rsid w:val="00EB6350"/>
    <w:rsid w:val="00EC3121"/>
    <w:rsid w:val="00EC3329"/>
    <w:rsid w:val="00EC51F1"/>
    <w:rsid w:val="00ED61A6"/>
    <w:rsid w:val="00EE35CC"/>
    <w:rsid w:val="00F05F7E"/>
    <w:rsid w:val="00F1263B"/>
    <w:rsid w:val="00F149F9"/>
    <w:rsid w:val="00F15B57"/>
    <w:rsid w:val="00F23010"/>
    <w:rsid w:val="00F423D1"/>
    <w:rsid w:val="00F427DB"/>
    <w:rsid w:val="00F431B9"/>
    <w:rsid w:val="00F45F9F"/>
    <w:rsid w:val="00F531B7"/>
    <w:rsid w:val="00F5358C"/>
    <w:rsid w:val="00F547EC"/>
    <w:rsid w:val="00F60913"/>
    <w:rsid w:val="00F64743"/>
    <w:rsid w:val="00F652AF"/>
    <w:rsid w:val="00F66500"/>
    <w:rsid w:val="00F720FB"/>
    <w:rsid w:val="00F751FB"/>
    <w:rsid w:val="00F766A1"/>
    <w:rsid w:val="00F81FC6"/>
    <w:rsid w:val="00FA5EB1"/>
    <w:rsid w:val="00FA7439"/>
    <w:rsid w:val="00FA7A37"/>
    <w:rsid w:val="00FB05D3"/>
    <w:rsid w:val="00FB4C7E"/>
    <w:rsid w:val="00FC1991"/>
    <w:rsid w:val="00FC20E4"/>
    <w:rsid w:val="00FC4EC0"/>
    <w:rsid w:val="00FD03DF"/>
    <w:rsid w:val="00FE6154"/>
    <w:rsid w:val="00FF0181"/>
    <w:rsid w:val="00FF1850"/>
    <w:rsid w:val="00FF5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E6BE5A5"/>
  <w15:docId w15:val="{6727327E-523F-4F07-8255-6381CE9F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D5338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338D"/>
    <w:rPr>
      <w:rFonts w:ascii="Segoe UI" w:hAnsi="Segoe UI" w:cs="Segoe UI"/>
      <w:sz w:val="18"/>
      <w:szCs w:val="18"/>
      <w:lang w:val="fr-FR" w:eastAsia="en-US"/>
    </w:rPr>
  </w:style>
  <w:style w:type="character" w:customStyle="1" w:styleId="FootnoteTextChar">
    <w:name w:val="Footnote Text Char"/>
    <w:basedOn w:val="DefaultParagraphFont"/>
    <w:link w:val="FootnoteText"/>
    <w:rsid w:val="00D5338D"/>
    <w:rPr>
      <w:rFonts w:ascii="Calibri" w:hAnsi="Calibri"/>
      <w:sz w:val="24"/>
      <w:lang w:val="fr-FR" w:eastAsia="en-US"/>
    </w:rPr>
  </w:style>
  <w:style w:type="character" w:customStyle="1" w:styleId="ListParagraphChar">
    <w:name w:val="List Paragraph Char"/>
    <w:aliases w:val="titre Char"/>
    <w:basedOn w:val="DefaultParagraphFont"/>
    <w:link w:val="ListParagraph"/>
    <w:uiPriority w:val="34"/>
    <w:locked/>
    <w:rsid w:val="00D5338D"/>
    <w:rPr>
      <w:rFonts w:ascii="Arial" w:eastAsia="SimSun" w:hAnsi="Arial" w:cs="Arial"/>
      <w:sz w:val="22"/>
      <w:szCs w:val="24"/>
    </w:rPr>
  </w:style>
  <w:style w:type="paragraph" w:styleId="ListParagraph">
    <w:name w:val="List Paragraph"/>
    <w:aliases w:val="titre"/>
    <w:basedOn w:val="Normal"/>
    <w:link w:val="ListParagraphChar"/>
    <w:uiPriority w:val="34"/>
    <w:qFormat/>
    <w:rsid w:val="00D5338D"/>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cs="Arial"/>
      <w:sz w:val="22"/>
      <w:szCs w:val="24"/>
      <w:lang w:val="en-US" w:eastAsia="zh-CN"/>
    </w:rPr>
  </w:style>
  <w:style w:type="paragraph" w:styleId="HTMLPreformatted">
    <w:name w:val="HTML Preformatted"/>
    <w:basedOn w:val="Normal"/>
    <w:link w:val="HTMLPreformattedChar"/>
    <w:uiPriority w:val="99"/>
    <w:unhideWhenUsed/>
    <w:rsid w:val="00D1253C"/>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D1253C"/>
    <w:rPr>
      <w:rFonts w:ascii="Courier New" w:hAnsi="Courier New" w:cs="Courier New"/>
      <w:lang w:val="en-GB" w:eastAsia="en-GB"/>
    </w:rPr>
  </w:style>
  <w:style w:type="character" w:customStyle="1" w:styleId="normaltextrun">
    <w:name w:val="normaltextrun"/>
    <w:basedOn w:val="DefaultParagraphFont"/>
    <w:rsid w:val="00D1253C"/>
  </w:style>
  <w:style w:type="table" w:styleId="TableGrid">
    <w:name w:val="Table Grid"/>
    <w:basedOn w:val="TableNormal"/>
    <w:uiPriority w:val="39"/>
    <w:rsid w:val="00D1253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1pt">
    <w:name w:val="Footnote Text 11 pt"/>
    <w:basedOn w:val="FootnoteText"/>
    <w:rsid w:val="00D1253C"/>
    <w:rPr>
      <w:sz w:val="22"/>
      <w:szCs w:val="22"/>
      <w:lang w:val="en-GB"/>
    </w:rPr>
  </w:style>
  <w:style w:type="character" w:customStyle="1" w:styleId="UnresolvedMention1">
    <w:name w:val="Unresolved Mention1"/>
    <w:basedOn w:val="DefaultParagraphFont"/>
    <w:uiPriority w:val="99"/>
    <w:semiHidden/>
    <w:unhideWhenUsed/>
    <w:rsid w:val="002A2C61"/>
    <w:rPr>
      <w:color w:val="605E5C"/>
      <w:shd w:val="clear" w:color="auto" w:fill="E1DFDD"/>
    </w:rPr>
  </w:style>
  <w:style w:type="character" w:styleId="CommentReference">
    <w:name w:val="annotation reference"/>
    <w:basedOn w:val="DefaultParagraphFont"/>
    <w:semiHidden/>
    <w:unhideWhenUsed/>
    <w:rsid w:val="00657EBA"/>
    <w:rPr>
      <w:sz w:val="16"/>
      <w:szCs w:val="16"/>
    </w:rPr>
  </w:style>
  <w:style w:type="paragraph" w:styleId="CommentText">
    <w:name w:val="annotation text"/>
    <w:basedOn w:val="Normal"/>
    <w:link w:val="CommentTextChar"/>
    <w:semiHidden/>
    <w:unhideWhenUsed/>
    <w:rsid w:val="00657EBA"/>
    <w:rPr>
      <w:sz w:val="20"/>
    </w:rPr>
  </w:style>
  <w:style w:type="character" w:customStyle="1" w:styleId="CommentTextChar">
    <w:name w:val="Comment Text Char"/>
    <w:basedOn w:val="DefaultParagraphFont"/>
    <w:link w:val="CommentText"/>
    <w:semiHidden/>
    <w:rsid w:val="00657EBA"/>
    <w:rPr>
      <w:rFonts w:ascii="Calibri" w:hAnsi="Calibri"/>
      <w:lang w:val="fr-FR" w:eastAsia="en-US"/>
    </w:rPr>
  </w:style>
  <w:style w:type="paragraph" w:styleId="CommentSubject">
    <w:name w:val="annotation subject"/>
    <w:basedOn w:val="CommentText"/>
    <w:next w:val="CommentText"/>
    <w:link w:val="CommentSubjectChar"/>
    <w:semiHidden/>
    <w:unhideWhenUsed/>
    <w:rsid w:val="00657EBA"/>
    <w:rPr>
      <w:b/>
      <w:bCs/>
    </w:rPr>
  </w:style>
  <w:style w:type="character" w:customStyle="1" w:styleId="CommentSubjectChar">
    <w:name w:val="Comment Subject Char"/>
    <w:basedOn w:val="CommentTextChar"/>
    <w:link w:val="CommentSubject"/>
    <w:semiHidden/>
    <w:rsid w:val="00657EBA"/>
    <w:rPr>
      <w:rFonts w:ascii="Calibri" w:hAnsi="Calibri"/>
      <w:b/>
      <w:bCs/>
      <w:lang w:val="fr-FR" w:eastAsia="en-US"/>
    </w:rPr>
  </w:style>
  <w:style w:type="paragraph" w:styleId="Revision">
    <w:name w:val="Revision"/>
    <w:hidden/>
    <w:uiPriority w:val="99"/>
    <w:semiHidden/>
    <w:rsid w:val="00657EBA"/>
    <w:rPr>
      <w:rFonts w:ascii="Calibri" w:hAnsi="Calibri"/>
      <w:sz w:val="24"/>
      <w:lang w:val="fr-FR" w:eastAsia="en-US"/>
    </w:rPr>
  </w:style>
  <w:style w:type="character" w:styleId="UnresolvedMention">
    <w:name w:val="Unresolved Mention"/>
    <w:basedOn w:val="DefaultParagraphFont"/>
    <w:rsid w:val="00F5358C"/>
    <w:rPr>
      <w:color w:val="605E5C"/>
      <w:shd w:val="clear" w:color="auto" w:fill="E1DFDD"/>
    </w:rPr>
  </w:style>
  <w:style w:type="character" w:styleId="PlaceholderText">
    <w:name w:val="Placeholder Text"/>
    <w:basedOn w:val="DefaultParagraphFont"/>
    <w:uiPriority w:val="99"/>
    <w:semiHidden/>
    <w:rsid w:val="00023B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1508">
      <w:bodyDiv w:val="1"/>
      <w:marLeft w:val="0"/>
      <w:marRight w:val="0"/>
      <w:marTop w:val="0"/>
      <w:marBottom w:val="0"/>
      <w:divBdr>
        <w:top w:val="none" w:sz="0" w:space="0" w:color="auto"/>
        <w:left w:val="none" w:sz="0" w:space="0" w:color="auto"/>
        <w:bottom w:val="none" w:sz="0" w:space="0" w:color="auto"/>
        <w:right w:val="none" w:sz="0" w:space="0" w:color="auto"/>
      </w:divBdr>
    </w:div>
    <w:div w:id="179695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12-F.pdf" TargetMode="External"/><Relationship Id="rId18" Type="http://schemas.openxmlformats.org/officeDocument/2006/relationships/hyperlink" Target="https://www.itu.int/md/S19-CLADD-C-0005/en" TargetMode="External"/><Relationship Id="rId26" Type="http://schemas.openxmlformats.org/officeDocument/2006/relationships/hyperlink" Target="https://www.itu.int/en/council/2020/Documents/007/007R1e-Schedule-of-expenses.pdf" TargetMode="External"/><Relationship Id="rId39" Type="http://schemas.openxmlformats.org/officeDocument/2006/relationships/header" Target="header2.xml"/><Relationship Id="rId21" Type="http://schemas.openxmlformats.org/officeDocument/2006/relationships/hyperlink" Target="https://www.itu.int/md/S20-CL-C-0053/en" TargetMode="External"/><Relationship Id="rId34" Type="http://schemas.openxmlformats.org/officeDocument/2006/relationships/package" Target="embeddings/Microsoft_Excel_Worksheet.xlsx"/><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6-CL-C-0007/en" TargetMode="External"/><Relationship Id="rId20" Type="http://schemas.openxmlformats.org/officeDocument/2006/relationships/hyperlink" Target="https://www.itu.int/md/S20-CL-C-0029/en" TargetMode="External"/><Relationship Id="rId29" Type="http://schemas.openxmlformats.org/officeDocument/2006/relationships/hyperlink" Target="https://www.itu.int/md/S20-CL-C-0015/e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32" Type="http://schemas.openxmlformats.org/officeDocument/2006/relationships/footer" Target="footer2.xml"/><Relationship Id="rId37" Type="http://schemas.openxmlformats.org/officeDocument/2006/relationships/image" Target="media/image5.emf"/><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md/S19-CL-190610-DL-0012/en" TargetMode="External"/><Relationship Id="rId23" Type="http://schemas.openxmlformats.org/officeDocument/2006/relationships/hyperlink" Target="https://www.itu.int/md/S20-CL-C-0007/en" TargetMode="External"/><Relationship Id="rId28" Type="http://schemas.openxmlformats.org/officeDocument/2006/relationships/hyperlink" Target="https://www.itu.int/md/S20-CL-C-0053/fr" TargetMode="External"/><Relationship Id="rId36"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hyperlink" Target="https://www.itu.int/md/S20-CL-C-0037/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123/en" TargetMode="External"/><Relationship Id="rId22" Type="http://schemas.openxmlformats.org/officeDocument/2006/relationships/hyperlink" Target="https://www.itu.int/md/S20-CL-C-0015/en" TargetMode="External"/><Relationship Id="rId27" Type="http://schemas.openxmlformats.org/officeDocument/2006/relationships/hyperlink" Target="https://www.itu.int/en/council/2020/Documents/007/007R1e-Preliminary-Schedule.pdf" TargetMode="External"/><Relationship Id="rId30" Type="http://schemas.openxmlformats.org/officeDocument/2006/relationships/header" Target="header1.xml"/><Relationship Id="rId35" Type="http://schemas.openxmlformats.org/officeDocument/2006/relationships/image" Target="media/image4.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6-CL-C-0124/en" TargetMode="External"/><Relationship Id="rId17" Type="http://schemas.openxmlformats.org/officeDocument/2006/relationships/hyperlink" Target="https://www.itu.int/md/S19-CLADD-C-0002/en" TargetMode="External"/><Relationship Id="rId25" Type="http://schemas.openxmlformats.org/officeDocument/2006/relationships/hyperlink" Target="https://www.itu.int/en/council/2020/Documents/007/007R1e-Complete-updated-Risk-Register.pdf" TargetMode="External"/><Relationship Id="rId33" Type="http://schemas.openxmlformats.org/officeDocument/2006/relationships/image" Target="media/image3.emf"/><Relationship Id="rId38" Type="http://schemas.openxmlformats.org/officeDocument/2006/relationships/package" Target="embeddings/Microsoft_Excel_Worksheet2.xlsx"/></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0-CL-C-004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981BB-77C1-4A21-812E-88F73A66CD1C}">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8480b3bf-ff93-433f-9495-f8457f78f22f"/>
    <ds:schemaRef ds:uri="http://www.w3.org/XML/1998/namespace"/>
  </ds:schemaRefs>
</ds:datastoreItem>
</file>

<file path=customXml/itemProps2.xml><?xml version="1.0" encoding="utf-8"?>
<ds:datastoreItem xmlns:ds="http://schemas.openxmlformats.org/officeDocument/2006/customXml" ds:itemID="{05CACFC4-52A1-4446-83BA-94B67502905E}">
  <ds:schemaRefs>
    <ds:schemaRef ds:uri="http://schemas.openxmlformats.org/officeDocument/2006/bibliography"/>
  </ds:schemaRefs>
</ds:datastoreItem>
</file>

<file path=customXml/itemProps3.xml><?xml version="1.0" encoding="utf-8"?>
<ds:datastoreItem xmlns:ds="http://schemas.openxmlformats.org/officeDocument/2006/customXml" ds:itemID="{A8DC41DE-8AA5-48DE-A62A-0C9CD7136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BA00E-159C-4BCF-85BE-39B967C98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15</Pages>
  <Words>5396</Words>
  <Characters>29675</Characters>
  <Application>Microsoft Office Word</Application>
  <DocSecurity>4</DocSecurity>
  <Lines>247</Lines>
  <Paragraphs>70</Paragraphs>
  <ScaleCrop>false</ScaleCrop>
  <HeadingPairs>
    <vt:vector size="2" baseType="variant">
      <vt:variant>
        <vt:lpstr>Title</vt:lpstr>
      </vt:variant>
      <vt:variant>
        <vt:i4>1</vt:i4>
      </vt:variant>
    </vt:vector>
  </HeadingPairs>
  <TitlesOfParts>
    <vt:vector size="1" baseType="lpstr">
      <vt:lpstr>Rapport sur les progrès réalisés concernant le projet de locaux du siège de l'Union</vt:lpstr>
    </vt:vector>
  </TitlesOfParts>
  <Manager>Secrétariat général - Pool</Manager>
  <Company>Union internationale des télécommunications (UIT)</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progrès réalisés concernant le projet de locaux du siège de l'Union</dc:title>
  <dc:subject>Conseil 2020, Session virtuelle des conseillers</dc:subject>
  <dc:creator>Chanavat, Emilie</dc:creator>
  <cp:keywords>C2020, C20, VC, VCC-2</cp:keywords>
  <dc:description/>
  <cp:lastModifiedBy>Brouard, Ricarda</cp:lastModifiedBy>
  <cp:revision>2</cp:revision>
  <cp:lastPrinted>2000-07-18T08:55:00Z</cp:lastPrinted>
  <dcterms:created xsi:type="dcterms:W3CDTF">2020-10-14T12:27:00Z</dcterms:created>
  <dcterms:modified xsi:type="dcterms:W3CDTF">2020-10-14T12:27:00Z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y fmtid="{D5CDD505-2E9C-101B-9397-08002B2CF9AE}" pid="8" name="ContentTypeId">
    <vt:lpwstr>0x010100B638F4433E584047A097BE66491F0F20</vt:lpwstr>
  </property>
</Properties>
</file>