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75BAB" w:rsidRPr="00D75BAB" w14:paraId="30FBD362" w14:textId="77777777" w:rsidTr="009F66A3">
        <w:trPr>
          <w:cantSplit/>
          <w:trHeight w:val="1276"/>
        </w:trPr>
        <w:tc>
          <w:tcPr>
            <w:tcW w:w="6911" w:type="dxa"/>
          </w:tcPr>
          <w:p w14:paraId="570B4D36" w14:textId="2379C459" w:rsidR="002A2188" w:rsidRPr="00D75BAB" w:rsidRDefault="002A2188" w:rsidP="006C6A82">
            <w:pPr>
              <w:spacing w:before="480" w:after="48"/>
              <w:rPr>
                <w:rFonts w:asciiTheme="minorHAnsi" w:hAnsiTheme="minorHAnsi" w:cstheme="minorHAnsi"/>
                <w:color w:val="000000" w:themeColor="text1"/>
                <w:position w:val="6"/>
              </w:rPr>
            </w:pPr>
            <w:r w:rsidRPr="00D75BAB">
              <w:rPr>
                <w:rFonts w:asciiTheme="minorHAnsi" w:hAnsiTheme="minorHAnsi" w:cstheme="minorHAnsi"/>
                <w:b/>
                <w:bCs/>
                <w:color w:val="000000" w:themeColor="text1"/>
                <w:position w:val="6"/>
                <w:sz w:val="30"/>
                <w:szCs w:val="30"/>
                <w:lang w:val="fr-CH"/>
              </w:rPr>
              <w:t>C</w:t>
            </w:r>
            <w:r w:rsidR="009F66A3" w:rsidRPr="00D75BAB">
              <w:rPr>
                <w:rFonts w:asciiTheme="minorHAnsi" w:hAnsiTheme="minorHAnsi" w:cstheme="minorHAnsi"/>
                <w:b/>
                <w:bCs/>
                <w:color w:val="000000" w:themeColor="text1"/>
                <w:position w:val="6"/>
                <w:sz w:val="30"/>
                <w:szCs w:val="30"/>
                <w:lang w:val="fr-CH"/>
              </w:rPr>
              <w:t>ouncil 2020</w:t>
            </w:r>
          </w:p>
        </w:tc>
        <w:tc>
          <w:tcPr>
            <w:tcW w:w="3120" w:type="dxa"/>
            <w:vAlign w:val="center"/>
          </w:tcPr>
          <w:p w14:paraId="679DEF8D" w14:textId="77777777" w:rsidR="002A2188" w:rsidRPr="00D75BAB" w:rsidRDefault="009F66A3" w:rsidP="00CB733B">
            <w:pPr>
              <w:spacing w:before="0"/>
              <w:rPr>
                <w:rFonts w:asciiTheme="minorHAnsi" w:hAnsiTheme="minorHAnsi" w:cstheme="minorHAnsi"/>
                <w:color w:val="000000" w:themeColor="text1"/>
              </w:rPr>
            </w:pPr>
            <w:bookmarkStart w:id="0" w:name="ditulogo"/>
            <w:bookmarkEnd w:id="0"/>
            <w:r w:rsidRPr="00D75BAB">
              <w:rPr>
                <w:rFonts w:asciiTheme="minorHAnsi" w:hAnsiTheme="minorHAnsi" w:cstheme="minorHAnsi"/>
                <w:noProof/>
                <w:color w:val="000000" w:themeColor="text1"/>
                <w:lang w:val="es-ES" w:eastAsia="es-ES"/>
              </w:rPr>
              <w:drawing>
                <wp:inline distT="0" distB="0" distL="0" distR="0" wp14:anchorId="59C7BDE0" wp14:editId="5ECC1B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75BAB" w:rsidRPr="00D75BAB" w14:paraId="056F0050" w14:textId="77777777" w:rsidTr="0017596B">
        <w:trPr>
          <w:cantSplit/>
        </w:trPr>
        <w:tc>
          <w:tcPr>
            <w:tcW w:w="6911" w:type="dxa"/>
            <w:tcBorders>
              <w:bottom w:val="single" w:sz="12" w:space="0" w:color="auto"/>
            </w:tcBorders>
          </w:tcPr>
          <w:p w14:paraId="47E9244D" w14:textId="77777777" w:rsidR="002A2188" w:rsidRPr="00D75BAB" w:rsidRDefault="002A2188" w:rsidP="00CB733B">
            <w:pPr>
              <w:spacing w:before="0"/>
              <w:rPr>
                <w:rFonts w:asciiTheme="minorHAnsi" w:hAnsiTheme="minorHAnsi" w:cstheme="minorHAnsi"/>
                <w:b/>
                <w:smallCaps/>
                <w:color w:val="000000" w:themeColor="text1"/>
                <w:szCs w:val="24"/>
              </w:rPr>
            </w:pPr>
          </w:p>
        </w:tc>
        <w:tc>
          <w:tcPr>
            <w:tcW w:w="3120" w:type="dxa"/>
            <w:tcBorders>
              <w:bottom w:val="single" w:sz="12" w:space="0" w:color="auto"/>
            </w:tcBorders>
          </w:tcPr>
          <w:p w14:paraId="562285AC" w14:textId="77777777" w:rsidR="002A2188" w:rsidRPr="00D75BAB" w:rsidRDefault="002A2188" w:rsidP="00CB733B">
            <w:pPr>
              <w:spacing w:before="0"/>
              <w:rPr>
                <w:rFonts w:asciiTheme="minorHAnsi" w:hAnsiTheme="minorHAnsi" w:cstheme="minorHAnsi"/>
                <w:color w:val="000000" w:themeColor="text1"/>
                <w:szCs w:val="24"/>
              </w:rPr>
            </w:pPr>
          </w:p>
        </w:tc>
      </w:tr>
      <w:tr w:rsidR="00D75BAB" w:rsidRPr="00D75BAB" w14:paraId="7CE872C5" w14:textId="77777777" w:rsidTr="0017596B">
        <w:trPr>
          <w:cantSplit/>
        </w:trPr>
        <w:tc>
          <w:tcPr>
            <w:tcW w:w="6911" w:type="dxa"/>
            <w:tcBorders>
              <w:top w:val="single" w:sz="12" w:space="0" w:color="auto"/>
            </w:tcBorders>
          </w:tcPr>
          <w:p w14:paraId="0E6BB4F6" w14:textId="77777777" w:rsidR="002A2188" w:rsidRPr="00D75BAB" w:rsidRDefault="002A2188" w:rsidP="00CB733B">
            <w:pPr>
              <w:spacing w:before="0"/>
              <w:rPr>
                <w:rFonts w:asciiTheme="minorHAnsi" w:hAnsiTheme="minorHAnsi" w:cstheme="minorHAnsi"/>
                <w:b/>
                <w:smallCaps/>
                <w:color w:val="000000" w:themeColor="text1"/>
                <w:szCs w:val="24"/>
              </w:rPr>
            </w:pPr>
          </w:p>
        </w:tc>
        <w:tc>
          <w:tcPr>
            <w:tcW w:w="3120" w:type="dxa"/>
            <w:tcBorders>
              <w:top w:val="single" w:sz="12" w:space="0" w:color="auto"/>
            </w:tcBorders>
          </w:tcPr>
          <w:p w14:paraId="550A082C" w14:textId="77777777" w:rsidR="002A2188" w:rsidRPr="00D75BAB" w:rsidRDefault="002A2188" w:rsidP="00CB733B">
            <w:pPr>
              <w:spacing w:before="0"/>
              <w:rPr>
                <w:rFonts w:asciiTheme="minorHAnsi" w:hAnsiTheme="minorHAnsi" w:cstheme="minorHAnsi"/>
                <w:color w:val="000000" w:themeColor="text1"/>
                <w:szCs w:val="24"/>
              </w:rPr>
            </w:pPr>
          </w:p>
        </w:tc>
      </w:tr>
      <w:tr w:rsidR="00D75BAB" w:rsidRPr="00FE0909" w14:paraId="04140831" w14:textId="77777777" w:rsidTr="0017596B">
        <w:trPr>
          <w:cantSplit/>
          <w:trHeight w:val="23"/>
        </w:trPr>
        <w:tc>
          <w:tcPr>
            <w:tcW w:w="6911" w:type="dxa"/>
            <w:vMerge w:val="restart"/>
          </w:tcPr>
          <w:p w14:paraId="7C87FA41" w14:textId="0F9E7A54" w:rsidR="002A2188" w:rsidRPr="00D75BAB" w:rsidRDefault="00163C86" w:rsidP="006C6A82">
            <w:pPr>
              <w:tabs>
                <w:tab w:val="left" w:pos="851"/>
              </w:tabs>
              <w:spacing w:before="0"/>
              <w:rPr>
                <w:rFonts w:asciiTheme="minorHAnsi" w:hAnsiTheme="minorHAnsi" w:cstheme="minorHAnsi"/>
                <w:b/>
                <w:color w:val="000000" w:themeColor="text1"/>
              </w:rPr>
            </w:pPr>
            <w:bookmarkStart w:id="1" w:name="dmeeting" w:colFirst="0" w:colLast="0"/>
            <w:bookmarkStart w:id="2" w:name="dnum" w:colFirst="1" w:colLast="1"/>
            <w:r>
              <w:rPr>
                <w:rFonts w:asciiTheme="minorHAnsi" w:hAnsiTheme="minorHAnsi" w:cstheme="minorHAnsi"/>
                <w:b/>
                <w:color w:val="000000" w:themeColor="text1"/>
              </w:rPr>
              <w:t>Agenda item: ADM 20</w:t>
            </w:r>
          </w:p>
        </w:tc>
        <w:tc>
          <w:tcPr>
            <w:tcW w:w="3120" w:type="dxa"/>
          </w:tcPr>
          <w:p w14:paraId="07989836" w14:textId="5EACD9FA" w:rsidR="002A2188" w:rsidRPr="00FE0909" w:rsidRDefault="00FE0909" w:rsidP="00CB733B">
            <w:pPr>
              <w:tabs>
                <w:tab w:val="left" w:pos="851"/>
              </w:tabs>
              <w:spacing w:before="0"/>
              <w:rPr>
                <w:rFonts w:asciiTheme="minorHAnsi" w:hAnsiTheme="minorHAnsi" w:cstheme="minorHAnsi"/>
                <w:b/>
                <w:color w:val="000000" w:themeColor="text1"/>
              </w:rPr>
            </w:pPr>
            <w:r w:rsidRPr="00FE0909">
              <w:rPr>
                <w:rFonts w:asciiTheme="minorHAnsi" w:hAnsiTheme="minorHAnsi" w:cstheme="minorHAnsi"/>
                <w:b/>
                <w:color w:val="000000" w:themeColor="text1"/>
              </w:rPr>
              <w:t>Revision 1 t</w:t>
            </w:r>
            <w:r w:rsidRPr="006C6A82">
              <w:rPr>
                <w:rFonts w:asciiTheme="minorHAnsi" w:hAnsiTheme="minorHAnsi" w:cstheme="minorHAnsi"/>
                <w:b/>
                <w:color w:val="000000" w:themeColor="text1"/>
              </w:rPr>
              <w:t>o</w:t>
            </w:r>
            <w:r w:rsidRPr="00FE0909">
              <w:rPr>
                <w:rFonts w:asciiTheme="minorHAnsi" w:hAnsiTheme="minorHAnsi" w:cstheme="minorHAnsi"/>
                <w:b/>
                <w:color w:val="000000" w:themeColor="text1"/>
              </w:rPr>
              <w:br/>
            </w:r>
            <w:r w:rsidR="009F66A3" w:rsidRPr="00FE0909">
              <w:rPr>
                <w:rFonts w:asciiTheme="minorHAnsi" w:hAnsiTheme="minorHAnsi" w:cstheme="minorHAnsi"/>
                <w:b/>
                <w:color w:val="000000" w:themeColor="text1"/>
              </w:rPr>
              <w:t>Document C20</w:t>
            </w:r>
            <w:r w:rsidR="002A2188" w:rsidRPr="00FE0909">
              <w:rPr>
                <w:rFonts w:asciiTheme="minorHAnsi" w:hAnsiTheme="minorHAnsi" w:cstheme="minorHAnsi"/>
                <w:b/>
                <w:color w:val="000000" w:themeColor="text1"/>
              </w:rPr>
              <w:t>/</w:t>
            </w:r>
            <w:r w:rsidR="00340492" w:rsidRPr="00FE0909">
              <w:rPr>
                <w:rFonts w:asciiTheme="minorHAnsi" w:hAnsiTheme="minorHAnsi" w:cstheme="minorHAnsi"/>
                <w:b/>
                <w:color w:val="000000" w:themeColor="text1"/>
              </w:rPr>
              <w:t>7</w:t>
            </w:r>
            <w:r w:rsidR="002A2188" w:rsidRPr="00FE0909">
              <w:rPr>
                <w:rFonts w:asciiTheme="minorHAnsi" w:hAnsiTheme="minorHAnsi" w:cstheme="minorHAnsi"/>
                <w:b/>
                <w:color w:val="000000" w:themeColor="text1"/>
              </w:rPr>
              <w:t>-E</w:t>
            </w:r>
          </w:p>
        </w:tc>
      </w:tr>
      <w:tr w:rsidR="00D75BAB" w:rsidRPr="00D75BAB" w14:paraId="1A0958DC" w14:textId="77777777" w:rsidTr="0017596B">
        <w:trPr>
          <w:cantSplit/>
          <w:trHeight w:val="23"/>
        </w:trPr>
        <w:tc>
          <w:tcPr>
            <w:tcW w:w="6911" w:type="dxa"/>
            <w:vMerge/>
          </w:tcPr>
          <w:p w14:paraId="0F8AF89A" w14:textId="77777777" w:rsidR="002A2188" w:rsidRPr="00FE0909" w:rsidRDefault="002A2188" w:rsidP="00CB733B">
            <w:pPr>
              <w:tabs>
                <w:tab w:val="left" w:pos="851"/>
              </w:tabs>
              <w:rPr>
                <w:rFonts w:asciiTheme="minorHAnsi" w:hAnsiTheme="minorHAnsi" w:cstheme="minorHAnsi"/>
                <w:b/>
                <w:color w:val="000000" w:themeColor="text1"/>
              </w:rPr>
            </w:pPr>
            <w:bookmarkStart w:id="3" w:name="ddate" w:colFirst="1" w:colLast="1"/>
            <w:bookmarkEnd w:id="1"/>
            <w:bookmarkEnd w:id="2"/>
          </w:p>
        </w:tc>
        <w:tc>
          <w:tcPr>
            <w:tcW w:w="3120" w:type="dxa"/>
          </w:tcPr>
          <w:p w14:paraId="616FD348" w14:textId="116E4142" w:rsidR="002A2188" w:rsidRPr="00D75BAB" w:rsidRDefault="00CB733B" w:rsidP="00CB733B">
            <w:pPr>
              <w:tabs>
                <w:tab w:val="left" w:pos="993"/>
              </w:tabs>
              <w:spacing w:before="0"/>
              <w:rPr>
                <w:rFonts w:asciiTheme="minorHAnsi" w:hAnsiTheme="minorHAnsi" w:cstheme="minorHAnsi"/>
                <w:b/>
                <w:color w:val="000000" w:themeColor="text1"/>
              </w:rPr>
            </w:pPr>
            <w:r>
              <w:rPr>
                <w:rFonts w:asciiTheme="minorHAnsi" w:hAnsiTheme="minorHAnsi" w:cstheme="minorHAnsi"/>
                <w:b/>
                <w:color w:val="000000" w:themeColor="text1"/>
              </w:rPr>
              <w:t>5 October</w:t>
            </w:r>
            <w:r w:rsidR="00163C86">
              <w:rPr>
                <w:rFonts w:asciiTheme="minorHAnsi" w:hAnsiTheme="minorHAnsi" w:cstheme="minorHAnsi"/>
                <w:b/>
                <w:color w:val="000000" w:themeColor="text1"/>
              </w:rPr>
              <w:t xml:space="preserve"> </w:t>
            </w:r>
            <w:r w:rsidR="002A2188" w:rsidRPr="00D75BAB">
              <w:rPr>
                <w:rFonts w:asciiTheme="minorHAnsi" w:hAnsiTheme="minorHAnsi" w:cstheme="minorHAnsi"/>
                <w:b/>
                <w:color w:val="000000" w:themeColor="text1"/>
              </w:rPr>
              <w:t>20</w:t>
            </w:r>
            <w:r w:rsidR="009F66A3" w:rsidRPr="00D75BAB">
              <w:rPr>
                <w:rFonts w:asciiTheme="minorHAnsi" w:hAnsiTheme="minorHAnsi" w:cstheme="minorHAnsi"/>
                <w:b/>
                <w:color w:val="000000" w:themeColor="text1"/>
              </w:rPr>
              <w:t>20</w:t>
            </w:r>
          </w:p>
        </w:tc>
      </w:tr>
      <w:tr w:rsidR="00D75BAB" w:rsidRPr="00D75BAB" w14:paraId="4145E03E" w14:textId="77777777" w:rsidTr="0017596B">
        <w:trPr>
          <w:cantSplit/>
          <w:trHeight w:val="23"/>
        </w:trPr>
        <w:tc>
          <w:tcPr>
            <w:tcW w:w="6911" w:type="dxa"/>
            <w:vMerge/>
          </w:tcPr>
          <w:p w14:paraId="73A2B261" w14:textId="77777777" w:rsidR="002A2188" w:rsidRPr="00D75BAB" w:rsidRDefault="002A2188" w:rsidP="00CB733B">
            <w:pPr>
              <w:tabs>
                <w:tab w:val="left" w:pos="851"/>
              </w:tabs>
              <w:rPr>
                <w:rFonts w:asciiTheme="minorHAnsi" w:hAnsiTheme="minorHAnsi" w:cstheme="minorHAnsi"/>
                <w:b/>
                <w:color w:val="000000" w:themeColor="text1"/>
              </w:rPr>
            </w:pPr>
            <w:bookmarkStart w:id="4" w:name="dorlang" w:colFirst="1" w:colLast="1"/>
            <w:bookmarkEnd w:id="3"/>
          </w:p>
        </w:tc>
        <w:tc>
          <w:tcPr>
            <w:tcW w:w="3120" w:type="dxa"/>
          </w:tcPr>
          <w:p w14:paraId="43A237DD" w14:textId="77777777" w:rsidR="002A2188" w:rsidRPr="00D75BAB" w:rsidRDefault="002A2188" w:rsidP="00CB733B">
            <w:pPr>
              <w:tabs>
                <w:tab w:val="left" w:pos="993"/>
              </w:tabs>
              <w:spacing w:before="0"/>
              <w:rPr>
                <w:rFonts w:asciiTheme="minorHAnsi" w:hAnsiTheme="minorHAnsi" w:cstheme="minorHAnsi"/>
                <w:b/>
                <w:color w:val="000000" w:themeColor="text1"/>
              </w:rPr>
            </w:pPr>
            <w:r w:rsidRPr="00D75BAB">
              <w:rPr>
                <w:rFonts w:asciiTheme="minorHAnsi" w:hAnsiTheme="minorHAnsi" w:cstheme="minorHAnsi"/>
                <w:b/>
                <w:color w:val="000000" w:themeColor="text1"/>
              </w:rPr>
              <w:t>Original: English</w:t>
            </w:r>
          </w:p>
        </w:tc>
      </w:tr>
      <w:tr w:rsidR="00D75BAB" w:rsidRPr="00D75BAB" w14:paraId="31CED48E" w14:textId="77777777" w:rsidTr="0017596B">
        <w:trPr>
          <w:cantSplit/>
        </w:trPr>
        <w:tc>
          <w:tcPr>
            <w:tcW w:w="10031" w:type="dxa"/>
            <w:gridSpan w:val="2"/>
          </w:tcPr>
          <w:p w14:paraId="30B884E3" w14:textId="44F7D2D0" w:rsidR="002F5F77" w:rsidRPr="00D75BAB" w:rsidRDefault="00163C86" w:rsidP="00CB733B">
            <w:pPr>
              <w:pStyle w:val="Source"/>
              <w:rPr>
                <w:rFonts w:asciiTheme="minorHAnsi" w:hAnsiTheme="minorHAnsi" w:cstheme="minorHAnsi"/>
                <w:color w:val="000000" w:themeColor="text1"/>
              </w:rPr>
            </w:pPr>
            <w:bookmarkStart w:id="5" w:name="dsource" w:colFirst="0" w:colLast="0"/>
            <w:bookmarkEnd w:id="4"/>
            <w:r>
              <w:rPr>
                <w:rFonts w:asciiTheme="minorHAnsi" w:hAnsiTheme="minorHAnsi" w:cstheme="minorHAnsi"/>
                <w:color w:val="000000" w:themeColor="text1"/>
                <w:szCs w:val="32"/>
              </w:rPr>
              <w:t>Report by the Secretary-General</w:t>
            </w:r>
          </w:p>
        </w:tc>
      </w:tr>
      <w:tr w:rsidR="00D75BAB" w:rsidRPr="00D75BAB" w14:paraId="7CEDAAD5" w14:textId="77777777" w:rsidTr="0017596B">
        <w:trPr>
          <w:cantSplit/>
        </w:trPr>
        <w:tc>
          <w:tcPr>
            <w:tcW w:w="10031" w:type="dxa"/>
            <w:gridSpan w:val="2"/>
          </w:tcPr>
          <w:p w14:paraId="66BD0820" w14:textId="5705A1A7" w:rsidR="002F5F77" w:rsidRPr="00D75BAB" w:rsidRDefault="002F5F77" w:rsidP="00CB733B">
            <w:pPr>
              <w:pStyle w:val="Title1"/>
              <w:rPr>
                <w:rFonts w:asciiTheme="minorHAnsi" w:hAnsiTheme="minorHAnsi" w:cstheme="minorHAnsi"/>
                <w:color w:val="000000" w:themeColor="text1"/>
              </w:rPr>
            </w:pPr>
            <w:bookmarkStart w:id="6" w:name="dtitle1" w:colFirst="0" w:colLast="0"/>
            <w:bookmarkEnd w:id="5"/>
            <w:r w:rsidRPr="00D75BAB">
              <w:rPr>
                <w:rFonts w:asciiTheme="minorHAnsi" w:hAnsiTheme="minorHAnsi" w:cstheme="minorHAnsi"/>
                <w:color w:val="000000" w:themeColor="text1"/>
                <w:szCs w:val="28"/>
                <w:lang w:eastAsia="ja-JP"/>
              </w:rPr>
              <w:t>PROGRESS REPORT ON</w:t>
            </w:r>
            <w:r w:rsidRPr="00D75BAB">
              <w:rPr>
                <w:rFonts w:asciiTheme="minorHAnsi" w:hAnsiTheme="minorHAnsi" w:cstheme="minorHAnsi"/>
                <w:color w:val="000000" w:themeColor="text1"/>
                <w:szCs w:val="28"/>
                <w:lang w:eastAsia="ja-JP"/>
              </w:rPr>
              <w:br/>
            </w:r>
            <w:r w:rsidRPr="00D75BAB">
              <w:rPr>
                <w:rFonts w:asciiTheme="minorHAnsi" w:hAnsiTheme="minorHAnsi" w:cstheme="minorHAnsi"/>
                <w:color w:val="000000" w:themeColor="text1"/>
                <w:szCs w:val="28"/>
                <w:lang w:eastAsia="ja-JP" w:bidi="he-IL"/>
              </w:rPr>
              <w:t>THE UNION’S HEADQUAR</w:t>
            </w:r>
            <w:r w:rsidRPr="00D75BAB">
              <w:rPr>
                <w:rFonts w:asciiTheme="minorHAnsi" w:hAnsiTheme="minorHAnsi" w:cstheme="minorHAnsi"/>
                <w:color w:val="000000" w:themeColor="text1"/>
                <w:szCs w:val="28"/>
                <w:lang w:eastAsia="ja-JP"/>
              </w:rPr>
              <w:t>TERS PREMISES PROJECT</w:t>
            </w:r>
          </w:p>
        </w:tc>
      </w:tr>
      <w:bookmarkEnd w:id="6"/>
    </w:tbl>
    <w:p w14:paraId="44BFAD35" w14:textId="77777777" w:rsidR="002A2188" w:rsidRPr="00D75BAB" w:rsidRDefault="002A2188" w:rsidP="00CB733B">
      <w:pPr>
        <w:rPr>
          <w:rFonts w:asciiTheme="minorHAnsi" w:hAnsiTheme="minorHAnsi" w:cstheme="minorHAnsi"/>
          <w:color w:val="000000" w:themeColor="text1"/>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D75BAB" w14:paraId="5E5C5BA6" w14:textId="77777777" w:rsidTr="0017596B">
        <w:trPr>
          <w:trHeight w:val="3372"/>
        </w:trPr>
        <w:tc>
          <w:tcPr>
            <w:tcW w:w="8080" w:type="dxa"/>
            <w:tcBorders>
              <w:top w:val="single" w:sz="12" w:space="0" w:color="auto"/>
              <w:left w:val="single" w:sz="12" w:space="0" w:color="auto"/>
              <w:bottom w:val="single" w:sz="12" w:space="0" w:color="auto"/>
              <w:right w:val="single" w:sz="12" w:space="0" w:color="auto"/>
            </w:tcBorders>
          </w:tcPr>
          <w:p w14:paraId="08649F9A" w14:textId="2914EF1B" w:rsidR="002A2188" w:rsidRPr="00D75BAB" w:rsidRDefault="002A2188" w:rsidP="00CB733B">
            <w:pPr>
              <w:pStyle w:val="Headingb"/>
              <w:rPr>
                <w:rFonts w:asciiTheme="minorHAnsi" w:hAnsiTheme="minorHAnsi" w:cstheme="minorHAnsi"/>
                <w:color w:val="000000" w:themeColor="text1"/>
              </w:rPr>
            </w:pPr>
            <w:r w:rsidRPr="00D75BAB">
              <w:rPr>
                <w:rFonts w:asciiTheme="minorHAnsi" w:hAnsiTheme="minorHAnsi" w:cstheme="minorHAnsi"/>
                <w:color w:val="000000" w:themeColor="text1"/>
              </w:rPr>
              <w:t>Summary</w:t>
            </w:r>
            <w:r w:rsidR="00A27441" w:rsidRPr="00D75BAB">
              <w:rPr>
                <w:rFonts w:asciiTheme="minorHAnsi" w:hAnsiTheme="minorHAnsi" w:cstheme="minorHAnsi"/>
                <w:color w:val="000000" w:themeColor="text1"/>
              </w:rPr>
              <w:t xml:space="preserve"> </w:t>
            </w:r>
          </w:p>
          <w:p w14:paraId="174B8627" w14:textId="10201146" w:rsidR="002A2188" w:rsidRPr="00D75BAB" w:rsidRDefault="00A27441" w:rsidP="00CB733B">
            <w:pPr>
              <w:jc w:val="both"/>
              <w:rPr>
                <w:rFonts w:asciiTheme="minorHAnsi" w:hAnsiTheme="minorHAnsi" w:cstheme="minorHAnsi"/>
                <w:color w:val="000000" w:themeColor="text1"/>
                <w:lang w:eastAsia="zh-CN"/>
              </w:rPr>
            </w:pPr>
            <w:r w:rsidRPr="00D75BAB">
              <w:rPr>
                <w:rFonts w:asciiTheme="minorHAnsi" w:hAnsiTheme="minorHAnsi" w:cstheme="minorHAnsi"/>
                <w:color w:val="000000" w:themeColor="text1"/>
              </w:rPr>
              <w:t xml:space="preserve">To provide a progress report </w:t>
            </w:r>
            <w:r w:rsidR="00111E12" w:rsidRPr="00D75BAB">
              <w:rPr>
                <w:rFonts w:asciiTheme="minorHAnsi" w:hAnsiTheme="minorHAnsi" w:cstheme="minorHAnsi"/>
                <w:color w:val="000000" w:themeColor="text1"/>
              </w:rPr>
              <w:t xml:space="preserve">and </w:t>
            </w:r>
            <w:r w:rsidRPr="00D75BAB">
              <w:rPr>
                <w:rFonts w:asciiTheme="minorHAnsi" w:hAnsiTheme="minorHAnsi" w:cstheme="minorHAnsi"/>
                <w:color w:val="000000" w:themeColor="text1"/>
              </w:rPr>
              <w:t>follow-up</w:t>
            </w:r>
            <w:r w:rsidR="00A4346C">
              <w:rPr>
                <w:rFonts w:asciiTheme="minorHAnsi" w:hAnsiTheme="minorHAnsi" w:cstheme="minorHAnsi"/>
                <w:color w:val="000000" w:themeColor="text1"/>
              </w:rPr>
              <w:t>,</w:t>
            </w:r>
            <w:r w:rsidRPr="00D75BAB">
              <w:rPr>
                <w:rFonts w:asciiTheme="minorHAnsi" w:hAnsiTheme="minorHAnsi" w:cstheme="minorHAnsi"/>
                <w:color w:val="000000" w:themeColor="text1"/>
              </w:rPr>
              <w:t xml:space="preserve"> </w:t>
            </w:r>
            <w:r w:rsidR="00111E12" w:rsidRPr="00D75BAB">
              <w:rPr>
                <w:rFonts w:asciiTheme="minorHAnsi" w:hAnsiTheme="minorHAnsi" w:cstheme="minorHAnsi"/>
                <w:color w:val="000000" w:themeColor="text1"/>
              </w:rPr>
              <w:t>on the progress made to date for the design and construction of the Union’s Headquarters Premises Project</w:t>
            </w:r>
            <w:r w:rsidRPr="00D75BAB">
              <w:rPr>
                <w:rFonts w:asciiTheme="minorHAnsi" w:hAnsiTheme="minorHAnsi" w:cstheme="minorHAnsi"/>
                <w:color w:val="000000" w:themeColor="text1"/>
              </w:rPr>
              <w:t>.</w:t>
            </w:r>
          </w:p>
          <w:p w14:paraId="47664A47" w14:textId="77777777" w:rsidR="002A2188" w:rsidRPr="00D75BAB" w:rsidRDefault="002A2188" w:rsidP="00CB733B">
            <w:pPr>
              <w:pStyle w:val="Headingb"/>
              <w:rPr>
                <w:rFonts w:asciiTheme="minorHAnsi" w:hAnsiTheme="minorHAnsi" w:cstheme="minorHAnsi"/>
                <w:color w:val="000000" w:themeColor="text1"/>
              </w:rPr>
            </w:pPr>
            <w:r w:rsidRPr="00D75BAB">
              <w:rPr>
                <w:rFonts w:asciiTheme="minorHAnsi" w:hAnsiTheme="minorHAnsi" w:cstheme="minorHAnsi"/>
                <w:color w:val="000000" w:themeColor="text1"/>
              </w:rPr>
              <w:t>Action required</w:t>
            </w:r>
          </w:p>
          <w:p w14:paraId="3A3C63E7" w14:textId="0D2F930D" w:rsidR="002A2188" w:rsidRPr="00536BF2" w:rsidRDefault="00037EC4" w:rsidP="00CB733B">
            <w:pPr>
              <w:jc w:val="both"/>
              <w:rPr>
                <w:rFonts w:asciiTheme="minorHAnsi" w:hAnsiTheme="minorHAnsi" w:cstheme="minorHAnsi"/>
                <w:color w:val="000000" w:themeColor="text1"/>
                <w:lang w:eastAsia="zh-CN"/>
              </w:rPr>
            </w:pPr>
            <w:r w:rsidRPr="00D75BAB">
              <w:rPr>
                <w:rFonts w:asciiTheme="minorHAnsi" w:hAnsiTheme="minorHAnsi" w:cstheme="minorHAnsi"/>
                <w:color w:val="000000" w:themeColor="text1"/>
              </w:rPr>
              <w:t xml:space="preserve">The Council is invited </w:t>
            </w:r>
            <w:r w:rsidRPr="00D75BAB">
              <w:rPr>
                <w:rFonts w:asciiTheme="minorHAnsi" w:hAnsiTheme="minorHAnsi" w:cstheme="minorHAnsi"/>
                <w:b/>
                <w:bCs/>
                <w:color w:val="000000" w:themeColor="text1"/>
              </w:rPr>
              <w:t xml:space="preserve">to </w:t>
            </w:r>
            <w:r w:rsidR="00712FC5">
              <w:rPr>
                <w:rFonts w:asciiTheme="minorHAnsi" w:hAnsiTheme="minorHAnsi" w:cstheme="minorHAnsi"/>
                <w:b/>
                <w:bCs/>
                <w:color w:val="000000" w:themeColor="text1"/>
              </w:rPr>
              <w:t>consider</w:t>
            </w:r>
            <w:r w:rsidR="00536BF2">
              <w:rPr>
                <w:rFonts w:asciiTheme="minorHAnsi" w:hAnsiTheme="minorHAnsi" w:cstheme="minorHAnsi"/>
                <w:b/>
                <w:bCs/>
                <w:color w:val="000000" w:themeColor="text1"/>
              </w:rPr>
              <w:t xml:space="preserve"> </w:t>
            </w:r>
            <w:r w:rsidR="00536BF2" w:rsidRPr="00CA7181">
              <w:rPr>
                <w:rFonts w:asciiTheme="minorHAnsi" w:hAnsiTheme="minorHAnsi" w:cstheme="minorHAnsi"/>
                <w:color w:val="000000" w:themeColor="text1"/>
              </w:rPr>
              <w:t>this report</w:t>
            </w:r>
            <w:r w:rsidR="00712FC5" w:rsidRPr="00CA7181">
              <w:rPr>
                <w:rFonts w:asciiTheme="minorHAnsi" w:hAnsiTheme="minorHAnsi" w:cstheme="minorHAnsi"/>
                <w:color w:val="000000" w:themeColor="text1"/>
              </w:rPr>
              <w:t>.</w:t>
            </w:r>
          </w:p>
          <w:p w14:paraId="3361D0D7" w14:textId="77777777" w:rsidR="002A2188" w:rsidRPr="00D75BAB" w:rsidRDefault="002A2188" w:rsidP="00CB733B">
            <w:pPr>
              <w:pStyle w:val="Headingb"/>
              <w:ind w:left="0" w:firstLine="0"/>
              <w:rPr>
                <w:rFonts w:asciiTheme="minorHAnsi" w:hAnsiTheme="minorHAnsi" w:cstheme="minorHAnsi"/>
                <w:color w:val="000000" w:themeColor="text1"/>
              </w:rPr>
            </w:pPr>
            <w:r w:rsidRPr="00D75BAB">
              <w:rPr>
                <w:rFonts w:asciiTheme="minorHAnsi" w:hAnsiTheme="minorHAnsi" w:cstheme="minorHAnsi"/>
                <w:color w:val="000000" w:themeColor="text1"/>
              </w:rPr>
              <w:t>References</w:t>
            </w:r>
          </w:p>
          <w:p w14:paraId="652883FD" w14:textId="2014C891" w:rsidR="002A2188" w:rsidRPr="00D75BAB" w:rsidRDefault="006C6A82" w:rsidP="00CB733B">
            <w:pPr>
              <w:spacing w:after="120"/>
              <w:rPr>
                <w:rFonts w:asciiTheme="minorHAnsi" w:hAnsiTheme="minorHAnsi" w:cstheme="minorHAnsi"/>
                <w:i/>
                <w:iCs/>
                <w:color w:val="000000" w:themeColor="text1"/>
              </w:rPr>
            </w:pPr>
            <w:hyperlink r:id="rId12" w:history="1">
              <w:r w:rsidR="00B63555" w:rsidRPr="00A71303">
                <w:rPr>
                  <w:rStyle w:val="Hyperlink"/>
                </w:rPr>
                <w:t>Council Decision 588</w:t>
              </w:r>
            </w:hyperlink>
            <w:r w:rsidR="00B63555" w:rsidRPr="00A71303">
              <w:rPr>
                <w:rStyle w:val="Hyperlink"/>
                <w:u w:val="none"/>
              </w:rPr>
              <w:t xml:space="preserve">; </w:t>
            </w:r>
            <w:hyperlink r:id="rId13" w:history="1">
              <w:r w:rsidR="00B63555" w:rsidRPr="00A71303">
                <w:rPr>
                  <w:rStyle w:val="Hyperlink"/>
                </w:rPr>
                <w:t>Resolution 212 (Dubai, 2018)</w:t>
              </w:r>
            </w:hyperlink>
            <w:r w:rsidR="00B63555" w:rsidRPr="00A71303">
              <w:rPr>
                <w:rStyle w:val="Hyperlink"/>
                <w:u w:val="none"/>
              </w:rPr>
              <w:t xml:space="preserve">; </w:t>
            </w:r>
            <w:hyperlink r:id="rId14" w:history="1">
              <w:r w:rsidR="00B63555" w:rsidRPr="00A71303">
                <w:rPr>
                  <w:rStyle w:val="Hyperlink"/>
                </w:rPr>
                <w:t>C18/123+Add 1</w:t>
              </w:r>
            </w:hyperlink>
            <w:r w:rsidR="00B63555" w:rsidRPr="00A71303">
              <w:rPr>
                <w:rStyle w:val="Hyperlink"/>
                <w:u w:val="none"/>
              </w:rPr>
              <w:t xml:space="preserve">; </w:t>
            </w:r>
            <w:hyperlink r:id="rId15" w:history="1">
              <w:r w:rsidR="00B63555" w:rsidRPr="00A71303">
                <w:rPr>
                  <w:rStyle w:val="Hyperlink"/>
                </w:rPr>
                <w:t>DL/12</w:t>
              </w:r>
            </w:hyperlink>
            <w:r w:rsidR="00B63555" w:rsidRPr="00A71303">
              <w:rPr>
                <w:rStyle w:val="Hyperlink"/>
                <w:u w:val="none"/>
              </w:rPr>
              <w:t xml:space="preserve">, </w:t>
            </w:r>
            <w:hyperlink r:id="rId16" w:history="1">
              <w:r w:rsidR="00B63555" w:rsidRPr="00A71303">
                <w:rPr>
                  <w:rStyle w:val="Hyperlink"/>
                </w:rPr>
                <w:t>C16/7</w:t>
              </w:r>
            </w:hyperlink>
            <w:r w:rsidR="00B63555" w:rsidRPr="00A71303">
              <w:rPr>
                <w:rStyle w:val="Hyperlink"/>
                <w:u w:val="none"/>
              </w:rPr>
              <w:t xml:space="preserve">; </w:t>
            </w:r>
            <w:hyperlink r:id="rId17" w:history="1">
              <w:r w:rsidR="00B63555" w:rsidRPr="00A71303">
                <w:rPr>
                  <w:rStyle w:val="Hyperlink"/>
                </w:rPr>
                <w:t>C19-ADD/2(Rev.1)</w:t>
              </w:r>
            </w:hyperlink>
            <w:r w:rsidR="00B63555" w:rsidRPr="007A65D0">
              <w:rPr>
                <w:rStyle w:val="Hyperlink"/>
                <w:u w:val="none"/>
              </w:rPr>
              <w:t xml:space="preserve">; </w:t>
            </w:r>
            <w:hyperlink r:id="rId18" w:history="1">
              <w:r w:rsidR="00B63555" w:rsidRPr="00A71303">
                <w:rPr>
                  <w:rStyle w:val="Hyperlink"/>
                </w:rPr>
                <w:t>Council Decision 619</w:t>
              </w:r>
            </w:hyperlink>
            <w:r w:rsidR="00B63555" w:rsidRPr="00A71303">
              <w:rPr>
                <w:rStyle w:val="Hyperlink"/>
                <w:u w:val="none"/>
              </w:rPr>
              <w:t>;</w:t>
            </w:r>
            <w:r w:rsidR="00B63555" w:rsidRPr="00D75BAB">
              <w:rPr>
                <w:rFonts w:asciiTheme="minorHAnsi" w:hAnsiTheme="minorHAnsi" w:cstheme="minorHAnsi"/>
                <w:color w:val="000000" w:themeColor="text1"/>
              </w:rPr>
              <w:t xml:space="preserve"> </w:t>
            </w:r>
            <w:hyperlink r:id="rId19" w:history="1">
              <w:r w:rsidR="00A91F12" w:rsidRPr="00163C86">
                <w:rPr>
                  <w:rStyle w:val="Hyperlink"/>
                  <w:rFonts w:asciiTheme="minorHAnsi" w:hAnsiTheme="minorHAnsi" w:cstheme="minorHAnsi"/>
                  <w:szCs w:val="22"/>
                  <w:lang w:eastAsia="zh-CN"/>
                </w:rPr>
                <w:t xml:space="preserve">Document </w:t>
              </w:r>
              <w:r w:rsidR="00163C86" w:rsidRPr="00163C86">
                <w:rPr>
                  <w:rStyle w:val="Hyperlink"/>
                  <w:rFonts w:asciiTheme="minorHAnsi" w:hAnsiTheme="minorHAnsi" w:cstheme="minorHAnsi"/>
                  <w:szCs w:val="22"/>
                  <w:lang w:eastAsia="zh-CN"/>
                </w:rPr>
                <w:t>C</w:t>
              </w:r>
              <w:r w:rsidR="00A91F12" w:rsidRPr="00163C86">
                <w:rPr>
                  <w:rStyle w:val="Hyperlink"/>
                  <w:rFonts w:asciiTheme="minorHAnsi" w:hAnsiTheme="minorHAnsi" w:cstheme="minorHAnsi"/>
                  <w:szCs w:val="22"/>
                  <w:lang w:eastAsia="zh-CN"/>
                </w:rPr>
                <w:t>20/37</w:t>
              </w:r>
            </w:hyperlink>
            <w:r w:rsidR="00A91F12" w:rsidRPr="007A65D0">
              <w:rPr>
                <w:rFonts w:asciiTheme="minorHAnsi" w:hAnsiTheme="minorHAnsi" w:cstheme="minorHAnsi"/>
                <w:color w:val="000000"/>
                <w:szCs w:val="22"/>
                <w:lang w:eastAsia="zh-CN"/>
              </w:rPr>
              <w:t>;</w:t>
            </w:r>
            <w:r w:rsidR="006E3341" w:rsidRPr="007A65D0">
              <w:rPr>
                <w:rFonts w:asciiTheme="minorHAnsi" w:hAnsiTheme="minorHAnsi" w:cstheme="minorHAnsi"/>
              </w:rPr>
              <w:t xml:space="preserve"> </w:t>
            </w:r>
            <w:hyperlink r:id="rId20" w:history="1">
              <w:r w:rsidR="006E3341" w:rsidRPr="00163C86">
                <w:rPr>
                  <w:rStyle w:val="Hyperlink"/>
                  <w:rFonts w:asciiTheme="minorHAnsi" w:hAnsiTheme="minorHAnsi" w:cstheme="minorHAnsi"/>
                </w:rPr>
                <w:t>C20/29</w:t>
              </w:r>
            </w:hyperlink>
            <w:r w:rsidR="00043736">
              <w:rPr>
                <w:rFonts w:asciiTheme="minorHAnsi" w:hAnsiTheme="minorHAnsi" w:cstheme="minorHAnsi"/>
              </w:rPr>
              <w:t xml:space="preserve">; </w:t>
            </w:r>
            <w:hyperlink r:id="rId21" w:history="1">
              <w:r w:rsidR="008749D5" w:rsidRPr="00163C86">
                <w:rPr>
                  <w:rStyle w:val="Hyperlink"/>
                </w:rPr>
                <w:t>C20/53</w:t>
              </w:r>
            </w:hyperlink>
            <w:r w:rsidR="008749D5">
              <w:t xml:space="preserve">; </w:t>
            </w:r>
            <w:hyperlink r:id="rId22" w:history="1">
              <w:r w:rsidR="008749D5" w:rsidRPr="00163C86">
                <w:rPr>
                  <w:rStyle w:val="Hyperlink"/>
                </w:rPr>
                <w:t>C20/15</w:t>
              </w:r>
            </w:hyperlink>
            <w:r w:rsidR="00FE0909">
              <w:rPr>
                <w:rStyle w:val="Hyperlink"/>
              </w:rPr>
              <w:t xml:space="preserve">; </w:t>
            </w:r>
            <w:hyperlink r:id="rId23" w:history="1">
              <w:r w:rsidR="00FE0909" w:rsidRPr="00FE0909">
                <w:rPr>
                  <w:rStyle w:val="Hyperlink"/>
                </w:rPr>
                <w:t>C20/7</w:t>
              </w:r>
            </w:hyperlink>
          </w:p>
        </w:tc>
      </w:tr>
    </w:tbl>
    <w:p w14:paraId="510F0327" w14:textId="5BA4D55B" w:rsidR="0086489C" w:rsidRPr="00D75BAB" w:rsidRDefault="0086489C" w:rsidP="006C6A82">
      <w:pPr>
        <w:pStyle w:val="ListParagraph"/>
        <w:numPr>
          <w:ilvl w:val="0"/>
          <w:numId w:val="2"/>
        </w:numPr>
        <w:spacing w:before="600" w:after="120"/>
        <w:ind w:left="0" w:firstLine="0"/>
        <w:jc w:val="both"/>
        <w:rPr>
          <w:rFonts w:asciiTheme="minorHAnsi" w:hAnsiTheme="minorHAnsi" w:cstheme="minorHAnsi"/>
          <w:b/>
          <w:bCs/>
          <w:color w:val="000000" w:themeColor="text1"/>
          <w:sz w:val="28"/>
          <w:szCs w:val="28"/>
          <w:lang w:val="en-GB" w:eastAsia="ja-JP"/>
        </w:rPr>
      </w:pPr>
      <w:bookmarkStart w:id="7" w:name="dstart"/>
      <w:bookmarkStart w:id="8" w:name="dbreak"/>
      <w:bookmarkEnd w:id="7"/>
      <w:bookmarkEnd w:id="8"/>
      <w:r w:rsidRPr="00D75BAB">
        <w:rPr>
          <w:rFonts w:asciiTheme="minorHAnsi" w:hAnsiTheme="minorHAnsi" w:cstheme="minorHAnsi"/>
          <w:b/>
          <w:bCs/>
          <w:color w:val="000000" w:themeColor="text1"/>
          <w:sz w:val="28"/>
          <w:szCs w:val="28"/>
          <w:lang w:val="en-GB" w:eastAsia="ja-JP"/>
        </w:rPr>
        <w:t>Introduction</w:t>
      </w:r>
    </w:p>
    <w:p w14:paraId="47F8D0A6" w14:textId="762AFB3A" w:rsidR="0086489C" w:rsidRPr="00D75BAB" w:rsidRDefault="0086489C" w:rsidP="006C6A82">
      <w:pPr>
        <w:pStyle w:val="ListParagraph"/>
        <w:ind w:left="0"/>
        <w:jc w:val="both"/>
        <w:rPr>
          <w:rFonts w:asciiTheme="minorHAnsi" w:hAnsiTheme="minorHAnsi" w:cstheme="minorHAnsi"/>
          <w:color w:val="000000" w:themeColor="text1"/>
          <w:sz w:val="24"/>
        </w:rPr>
      </w:pPr>
      <w:r w:rsidRPr="00D75BAB">
        <w:rPr>
          <w:rFonts w:asciiTheme="minorHAnsi" w:hAnsiTheme="minorHAnsi" w:cstheme="minorHAnsi"/>
          <w:color w:val="000000" w:themeColor="text1"/>
          <w:sz w:val="24"/>
        </w:rPr>
        <w:t xml:space="preserve">Decision 619 was adopted at the additional session of the Council held in Geneva on 27 September 2019, approving the final direct </w:t>
      </w:r>
      <w:r w:rsidR="00A4346C">
        <w:rPr>
          <w:rFonts w:asciiTheme="minorHAnsi" w:hAnsiTheme="minorHAnsi" w:cstheme="minorHAnsi"/>
          <w:color w:val="000000" w:themeColor="text1"/>
          <w:sz w:val="24"/>
        </w:rPr>
        <w:t>P</w:t>
      </w:r>
      <w:r w:rsidRPr="00D75BAB">
        <w:rPr>
          <w:rFonts w:asciiTheme="minorHAnsi" w:hAnsiTheme="minorHAnsi" w:cstheme="minorHAnsi"/>
          <w:color w:val="000000" w:themeColor="text1"/>
          <w:sz w:val="24"/>
        </w:rPr>
        <w:t>roject cost of the Union’s New Headquarters Building of CHF</w:t>
      </w:r>
      <w:r w:rsidR="006C6A82">
        <w:rPr>
          <w:rFonts w:asciiTheme="minorHAnsi" w:hAnsiTheme="minorHAnsi" w:cstheme="minorHAnsi"/>
          <w:color w:val="000000" w:themeColor="text1"/>
          <w:sz w:val="24"/>
        </w:rPr>
        <w:t> </w:t>
      </w:r>
      <w:r w:rsidRPr="00D75BAB">
        <w:rPr>
          <w:rFonts w:asciiTheme="minorHAnsi" w:hAnsiTheme="minorHAnsi" w:cstheme="minorHAnsi"/>
          <w:color w:val="000000" w:themeColor="text1"/>
          <w:sz w:val="24"/>
        </w:rPr>
        <w:t>170,139,000, as described in C19-ADD/2, financed entirely by the available funding of CHF 150,000,000 host country loan, CHF 15,140,000 sponsorships and donations, and CHF</w:t>
      </w:r>
      <w:r w:rsidR="007A65D0">
        <w:rPr>
          <w:rFonts w:asciiTheme="minorHAnsi" w:hAnsiTheme="minorHAnsi" w:cstheme="minorHAnsi"/>
          <w:color w:val="000000" w:themeColor="text1"/>
          <w:sz w:val="24"/>
        </w:rPr>
        <w:t> </w:t>
      </w:r>
      <w:r w:rsidRPr="00D75BAB">
        <w:rPr>
          <w:rFonts w:asciiTheme="minorHAnsi" w:hAnsiTheme="minorHAnsi" w:cstheme="minorHAnsi"/>
          <w:color w:val="000000" w:themeColor="text1"/>
          <w:sz w:val="24"/>
        </w:rPr>
        <w:t>5,000,000 new building fund</w:t>
      </w:r>
      <w:r w:rsidR="00FE0909">
        <w:rPr>
          <w:rFonts w:asciiTheme="minorHAnsi" w:hAnsiTheme="minorHAnsi" w:cstheme="minorHAnsi"/>
          <w:color w:val="000000" w:themeColor="text1"/>
          <w:sz w:val="24"/>
        </w:rPr>
        <w:t>.</w:t>
      </w:r>
      <w:r w:rsidR="00FE0909" w:rsidRPr="00017000">
        <w:rPr>
          <w:rFonts w:asciiTheme="minorHAnsi" w:hAnsiTheme="minorHAnsi" w:cstheme="minorHAnsi"/>
          <w:color w:val="000000" w:themeColor="text1"/>
          <w:sz w:val="24"/>
        </w:rPr>
        <w:t xml:space="preserve"> </w:t>
      </w:r>
      <w:r w:rsidR="00FE0909">
        <w:rPr>
          <w:rFonts w:asciiTheme="minorHAnsi" w:hAnsiTheme="minorHAnsi" w:cstheme="minorHAnsi"/>
          <w:color w:val="000000" w:themeColor="text1"/>
          <w:sz w:val="24"/>
        </w:rPr>
        <w:t>To date the project cost is unchanged.</w:t>
      </w:r>
    </w:p>
    <w:p w14:paraId="2F695635" w14:textId="77777777" w:rsidR="0086489C" w:rsidRPr="00D75BAB" w:rsidRDefault="0086489C" w:rsidP="00CB733B">
      <w:pPr>
        <w:pStyle w:val="ListParagraph"/>
        <w:numPr>
          <w:ilvl w:val="0"/>
          <w:numId w:val="2"/>
        </w:numPr>
        <w:spacing w:before="360" w:after="120"/>
        <w:ind w:left="0" w:firstLine="0"/>
        <w:jc w:val="both"/>
        <w:rPr>
          <w:rFonts w:asciiTheme="minorHAnsi" w:hAnsiTheme="minorHAnsi" w:cstheme="minorHAnsi"/>
          <w:b/>
          <w:bCs/>
          <w:color w:val="000000" w:themeColor="text1"/>
          <w:sz w:val="28"/>
          <w:szCs w:val="28"/>
          <w:lang w:val="en-GB" w:eastAsia="ja-JP"/>
        </w:rPr>
      </w:pPr>
      <w:r w:rsidRPr="00D75BAB">
        <w:rPr>
          <w:rFonts w:asciiTheme="minorHAnsi" w:hAnsiTheme="minorHAnsi" w:cstheme="minorHAnsi"/>
          <w:b/>
          <w:bCs/>
          <w:color w:val="000000" w:themeColor="text1"/>
          <w:sz w:val="28"/>
          <w:szCs w:val="28"/>
          <w:lang w:val="en-GB" w:eastAsia="ja-JP"/>
        </w:rPr>
        <w:t>Background</w:t>
      </w:r>
    </w:p>
    <w:p w14:paraId="760F5EAD" w14:textId="5EA82005" w:rsidR="00FE0909" w:rsidRDefault="0086489C" w:rsidP="00CB733B">
      <w:pPr>
        <w:pStyle w:val="ListParagraph"/>
        <w:spacing w:after="120"/>
        <w:ind w:left="0"/>
        <w:jc w:val="both"/>
        <w:rPr>
          <w:rFonts w:asciiTheme="minorHAnsi" w:hAnsiTheme="minorHAnsi" w:cstheme="minorHAnsi"/>
          <w:color w:val="000000" w:themeColor="text1"/>
          <w:sz w:val="24"/>
        </w:rPr>
      </w:pPr>
      <w:r w:rsidRPr="00D75BAB">
        <w:rPr>
          <w:rFonts w:asciiTheme="minorHAnsi" w:hAnsiTheme="minorHAnsi" w:cstheme="minorHAnsi"/>
          <w:b/>
          <w:bCs/>
          <w:color w:val="000000" w:themeColor="text1"/>
          <w:sz w:val="24"/>
        </w:rPr>
        <w:t>2.1</w:t>
      </w:r>
      <w:r w:rsidRPr="00D75BAB">
        <w:rPr>
          <w:rFonts w:asciiTheme="minorHAnsi" w:hAnsiTheme="minorHAnsi" w:cstheme="minorHAnsi"/>
          <w:color w:val="000000" w:themeColor="text1"/>
          <w:sz w:val="24"/>
        </w:rPr>
        <w:tab/>
        <w:t xml:space="preserve">At its </w:t>
      </w:r>
      <w:r w:rsidR="006632C7">
        <w:rPr>
          <w:rFonts w:asciiTheme="minorHAnsi" w:hAnsiTheme="minorHAnsi" w:cstheme="minorHAnsi"/>
          <w:color w:val="000000" w:themeColor="text1"/>
          <w:sz w:val="24"/>
        </w:rPr>
        <w:t>additional</w:t>
      </w:r>
      <w:r w:rsidR="006632C7" w:rsidRPr="00D75BAB">
        <w:rPr>
          <w:rFonts w:asciiTheme="minorHAnsi" w:hAnsiTheme="minorHAnsi" w:cstheme="minorHAnsi"/>
          <w:color w:val="000000" w:themeColor="text1"/>
          <w:sz w:val="24"/>
        </w:rPr>
        <w:t xml:space="preserve"> </w:t>
      </w:r>
      <w:r w:rsidRPr="00D75BAB">
        <w:rPr>
          <w:rFonts w:asciiTheme="minorHAnsi" w:hAnsiTheme="minorHAnsi" w:cstheme="minorHAnsi"/>
          <w:color w:val="000000" w:themeColor="text1"/>
          <w:sz w:val="24"/>
        </w:rPr>
        <w:t xml:space="preserve">session, the Council instructed the Secretary-General to provide progress on activities that must be </w:t>
      </w:r>
      <w:r w:rsidR="00F20029">
        <w:rPr>
          <w:rFonts w:asciiTheme="minorHAnsi" w:hAnsiTheme="minorHAnsi" w:cstheme="minorHAnsi"/>
          <w:color w:val="000000" w:themeColor="text1"/>
          <w:sz w:val="24"/>
        </w:rPr>
        <w:t>p</w:t>
      </w:r>
      <w:r w:rsidR="009733D3">
        <w:rPr>
          <w:rFonts w:asciiTheme="minorHAnsi" w:hAnsiTheme="minorHAnsi" w:cstheme="minorHAnsi"/>
          <w:color w:val="000000" w:themeColor="text1"/>
          <w:sz w:val="24"/>
        </w:rPr>
        <w:t>u</w:t>
      </w:r>
      <w:r w:rsidR="00F20029">
        <w:rPr>
          <w:rFonts w:asciiTheme="minorHAnsi" w:hAnsiTheme="minorHAnsi" w:cstheme="minorHAnsi"/>
          <w:color w:val="000000" w:themeColor="text1"/>
          <w:sz w:val="24"/>
        </w:rPr>
        <w:t>rs</w:t>
      </w:r>
      <w:r w:rsidRPr="00D75BAB">
        <w:rPr>
          <w:rFonts w:asciiTheme="minorHAnsi" w:hAnsiTheme="minorHAnsi" w:cstheme="minorHAnsi"/>
          <w:color w:val="000000" w:themeColor="text1"/>
          <w:sz w:val="24"/>
        </w:rPr>
        <w:t>ued and to report back at the Council session in June 2020.</w:t>
      </w:r>
      <w:r w:rsidR="00FE0909">
        <w:rPr>
          <w:rFonts w:asciiTheme="minorHAnsi" w:hAnsiTheme="minorHAnsi" w:cstheme="minorHAnsi"/>
          <w:color w:val="000000" w:themeColor="text1"/>
          <w:sz w:val="24"/>
        </w:rPr>
        <w:t xml:space="preserve"> Because of the </w:t>
      </w:r>
      <w:r w:rsidR="00817CFD">
        <w:rPr>
          <w:rFonts w:asciiTheme="minorHAnsi" w:hAnsiTheme="minorHAnsi" w:cstheme="minorHAnsi"/>
          <w:color w:val="000000" w:themeColor="text1"/>
          <w:sz w:val="24"/>
        </w:rPr>
        <w:t>p</w:t>
      </w:r>
      <w:r w:rsidR="00FE0909">
        <w:rPr>
          <w:rFonts w:asciiTheme="minorHAnsi" w:hAnsiTheme="minorHAnsi" w:cstheme="minorHAnsi"/>
          <w:color w:val="000000" w:themeColor="text1"/>
          <w:sz w:val="24"/>
        </w:rPr>
        <w:t xml:space="preserve">andemic outbreak, instead of a physical meeting which has been postponed to a later date. a virtual consultation of </w:t>
      </w:r>
      <w:r w:rsidR="00817CFD">
        <w:rPr>
          <w:rFonts w:asciiTheme="minorHAnsi" w:hAnsiTheme="minorHAnsi" w:cstheme="minorHAnsi"/>
          <w:color w:val="000000" w:themeColor="text1"/>
          <w:sz w:val="24"/>
        </w:rPr>
        <w:t>c</w:t>
      </w:r>
      <w:r w:rsidR="00FE0909">
        <w:rPr>
          <w:rFonts w:asciiTheme="minorHAnsi" w:hAnsiTheme="minorHAnsi" w:cstheme="minorHAnsi"/>
          <w:color w:val="000000" w:themeColor="text1"/>
          <w:sz w:val="24"/>
        </w:rPr>
        <w:t>ouncil</w:t>
      </w:r>
      <w:r w:rsidR="00817CFD">
        <w:rPr>
          <w:rFonts w:asciiTheme="minorHAnsi" w:hAnsiTheme="minorHAnsi" w:cstheme="minorHAnsi"/>
          <w:color w:val="000000" w:themeColor="text1"/>
          <w:sz w:val="24"/>
        </w:rPr>
        <w:t>l</w:t>
      </w:r>
      <w:r w:rsidR="00FE0909">
        <w:rPr>
          <w:rFonts w:asciiTheme="minorHAnsi" w:hAnsiTheme="minorHAnsi" w:cstheme="minorHAnsi"/>
          <w:color w:val="000000" w:themeColor="text1"/>
          <w:sz w:val="24"/>
        </w:rPr>
        <w:t>ors took place in June 2020.</w:t>
      </w:r>
    </w:p>
    <w:p w14:paraId="07D291B3" w14:textId="6377629F" w:rsidR="00FE0909" w:rsidRPr="006C6A82" w:rsidRDefault="00FE0909" w:rsidP="00CB733B">
      <w:pPr>
        <w:pStyle w:val="ListParagraph"/>
        <w:spacing w:after="120"/>
        <w:ind w:left="0"/>
        <w:jc w:val="both"/>
        <w:rPr>
          <w:rFonts w:asciiTheme="minorHAnsi" w:hAnsiTheme="minorHAnsi" w:cstheme="minorHAnsi"/>
          <w:sz w:val="24"/>
          <w:szCs w:val="28"/>
        </w:rPr>
      </w:pPr>
      <w:r w:rsidRPr="006C6A82">
        <w:rPr>
          <w:rFonts w:asciiTheme="minorHAnsi" w:hAnsiTheme="minorHAnsi" w:cstheme="minorHAnsi"/>
          <w:sz w:val="24"/>
          <w:szCs w:val="28"/>
        </w:rPr>
        <w:t>The virtual consultation proposed to the next physical meeting of the Council to note the report contained in Document C20/7.</w:t>
      </w:r>
    </w:p>
    <w:p w14:paraId="342C34DA" w14:textId="72E14BDC" w:rsidR="00FE0909" w:rsidRDefault="00FE0909" w:rsidP="00CB733B">
      <w:pPr>
        <w:spacing w:before="0" w:after="120"/>
        <w:jc w:val="both"/>
        <w:rPr>
          <w:szCs w:val="24"/>
        </w:rPr>
      </w:pPr>
      <w:r>
        <w:rPr>
          <w:szCs w:val="24"/>
        </w:rPr>
        <w:lastRenderedPageBreak/>
        <w:t xml:space="preserve">As requested by the </w:t>
      </w:r>
      <w:r w:rsidR="00817CFD">
        <w:rPr>
          <w:szCs w:val="24"/>
        </w:rPr>
        <w:t>c</w:t>
      </w:r>
      <w:r>
        <w:rPr>
          <w:szCs w:val="24"/>
        </w:rPr>
        <w:t>ouncillors, this status report is being</w:t>
      </w:r>
      <w:r w:rsidRPr="005E631D">
        <w:rPr>
          <w:szCs w:val="24"/>
        </w:rPr>
        <w:t xml:space="preserve"> updated by the secretariat </w:t>
      </w:r>
      <w:r>
        <w:rPr>
          <w:szCs w:val="24"/>
        </w:rPr>
        <w:t>and</w:t>
      </w:r>
      <w:r w:rsidRPr="005E631D">
        <w:rPr>
          <w:szCs w:val="24"/>
        </w:rPr>
        <w:t xml:space="preserve"> repl</w:t>
      </w:r>
      <w:r>
        <w:rPr>
          <w:szCs w:val="24"/>
        </w:rPr>
        <w:t>ies</w:t>
      </w:r>
      <w:r w:rsidRPr="005E631D">
        <w:rPr>
          <w:szCs w:val="24"/>
        </w:rPr>
        <w:t xml:space="preserve"> to the questions raised and comments made during the</w:t>
      </w:r>
      <w:r>
        <w:rPr>
          <w:szCs w:val="24"/>
        </w:rPr>
        <w:t xml:space="preserve"> virtual consultation.</w:t>
      </w:r>
    </w:p>
    <w:p w14:paraId="771D0A4A" w14:textId="48283447" w:rsidR="0086489C" w:rsidRPr="00FE0909" w:rsidRDefault="00FE0909" w:rsidP="00CB733B">
      <w:pPr>
        <w:spacing w:before="0" w:after="120"/>
        <w:jc w:val="both"/>
        <w:rPr>
          <w:rFonts w:asciiTheme="minorHAnsi" w:hAnsiTheme="minorHAnsi" w:cstheme="minorHAnsi"/>
          <w:color w:val="000000" w:themeColor="text1"/>
        </w:rPr>
      </w:pPr>
      <w:r w:rsidRPr="005E631D">
        <w:rPr>
          <w:szCs w:val="24"/>
        </w:rPr>
        <w:t xml:space="preserve">Further, </w:t>
      </w:r>
      <w:r>
        <w:rPr>
          <w:szCs w:val="24"/>
        </w:rPr>
        <w:t xml:space="preserve">the </w:t>
      </w:r>
      <w:r w:rsidR="00817CFD">
        <w:rPr>
          <w:szCs w:val="24"/>
        </w:rPr>
        <w:t>c</w:t>
      </w:r>
      <w:r>
        <w:rPr>
          <w:szCs w:val="24"/>
        </w:rPr>
        <w:t xml:space="preserve">ouncillors </w:t>
      </w:r>
      <w:r w:rsidRPr="005E631D">
        <w:rPr>
          <w:szCs w:val="24"/>
        </w:rPr>
        <w:t>encouraged the secretariat to prepare considerations on the impact of COVID-19</w:t>
      </w:r>
      <w:r>
        <w:rPr>
          <w:szCs w:val="24"/>
        </w:rPr>
        <w:t xml:space="preserve">, </w:t>
      </w:r>
      <w:r w:rsidRPr="005E631D">
        <w:rPr>
          <w:szCs w:val="24"/>
        </w:rPr>
        <w:t xml:space="preserve">conduct further investigations on the different sale options of the Tower for the next MSAG meeting and report to the next physical meeting of the Council. </w:t>
      </w:r>
    </w:p>
    <w:p w14:paraId="3020AD53" w14:textId="77777777" w:rsidR="0086489C" w:rsidRPr="00D75BAB" w:rsidRDefault="0086489C" w:rsidP="00CB733B">
      <w:pPr>
        <w:pStyle w:val="ListParagraph"/>
        <w:keepNext/>
        <w:keepLines/>
        <w:numPr>
          <w:ilvl w:val="0"/>
          <w:numId w:val="2"/>
        </w:numPr>
        <w:spacing w:before="360" w:after="120"/>
        <w:ind w:left="0" w:firstLine="0"/>
        <w:jc w:val="both"/>
        <w:rPr>
          <w:rFonts w:asciiTheme="minorHAnsi" w:hAnsiTheme="minorHAnsi" w:cstheme="minorHAnsi"/>
          <w:b/>
          <w:bCs/>
          <w:color w:val="000000" w:themeColor="text1"/>
          <w:sz w:val="28"/>
          <w:szCs w:val="28"/>
          <w:lang w:val="en-GB" w:eastAsia="ja-JP"/>
        </w:rPr>
      </w:pPr>
      <w:r w:rsidRPr="00D75BAB">
        <w:rPr>
          <w:rFonts w:asciiTheme="minorHAnsi" w:hAnsiTheme="minorHAnsi" w:cstheme="minorHAnsi"/>
          <w:b/>
          <w:bCs/>
          <w:color w:val="000000" w:themeColor="text1"/>
          <w:sz w:val="28"/>
          <w:szCs w:val="28"/>
          <w:lang w:val="en-GB" w:eastAsia="ja-JP"/>
        </w:rPr>
        <w:t>Project Status Report</w:t>
      </w:r>
    </w:p>
    <w:p w14:paraId="70A6071E" w14:textId="496A5D49" w:rsidR="0086489C" w:rsidRPr="00D75BAB" w:rsidRDefault="0086489C" w:rsidP="00CB733B">
      <w:pPr>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3.1</w:t>
      </w:r>
      <w:r w:rsidRPr="00D75BAB">
        <w:rPr>
          <w:rFonts w:asciiTheme="minorHAnsi" w:hAnsiTheme="minorHAnsi" w:cstheme="minorHAnsi"/>
          <w:b/>
          <w:bCs/>
          <w:color w:val="000000" w:themeColor="text1"/>
        </w:rPr>
        <w:tab/>
        <w:t>Design update</w:t>
      </w:r>
    </w:p>
    <w:p w14:paraId="45FFD497" w14:textId="76DA5AF9" w:rsidR="005D7E0A" w:rsidRPr="00D75BAB" w:rsidRDefault="00935030" w:rsidP="00CB733B">
      <w:pPr>
        <w:spacing w:before="240" w:after="120"/>
        <w:jc w:val="both"/>
        <w:rPr>
          <w:rFonts w:asciiTheme="minorHAnsi" w:hAnsiTheme="minorHAnsi" w:cstheme="minorHAnsi"/>
          <w:color w:val="000000" w:themeColor="text1"/>
          <w:lang w:val="en-US"/>
        </w:rPr>
      </w:pPr>
      <w:r w:rsidRPr="00D75BAB">
        <w:rPr>
          <w:rFonts w:asciiTheme="minorHAnsi" w:hAnsiTheme="minorHAnsi" w:cstheme="minorHAnsi"/>
          <w:color w:val="000000" w:themeColor="text1"/>
          <w:lang w:val="en-US"/>
        </w:rPr>
        <w:t xml:space="preserve">Phases 4.32 and 4.33 </w:t>
      </w:r>
      <w:r w:rsidR="00FE0909">
        <w:rPr>
          <w:rFonts w:asciiTheme="minorHAnsi" w:hAnsiTheme="minorHAnsi" w:cstheme="minorHAnsi"/>
          <w:color w:val="000000" w:themeColor="text1"/>
          <w:lang w:val="en-US"/>
        </w:rPr>
        <w:t>are being</w:t>
      </w:r>
      <w:r w:rsidRPr="00D75BAB">
        <w:rPr>
          <w:rFonts w:asciiTheme="minorHAnsi" w:hAnsiTheme="minorHAnsi" w:cstheme="minorHAnsi"/>
          <w:color w:val="000000" w:themeColor="text1"/>
          <w:lang w:val="en-US"/>
        </w:rPr>
        <w:t xml:space="preserve"> developed in parallel as </w:t>
      </w:r>
      <w:r w:rsidR="00111E12" w:rsidRPr="00D75BAB">
        <w:rPr>
          <w:rFonts w:asciiTheme="minorHAnsi" w:hAnsiTheme="minorHAnsi" w:cstheme="minorHAnsi"/>
          <w:color w:val="000000" w:themeColor="text1"/>
          <w:lang w:val="en-US"/>
        </w:rPr>
        <w:t xml:space="preserve">the </w:t>
      </w:r>
      <w:r w:rsidR="00A4346C">
        <w:rPr>
          <w:rFonts w:asciiTheme="minorHAnsi" w:hAnsiTheme="minorHAnsi" w:cstheme="minorHAnsi"/>
          <w:color w:val="000000" w:themeColor="text1"/>
          <w:lang w:val="en-US"/>
        </w:rPr>
        <w:t>P</w:t>
      </w:r>
      <w:r w:rsidR="00111E12" w:rsidRPr="00D75BAB">
        <w:rPr>
          <w:rFonts w:asciiTheme="minorHAnsi" w:hAnsiTheme="minorHAnsi" w:cstheme="minorHAnsi"/>
          <w:color w:val="000000" w:themeColor="text1"/>
          <w:lang w:val="en-US"/>
        </w:rPr>
        <w:t>roject evolves</w:t>
      </w:r>
      <w:r w:rsidR="00FE0909">
        <w:rPr>
          <w:rFonts w:asciiTheme="minorHAnsi" w:hAnsiTheme="minorHAnsi" w:cstheme="minorHAnsi"/>
          <w:color w:val="000000" w:themeColor="text1"/>
          <w:lang w:val="en-US"/>
        </w:rPr>
        <w:t xml:space="preserve"> and are scheduled for completion as planned by the end of this year</w:t>
      </w:r>
      <w:r w:rsidR="00111E12" w:rsidRPr="00D75BAB">
        <w:rPr>
          <w:rFonts w:asciiTheme="minorHAnsi" w:hAnsiTheme="minorHAnsi" w:cstheme="minorHAnsi"/>
          <w:color w:val="000000" w:themeColor="text1"/>
          <w:lang w:val="en-US"/>
        </w:rPr>
        <w:t>.</w:t>
      </w:r>
    </w:p>
    <w:p w14:paraId="2BD65ED1" w14:textId="48E28918" w:rsidR="00DB4E2C" w:rsidRPr="00D75BAB" w:rsidRDefault="002D0982" w:rsidP="00CB733B">
      <w:pPr>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ab/>
      </w:r>
      <w:r w:rsidR="005D7E0A" w:rsidRPr="00D75BAB">
        <w:rPr>
          <w:rFonts w:asciiTheme="minorHAnsi" w:hAnsiTheme="minorHAnsi" w:cstheme="minorHAnsi"/>
          <w:b/>
          <w:bCs/>
          <w:color w:val="000000" w:themeColor="text1"/>
        </w:rPr>
        <w:t>3.1.1</w:t>
      </w:r>
      <w:r w:rsidR="005D7E0A" w:rsidRPr="00D75BAB">
        <w:rPr>
          <w:rFonts w:asciiTheme="minorHAnsi" w:hAnsiTheme="minorHAnsi" w:cstheme="minorHAnsi"/>
          <w:b/>
          <w:bCs/>
          <w:color w:val="000000" w:themeColor="text1"/>
        </w:rPr>
        <w:tab/>
      </w:r>
      <w:r w:rsidR="00181DB2">
        <w:rPr>
          <w:rFonts w:asciiTheme="minorHAnsi" w:hAnsiTheme="minorHAnsi" w:cstheme="minorHAnsi"/>
          <w:b/>
          <w:bCs/>
          <w:color w:val="000000" w:themeColor="text1"/>
        </w:rPr>
        <w:t>Construction Project S</w:t>
      </w:r>
      <w:r w:rsidR="00DB4E2C" w:rsidRPr="00D75BAB">
        <w:rPr>
          <w:rFonts w:asciiTheme="minorHAnsi" w:hAnsiTheme="minorHAnsi" w:cstheme="minorHAnsi"/>
          <w:b/>
          <w:bCs/>
          <w:color w:val="000000" w:themeColor="text1"/>
        </w:rPr>
        <w:t>tage (phase 4.32)</w:t>
      </w:r>
    </w:p>
    <w:p w14:paraId="1729A366" w14:textId="77777777" w:rsidR="00C92A2A" w:rsidRDefault="00C92A2A" w:rsidP="00CB733B">
      <w:pPr>
        <w:spacing w:before="0"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Phase 4.32 is proceeding as per the anticipated project schedule. </w:t>
      </w:r>
    </w:p>
    <w:p w14:paraId="336E412B" w14:textId="77777777" w:rsidR="00C92A2A" w:rsidRDefault="00C92A2A" w:rsidP="00CB733B">
      <w:pPr>
        <w:spacing w:before="0"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Since the outbreak of the pandemic and because of the uncertainty of the </w:t>
      </w:r>
      <w:proofErr w:type="spellStart"/>
      <w:r>
        <w:rPr>
          <w:rFonts w:asciiTheme="minorHAnsi" w:hAnsiTheme="minorHAnsi" w:cstheme="minorHAnsi"/>
          <w:color w:val="000000" w:themeColor="text1"/>
        </w:rPr>
        <w:t>Covid</w:t>
      </w:r>
      <w:proofErr w:type="spellEnd"/>
      <w:r>
        <w:rPr>
          <w:rFonts w:asciiTheme="minorHAnsi" w:hAnsiTheme="minorHAnsi" w:cstheme="minorHAnsi"/>
          <w:color w:val="000000" w:themeColor="text1"/>
        </w:rPr>
        <w:t xml:space="preserve"> impact on the development of the future office design, the team focussed mainly on the programme confirmation and development of the public and conference areas. The four administrative floors of open office spaces have been developed to be as flexible as possible in terms of technical infrastructure to accommodate the design requirements that will be defined once a comprehensive strategy defining the impact on our ways of working will be finalised.</w:t>
      </w:r>
    </w:p>
    <w:p w14:paraId="27C6E28B" w14:textId="77777777" w:rsidR="00C92A2A" w:rsidRPr="000C229E" w:rsidRDefault="00C92A2A" w:rsidP="00CB733B">
      <w:pPr>
        <w:spacing w:before="0" w:after="120"/>
        <w:jc w:val="both"/>
        <w:rPr>
          <w:rFonts w:asciiTheme="minorHAnsi" w:hAnsiTheme="minorHAnsi"/>
          <w:b/>
          <w:color w:val="000000" w:themeColor="text1"/>
        </w:rPr>
      </w:pPr>
      <w:r>
        <w:rPr>
          <w:rFonts w:asciiTheme="minorHAnsi" w:hAnsiTheme="minorHAnsi" w:cstheme="minorHAnsi"/>
          <w:color w:val="000000" w:themeColor="text1"/>
        </w:rPr>
        <w:t>In October, the cost estimate of phase 4.32 will be available and the planned</w:t>
      </w:r>
      <w:r w:rsidRPr="000C229E">
        <w:rPr>
          <w:rFonts w:asciiTheme="minorHAnsi" w:hAnsiTheme="minorHAnsi"/>
          <w:color w:val="000000" w:themeColor="text1"/>
        </w:rPr>
        <w:t xml:space="preserve"> value engineering</w:t>
      </w:r>
      <w:r>
        <w:rPr>
          <w:rStyle w:val="FootnoteReference"/>
          <w:rFonts w:cstheme="minorHAnsi"/>
          <w:color w:val="000000" w:themeColor="text1"/>
        </w:rPr>
        <w:footnoteReference w:id="2"/>
      </w:r>
      <w:r w:rsidRPr="000C229E">
        <w:rPr>
          <w:rFonts w:asciiTheme="minorHAnsi" w:hAnsiTheme="minorHAnsi"/>
          <w:color w:val="000000" w:themeColor="text1"/>
        </w:rPr>
        <w:t xml:space="preserve"> </w:t>
      </w:r>
      <w:r>
        <w:rPr>
          <w:rFonts w:asciiTheme="minorHAnsi" w:hAnsiTheme="minorHAnsi" w:cstheme="minorHAnsi"/>
          <w:color w:val="000000" w:themeColor="text1"/>
        </w:rPr>
        <w:t>session will take place.</w:t>
      </w:r>
    </w:p>
    <w:p w14:paraId="2C6BEC0E" w14:textId="7B9AF6E3" w:rsidR="0086489C" w:rsidRDefault="002D0982" w:rsidP="00CB733B">
      <w:pPr>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ab/>
      </w:r>
      <w:r w:rsidR="00EB087C" w:rsidRPr="00D75BAB">
        <w:rPr>
          <w:rFonts w:asciiTheme="minorHAnsi" w:hAnsiTheme="minorHAnsi" w:cstheme="minorHAnsi"/>
          <w:b/>
          <w:bCs/>
          <w:color w:val="000000" w:themeColor="text1"/>
        </w:rPr>
        <w:t>3.1.2</w:t>
      </w:r>
      <w:r w:rsidR="00EB087C" w:rsidRPr="00D75BAB">
        <w:rPr>
          <w:rFonts w:asciiTheme="minorHAnsi" w:hAnsiTheme="minorHAnsi" w:cstheme="minorHAnsi"/>
          <w:b/>
          <w:bCs/>
          <w:color w:val="000000" w:themeColor="text1"/>
        </w:rPr>
        <w:tab/>
      </w:r>
      <w:r w:rsidR="0086489C" w:rsidRPr="00D75BAB">
        <w:rPr>
          <w:rFonts w:asciiTheme="minorHAnsi" w:hAnsiTheme="minorHAnsi" w:cstheme="minorHAnsi"/>
          <w:b/>
          <w:bCs/>
          <w:color w:val="000000" w:themeColor="text1"/>
        </w:rPr>
        <w:t>Construction Permit Request</w:t>
      </w:r>
      <w:r w:rsidR="00EB087C" w:rsidRPr="00D75BAB">
        <w:rPr>
          <w:rFonts w:asciiTheme="minorHAnsi" w:hAnsiTheme="minorHAnsi" w:cstheme="minorHAnsi"/>
          <w:b/>
          <w:bCs/>
          <w:color w:val="000000" w:themeColor="text1"/>
        </w:rPr>
        <w:t xml:space="preserve"> (phase 4.33)</w:t>
      </w:r>
      <w:r w:rsidR="00C92A2A">
        <w:rPr>
          <w:rFonts w:asciiTheme="minorHAnsi" w:hAnsiTheme="minorHAnsi" w:cstheme="minorHAnsi"/>
          <w:b/>
          <w:bCs/>
          <w:color w:val="000000" w:themeColor="text1"/>
        </w:rPr>
        <w:t xml:space="preserve"> and consultation of Local Authorities</w:t>
      </w:r>
    </w:p>
    <w:p w14:paraId="1C763FB5" w14:textId="77777777" w:rsidR="00C92A2A" w:rsidRDefault="00C92A2A" w:rsidP="00CB733B">
      <w:pPr>
        <w:tabs>
          <w:tab w:val="clear" w:pos="567"/>
          <w:tab w:val="clear" w:pos="1134"/>
          <w:tab w:val="clear" w:pos="1701"/>
          <w:tab w:val="clear" w:pos="2268"/>
          <w:tab w:val="clear" w:pos="2835"/>
        </w:tabs>
        <w:overflowPunct/>
        <w:spacing w:before="0" w:after="120"/>
        <w:jc w:val="both"/>
        <w:textAlignment w:val="auto"/>
        <w:rPr>
          <w:rFonts w:asciiTheme="minorHAnsi" w:hAnsiTheme="minorHAnsi" w:cstheme="minorHAnsi"/>
          <w:szCs w:val="24"/>
          <w:lang w:eastAsia="zh-CN"/>
        </w:rPr>
      </w:pPr>
      <w:r>
        <w:rPr>
          <w:rFonts w:asciiTheme="minorHAnsi" w:hAnsiTheme="minorHAnsi" w:cstheme="minorHAnsi"/>
          <w:szCs w:val="24"/>
          <w:lang w:eastAsia="zh-CN"/>
        </w:rPr>
        <w:t xml:space="preserve">The development of the construction permit request is proceeding as planned. Virtual consultations with the different Cantonal Offices are taking place and some minor issues have been addressed prior the submission of the documents. </w:t>
      </w:r>
    </w:p>
    <w:p w14:paraId="7F76B4F4" w14:textId="77777777" w:rsidR="00C92A2A" w:rsidRPr="00B95959" w:rsidRDefault="00C92A2A" w:rsidP="00CB733B">
      <w:pPr>
        <w:tabs>
          <w:tab w:val="clear" w:pos="567"/>
          <w:tab w:val="clear" w:pos="1134"/>
          <w:tab w:val="clear" w:pos="1701"/>
          <w:tab w:val="clear" w:pos="2268"/>
          <w:tab w:val="clear" w:pos="2835"/>
        </w:tabs>
        <w:overflowPunct/>
        <w:spacing w:before="0" w:after="120"/>
        <w:jc w:val="both"/>
        <w:textAlignment w:val="auto"/>
        <w:rPr>
          <w:rFonts w:asciiTheme="minorHAnsi" w:hAnsiTheme="minorHAnsi" w:cstheme="minorHAnsi"/>
          <w:szCs w:val="24"/>
          <w:lang w:eastAsia="zh-CN"/>
        </w:rPr>
      </w:pPr>
      <w:r>
        <w:rPr>
          <w:rFonts w:asciiTheme="minorHAnsi" w:hAnsiTheme="minorHAnsi" w:cstheme="minorHAnsi"/>
          <w:szCs w:val="24"/>
          <w:lang w:eastAsia="zh-CN"/>
        </w:rPr>
        <w:t xml:space="preserve">Schedule for the submission of documents is as follows: </w:t>
      </w:r>
    </w:p>
    <w:p w14:paraId="2AAF1F63" w14:textId="7FE811BA" w:rsidR="009F084B" w:rsidRDefault="00C92A2A" w:rsidP="00CB733B">
      <w:pPr>
        <w:pStyle w:val="ListParagraph"/>
        <w:numPr>
          <w:ilvl w:val="0"/>
          <w:numId w:val="35"/>
        </w:numPr>
        <w:jc w:val="both"/>
        <w:rPr>
          <w:rFonts w:asciiTheme="minorHAnsi" w:hAnsiTheme="minorHAnsi" w:cstheme="minorHAnsi"/>
          <w:color w:val="000000" w:themeColor="text1"/>
          <w:sz w:val="24"/>
        </w:rPr>
      </w:pPr>
      <w:r>
        <w:rPr>
          <w:rFonts w:asciiTheme="minorHAnsi" w:hAnsiTheme="minorHAnsi" w:cstheme="minorHAnsi"/>
          <w:color w:val="000000" w:themeColor="text1"/>
          <w:sz w:val="24"/>
        </w:rPr>
        <w:t>November</w:t>
      </w:r>
      <w:r w:rsidRPr="009F084B">
        <w:rPr>
          <w:rFonts w:asciiTheme="minorHAnsi" w:hAnsiTheme="minorHAnsi" w:cstheme="minorHAnsi"/>
          <w:color w:val="000000" w:themeColor="text1"/>
          <w:sz w:val="24"/>
        </w:rPr>
        <w:t xml:space="preserve"> </w:t>
      </w:r>
      <w:r w:rsidR="00FB113B" w:rsidRPr="009F084B">
        <w:rPr>
          <w:rFonts w:asciiTheme="minorHAnsi" w:hAnsiTheme="minorHAnsi" w:cstheme="minorHAnsi"/>
          <w:color w:val="000000" w:themeColor="text1"/>
          <w:sz w:val="24"/>
        </w:rPr>
        <w:t xml:space="preserve">2020 </w:t>
      </w:r>
      <w:r w:rsidR="009F084B">
        <w:rPr>
          <w:rFonts w:asciiTheme="minorHAnsi" w:hAnsiTheme="minorHAnsi" w:cstheme="minorHAnsi"/>
          <w:color w:val="000000" w:themeColor="text1"/>
          <w:sz w:val="24"/>
        </w:rPr>
        <w:t>-</w:t>
      </w:r>
      <w:r w:rsidR="00DB4E2C" w:rsidRPr="009F084B">
        <w:rPr>
          <w:rFonts w:asciiTheme="minorHAnsi" w:hAnsiTheme="minorHAnsi" w:cstheme="minorHAnsi"/>
          <w:color w:val="000000" w:themeColor="text1"/>
          <w:sz w:val="24"/>
        </w:rPr>
        <w:t xml:space="preserve"> </w:t>
      </w:r>
      <w:r w:rsidR="00FB113B" w:rsidRPr="009F084B">
        <w:rPr>
          <w:rFonts w:asciiTheme="minorHAnsi" w:hAnsiTheme="minorHAnsi" w:cstheme="minorHAnsi"/>
          <w:color w:val="000000" w:themeColor="text1"/>
          <w:sz w:val="24"/>
        </w:rPr>
        <w:t>Submission of d</w:t>
      </w:r>
      <w:r w:rsidR="00DB4E2C" w:rsidRPr="009F084B">
        <w:rPr>
          <w:rFonts w:asciiTheme="minorHAnsi" w:hAnsiTheme="minorHAnsi" w:cstheme="minorHAnsi"/>
          <w:color w:val="000000" w:themeColor="text1"/>
          <w:sz w:val="24"/>
        </w:rPr>
        <w:t xml:space="preserve">raft Permitting </w:t>
      </w:r>
      <w:r w:rsidR="00FB113B" w:rsidRPr="009F084B">
        <w:rPr>
          <w:rFonts w:asciiTheme="minorHAnsi" w:hAnsiTheme="minorHAnsi" w:cstheme="minorHAnsi"/>
          <w:color w:val="000000" w:themeColor="text1"/>
          <w:sz w:val="24"/>
        </w:rPr>
        <w:t>R</w:t>
      </w:r>
      <w:r w:rsidR="00DB4E2C" w:rsidRPr="009F084B">
        <w:rPr>
          <w:rFonts w:asciiTheme="minorHAnsi" w:hAnsiTheme="minorHAnsi" w:cstheme="minorHAnsi"/>
          <w:color w:val="000000" w:themeColor="text1"/>
          <w:sz w:val="24"/>
        </w:rPr>
        <w:t>equest</w:t>
      </w:r>
    </w:p>
    <w:p w14:paraId="3DB01668" w14:textId="5F1D4E9D" w:rsidR="00451656" w:rsidRPr="009F084B" w:rsidRDefault="00DB4E2C" w:rsidP="00CB733B">
      <w:pPr>
        <w:pStyle w:val="ListParagraph"/>
        <w:numPr>
          <w:ilvl w:val="0"/>
          <w:numId w:val="35"/>
        </w:numPr>
        <w:jc w:val="both"/>
        <w:rPr>
          <w:rFonts w:asciiTheme="minorHAnsi" w:hAnsiTheme="minorHAnsi" w:cstheme="minorHAnsi"/>
          <w:color w:val="000000" w:themeColor="text1"/>
          <w:sz w:val="24"/>
        </w:rPr>
      </w:pPr>
      <w:r w:rsidRPr="009F084B">
        <w:rPr>
          <w:rFonts w:asciiTheme="minorHAnsi" w:hAnsiTheme="minorHAnsi" w:cstheme="minorHAnsi"/>
          <w:color w:val="000000" w:themeColor="text1"/>
          <w:sz w:val="24"/>
        </w:rPr>
        <w:t>Dec</w:t>
      </w:r>
      <w:r w:rsidR="00FB113B" w:rsidRPr="009F084B">
        <w:rPr>
          <w:rFonts w:asciiTheme="minorHAnsi" w:hAnsiTheme="minorHAnsi" w:cstheme="minorHAnsi"/>
          <w:color w:val="000000" w:themeColor="text1"/>
          <w:sz w:val="24"/>
        </w:rPr>
        <w:t>ember</w:t>
      </w:r>
      <w:r w:rsidR="00C92A2A">
        <w:rPr>
          <w:rFonts w:asciiTheme="minorHAnsi" w:hAnsiTheme="minorHAnsi" w:cstheme="minorHAnsi"/>
          <w:color w:val="000000" w:themeColor="text1"/>
          <w:sz w:val="24"/>
        </w:rPr>
        <w:t xml:space="preserve"> 2020</w:t>
      </w:r>
      <w:r w:rsidRPr="009F084B">
        <w:rPr>
          <w:rFonts w:asciiTheme="minorHAnsi" w:hAnsiTheme="minorHAnsi" w:cstheme="minorHAnsi"/>
          <w:color w:val="000000" w:themeColor="text1"/>
          <w:sz w:val="24"/>
        </w:rPr>
        <w:t xml:space="preserve"> </w:t>
      </w:r>
      <w:r w:rsidR="00FB113B" w:rsidRPr="009F084B">
        <w:rPr>
          <w:rFonts w:asciiTheme="minorHAnsi" w:hAnsiTheme="minorHAnsi" w:cstheme="minorHAnsi"/>
          <w:color w:val="000000" w:themeColor="text1"/>
          <w:sz w:val="24"/>
        </w:rPr>
        <w:t xml:space="preserve">- </w:t>
      </w:r>
      <w:r w:rsidRPr="009F084B">
        <w:rPr>
          <w:rFonts w:asciiTheme="minorHAnsi" w:hAnsiTheme="minorHAnsi" w:cstheme="minorHAnsi"/>
          <w:color w:val="000000" w:themeColor="text1"/>
          <w:sz w:val="24"/>
        </w:rPr>
        <w:t>Submission of Permitting request to local authorities</w:t>
      </w:r>
    </w:p>
    <w:p w14:paraId="41D3836B" w14:textId="6A6572D0" w:rsidR="00562E68" w:rsidRDefault="00562E68" w:rsidP="00CB733B">
      <w:pPr>
        <w:pStyle w:val="ListParagraph"/>
        <w:ind w:left="0"/>
        <w:jc w:val="both"/>
        <w:rPr>
          <w:rFonts w:asciiTheme="minorHAnsi" w:hAnsiTheme="minorHAnsi" w:cstheme="minorHAnsi"/>
          <w:color w:val="000000" w:themeColor="text1"/>
          <w:sz w:val="24"/>
        </w:rPr>
      </w:pPr>
    </w:p>
    <w:p w14:paraId="66F42B4C" w14:textId="4D4C2EEF" w:rsidR="00CE69AF" w:rsidRDefault="008D0794" w:rsidP="00CB733B">
      <w:pPr>
        <w:pStyle w:val="ListParagraph"/>
        <w:ind w:left="0"/>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Estimated </w:t>
      </w:r>
      <w:r w:rsidR="00562E68">
        <w:rPr>
          <w:rFonts w:asciiTheme="minorHAnsi" w:hAnsiTheme="minorHAnsi" w:cstheme="minorHAnsi"/>
          <w:color w:val="000000" w:themeColor="text1"/>
          <w:sz w:val="24"/>
        </w:rPr>
        <w:t>time to obtain the construction permit is between 3 to 6 month</w:t>
      </w:r>
      <w:r w:rsidR="00023561">
        <w:rPr>
          <w:rFonts w:asciiTheme="minorHAnsi" w:hAnsiTheme="minorHAnsi" w:cstheme="minorHAnsi"/>
          <w:color w:val="000000" w:themeColor="text1"/>
          <w:sz w:val="24"/>
        </w:rPr>
        <w:t>s</w:t>
      </w:r>
      <w:r w:rsidR="00562E68">
        <w:rPr>
          <w:rFonts w:asciiTheme="minorHAnsi" w:hAnsiTheme="minorHAnsi" w:cstheme="minorHAnsi"/>
          <w:color w:val="000000" w:themeColor="text1"/>
          <w:sz w:val="24"/>
        </w:rPr>
        <w:t>.</w:t>
      </w:r>
    </w:p>
    <w:p w14:paraId="493D8EE0" w14:textId="2083202A" w:rsidR="0086489C" w:rsidRPr="00D75BAB" w:rsidRDefault="00E679C8" w:rsidP="00CB733B">
      <w:pPr>
        <w:spacing w:before="240" w:after="120"/>
        <w:jc w:val="both"/>
        <w:rPr>
          <w:rFonts w:asciiTheme="minorHAnsi" w:hAnsiTheme="minorHAnsi" w:cstheme="minorHAnsi"/>
          <w:b/>
          <w:bCs/>
          <w:color w:val="000000" w:themeColor="text1"/>
        </w:rPr>
      </w:pPr>
      <w:r>
        <w:rPr>
          <w:rFonts w:asciiTheme="minorHAnsi" w:hAnsiTheme="minorHAnsi" w:cstheme="minorHAnsi"/>
          <w:b/>
          <w:bCs/>
          <w:color w:val="000000" w:themeColor="text1"/>
        </w:rPr>
        <w:t>3.2</w:t>
      </w:r>
      <w:r w:rsidR="0086489C" w:rsidRPr="00D75BAB">
        <w:rPr>
          <w:rFonts w:asciiTheme="minorHAnsi" w:hAnsiTheme="minorHAnsi" w:cstheme="minorHAnsi"/>
          <w:b/>
          <w:bCs/>
          <w:color w:val="000000" w:themeColor="text1"/>
        </w:rPr>
        <w:tab/>
        <w:t>Implementation of UNDSS requirements for UN MOSS compliance on the public domain</w:t>
      </w:r>
    </w:p>
    <w:p w14:paraId="599EF094" w14:textId="71CB72BE" w:rsidR="0086489C" w:rsidRDefault="0086489C" w:rsidP="00CB733B">
      <w:pPr>
        <w:spacing w:before="240" w:after="120"/>
        <w:jc w:val="both"/>
        <w:rPr>
          <w:rFonts w:asciiTheme="minorHAnsi" w:hAnsiTheme="minorHAnsi" w:cstheme="minorHAnsi"/>
          <w:color w:val="000000" w:themeColor="text1"/>
        </w:rPr>
      </w:pPr>
      <w:r w:rsidRPr="00D75BAB">
        <w:rPr>
          <w:rFonts w:asciiTheme="minorHAnsi" w:hAnsiTheme="minorHAnsi" w:cstheme="minorHAnsi"/>
          <w:color w:val="000000" w:themeColor="text1"/>
        </w:rPr>
        <w:t>The requirement for the implementation of UNDSS requirements is part of a separate process initiated together with the Host Country to address UN MOSS compliance</w:t>
      </w:r>
      <w:r w:rsidR="00C221C5">
        <w:rPr>
          <w:rFonts w:asciiTheme="minorHAnsi" w:hAnsiTheme="minorHAnsi" w:cstheme="minorHAnsi"/>
          <w:color w:val="000000" w:themeColor="text1"/>
        </w:rPr>
        <w:t xml:space="preserve"> on the public domain</w:t>
      </w:r>
      <w:r w:rsidRPr="00D75BAB">
        <w:rPr>
          <w:rFonts w:asciiTheme="minorHAnsi" w:hAnsiTheme="minorHAnsi" w:cstheme="minorHAnsi"/>
          <w:color w:val="000000" w:themeColor="text1"/>
        </w:rPr>
        <w:t xml:space="preserve">. </w:t>
      </w:r>
    </w:p>
    <w:p w14:paraId="3A596160" w14:textId="77777777" w:rsidR="00E679C8" w:rsidRPr="000C229E" w:rsidRDefault="00E679C8" w:rsidP="00CB733B">
      <w:pPr>
        <w:spacing w:before="0" w:after="120"/>
        <w:jc w:val="both"/>
        <w:rPr>
          <w:rFonts w:asciiTheme="minorHAnsi" w:hAnsiTheme="minorHAnsi"/>
          <w:lang w:val="en-CA"/>
        </w:rPr>
      </w:pPr>
      <w:r>
        <w:rPr>
          <w:rFonts w:asciiTheme="minorHAnsi" w:hAnsiTheme="minorHAnsi" w:cstheme="minorHAnsi"/>
          <w:lang w:val="en-CA"/>
        </w:rPr>
        <w:t>During the virtual consultation</w:t>
      </w:r>
      <w:r w:rsidRPr="000C229E">
        <w:rPr>
          <w:rFonts w:asciiTheme="minorHAnsi" w:hAnsiTheme="minorHAnsi"/>
          <w:lang w:val="en-CA"/>
        </w:rPr>
        <w:t xml:space="preserve"> of </w:t>
      </w:r>
      <w:r>
        <w:rPr>
          <w:rFonts w:asciiTheme="minorHAnsi" w:hAnsiTheme="minorHAnsi" w:cstheme="minorHAnsi"/>
          <w:lang w:val="en-CA"/>
        </w:rPr>
        <w:t xml:space="preserve">councillors </w:t>
      </w:r>
      <w:r w:rsidRPr="000C229E">
        <w:rPr>
          <w:rFonts w:asciiTheme="minorHAnsi" w:hAnsiTheme="minorHAnsi"/>
          <w:lang w:val="en-CA"/>
        </w:rPr>
        <w:t xml:space="preserve">in </w:t>
      </w:r>
      <w:r>
        <w:rPr>
          <w:rFonts w:asciiTheme="minorHAnsi" w:hAnsiTheme="minorHAnsi" w:cstheme="minorHAnsi"/>
          <w:lang w:val="en-CA"/>
        </w:rPr>
        <w:t>June,</w:t>
      </w:r>
      <w:r w:rsidRPr="000C229E">
        <w:rPr>
          <w:rFonts w:asciiTheme="minorHAnsi" w:hAnsiTheme="minorHAnsi"/>
          <w:lang w:val="en-CA"/>
        </w:rPr>
        <w:t xml:space="preserve"> the </w:t>
      </w:r>
      <w:r w:rsidRPr="00ED265A">
        <w:rPr>
          <w:rFonts w:asciiTheme="minorHAnsi" w:hAnsiTheme="minorHAnsi" w:cstheme="minorHAnsi"/>
          <w:lang w:val="en-CA"/>
        </w:rPr>
        <w:t xml:space="preserve">councillor from </w:t>
      </w:r>
      <w:r w:rsidRPr="000C229E">
        <w:rPr>
          <w:rFonts w:asciiTheme="minorHAnsi" w:hAnsiTheme="minorHAnsi"/>
          <w:lang w:val="en-CA"/>
        </w:rPr>
        <w:t>Switzerland</w:t>
      </w:r>
      <w:r w:rsidRPr="00ED265A">
        <w:rPr>
          <w:rFonts w:asciiTheme="minorHAnsi" w:hAnsiTheme="minorHAnsi" w:cstheme="minorHAnsi"/>
          <w:lang w:val="en-CA"/>
        </w:rPr>
        <w:t xml:space="preserve"> </w:t>
      </w:r>
      <w:r>
        <w:rPr>
          <w:rFonts w:asciiTheme="minorHAnsi" w:hAnsiTheme="minorHAnsi" w:cstheme="minorHAnsi"/>
          <w:lang w:val="en-CA"/>
        </w:rPr>
        <w:t>announced</w:t>
      </w:r>
      <w:r w:rsidRPr="000C229E">
        <w:rPr>
          <w:rFonts w:asciiTheme="minorHAnsi" w:hAnsiTheme="minorHAnsi"/>
          <w:lang w:val="en-CA"/>
        </w:rPr>
        <w:t xml:space="preserve"> that the </w:t>
      </w:r>
      <w:r>
        <w:rPr>
          <w:rFonts w:asciiTheme="minorHAnsi" w:hAnsiTheme="minorHAnsi" w:cstheme="minorHAnsi"/>
          <w:lang w:val="en-CA"/>
        </w:rPr>
        <w:t xml:space="preserve">timeline of the </w:t>
      </w:r>
      <w:r w:rsidRPr="00ED265A">
        <w:rPr>
          <w:rFonts w:asciiTheme="minorHAnsi" w:hAnsiTheme="minorHAnsi" w:cstheme="minorHAnsi"/>
          <w:lang w:val="en-CA"/>
        </w:rPr>
        <w:t xml:space="preserve">host country feasibility study of </w:t>
      </w:r>
      <w:r w:rsidRPr="000C229E">
        <w:rPr>
          <w:rFonts w:asciiTheme="minorHAnsi" w:hAnsiTheme="minorHAnsi"/>
          <w:lang w:val="en-CA"/>
        </w:rPr>
        <w:t xml:space="preserve">implementation of security </w:t>
      </w:r>
      <w:r w:rsidRPr="00ED265A">
        <w:rPr>
          <w:rFonts w:asciiTheme="minorHAnsi" w:hAnsiTheme="minorHAnsi" w:cstheme="minorHAnsi"/>
          <w:lang w:val="en-CA"/>
        </w:rPr>
        <w:t>measures</w:t>
      </w:r>
      <w:r w:rsidRPr="000C229E">
        <w:rPr>
          <w:rFonts w:asciiTheme="minorHAnsi" w:hAnsiTheme="minorHAnsi"/>
          <w:lang w:val="en-CA"/>
        </w:rPr>
        <w:t xml:space="preserve"> on the public domain</w:t>
      </w:r>
      <w:r w:rsidRPr="00ED265A">
        <w:rPr>
          <w:rFonts w:asciiTheme="minorHAnsi" w:hAnsiTheme="minorHAnsi" w:cstheme="minorHAnsi"/>
          <w:lang w:val="en-CA"/>
        </w:rPr>
        <w:t xml:space="preserve">, </w:t>
      </w:r>
      <w:r>
        <w:rPr>
          <w:rFonts w:asciiTheme="minorHAnsi" w:hAnsiTheme="minorHAnsi" w:cstheme="minorHAnsi"/>
          <w:lang w:val="en-CA"/>
        </w:rPr>
        <w:t>is</w:t>
      </w:r>
      <w:r w:rsidRPr="00DF625F">
        <w:rPr>
          <w:rFonts w:asciiTheme="minorHAnsi" w:hAnsiTheme="minorHAnsi" w:cstheme="minorHAnsi"/>
          <w:lang w:val="en-CA"/>
        </w:rPr>
        <w:t xml:space="preserve"> contingent on two things: </w:t>
      </w:r>
    </w:p>
    <w:p w14:paraId="11F95FDE" w14:textId="77777777" w:rsidR="00E679C8" w:rsidRPr="00B8141C" w:rsidRDefault="00E679C8" w:rsidP="00CB733B">
      <w:pPr>
        <w:pStyle w:val="ListParagraph"/>
        <w:numPr>
          <w:ilvl w:val="0"/>
          <w:numId w:val="45"/>
        </w:numPr>
        <w:snapToGrid w:val="0"/>
        <w:spacing w:after="120"/>
        <w:jc w:val="both"/>
        <w:rPr>
          <w:rFonts w:asciiTheme="minorHAnsi" w:hAnsiTheme="minorHAnsi" w:cstheme="minorHAnsi"/>
          <w:sz w:val="24"/>
          <w:lang w:val="en-CA"/>
        </w:rPr>
      </w:pPr>
      <w:r>
        <w:rPr>
          <w:rFonts w:asciiTheme="minorHAnsi" w:hAnsiTheme="minorHAnsi" w:cstheme="minorHAnsi"/>
          <w:sz w:val="24"/>
          <w:lang w:val="en-CA"/>
        </w:rPr>
        <w:lastRenderedPageBreak/>
        <w:t>S</w:t>
      </w:r>
      <w:r w:rsidRPr="00B8141C">
        <w:rPr>
          <w:rFonts w:asciiTheme="minorHAnsi" w:hAnsiTheme="minorHAnsi" w:cstheme="minorHAnsi"/>
          <w:sz w:val="24"/>
          <w:lang w:val="en-CA"/>
        </w:rPr>
        <w:t xml:space="preserve">ubmission of the application for a construction permit, </w:t>
      </w:r>
      <w:r>
        <w:rPr>
          <w:rFonts w:asciiTheme="minorHAnsi" w:hAnsiTheme="minorHAnsi" w:cstheme="minorHAnsi"/>
          <w:sz w:val="24"/>
          <w:lang w:val="en-CA"/>
        </w:rPr>
        <w:t xml:space="preserve">planned to be on 18 December </w:t>
      </w:r>
      <w:proofErr w:type="gramStart"/>
      <w:r>
        <w:rPr>
          <w:rFonts w:asciiTheme="minorHAnsi" w:hAnsiTheme="minorHAnsi" w:cstheme="minorHAnsi"/>
          <w:sz w:val="24"/>
          <w:lang w:val="en-CA"/>
        </w:rPr>
        <w:t>2020;</w:t>
      </w:r>
      <w:proofErr w:type="gramEnd"/>
    </w:p>
    <w:p w14:paraId="26DF7FC6" w14:textId="77777777" w:rsidR="00E679C8" w:rsidRPr="00B8141C" w:rsidRDefault="00E679C8" w:rsidP="00CB733B">
      <w:pPr>
        <w:pStyle w:val="ListParagraph"/>
        <w:numPr>
          <w:ilvl w:val="0"/>
          <w:numId w:val="45"/>
        </w:numPr>
        <w:snapToGrid w:val="0"/>
        <w:spacing w:after="120"/>
        <w:jc w:val="both"/>
        <w:rPr>
          <w:rFonts w:asciiTheme="minorHAnsi" w:hAnsiTheme="minorHAnsi" w:cstheme="minorHAnsi"/>
          <w:sz w:val="24"/>
          <w:lang w:val="en-CA"/>
        </w:rPr>
      </w:pPr>
      <w:r>
        <w:rPr>
          <w:rFonts w:asciiTheme="minorHAnsi" w:hAnsiTheme="minorHAnsi" w:cstheme="minorHAnsi"/>
          <w:sz w:val="24"/>
          <w:lang w:val="en-CA"/>
        </w:rPr>
        <w:t>T</w:t>
      </w:r>
      <w:r w:rsidRPr="00B8141C">
        <w:rPr>
          <w:rFonts w:asciiTheme="minorHAnsi" w:hAnsiTheme="minorHAnsi" w:cstheme="minorHAnsi"/>
          <w:sz w:val="24"/>
          <w:lang w:val="en-CA"/>
        </w:rPr>
        <w:t xml:space="preserve">he decision of the Geneva cantonal authorities on mobility in the sector. </w:t>
      </w:r>
      <w:r>
        <w:rPr>
          <w:rFonts w:asciiTheme="minorHAnsi" w:hAnsiTheme="minorHAnsi" w:cstheme="minorHAnsi"/>
          <w:sz w:val="24"/>
          <w:lang w:val="en-CA"/>
        </w:rPr>
        <w:t>In this regard, the ITU has been invited to a presentation on the subject that is going to take place on the 8 October 2020.</w:t>
      </w:r>
    </w:p>
    <w:p w14:paraId="67358447" w14:textId="77777777" w:rsidR="00E679C8" w:rsidRDefault="00E679C8" w:rsidP="00CB733B">
      <w:pPr>
        <w:snapToGrid w:val="0"/>
        <w:spacing w:before="0" w:after="120"/>
        <w:jc w:val="both"/>
        <w:rPr>
          <w:rFonts w:asciiTheme="minorHAnsi" w:hAnsiTheme="minorHAnsi" w:cstheme="minorHAnsi"/>
          <w:lang w:val="en-CA"/>
        </w:rPr>
      </w:pPr>
      <w:r w:rsidRPr="00B8141C">
        <w:rPr>
          <w:rFonts w:asciiTheme="minorHAnsi" w:hAnsiTheme="minorHAnsi" w:cstheme="minorHAnsi"/>
          <w:lang w:val="en-CA"/>
        </w:rPr>
        <w:t xml:space="preserve">Considering those two factors and the impact of the COVID-19 pandemic, the study’s terms of reference would not be defined before the first quarter of 2021 and the first results </w:t>
      </w:r>
      <w:r>
        <w:rPr>
          <w:rFonts w:asciiTheme="minorHAnsi" w:hAnsiTheme="minorHAnsi" w:cstheme="minorHAnsi"/>
          <w:lang w:val="en-CA"/>
        </w:rPr>
        <w:t xml:space="preserve">of a feasibility plan </w:t>
      </w:r>
      <w:r w:rsidRPr="00B8141C">
        <w:rPr>
          <w:rFonts w:asciiTheme="minorHAnsi" w:hAnsiTheme="minorHAnsi" w:cstheme="minorHAnsi"/>
          <w:lang w:val="en-CA"/>
        </w:rPr>
        <w:t xml:space="preserve">would not be available before early 2022. </w:t>
      </w:r>
    </w:p>
    <w:p w14:paraId="0B207E39" w14:textId="77777777" w:rsidR="00E679C8" w:rsidRPr="000C229E" w:rsidRDefault="00E679C8" w:rsidP="00CB733B">
      <w:pPr>
        <w:snapToGrid w:val="0"/>
        <w:spacing w:before="0" w:after="120"/>
        <w:jc w:val="both"/>
        <w:rPr>
          <w:lang w:val="en-CA"/>
        </w:rPr>
      </w:pPr>
      <w:r>
        <w:rPr>
          <w:rFonts w:asciiTheme="minorHAnsi" w:hAnsiTheme="minorHAnsi" w:cstheme="minorHAnsi"/>
          <w:lang w:val="en-CA"/>
        </w:rPr>
        <w:t>Nevertheless, the Host Country reassured the ITU that the</w:t>
      </w:r>
      <w:r w:rsidRPr="00C23DF1">
        <w:rPr>
          <w:rFonts w:asciiTheme="minorHAnsi" w:hAnsiTheme="minorHAnsi" w:cstheme="minorHAnsi"/>
          <w:lang w:val="en-CA"/>
        </w:rPr>
        <w:t xml:space="preserve"> schedule of the feasibility study and the implementation of measures remains fully compatible with the commissioning </w:t>
      </w:r>
      <w:r>
        <w:rPr>
          <w:rFonts w:asciiTheme="minorHAnsi" w:hAnsiTheme="minorHAnsi" w:cstheme="minorHAnsi"/>
          <w:lang w:val="en-CA"/>
        </w:rPr>
        <w:t xml:space="preserve">date </w:t>
      </w:r>
      <w:r w:rsidRPr="00C23DF1">
        <w:rPr>
          <w:rFonts w:asciiTheme="minorHAnsi" w:hAnsiTheme="minorHAnsi" w:cstheme="minorHAnsi"/>
          <w:lang w:val="en-CA"/>
        </w:rPr>
        <w:t xml:space="preserve">planned for </w:t>
      </w:r>
      <w:r>
        <w:rPr>
          <w:rFonts w:asciiTheme="minorHAnsi" w:hAnsiTheme="minorHAnsi" w:cstheme="minorHAnsi"/>
          <w:lang w:val="en-CA"/>
        </w:rPr>
        <w:t>the</w:t>
      </w:r>
      <w:r w:rsidRPr="00C23DF1">
        <w:rPr>
          <w:rFonts w:asciiTheme="minorHAnsi" w:hAnsiTheme="minorHAnsi" w:cstheme="minorHAnsi"/>
          <w:lang w:val="en-CA"/>
        </w:rPr>
        <w:t xml:space="preserve"> new building.</w:t>
      </w:r>
    </w:p>
    <w:p w14:paraId="718B4854" w14:textId="5000638A" w:rsidR="0086489C" w:rsidRPr="00D75BAB" w:rsidRDefault="0086489C" w:rsidP="00CB733B">
      <w:pPr>
        <w:spacing w:before="240" w:after="120"/>
        <w:ind w:left="709" w:hanging="709"/>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w:t>
      </w:r>
      <w:r w:rsidR="00E679C8">
        <w:rPr>
          <w:rFonts w:asciiTheme="minorHAnsi" w:hAnsiTheme="minorHAnsi" w:cstheme="minorHAnsi"/>
          <w:b/>
          <w:bCs/>
          <w:color w:val="000000" w:themeColor="text1"/>
        </w:rPr>
        <w:t>3</w:t>
      </w:r>
      <w:r w:rsidRPr="00D75BAB">
        <w:rPr>
          <w:rFonts w:asciiTheme="minorHAnsi" w:hAnsiTheme="minorHAnsi" w:cstheme="minorHAnsi"/>
          <w:b/>
          <w:bCs/>
          <w:color w:val="000000" w:themeColor="text1"/>
        </w:rPr>
        <w:tab/>
        <w:t>Sponsorship and Donations</w:t>
      </w:r>
    </w:p>
    <w:p w14:paraId="2F25664C" w14:textId="031CB040" w:rsidR="00093E25" w:rsidRPr="00D75BAB" w:rsidRDefault="00093E25" w:rsidP="00CB733B">
      <w:pPr>
        <w:spacing w:before="240" w:after="120"/>
        <w:jc w:val="both"/>
        <w:rPr>
          <w:rFonts w:asciiTheme="minorHAnsi" w:hAnsiTheme="minorHAnsi" w:cstheme="minorHAnsi"/>
          <w:color w:val="000000" w:themeColor="text1"/>
        </w:rPr>
      </w:pPr>
      <w:r w:rsidRPr="00D75BAB">
        <w:rPr>
          <w:rFonts w:asciiTheme="minorHAnsi" w:hAnsiTheme="minorHAnsi" w:cstheme="minorHAnsi"/>
          <w:color w:val="000000" w:themeColor="text1"/>
          <w:lang w:val="en-US"/>
        </w:rPr>
        <w:t xml:space="preserve">Since the adoption of Decision 619, ITU has not received additional Sponsorship </w:t>
      </w:r>
      <w:r w:rsidR="00591F1F">
        <w:rPr>
          <w:rFonts w:asciiTheme="minorHAnsi" w:hAnsiTheme="minorHAnsi" w:cstheme="minorHAnsi"/>
          <w:color w:val="000000" w:themeColor="text1"/>
          <w:lang w:val="en-US"/>
        </w:rPr>
        <w:t>n</w:t>
      </w:r>
      <w:r w:rsidRPr="00D75BAB">
        <w:rPr>
          <w:rFonts w:asciiTheme="minorHAnsi" w:hAnsiTheme="minorHAnsi" w:cstheme="minorHAnsi"/>
          <w:color w:val="000000" w:themeColor="text1"/>
          <w:lang w:val="en-US"/>
        </w:rPr>
        <w:t>or Donation.</w:t>
      </w:r>
    </w:p>
    <w:p w14:paraId="0202CD5E" w14:textId="77777777" w:rsidR="00810600" w:rsidRDefault="00810600" w:rsidP="00CB733B">
      <w:pPr>
        <w:overflowPunct/>
        <w:autoSpaceDE/>
        <w:autoSpaceDN/>
        <w:adjustRightInd/>
        <w:spacing w:before="0" w:after="160"/>
        <w:jc w:val="both"/>
        <w:textAlignment w:val="auto"/>
        <w:rPr>
          <w:rFonts w:asciiTheme="minorHAnsi" w:hAnsiTheme="minorHAnsi" w:cstheme="minorHAnsi"/>
          <w:szCs w:val="24"/>
        </w:rPr>
      </w:pPr>
      <w:r>
        <w:rPr>
          <w:rFonts w:asciiTheme="minorHAnsi" w:hAnsiTheme="minorHAnsi" w:cstheme="minorHAnsi"/>
          <w:lang w:val="en-US"/>
        </w:rPr>
        <w:t xml:space="preserve">According to Decision 619 </w:t>
      </w:r>
      <w:r w:rsidRPr="00EA3637">
        <w:rPr>
          <w:rFonts w:asciiTheme="minorHAnsi" w:hAnsiTheme="minorHAnsi" w:cstheme="minorHAnsi"/>
          <w:i/>
          <w:iCs/>
          <w:lang w:val="en-US"/>
        </w:rPr>
        <w:t>decides 4</w:t>
      </w:r>
      <w:r>
        <w:rPr>
          <w:rFonts w:asciiTheme="minorHAnsi" w:hAnsiTheme="minorHAnsi" w:cstheme="minorHAnsi"/>
          <w:lang w:val="en-US"/>
        </w:rPr>
        <w:t xml:space="preserve">, </w:t>
      </w:r>
      <w:r w:rsidRPr="000A65BE">
        <w:rPr>
          <w:rFonts w:asciiTheme="minorHAnsi" w:hAnsiTheme="minorHAnsi" w:cstheme="minorHAnsi"/>
          <w:lang w:val="en-US"/>
        </w:rPr>
        <w:t xml:space="preserve">any future sponsorships or donations will only be applied to offset the final direct project cost without creating any new indirect costs or further delays to the project, and will not increase the amount </w:t>
      </w:r>
      <w:r>
        <w:rPr>
          <w:rFonts w:asciiTheme="minorHAnsi" w:hAnsiTheme="minorHAnsi" w:cstheme="minorHAnsi"/>
          <w:lang w:val="en-US"/>
        </w:rPr>
        <w:t xml:space="preserve">of the </w:t>
      </w:r>
      <w:r w:rsidRPr="000A65BE">
        <w:rPr>
          <w:rFonts w:asciiTheme="minorHAnsi" w:hAnsiTheme="minorHAnsi" w:cstheme="minorHAnsi"/>
          <w:lang w:val="en-US"/>
        </w:rPr>
        <w:t xml:space="preserve">approved </w:t>
      </w:r>
      <w:r w:rsidRPr="00912B68">
        <w:rPr>
          <w:rFonts w:asciiTheme="minorHAnsi" w:hAnsiTheme="minorHAnsi" w:cstheme="minorHAnsi"/>
          <w:szCs w:val="24"/>
        </w:rPr>
        <w:t>final direct project cost of CHF 170,139,000</w:t>
      </w:r>
      <w:r>
        <w:rPr>
          <w:rFonts w:asciiTheme="minorHAnsi" w:hAnsiTheme="minorHAnsi" w:cstheme="minorHAnsi"/>
          <w:szCs w:val="24"/>
        </w:rPr>
        <w:t>. This makes it unlikely that there will be further sponsorship.</w:t>
      </w:r>
    </w:p>
    <w:p w14:paraId="59FEE3C8" w14:textId="1BC016C5" w:rsidR="00D2514F" w:rsidRPr="00D2514F" w:rsidRDefault="00D2514F" w:rsidP="00CB733B">
      <w:pPr>
        <w:overflowPunct/>
        <w:autoSpaceDE/>
        <w:autoSpaceDN/>
        <w:adjustRightInd/>
        <w:spacing w:before="0" w:after="160"/>
        <w:jc w:val="both"/>
        <w:textAlignment w:val="auto"/>
        <w:rPr>
          <w:rFonts w:asciiTheme="minorHAnsi" w:hAnsiTheme="minorHAnsi" w:cstheme="minorHAnsi"/>
          <w:color w:val="000000" w:themeColor="text1"/>
          <w:lang w:val="en-US"/>
        </w:rPr>
      </w:pPr>
      <w:r w:rsidRPr="00D2514F">
        <w:rPr>
          <w:rFonts w:asciiTheme="minorHAnsi" w:hAnsiTheme="minorHAnsi" w:cstheme="minorHAnsi"/>
          <w:color w:val="000000" w:themeColor="text1"/>
          <w:lang w:val="en-US"/>
        </w:rPr>
        <w:t>As an example, a sponsor might wish to enhance the building by offering a marble floor in the lobby instead of the basic concrete floor. This would increase the project cost but would not increase the cost to ITU and could even reduce the cost to ITU as the cost of the concrete floor would be deducted from total cost to ITU.</w:t>
      </w:r>
    </w:p>
    <w:p w14:paraId="4236A3F8" w14:textId="39F77801" w:rsidR="00D2514F" w:rsidRPr="00E679C8" w:rsidRDefault="00D2514F" w:rsidP="00CB733B">
      <w:pPr>
        <w:overflowPunct/>
        <w:autoSpaceDE/>
        <w:autoSpaceDN/>
        <w:adjustRightInd/>
        <w:spacing w:before="0" w:after="160"/>
        <w:jc w:val="both"/>
        <w:textAlignment w:val="auto"/>
        <w:rPr>
          <w:rFonts w:asciiTheme="minorHAnsi" w:hAnsiTheme="minorHAnsi" w:cstheme="minorHAnsi"/>
          <w:color w:val="000000" w:themeColor="text1"/>
          <w:lang w:val="en-US"/>
        </w:rPr>
      </w:pPr>
      <w:r w:rsidRPr="00D2514F">
        <w:rPr>
          <w:rFonts w:asciiTheme="minorHAnsi" w:hAnsiTheme="minorHAnsi" w:cstheme="minorHAnsi"/>
          <w:color w:val="000000" w:themeColor="text1"/>
          <w:lang w:val="en-US"/>
        </w:rPr>
        <w:t xml:space="preserve">The </w:t>
      </w:r>
      <w:r w:rsidR="006632C7">
        <w:rPr>
          <w:rFonts w:asciiTheme="minorHAnsi" w:hAnsiTheme="minorHAnsi" w:cstheme="minorHAnsi"/>
          <w:color w:val="000000" w:themeColor="text1"/>
          <w:lang w:val="en-US"/>
        </w:rPr>
        <w:t>s</w:t>
      </w:r>
      <w:r w:rsidRPr="00D2514F">
        <w:rPr>
          <w:rFonts w:asciiTheme="minorHAnsi" w:hAnsiTheme="minorHAnsi" w:cstheme="minorHAnsi"/>
          <w:color w:val="000000" w:themeColor="text1"/>
          <w:lang w:val="en-US"/>
        </w:rPr>
        <w:t>ecretariat therefore request</w:t>
      </w:r>
      <w:r>
        <w:rPr>
          <w:rFonts w:asciiTheme="minorHAnsi" w:hAnsiTheme="minorHAnsi" w:cstheme="minorHAnsi"/>
          <w:color w:val="000000" w:themeColor="text1"/>
          <w:lang w:val="en-US"/>
        </w:rPr>
        <w:t>ed</w:t>
      </w:r>
      <w:r w:rsidRPr="00D2514F">
        <w:rPr>
          <w:rFonts w:asciiTheme="minorHAnsi" w:hAnsiTheme="minorHAnsi" w:cstheme="minorHAnsi"/>
          <w:color w:val="000000" w:themeColor="text1"/>
          <w:lang w:val="en-US"/>
        </w:rPr>
        <w:t xml:space="preserve"> MSAG to discuss and advise the Council to reconsider decides 4 in order that additional sponsorship </w:t>
      </w:r>
      <w:r>
        <w:rPr>
          <w:rFonts w:asciiTheme="minorHAnsi" w:hAnsiTheme="minorHAnsi" w:cstheme="minorHAnsi"/>
          <w:color w:val="000000" w:themeColor="text1"/>
          <w:lang w:val="en-US"/>
        </w:rPr>
        <w:t xml:space="preserve">and donations </w:t>
      </w:r>
      <w:r w:rsidRPr="00D2514F">
        <w:rPr>
          <w:rFonts w:asciiTheme="minorHAnsi" w:hAnsiTheme="minorHAnsi" w:cstheme="minorHAnsi"/>
          <w:color w:val="000000" w:themeColor="text1"/>
          <w:lang w:val="en-US"/>
        </w:rPr>
        <w:t xml:space="preserve">would be acceptable even if they resulted in an increase in the project direct and/or indirect costs but provided they do not increase </w:t>
      </w:r>
      <w:r>
        <w:rPr>
          <w:rFonts w:asciiTheme="minorHAnsi" w:hAnsiTheme="minorHAnsi" w:cstheme="minorHAnsi"/>
          <w:color w:val="000000" w:themeColor="text1"/>
          <w:lang w:val="en-US"/>
        </w:rPr>
        <w:t xml:space="preserve">the </w:t>
      </w:r>
      <w:r w:rsidRPr="00D2514F">
        <w:rPr>
          <w:rFonts w:asciiTheme="minorHAnsi" w:hAnsiTheme="minorHAnsi" w:cstheme="minorHAnsi"/>
          <w:color w:val="000000" w:themeColor="text1"/>
          <w:lang w:val="en-US"/>
        </w:rPr>
        <w:t>cost to</w:t>
      </w:r>
      <w:r w:rsidR="007A65D0">
        <w:rPr>
          <w:rFonts w:asciiTheme="minorHAnsi" w:hAnsiTheme="minorHAnsi" w:cstheme="minorHAnsi"/>
          <w:color w:val="000000" w:themeColor="text1"/>
          <w:lang w:val="en-US"/>
        </w:rPr>
        <w:t> </w:t>
      </w:r>
      <w:r w:rsidRPr="00D2514F">
        <w:rPr>
          <w:rFonts w:asciiTheme="minorHAnsi" w:hAnsiTheme="minorHAnsi" w:cstheme="minorHAnsi"/>
          <w:color w:val="000000" w:themeColor="text1"/>
          <w:lang w:val="en-US"/>
        </w:rPr>
        <w:t xml:space="preserve">ITU. </w:t>
      </w:r>
      <w:r w:rsidR="00E679C8">
        <w:rPr>
          <w:rFonts w:asciiTheme="minorHAnsi" w:hAnsiTheme="minorHAnsi" w:cstheme="minorHAnsi"/>
          <w:color w:val="000000" w:themeColor="text1"/>
          <w:lang w:val="en-US"/>
        </w:rPr>
        <w:t>MSAG discussed the issue at its meeting held in July and agreed that it has</w:t>
      </w:r>
      <w:r w:rsidR="00E679C8">
        <w:rPr>
          <w:rFonts w:asciiTheme="minorHAnsi" w:hAnsiTheme="minorHAnsi" w:cstheme="minorHAnsi"/>
          <w:color w:val="000000" w:themeColor="text1"/>
        </w:rPr>
        <w:t xml:space="preserve"> </w:t>
      </w:r>
      <w:r w:rsidR="00E679C8" w:rsidRPr="000549BC">
        <w:rPr>
          <w:rFonts w:asciiTheme="minorHAnsi" w:hAnsiTheme="minorHAnsi" w:cstheme="minorHAnsi"/>
          <w:i/>
          <w:iCs/>
          <w:color w:val="000000" w:themeColor="text1"/>
        </w:rPr>
        <w:t>no conclusion on this request, except to agree with the importance for a timely agreement on the matter and to remind all that donations do not have an impact on costs.</w:t>
      </w:r>
      <w:r w:rsidR="00E679C8">
        <w:rPr>
          <w:rStyle w:val="FootnoteReference"/>
          <w:rFonts w:cstheme="minorHAnsi"/>
          <w:color w:val="000000" w:themeColor="text1"/>
          <w:lang w:val="en-US"/>
        </w:rPr>
        <w:footnoteReference w:id="3"/>
      </w:r>
    </w:p>
    <w:p w14:paraId="6F86A9D5" w14:textId="65C39427" w:rsidR="0086489C" w:rsidRPr="00D75BAB" w:rsidRDefault="0086489C" w:rsidP="00CB733B">
      <w:pPr>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w:t>
      </w:r>
      <w:r w:rsidR="00E679C8">
        <w:rPr>
          <w:rFonts w:asciiTheme="minorHAnsi" w:hAnsiTheme="minorHAnsi" w:cstheme="minorHAnsi"/>
          <w:b/>
          <w:bCs/>
          <w:color w:val="000000" w:themeColor="text1"/>
        </w:rPr>
        <w:t>4</w:t>
      </w:r>
      <w:r w:rsidRPr="00D75BAB">
        <w:rPr>
          <w:rFonts w:asciiTheme="minorHAnsi" w:hAnsiTheme="minorHAnsi" w:cstheme="minorHAnsi"/>
          <w:b/>
          <w:bCs/>
          <w:color w:val="000000" w:themeColor="text1"/>
        </w:rPr>
        <w:tab/>
        <w:t>Submission of second loan request</w:t>
      </w:r>
    </w:p>
    <w:p w14:paraId="1C2E3370" w14:textId="0A8DE9DC" w:rsidR="0086489C" w:rsidRDefault="0086489C" w:rsidP="00CB733B">
      <w:pPr>
        <w:spacing w:before="240"/>
        <w:jc w:val="both"/>
        <w:rPr>
          <w:rFonts w:asciiTheme="minorHAnsi" w:hAnsiTheme="minorHAnsi" w:cstheme="minorHAnsi"/>
          <w:color w:val="000000" w:themeColor="text1"/>
        </w:rPr>
      </w:pPr>
      <w:r w:rsidRPr="00D75BAB">
        <w:rPr>
          <w:rFonts w:asciiTheme="minorHAnsi" w:hAnsiTheme="minorHAnsi" w:cstheme="minorHAnsi"/>
          <w:color w:val="000000" w:themeColor="text1"/>
        </w:rPr>
        <w:t xml:space="preserve">The technical documentation for the request for the second part of the CHF 150,000,000 loan </w:t>
      </w:r>
      <w:r w:rsidR="00DA03BE">
        <w:rPr>
          <w:rFonts w:asciiTheme="minorHAnsi" w:hAnsiTheme="minorHAnsi" w:cstheme="minorHAnsi"/>
          <w:color w:val="000000" w:themeColor="text1"/>
        </w:rPr>
        <w:t>(CHF</w:t>
      </w:r>
      <w:r w:rsidR="00AC4E66">
        <w:rPr>
          <w:rFonts w:asciiTheme="minorHAnsi" w:hAnsiTheme="minorHAnsi" w:cstheme="minorHAnsi"/>
          <w:color w:val="000000" w:themeColor="text1"/>
        </w:rPr>
        <w:t> </w:t>
      </w:r>
      <w:r w:rsidR="00DA03BE">
        <w:rPr>
          <w:rFonts w:asciiTheme="minorHAnsi" w:hAnsiTheme="minorHAnsi" w:cstheme="minorHAnsi"/>
          <w:color w:val="000000" w:themeColor="text1"/>
        </w:rPr>
        <w:t xml:space="preserve">138,000,000) </w:t>
      </w:r>
      <w:r w:rsidRPr="00D75BAB">
        <w:rPr>
          <w:rFonts w:asciiTheme="minorHAnsi" w:hAnsiTheme="minorHAnsi" w:cstheme="minorHAnsi"/>
          <w:color w:val="000000" w:themeColor="text1"/>
        </w:rPr>
        <w:t xml:space="preserve">was submitted on 9 December 2019 to the Swiss authorities. </w:t>
      </w:r>
    </w:p>
    <w:p w14:paraId="01515B6B" w14:textId="1B179B8C" w:rsidR="00E679C8" w:rsidRDefault="00E679C8" w:rsidP="00CB733B">
      <w:pPr>
        <w:spacing w:before="240"/>
        <w:jc w:val="both"/>
        <w:rPr>
          <w:rFonts w:asciiTheme="minorHAnsi" w:hAnsiTheme="minorHAnsi" w:cstheme="minorHAnsi"/>
          <w:color w:val="000000" w:themeColor="text1"/>
        </w:rPr>
      </w:pPr>
      <w:r>
        <w:rPr>
          <w:rFonts w:asciiTheme="minorHAnsi" w:hAnsiTheme="minorHAnsi" w:cstheme="minorHAnsi"/>
          <w:color w:val="000000" w:themeColor="text1"/>
        </w:rPr>
        <w:t>Status of authori</w:t>
      </w:r>
      <w:r w:rsidR="006632C7">
        <w:rPr>
          <w:rFonts w:asciiTheme="minorHAnsi" w:hAnsiTheme="minorHAnsi" w:cstheme="minorHAnsi"/>
          <w:color w:val="000000" w:themeColor="text1"/>
        </w:rPr>
        <w:t>z</w:t>
      </w:r>
      <w:r>
        <w:rPr>
          <w:rFonts w:asciiTheme="minorHAnsi" w:hAnsiTheme="minorHAnsi" w:cstheme="minorHAnsi"/>
          <w:color w:val="000000" w:themeColor="text1"/>
        </w:rPr>
        <w:t>ation process:</w:t>
      </w:r>
    </w:p>
    <w:p w14:paraId="1CAF2A84" w14:textId="69B51AEE" w:rsidR="00E679C8" w:rsidRPr="006C6A82" w:rsidRDefault="00E679C8" w:rsidP="006C6A82">
      <w:pPr>
        <w:pStyle w:val="ListParagraph"/>
        <w:numPr>
          <w:ilvl w:val="0"/>
          <w:numId w:val="46"/>
        </w:numPr>
        <w:spacing w:before="240"/>
        <w:ind w:hanging="294"/>
        <w:jc w:val="both"/>
        <w:rPr>
          <w:rFonts w:asciiTheme="minorHAnsi" w:hAnsiTheme="minorHAnsi" w:cstheme="minorHAnsi"/>
          <w:color w:val="000000" w:themeColor="text1"/>
          <w:sz w:val="24"/>
        </w:rPr>
      </w:pPr>
      <w:r w:rsidRPr="006C6A82">
        <w:rPr>
          <w:rFonts w:asciiTheme="minorHAnsi" w:hAnsiTheme="minorHAnsi" w:cstheme="minorHAnsi"/>
          <w:color w:val="000000" w:themeColor="text1"/>
          <w:sz w:val="24"/>
        </w:rPr>
        <w:t>22 April 2020 – approval of CHF 95.6 million by the Federal Council.</w:t>
      </w:r>
    </w:p>
    <w:p w14:paraId="4D2DB1FD" w14:textId="50AD3683" w:rsidR="00E2536C" w:rsidRPr="006C6A82" w:rsidRDefault="00E679C8" w:rsidP="006C6A82">
      <w:pPr>
        <w:pStyle w:val="ListParagraph"/>
        <w:numPr>
          <w:ilvl w:val="0"/>
          <w:numId w:val="46"/>
        </w:numPr>
        <w:spacing w:before="120"/>
        <w:ind w:hanging="294"/>
        <w:jc w:val="both"/>
        <w:rPr>
          <w:rFonts w:asciiTheme="minorHAnsi" w:hAnsiTheme="minorHAnsi" w:cstheme="minorHAnsi"/>
          <w:color w:val="000000" w:themeColor="text1"/>
          <w:sz w:val="24"/>
        </w:rPr>
      </w:pPr>
      <w:r w:rsidRPr="006C6A82">
        <w:rPr>
          <w:rFonts w:asciiTheme="minorHAnsi" w:hAnsiTheme="minorHAnsi" w:cstheme="minorHAnsi"/>
          <w:color w:val="000000" w:themeColor="text1"/>
        </w:rPr>
        <w:t xml:space="preserve">1 July 2020 – press release from </w:t>
      </w:r>
      <w:r w:rsidRPr="006C6A82">
        <w:rPr>
          <w:rFonts w:asciiTheme="minorHAnsi" w:hAnsiTheme="minorHAnsi"/>
          <w:color w:val="000000" w:themeColor="text1"/>
        </w:rPr>
        <w:t xml:space="preserve">the </w:t>
      </w:r>
      <w:r w:rsidRPr="006C6A82">
        <w:rPr>
          <w:rFonts w:asciiTheme="minorHAnsi" w:hAnsiTheme="minorHAnsi" w:cstheme="minorHAnsi"/>
          <w:color w:val="000000" w:themeColor="text1"/>
        </w:rPr>
        <w:t>Council</w:t>
      </w:r>
      <w:r w:rsidRPr="006C6A82">
        <w:rPr>
          <w:rFonts w:asciiTheme="minorHAnsi" w:hAnsiTheme="minorHAnsi"/>
          <w:color w:val="000000" w:themeColor="text1"/>
        </w:rPr>
        <w:t xml:space="preserve"> of </w:t>
      </w:r>
      <w:r w:rsidRPr="006C6A82">
        <w:rPr>
          <w:rFonts w:asciiTheme="minorHAnsi" w:hAnsiTheme="minorHAnsi" w:cstheme="minorHAnsi"/>
          <w:color w:val="000000" w:themeColor="text1"/>
        </w:rPr>
        <w:t>State for cantonal financial support for their contribution</w:t>
      </w:r>
      <w:r w:rsidRPr="006C6A82">
        <w:rPr>
          <w:rFonts w:asciiTheme="minorHAnsi" w:hAnsiTheme="minorHAnsi"/>
          <w:color w:val="000000" w:themeColor="text1"/>
        </w:rPr>
        <w:t xml:space="preserve"> of</w:t>
      </w:r>
      <w:r w:rsidR="00DA03BE" w:rsidRPr="006C6A82">
        <w:rPr>
          <w:rFonts w:asciiTheme="minorHAnsi" w:hAnsiTheme="minorHAnsi" w:cstheme="minorHAnsi"/>
          <w:color w:val="000000" w:themeColor="text1"/>
          <w:sz w:val="24"/>
        </w:rPr>
        <w:t xml:space="preserve"> the remaining CHF 42,400,000</w:t>
      </w:r>
      <w:r w:rsidR="00D0385F" w:rsidRPr="006C6A82">
        <w:rPr>
          <w:rFonts w:asciiTheme="minorHAnsi" w:hAnsiTheme="minorHAnsi" w:cstheme="minorHAnsi"/>
          <w:color w:val="000000" w:themeColor="text1"/>
          <w:sz w:val="24"/>
        </w:rPr>
        <w:t xml:space="preserve"> for the financing of the </w:t>
      </w:r>
      <w:r w:rsidR="005F4F3A" w:rsidRPr="006C6A82">
        <w:rPr>
          <w:rFonts w:asciiTheme="minorHAnsi" w:hAnsiTheme="minorHAnsi" w:cstheme="minorHAnsi"/>
          <w:color w:val="000000" w:themeColor="text1"/>
          <w:sz w:val="24"/>
        </w:rPr>
        <w:t xml:space="preserve">demolition and </w:t>
      </w:r>
      <w:r w:rsidR="00D0385F" w:rsidRPr="006C6A82">
        <w:rPr>
          <w:rFonts w:asciiTheme="minorHAnsi" w:hAnsiTheme="minorHAnsi" w:cstheme="minorHAnsi"/>
          <w:color w:val="000000" w:themeColor="text1"/>
          <w:sz w:val="24"/>
        </w:rPr>
        <w:t xml:space="preserve">reconstruction project of the ITU headquarters. </w:t>
      </w:r>
      <w:r w:rsidR="00722893" w:rsidRPr="006632C7">
        <w:rPr>
          <w:rFonts w:asciiTheme="minorHAnsi" w:hAnsiTheme="minorHAnsi" w:cstheme="minorHAnsi"/>
          <w:color w:val="000000" w:themeColor="text1"/>
          <w:sz w:val="24"/>
          <w:lang w:val="en-GB"/>
        </w:rPr>
        <w:t>Consideration</w:t>
      </w:r>
      <w:r w:rsidR="00722893" w:rsidRPr="006632C7">
        <w:rPr>
          <w:rFonts w:asciiTheme="minorHAnsi" w:hAnsiTheme="minorHAnsi"/>
          <w:color w:val="000000" w:themeColor="text1"/>
          <w:sz w:val="24"/>
          <w:lang w:val="en-GB"/>
        </w:rPr>
        <w:t xml:space="preserve"> of the </w:t>
      </w:r>
      <w:r w:rsidR="00722893" w:rsidRPr="006632C7">
        <w:rPr>
          <w:rFonts w:asciiTheme="minorHAnsi" w:hAnsiTheme="minorHAnsi" w:cstheme="minorHAnsi"/>
          <w:color w:val="000000" w:themeColor="text1"/>
          <w:sz w:val="24"/>
        </w:rPr>
        <w:t>draft law</w:t>
      </w:r>
      <w:r w:rsidR="00722893" w:rsidRPr="006632C7">
        <w:rPr>
          <w:rFonts w:asciiTheme="minorHAnsi" w:hAnsiTheme="minorHAnsi" w:cstheme="minorHAnsi"/>
          <w:color w:val="000000" w:themeColor="text1"/>
          <w:sz w:val="24"/>
          <w:lang w:val="en-GB"/>
        </w:rPr>
        <w:t xml:space="preserve"> b</w:t>
      </w:r>
      <w:r w:rsidR="00722893" w:rsidRPr="00780AE9">
        <w:rPr>
          <w:rFonts w:asciiTheme="minorHAnsi" w:hAnsiTheme="minorHAnsi" w:cstheme="minorHAnsi"/>
          <w:color w:val="000000" w:themeColor="text1"/>
          <w:sz w:val="24"/>
          <w:lang w:val="en-GB"/>
        </w:rPr>
        <w:t>y the Grand Council, and it</w:t>
      </w:r>
      <w:r w:rsidR="00722893" w:rsidRPr="00780AE9">
        <w:rPr>
          <w:rFonts w:asciiTheme="minorHAnsi" w:hAnsiTheme="minorHAnsi" w:cstheme="minorHAnsi"/>
          <w:color w:val="000000" w:themeColor="text1"/>
          <w:sz w:val="24"/>
        </w:rPr>
        <w:t>s</w:t>
      </w:r>
      <w:r w:rsidR="00722893" w:rsidRPr="006632C7">
        <w:rPr>
          <w:rFonts w:asciiTheme="minorHAnsi" w:hAnsiTheme="minorHAnsi" w:cstheme="minorHAnsi"/>
          <w:color w:val="000000" w:themeColor="text1"/>
          <w:sz w:val="24"/>
          <w:lang w:val="en-GB"/>
        </w:rPr>
        <w:t xml:space="preserve"> adoption, is expected to take place</w:t>
      </w:r>
      <w:r w:rsidR="00722893" w:rsidRPr="006632C7">
        <w:rPr>
          <w:rFonts w:asciiTheme="minorHAnsi" w:hAnsiTheme="minorHAnsi"/>
          <w:color w:val="000000" w:themeColor="text1"/>
          <w:sz w:val="24"/>
          <w:lang w:val="en-GB"/>
        </w:rPr>
        <w:t xml:space="preserve"> by the </w:t>
      </w:r>
      <w:r w:rsidR="00722893" w:rsidRPr="006632C7">
        <w:rPr>
          <w:rFonts w:asciiTheme="minorHAnsi" w:hAnsiTheme="minorHAnsi" w:cstheme="minorHAnsi"/>
          <w:color w:val="000000" w:themeColor="text1"/>
          <w:sz w:val="24"/>
          <w:lang w:val="en-GB"/>
        </w:rPr>
        <w:t>end of</w:t>
      </w:r>
      <w:r w:rsidR="00722893" w:rsidRPr="006632C7">
        <w:rPr>
          <w:rFonts w:asciiTheme="minorHAnsi" w:hAnsiTheme="minorHAnsi"/>
          <w:color w:val="000000" w:themeColor="text1"/>
          <w:sz w:val="24"/>
          <w:lang w:val="en-GB"/>
        </w:rPr>
        <w:t xml:space="preserve"> the </w:t>
      </w:r>
      <w:r w:rsidR="00722893" w:rsidRPr="006632C7">
        <w:rPr>
          <w:rFonts w:asciiTheme="minorHAnsi" w:hAnsiTheme="minorHAnsi" w:cstheme="minorHAnsi"/>
          <w:color w:val="000000" w:themeColor="text1"/>
          <w:sz w:val="24"/>
          <w:lang w:val="en-GB"/>
        </w:rPr>
        <w:t>year.</w:t>
      </w:r>
    </w:p>
    <w:p w14:paraId="5A55700E" w14:textId="5584A7BA" w:rsidR="00722893" w:rsidRPr="006632C7" w:rsidRDefault="00722893" w:rsidP="006C6A82">
      <w:pPr>
        <w:pStyle w:val="ListParagraph"/>
        <w:numPr>
          <w:ilvl w:val="0"/>
          <w:numId w:val="46"/>
        </w:numPr>
        <w:spacing w:before="120" w:after="120"/>
        <w:ind w:hanging="294"/>
        <w:jc w:val="both"/>
        <w:rPr>
          <w:rFonts w:asciiTheme="minorHAnsi" w:hAnsiTheme="minorHAnsi" w:cstheme="minorHAnsi"/>
          <w:color w:val="000000" w:themeColor="text1"/>
          <w:sz w:val="24"/>
        </w:rPr>
      </w:pPr>
      <w:r w:rsidRPr="006632C7">
        <w:rPr>
          <w:rFonts w:asciiTheme="minorHAnsi" w:hAnsiTheme="minorHAnsi" w:cstheme="minorHAnsi"/>
          <w:color w:val="000000" w:themeColor="text1"/>
          <w:sz w:val="24"/>
        </w:rPr>
        <w:lastRenderedPageBreak/>
        <w:t>August 2020 – unanimous approval received form the Financial Commission to support the loan request.</w:t>
      </w:r>
    </w:p>
    <w:p w14:paraId="0DE16936" w14:textId="6EB95C9D" w:rsidR="0086489C" w:rsidRPr="006632C7" w:rsidRDefault="00722893" w:rsidP="006C6A82">
      <w:pPr>
        <w:pStyle w:val="ListParagraph"/>
        <w:numPr>
          <w:ilvl w:val="0"/>
          <w:numId w:val="4"/>
        </w:numPr>
        <w:ind w:left="709" w:hanging="283"/>
        <w:jc w:val="both"/>
        <w:rPr>
          <w:rFonts w:asciiTheme="minorHAnsi" w:hAnsiTheme="minorHAnsi" w:cstheme="minorHAnsi"/>
          <w:color w:val="000000" w:themeColor="text1"/>
          <w:sz w:val="24"/>
        </w:rPr>
      </w:pPr>
      <w:r w:rsidRPr="006C6A82">
        <w:rPr>
          <w:rFonts w:asciiTheme="minorHAnsi" w:hAnsiTheme="minorHAnsi" w:cstheme="minorHAnsi"/>
          <w:color w:val="000000" w:themeColor="text1"/>
        </w:rPr>
        <w:t xml:space="preserve">21 September 2020 – </w:t>
      </w:r>
      <w:r w:rsidR="0086489C" w:rsidRPr="006632C7">
        <w:rPr>
          <w:rFonts w:asciiTheme="minorHAnsi" w:hAnsiTheme="minorHAnsi" w:cstheme="minorHAnsi"/>
          <w:color w:val="000000" w:themeColor="text1"/>
          <w:sz w:val="24"/>
        </w:rPr>
        <w:t xml:space="preserve">The first Chamber </w:t>
      </w:r>
      <w:r w:rsidR="00066C6F" w:rsidRPr="006632C7">
        <w:rPr>
          <w:rFonts w:asciiTheme="minorHAnsi" w:hAnsiTheme="minorHAnsi" w:cstheme="minorHAnsi"/>
          <w:color w:val="000000" w:themeColor="text1"/>
          <w:sz w:val="24"/>
        </w:rPr>
        <w:t xml:space="preserve">approved </w:t>
      </w:r>
      <w:r w:rsidR="0086489C" w:rsidRPr="006632C7">
        <w:rPr>
          <w:rFonts w:asciiTheme="minorHAnsi" w:hAnsiTheme="minorHAnsi" w:cstheme="minorHAnsi"/>
          <w:color w:val="000000" w:themeColor="text1"/>
          <w:sz w:val="24"/>
        </w:rPr>
        <w:t>during the autumn;</w:t>
      </w:r>
    </w:p>
    <w:p w14:paraId="1B8DFF15" w14:textId="5CE9231E" w:rsidR="0086489C" w:rsidRPr="00D75BAB" w:rsidRDefault="00066C6F" w:rsidP="006C6A82">
      <w:pPr>
        <w:pStyle w:val="ListParagraph"/>
        <w:numPr>
          <w:ilvl w:val="0"/>
          <w:numId w:val="4"/>
        </w:numPr>
        <w:ind w:left="709" w:hanging="283"/>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November-December 2020 – </w:t>
      </w:r>
      <w:r w:rsidR="0086489C" w:rsidRPr="00D75BAB">
        <w:rPr>
          <w:rFonts w:asciiTheme="minorHAnsi" w:hAnsiTheme="minorHAnsi" w:cstheme="minorHAnsi"/>
          <w:color w:val="000000" w:themeColor="text1"/>
          <w:sz w:val="24"/>
        </w:rPr>
        <w:t xml:space="preserve">The second Chamber </w:t>
      </w:r>
      <w:r>
        <w:rPr>
          <w:rFonts w:asciiTheme="minorHAnsi" w:hAnsiTheme="minorHAnsi" w:cstheme="minorHAnsi"/>
          <w:color w:val="000000" w:themeColor="text1"/>
          <w:sz w:val="24"/>
        </w:rPr>
        <w:t>debates</w:t>
      </w:r>
      <w:r w:rsidRPr="00D75BAB">
        <w:rPr>
          <w:rFonts w:asciiTheme="minorHAnsi" w:hAnsiTheme="minorHAnsi" w:cstheme="minorHAnsi"/>
          <w:color w:val="000000" w:themeColor="text1"/>
          <w:sz w:val="24"/>
        </w:rPr>
        <w:t xml:space="preserve"> </w:t>
      </w:r>
      <w:r w:rsidR="0086489C" w:rsidRPr="00D75BAB">
        <w:rPr>
          <w:rFonts w:asciiTheme="minorHAnsi" w:hAnsiTheme="minorHAnsi" w:cstheme="minorHAnsi"/>
          <w:color w:val="000000" w:themeColor="text1"/>
          <w:sz w:val="24"/>
        </w:rPr>
        <w:t>during the winter session</w:t>
      </w:r>
      <w:r>
        <w:rPr>
          <w:rFonts w:asciiTheme="minorHAnsi" w:hAnsiTheme="minorHAnsi" w:cstheme="minorHAnsi"/>
          <w:color w:val="000000" w:themeColor="text1"/>
          <w:sz w:val="24"/>
        </w:rPr>
        <w:t>.</w:t>
      </w:r>
    </w:p>
    <w:p w14:paraId="36E0FD5F" w14:textId="66F3183C" w:rsidR="00AF3E4D" w:rsidRDefault="0086489C" w:rsidP="00CB733B">
      <w:pPr>
        <w:spacing w:before="240"/>
        <w:jc w:val="both"/>
        <w:rPr>
          <w:rFonts w:asciiTheme="minorHAnsi" w:hAnsiTheme="minorHAnsi" w:cstheme="minorHAnsi"/>
          <w:color w:val="000000" w:themeColor="text1"/>
        </w:rPr>
      </w:pPr>
      <w:r w:rsidRPr="00D75BAB">
        <w:rPr>
          <w:rFonts w:asciiTheme="minorHAnsi" w:hAnsiTheme="minorHAnsi" w:cstheme="minorHAnsi"/>
          <w:color w:val="000000" w:themeColor="text1"/>
        </w:rPr>
        <w:t>Funds are expected to be potentially available from early 2021. In the meantime, funds from the first part of the loan remain available from the Host Country</w:t>
      </w:r>
      <w:r w:rsidR="00DA03BE">
        <w:rPr>
          <w:rFonts w:asciiTheme="minorHAnsi" w:hAnsiTheme="minorHAnsi" w:cstheme="minorHAnsi"/>
          <w:color w:val="000000" w:themeColor="text1"/>
        </w:rPr>
        <w:t xml:space="preserve"> until June 2021</w:t>
      </w:r>
      <w:r w:rsidRPr="00D75BAB">
        <w:rPr>
          <w:rFonts w:asciiTheme="minorHAnsi" w:hAnsiTheme="minorHAnsi" w:cstheme="minorHAnsi"/>
          <w:color w:val="000000" w:themeColor="text1"/>
        </w:rPr>
        <w:t xml:space="preserve">. </w:t>
      </w:r>
    </w:p>
    <w:p w14:paraId="037281DB" w14:textId="76F52DDB" w:rsidR="0086489C" w:rsidRDefault="0086489C" w:rsidP="00CB733B">
      <w:pPr>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w:t>
      </w:r>
      <w:r w:rsidR="00066C6F">
        <w:rPr>
          <w:rFonts w:asciiTheme="minorHAnsi" w:hAnsiTheme="minorHAnsi" w:cstheme="minorHAnsi"/>
          <w:b/>
          <w:bCs/>
          <w:color w:val="000000" w:themeColor="text1"/>
        </w:rPr>
        <w:t>5</w:t>
      </w:r>
      <w:r w:rsidRPr="00D75BAB">
        <w:rPr>
          <w:rFonts w:asciiTheme="minorHAnsi" w:hAnsiTheme="minorHAnsi" w:cstheme="minorHAnsi"/>
          <w:b/>
          <w:bCs/>
          <w:color w:val="000000" w:themeColor="text1"/>
        </w:rPr>
        <w:tab/>
        <w:t>Risk Register</w:t>
      </w:r>
    </w:p>
    <w:p w14:paraId="1D8CEE5D" w14:textId="2106FD2B" w:rsidR="00C109FD" w:rsidRPr="0026518E" w:rsidRDefault="00220267" w:rsidP="00CB733B">
      <w:pPr>
        <w:jc w:val="both"/>
        <w:rPr>
          <w:rFonts w:asciiTheme="minorHAnsi" w:hAnsiTheme="minorHAnsi" w:cstheme="minorHAnsi"/>
          <w:color w:val="000000" w:themeColor="text1"/>
          <w:lang w:val="en-US"/>
        </w:rPr>
      </w:pPr>
      <w:r w:rsidRPr="0026518E">
        <w:rPr>
          <w:rFonts w:asciiTheme="minorHAnsi" w:hAnsiTheme="minorHAnsi" w:cstheme="minorHAnsi"/>
          <w:color w:val="000000" w:themeColor="text1"/>
          <w:lang w:val="en-US"/>
        </w:rPr>
        <w:t xml:space="preserve">A comprehensive </w:t>
      </w:r>
      <w:r w:rsidR="00066C6F">
        <w:rPr>
          <w:rFonts w:asciiTheme="minorHAnsi" w:hAnsiTheme="minorHAnsi" w:cstheme="minorHAnsi"/>
          <w:color w:val="000000" w:themeColor="text1"/>
          <w:lang w:val="en-US"/>
        </w:rPr>
        <w:t>R</w:t>
      </w:r>
      <w:r w:rsidR="00066C6F" w:rsidRPr="0026518E">
        <w:rPr>
          <w:rFonts w:asciiTheme="minorHAnsi" w:hAnsiTheme="minorHAnsi" w:cstheme="minorHAnsi"/>
          <w:color w:val="000000" w:themeColor="text1"/>
          <w:lang w:val="en-US"/>
        </w:rPr>
        <w:t xml:space="preserve">isk </w:t>
      </w:r>
      <w:r w:rsidR="00066C6F">
        <w:rPr>
          <w:rFonts w:asciiTheme="minorHAnsi" w:hAnsiTheme="minorHAnsi" w:cstheme="minorHAnsi"/>
          <w:color w:val="000000" w:themeColor="text1"/>
          <w:lang w:val="en-US"/>
        </w:rPr>
        <w:t>R</w:t>
      </w:r>
      <w:r w:rsidR="00066C6F" w:rsidRPr="0026518E">
        <w:rPr>
          <w:rFonts w:asciiTheme="minorHAnsi" w:hAnsiTheme="minorHAnsi" w:cstheme="minorHAnsi"/>
          <w:color w:val="000000" w:themeColor="text1"/>
          <w:lang w:val="en-US"/>
        </w:rPr>
        <w:t xml:space="preserve">egister </w:t>
      </w:r>
      <w:r w:rsidRPr="0026518E">
        <w:rPr>
          <w:rFonts w:asciiTheme="minorHAnsi" w:hAnsiTheme="minorHAnsi" w:cstheme="minorHAnsi"/>
          <w:color w:val="000000" w:themeColor="text1"/>
          <w:lang w:val="en-US"/>
        </w:rPr>
        <w:t xml:space="preserve">has been developed for the </w:t>
      </w:r>
      <w:r w:rsidR="00D93826" w:rsidRPr="0026518E">
        <w:rPr>
          <w:rFonts w:asciiTheme="minorHAnsi" w:hAnsiTheme="minorHAnsi" w:cstheme="minorHAnsi"/>
          <w:color w:val="000000" w:themeColor="text1"/>
          <w:lang w:val="en-US"/>
        </w:rPr>
        <w:t>Additional Council session held in September 2019</w:t>
      </w:r>
      <w:r w:rsidR="00066C6F">
        <w:rPr>
          <w:rFonts w:asciiTheme="minorHAnsi" w:hAnsiTheme="minorHAnsi" w:cstheme="minorHAnsi"/>
          <w:color w:val="000000" w:themeColor="text1"/>
          <w:lang w:val="en-US"/>
        </w:rPr>
        <w:t xml:space="preserve"> regularly</w:t>
      </w:r>
      <w:r w:rsidR="00C109FD" w:rsidRPr="0026518E">
        <w:rPr>
          <w:rFonts w:asciiTheme="minorHAnsi" w:hAnsiTheme="minorHAnsi" w:cstheme="minorHAnsi"/>
          <w:color w:val="000000" w:themeColor="text1"/>
          <w:lang w:val="en-US"/>
        </w:rPr>
        <w:t xml:space="preserve"> assess</w:t>
      </w:r>
      <w:r w:rsidR="00C1740E">
        <w:rPr>
          <w:rFonts w:asciiTheme="minorHAnsi" w:hAnsiTheme="minorHAnsi" w:cstheme="minorHAnsi"/>
          <w:color w:val="000000" w:themeColor="text1"/>
          <w:lang w:val="en-US"/>
        </w:rPr>
        <w:t>ing</w:t>
      </w:r>
      <w:r w:rsidR="00C109FD" w:rsidRPr="0026518E">
        <w:rPr>
          <w:rFonts w:asciiTheme="minorHAnsi" w:hAnsiTheme="minorHAnsi" w:cstheme="minorHAnsi"/>
          <w:color w:val="000000" w:themeColor="text1"/>
          <w:lang w:val="en-US"/>
        </w:rPr>
        <w:t xml:space="preserve"> the </w:t>
      </w:r>
      <w:proofErr w:type="spellStart"/>
      <w:r w:rsidR="00C109FD" w:rsidRPr="0026518E">
        <w:rPr>
          <w:rFonts w:asciiTheme="minorHAnsi" w:hAnsiTheme="minorHAnsi" w:cstheme="minorHAnsi"/>
          <w:color w:val="000000" w:themeColor="text1"/>
          <w:lang w:val="en-US"/>
        </w:rPr>
        <w:t>programme</w:t>
      </w:r>
      <w:proofErr w:type="spellEnd"/>
      <w:r w:rsidR="00C109FD" w:rsidRPr="0026518E">
        <w:rPr>
          <w:rFonts w:asciiTheme="minorHAnsi" w:hAnsiTheme="minorHAnsi" w:cstheme="minorHAnsi"/>
          <w:color w:val="000000" w:themeColor="text1"/>
          <w:lang w:val="en-US"/>
        </w:rPr>
        <w:t xml:space="preserve"> to identify the potential impact of future </w:t>
      </w:r>
      <w:proofErr w:type="spellStart"/>
      <w:r w:rsidR="00C109FD" w:rsidRPr="0026518E">
        <w:rPr>
          <w:rFonts w:asciiTheme="minorHAnsi" w:hAnsiTheme="minorHAnsi" w:cstheme="minorHAnsi"/>
          <w:color w:val="000000" w:themeColor="text1"/>
          <w:lang w:val="en-US"/>
        </w:rPr>
        <w:t>programme</w:t>
      </w:r>
      <w:proofErr w:type="spellEnd"/>
      <w:r w:rsidR="00C109FD" w:rsidRPr="0026518E">
        <w:rPr>
          <w:rFonts w:asciiTheme="minorHAnsi" w:hAnsiTheme="minorHAnsi" w:cstheme="minorHAnsi"/>
          <w:color w:val="000000" w:themeColor="text1"/>
          <w:lang w:val="en-US"/>
        </w:rPr>
        <w:t xml:space="preserve"> execution.</w:t>
      </w:r>
    </w:p>
    <w:p w14:paraId="4E53B01A" w14:textId="5105ABE4" w:rsidR="00597D59" w:rsidRDefault="00597D59" w:rsidP="00CB733B">
      <w:pPr>
        <w:tabs>
          <w:tab w:val="clear" w:pos="567"/>
          <w:tab w:val="clear" w:pos="1134"/>
          <w:tab w:val="clear" w:pos="1701"/>
          <w:tab w:val="clear" w:pos="2268"/>
          <w:tab w:val="clear" w:pos="2835"/>
        </w:tabs>
        <w:overflowPunct/>
        <w:spacing w:before="0" w:after="120"/>
        <w:jc w:val="both"/>
        <w:textAlignment w:val="auto"/>
        <w:rPr>
          <w:rFonts w:cs="Calibri"/>
          <w:color w:val="000000"/>
          <w:szCs w:val="24"/>
          <w:lang w:eastAsia="zh-CN"/>
        </w:rPr>
      </w:pPr>
      <w:r>
        <w:rPr>
          <w:rFonts w:cs="Calibri"/>
          <w:color w:val="000000"/>
          <w:szCs w:val="24"/>
          <w:lang w:eastAsia="zh-CN"/>
        </w:rPr>
        <w:t>An in-depth analysis of the Risk Register was made by the MSAG at its last meeting. The objective of the Risk Register review being to advise the secretariat of any missing risks perceived by the members and to seek clarification of the risks that are included.</w:t>
      </w:r>
    </w:p>
    <w:p w14:paraId="4A729111" w14:textId="7B97C071" w:rsidR="00894486" w:rsidRPr="00F12301" w:rsidRDefault="00597D59" w:rsidP="00CB733B">
      <w:pPr>
        <w:jc w:val="both"/>
      </w:pPr>
      <w:r>
        <w:rPr>
          <w:rFonts w:cs="Calibri"/>
          <w:color w:val="000000"/>
          <w:szCs w:val="24"/>
          <w:lang w:eastAsia="zh-CN"/>
        </w:rPr>
        <w:t>It was noted that the Risk Register is independent of the Risk Register Fund, which was set and approved by Council Decision 619. Although cost estimations vary over the course of the project, the percentage of uncertainty linked to the project design had been defined and approved by the Council in agreeing upon Council Decision 619 and is in line with benchmarks from similar construction projects.</w:t>
      </w:r>
      <w:r w:rsidR="00894486" w:rsidRPr="00A030DE">
        <w:t xml:space="preserve"> </w:t>
      </w:r>
    </w:p>
    <w:p w14:paraId="31EAE4A8" w14:textId="78EAD8B8" w:rsidR="00C12F01" w:rsidRDefault="005722C1" w:rsidP="00CB733B">
      <w:pPr>
        <w:jc w:val="both"/>
      </w:pPr>
      <w:r w:rsidRPr="00550AED">
        <w:t>As of 31 December 2019, the Risk Register Funds amounts to CHF</w:t>
      </w:r>
      <w:r w:rsidR="003C68FC">
        <w:t> </w:t>
      </w:r>
      <w:r w:rsidRPr="00550AED">
        <w:t>1’425’000.</w:t>
      </w:r>
      <w:r>
        <w:t xml:space="preserve"> </w:t>
      </w:r>
    </w:p>
    <w:p w14:paraId="70CB70E3" w14:textId="77777777" w:rsidR="00597D59" w:rsidRDefault="00597D59" w:rsidP="006C6A82">
      <w:pPr>
        <w:tabs>
          <w:tab w:val="clear" w:pos="567"/>
          <w:tab w:val="clear" w:pos="1134"/>
          <w:tab w:val="clear" w:pos="1701"/>
          <w:tab w:val="clear" w:pos="2268"/>
          <w:tab w:val="clear" w:pos="2835"/>
        </w:tabs>
        <w:overflowPunct/>
        <w:spacing w:after="120"/>
        <w:jc w:val="both"/>
        <w:textAlignment w:val="auto"/>
        <w:rPr>
          <w:rFonts w:cs="Calibri"/>
          <w:color w:val="000000"/>
          <w:szCs w:val="24"/>
          <w:lang w:eastAsia="zh-CN"/>
        </w:rPr>
      </w:pPr>
      <w:r>
        <w:rPr>
          <w:rFonts w:cs="Calibri"/>
          <w:color w:val="000000"/>
          <w:szCs w:val="24"/>
          <w:lang w:eastAsia="zh-CN"/>
        </w:rPr>
        <w:t>As the project advances and cost details become more precise, the risk of error is reduced, and the associated cost goes automatically down. The objective of maintaining the register is, therefore, not to revise the budget every time; rather, it is a mechanism to check whether the estimated amount is enough if the most probable risks would occur.</w:t>
      </w:r>
    </w:p>
    <w:p w14:paraId="47B6A83B" w14:textId="61A02CF5" w:rsidR="00597D59" w:rsidRDefault="00597D59" w:rsidP="00CB733B">
      <w:pPr>
        <w:spacing w:before="0" w:after="120"/>
        <w:jc w:val="both"/>
        <w:rPr>
          <w:rFonts w:cs="Calibri"/>
          <w:szCs w:val="24"/>
          <w:lang w:eastAsia="zh-CN"/>
        </w:rPr>
      </w:pPr>
      <w:r>
        <w:rPr>
          <w:rFonts w:cs="Calibri"/>
          <w:color w:val="000000"/>
          <w:szCs w:val="24"/>
          <w:lang w:eastAsia="zh-CN"/>
        </w:rPr>
        <w:t xml:space="preserve">As the project progresses, some risks are deleted from the table (e.g. last year’s Council approval of the Project, which was endorsed at the </w:t>
      </w:r>
      <w:r w:rsidR="006632C7">
        <w:rPr>
          <w:rFonts w:cs="Calibri"/>
          <w:szCs w:val="24"/>
          <w:lang w:eastAsia="zh-CN"/>
        </w:rPr>
        <w:t>additional</w:t>
      </w:r>
      <w:r>
        <w:rPr>
          <w:rFonts w:cs="Calibri"/>
          <w:szCs w:val="24"/>
          <w:lang w:eastAsia="zh-CN"/>
        </w:rPr>
        <w:t xml:space="preserve"> session in September). Similarly, new risks can be included, like the Covid-19</w:t>
      </w:r>
      <w:r>
        <w:rPr>
          <w:rFonts w:cs="Calibri"/>
          <w:color w:val="000000"/>
          <w:szCs w:val="24"/>
          <w:lang w:eastAsia="zh-CN"/>
        </w:rPr>
        <w:t xml:space="preserve"> </w:t>
      </w:r>
      <w:r>
        <w:rPr>
          <w:rFonts w:cs="Calibri"/>
          <w:szCs w:val="24"/>
          <w:lang w:eastAsia="zh-CN"/>
        </w:rPr>
        <w:t xml:space="preserve">pandemic and its implications. An extract including the most important risks and their estimated costs is available in </w:t>
      </w:r>
      <w:hyperlink w:anchor="AnnexA" w:history="1">
        <w:r w:rsidRPr="00775805">
          <w:rPr>
            <w:rStyle w:val="Hyperlink"/>
          </w:rPr>
          <w:t>Annex A</w:t>
        </w:r>
      </w:hyperlink>
      <w:r w:rsidRPr="00D53A16">
        <w:rPr>
          <w:rFonts w:cs="Calibri"/>
          <w:szCs w:val="24"/>
          <w:lang w:eastAsia="zh-CN"/>
        </w:rPr>
        <w:t>.</w:t>
      </w:r>
      <w:r w:rsidRPr="00CF2B43">
        <w:rPr>
          <w:rFonts w:cs="Calibri"/>
          <w:szCs w:val="24"/>
          <w:lang w:eastAsia="zh-CN"/>
        </w:rPr>
        <w:t xml:space="preserve"> </w:t>
      </w:r>
    </w:p>
    <w:p w14:paraId="4560AB56" w14:textId="77777777" w:rsidR="00597D59" w:rsidRDefault="00597D59" w:rsidP="006C6A82">
      <w:pPr>
        <w:keepNext/>
        <w:spacing w:before="0" w:after="120"/>
        <w:jc w:val="both"/>
        <w:rPr>
          <w:rFonts w:cs="Calibri"/>
          <w:szCs w:val="24"/>
          <w:lang w:eastAsia="zh-CN"/>
        </w:rPr>
      </w:pPr>
      <w:r>
        <w:rPr>
          <w:rFonts w:cs="Calibri"/>
          <w:szCs w:val="24"/>
          <w:lang w:eastAsia="zh-CN"/>
        </w:rPr>
        <w:lastRenderedPageBreak/>
        <w:t xml:space="preserve">Figure: 10 most relevant risks vs. risk register fund </w:t>
      </w:r>
    </w:p>
    <w:p w14:paraId="2899DC28" w14:textId="1B56AFEC" w:rsidR="00597D59" w:rsidRDefault="00597D59" w:rsidP="006C6A82">
      <w:pPr>
        <w:keepNext/>
        <w:spacing w:before="0" w:after="120"/>
        <w:jc w:val="center"/>
        <w:rPr>
          <w:rFonts w:cs="Calibri"/>
          <w:szCs w:val="24"/>
          <w:lang w:eastAsia="zh-CN"/>
        </w:rPr>
      </w:pPr>
      <w:r w:rsidRPr="00BD6FEF">
        <w:rPr>
          <w:noProof/>
          <w:lang w:val="en-US"/>
        </w:rPr>
        <w:drawing>
          <wp:inline distT="0" distB="0" distL="0" distR="0" wp14:anchorId="590F4440" wp14:editId="39BA4037">
            <wp:extent cx="4225387" cy="2836507"/>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99812" cy="2886469"/>
                    </a:xfrm>
                    <a:prstGeom prst="rect">
                      <a:avLst/>
                    </a:prstGeom>
                    <a:noFill/>
                    <a:ln>
                      <a:noFill/>
                    </a:ln>
                  </pic:spPr>
                </pic:pic>
              </a:graphicData>
            </a:graphic>
          </wp:inline>
        </w:drawing>
      </w:r>
    </w:p>
    <w:p w14:paraId="5077D9AF" w14:textId="6651D787" w:rsidR="00597D59" w:rsidRDefault="00597D59" w:rsidP="006C6A82">
      <w:pPr>
        <w:spacing w:before="0" w:after="120"/>
        <w:jc w:val="both"/>
      </w:pPr>
      <w:r w:rsidRPr="007F120E">
        <w:t>Note: the probability</w:t>
      </w:r>
      <w:r w:rsidRPr="00A85211">
        <w:t xml:space="preserve"> that </w:t>
      </w:r>
      <w:r w:rsidRPr="007F120E">
        <w:t>all the risks presented will occur at the same time is unrealistic</w:t>
      </w:r>
      <w:r>
        <w:t>.</w:t>
      </w:r>
    </w:p>
    <w:p w14:paraId="3ADFE65F" w14:textId="69B50426" w:rsidR="00A02D19" w:rsidRDefault="003C0A95" w:rsidP="00CB733B">
      <w:pPr>
        <w:jc w:val="both"/>
      </w:pPr>
      <w:r w:rsidRPr="00F753FE">
        <w:t xml:space="preserve">The updated </w:t>
      </w:r>
      <w:r w:rsidR="00066C6F">
        <w:t xml:space="preserve">complete </w:t>
      </w:r>
      <w:r w:rsidRPr="00F753FE">
        <w:t xml:space="preserve">Risk </w:t>
      </w:r>
      <w:r w:rsidRPr="00742C7A">
        <w:t xml:space="preserve">Register </w:t>
      </w:r>
      <w:r w:rsidR="0063757E" w:rsidRPr="00742C7A">
        <w:t xml:space="preserve">is available </w:t>
      </w:r>
      <w:hyperlink r:id="rId25" w:history="1">
        <w:r w:rsidR="005A230D" w:rsidRPr="006C6A82">
          <w:rPr>
            <w:rStyle w:val="Hyperlink"/>
          </w:rPr>
          <w:t>here</w:t>
        </w:r>
      </w:hyperlink>
      <w:r w:rsidR="0063757E" w:rsidRPr="006C6A82">
        <w:t>.</w:t>
      </w:r>
    </w:p>
    <w:p w14:paraId="11607DA8" w14:textId="51C60109" w:rsidR="00F12301" w:rsidRDefault="0086489C" w:rsidP="00CB733B">
      <w:pPr>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w:t>
      </w:r>
      <w:r w:rsidR="00597D59">
        <w:rPr>
          <w:rFonts w:asciiTheme="minorHAnsi" w:hAnsiTheme="minorHAnsi" w:cstheme="minorHAnsi"/>
          <w:b/>
          <w:bCs/>
          <w:color w:val="000000" w:themeColor="text1"/>
        </w:rPr>
        <w:t>6</w:t>
      </w:r>
      <w:r w:rsidRPr="00D75BAB">
        <w:rPr>
          <w:rFonts w:asciiTheme="minorHAnsi" w:hAnsiTheme="minorHAnsi" w:cstheme="minorHAnsi"/>
          <w:b/>
          <w:bCs/>
          <w:color w:val="000000" w:themeColor="text1"/>
        </w:rPr>
        <w:tab/>
      </w:r>
      <w:r w:rsidR="00974F3E">
        <w:rPr>
          <w:rFonts w:asciiTheme="minorHAnsi" w:hAnsiTheme="minorHAnsi" w:cstheme="minorHAnsi"/>
          <w:b/>
          <w:bCs/>
          <w:color w:val="000000" w:themeColor="text1"/>
        </w:rPr>
        <w:t xml:space="preserve">Schedule of </w:t>
      </w:r>
      <w:r w:rsidR="00597D59">
        <w:rPr>
          <w:rFonts w:asciiTheme="minorHAnsi" w:hAnsiTheme="minorHAnsi" w:cstheme="minorHAnsi"/>
          <w:b/>
          <w:bCs/>
          <w:color w:val="000000" w:themeColor="text1"/>
        </w:rPr>
        <w:t xml:space="preserve">expenses </w:t>
      </w:r>
      <w:r w:rsidR="00974F3E">
        <w:rPr>
          <w:rFonts w:asciiTheme="minorHAnsi" w:hAnsiTheme="minorHAnsi" w:cstheme="minorHAnsi"/>
          <w:b/>
          <w:bCs/>
          <w:color w:val="000000" w:themeColor="text1"/>
        </w:rPr>
        <w:t xml:space="preserve">or </w:t>
      </w:r>
      <w:r w:rsidR="00950BBD">
        <w:rPr>
          <w:rFonts w:asciiTheme="minorHAnsi" w:hAnsiTheme="minorHAnsi" w:cstheme="minorHAnsi"/>
          <w:b/>
          <w:bCs/>
          <w:color w:val="000000" w:themeColor="text1"/>
        </w:rPr>
        <w:t>cost tracker</w:t>
      </w:r>
    </w:p>
    <w:p w14:paraId="2AA45D9B" w14:textId="77777777" w:rsidR="00F4455D" w:rsidRDefault="00F86F1F" w:rsidP="00CB733B">
      <w:pPr>
        <w:shd w:val="clear" w:color="auto" w:fill="FFFFFF"/>
        <w:tabs>
          <w:tab w:val="clear" w:pos="567"/>
          <w:tab w:val="clear" w:pos="1134"/>
          <w:tab w:val="clear" w:pos="1701"/>
          <w:tab w:val="clear" w:pos="2268"/>
          <w:tab w:val="clear" w:pos="2835"/>
        </w:tabs>
        <w:overflowPunct/>
        <w:autoSpaceDE/>
        <w:autoSpaceDN/>
        <w:adjustRightInd/>
        <w:spacing w:before="0"/>
        <w:jc w:val="both"/>
        <w:textAlignment w:val="auto"/>
      </w:pPr>
      <w:r>
        <w:t>Since the</w:t>
      </w:r>
      <w:r w:rsidRPr="00F86F1F">
        <w:t xml:space="preserve"> project start</w:t>
      </w:r>
      <w:r>
        <w:t>ed</w:t>
      </w:r>
      <w:r w:rsidR="00184E9F">
        <w:t xml:space="preserve">, </w:t>
      </w:r>
      <w:r w:rsidRPr="00F86F1F">
        <w:t>task progress </w:t>
      </w:r>
      <w:r w:rsidR="00222168">
        <w:t>-</w:t>
      </w:r>
      <w:r w:rsidRPr="00F86F1F">
        <w:t xml:space="preserve"> the amount of work done on tasks or the percentage of the tasks that are complete</w:t>
      </w:r>
      <w:r w:rsidR="00A4346C">
        <w:t>d</w:t>
      </w:r>
      <w:r w:rsidR="00884871">
        <w:t xml:space="preserve"> – is tracked and updated</w:t>
      </w:r>
      <w:r w:rsidRPr="00F86F1F">
        <w:t>.</w:t>
      </w:r>
    </w:p>
    <w:p w14:paraId="3C507ABB" w14:textId="46B996D0" w:rsidR="00267910" w:rsidRDefault="00A20E60" w:rsidP="00CB733B">
      <w:pPr>
        <w:jc w:val="both"/>
      </w:pPr>
      <w:r>
        <w:t xml:space="preserve">A </w:t>
      </w:r>
      <w:r w:rsidR="00DD6A55">
        <w:t>cost tracker has been esta</w:t>
      </w:r>
      <w:r>
        <w:t>blished co</w:t>
      </w:r>
      <w:r w:rsidR="00F86F1F" w:rsidRPr="00F86F1F">
        <w:t>mbining the actual costs of completed work with the estimated costs for remaining work</w:t>
      </w:r>
      <w:r w:rsidR="00B036C5">
        <w:t xml:space="preserve"> - p</w:t>
      </w:r>
      <w:r w:rsidR="00F86F1F" w:rsidRPr="00F86F1F">
        <w:t xml:space="preserve">roject scheduled </w:t>
      </w:r>
      <w:r w:rsidR="00B036C5">
        <w:t xml:space="preserve">vs </w:t>
      </w:r>
      <w:r w:rsidR="00F86F1F" w:rsidRPr="00F86F1F">
        <w:t xml:space="preserve">projected costs. More importantly, it calculates the difference between the scheduled and baseline costs. This difference, or cost variance, </w:t>
      </w:r>
      <w:r w:rsidR="00B036C5">
        <w:t>identifies</w:t>
      </w:r>
      <w:r w:rsidR="00F86F1F" w:rsidRPr="00F86F1F">
        <w:t xml:space="preserve"> whether </w:t>
      </w:r>
      <w:r w:rsidR="00010C5C">
        <w:t>the</w:t>
      </w:r>
      <w:r w:rsidR="00F86F1F" w:rsidRPr="00F86F1F">
        <w:t xml:space="preserve"> </w:t>
      </w:r>
      <w:r w:rsidR="00A4346C">
        <w:t>P</w:t>
      </w:r>
      <w:r w:rsidR="00F86F1F" w:rsidRPr="00F86F1F">
        <w:t>roject is on budget.</w:t>
      </w:r>
    </w:p>
    <w:p w14:paraId="58DB923C" w14:textId="5BE124C2" w:rsidR="00A97EAC" w:rsidRDefault="00A97EAC" w:rsidP="00CB733B">
      <w:pPr>
        <w:jc w:val="both"/>
      </w:pPr>
      <w:r>
        <w:t xml:space="preserve">The schedule of expenses </w:t>
      </w:r>
      <w:r w:rsidRPr="00742C7A">
        <w:rPr>
          <w:rFonts w:asciiTheme="minorHAnsi" w:hAnsiTheme="minorHAnsi" w:cstheme="minorHAnsi"/>
          <w:color w:val="000000"/>
          <w:szCs w:val="22"/>
          <w:lang w:eastAsia="zh-CN"/>
        </w:rPr>
        <w:t>determines</w:t>
      </w:r>
      <w:r w:rsidRPr="00685568">
        <w:rPr>
          <w:rFonts w:asciiTheme="minorHAnsi" w:hAnsiTheme="minorHAnsi" w:cstheme="minorHAnsi"/>
          <w:color w:val="000000"/>
          <w:szCs w:val="22"/>
          <w:lang w:eastAsia="zh-CN"/>
        </w:rPr>
        <w:t xml:space="preserve"> the projected expenses that ITU will have to incur during the entire </w:t>
      </w:r>
      <w:r>
        <w:rPr>
          <w:rFonts w:asciiTheme="minorHAnsi" w:hAnsiTheme="minorHAnsi" w:cstheme="minorHAnsi"/>
          <w:color w:val="000000"/>
          <w:szCs w:val="22"/>
          <w:lang w:eastAsia="zh-CN"/>
        </w:rPr>
        <w:t>conception</w:t>
      </w:r>
      <w:r w:rsidRPr="00685568">
        <w:rPr>
          <w:rFonts w:asciiTheme="minorHAnsi" w:hAnsiTheme="minorHAnsi" w:cstheme="minorHAnsi"/>
          <w:color w:val="000000"/>
          <w:szCs w:val="22"/>
          <w:lang w:eastAsia="zh-CN"/>
        </w:rPr>
        <w:t xml:space="preserve"> and execution period of the new building </w:t>
      </w:r>
      <w:r>
        <w:rPr>
          <w:rFonts w:asciiTheme="minorHAnsi" w:hAnsiTheme="minorHAnsi" w:cstheme="minorHAnsi"/>
          <w:color w:val="000000"/>
          <w:szCs w:val="22"/>
          <w:lang w:eastAsia="zh-CN"/>
        </w:rPr>
        <w:t xml:space="preserve">works </w:t>
      </w:r>
      <w:r w:rsidRPr="00685568">
        <w:rPr>
          <w:rFonts w:asciiTheme="minorHAnsi" w:hAnsiTheme="minorHAnsi" w:cstheme="minorHAnsi"/>
          <w:color w:val="000000"/>
          <w:szCs w:val="22"/>
          <w:lang w:eastAsia="zh-CN"/>
        </w:rPr>
        <w:t xml:space="preserve">and this according to the CFC distribution </w:t>
      </w:r>
      <w:r>
        <w:rPr>
          <w:rFonts w:asciiTheme="minorHAnsi" w:hAnsiTheme="minorHAnsi" w:cstheme="minorHAnsi"/>
          <w:color w:val="000000"/>
          <w:szCs w:val="22"/>
          <w:lang w:eastAsia="zh-CN"/>
        </w:rPr>
        <w:t xml:space="preserve">as </w:t>
      </w:r>
      <w:r w:rsidRPr="00685568">
        <w:rPr>
          <w:rFonts w:asciiTheme="minorHAnsi" w:hAnsiTheme="minorHAnsi" w:cstheme="minorHAnsi"/>
          <w:color w:val="000000"/>
          <w:szCs w:val="22"/>
          <w:lang w:eastAsia="zh-CN"/>
        </w:rPr>
        <w:t xml:space="preserve">requested by the </w:t>
      </w:r>
      <w:r>
        <w:rPr>
          <w:rFonts w:asciiTheme="minorHAnsi" w:hAnsiTheme="minorHAnsi" w:cstheme="minorHAnsi"/>
          <w:color w:val="000000"/>
          <w:szCs w:val="22"/>
          <w:lang w:eastAsia="zh-CN"/>
        </w:rPr>
        <w:t>Host Country</w:t>
      </w:r>
      <w:r w:rsidRPr="00685568">
        <w:rPr>
          <w:rFonts w:asciiTheme="minorHAnsi" w:hAnsiTheme="minorHAnsi" w:cstheme="minorHAnsi"/>
          <w:color w:val="000000"/>
          <w:szCs w:val="22"/>
          <w:lang w:eastAsia="zh-CN"/>
        </w:rPr>
        <w:t>. The amounts appear</w:t>
      </w:r>
      <w:r>
        <w:rPr>
          <w:rFonts w:asciiTheme="minorHAnsi" w:hAnsiTheme="minorHAnsi" w:cstheme="minorHAnsi"/>
          <w:color w:val="000000"/>
          <w:szCs w:val="22"/>
          <w:lang w:eastAsia="zh-CN"/>
        </w:rPr>
        <w:t xml:space="preserve">ing in the table </w:t>
      </w:r>
      <w:r w:rsidRPr="00685568">
        <w:rPr>
          <w:rFonts w:asciiTheme="minorHAnsi" w:hAnsiTheme="minorHAnsi" w:cstheme="minorHAnsi"/>
          <w:color w:val="000000"/>
          <w:szCs w:val="22"/>
          <w:lang w:eastAsia="zh-CN"/>
        </w:rPr>
        <w:t xml:space="preserve">are partly </w:t>
      </w:r>
      <w:r>
        <w:rPr>
          <w:rFonts w:asciiTheme="minorHAnsi" w:hAnsiTheme="minorHAnsi" w:cstheme="minorHAnsi"/>
          <w:color w:val="000000"/>
          <w:szCs w:val="22"/>
          <w:lang w:eastAsia="zh-CN"/>
        </w:rPr>
        <w:t>effective</w:t>
      </w:r>
      <w:r w:rsidRPr="00685568">
        <w:rPr>
          <w:rFonts w:asciiTheme="minorHAnsi" w:hAnsiTheme="minorHAnsi" w:cstheme="minorHAnsi"/>
          <w:color w:val="000000"/>
          <w:szCs w:val="22"/>
          <w:lang w:eastAsia="zh-CN"/>
        </w:rPr>
        <w:t xml:space="preserve"> amounts (2017 to present), but for the majority the prices indicated are amounts estimated on the basis of the provisional planning of studies and works transmitted by the </w:t>
      </w:r>
      <w:r>
        <w:rPr>
          <w:rFonts w:asciiTheme="minorHAnsi" w:hAnsiTheme="minorHAnsi" w:cstheme="minorHAnsi"/>
          <w:color w:val="000000"/>
          <w:szCs w:val="22"/>
          <w:lang w:eastAsia="zh-CN"/>
        </w:rPr>
        <w:t xml:space="preserve">designers and </w:t>
      </w:r>
      <w:r w:rsidRPr="00685568">
        <w:rPr>
          <w:rFonts w:asciiTheme="minorHAnsi" w:hAnsiTheme="minorHAnsi" w:cstheme="minorHAnsi"/>
          <w:color w:val="000000"/>
          <w:szCs w:val="22"/>
          <w:lang w:eastAsia="zh-CN"/>
        </w:rPr>
        <w:t xml:space="preserve">within the framework of the budget approved </w:t>
      </w:r>
      <w:r>
        <w:rPr>
          <w:rFonts w:asciiTheme="minorHAnsi" w:hAnsiTheme="minorHAnsi" w:cstheme="minorHAnsi"/>
          <w:color w:val="000000"/>
          <w:szCs w:val="22"/>
          <w:lang w:eastAsia="zh-CN"/>
        </w:rPr>
        <w:t>at</w:t>
      </w:r>
      <w:r w:rsidRPr="00685568">
        <w:rPr>
          <w:rFonts w:asciiTheme="minorHAnsi" w:hAnsiTheme="minorHAnsi" w:cstheme="minorHAnsi"/>
          <w:color w:val="000000"/>
          <w:szCs w:val="22"/>
          <w:lang w:eastAsia="zh-CN"/>
        </w:rPr>
        <w:t xml:space="preserve"> the additional session of the Council held in Geneva on </w:t>
      </w:r>
      <w:r w:rsidR="006632C7">
        <w:rPr>
          <w:rFonts w:asciiTheme="minorHAnsi" w:hAnsiTheme="minorHAnsi" w:cstheme="minorHAnsi"/>
          <w:color w:val="000000"/>
          <w:szCs w:val="22"/>
          <w:lang w:eastAsia="zh-CN"/>
        </w:rPr>
        <w:t xml:space="preserve">27 </w:t>
      </w:r>
      <w:r w:rsidRPr="00685568">
        <w:rPr>
          <w:rFonts w:asciiTheme="minorHAnsi" w:hAnsiTheme="minorHAnsi" w:cstheme="minorHAnsi"/>
          <w:color w:val="000000"/>
          <w:szCs w:val="22"/>
          <w:lang w:eastAsia="zh-CN"/>
        </w:rPr>
        <w:t>September 2019.</w:t>
      </w:r>
    </w:p>
    <w:p w14:paraId="04D7B020" w14:textId="1B322645" w:rsidR="00553183" w:rsidRPr="00F86F1F" w:rsidRDefault="00010C5C" w:rsidP="00CB733B">
      <w:pPr>
        <w:jc w:val="both"/>
      </w:pPr>
      <w:r w:rsidRPr="00553183">
        <w:t xml:space="preserve">The </w:t>
      </w:r>
      <w:r w:rsidR="00197F5C">
        <w:t xml:space="preserve">schedule of </w:t>
      </w:r>
      <w:r w:rsidR="00E7274E">
        <w:t>expenses</w:t>
      </w:r>
      <w:r w:rsidR="00E7274E" w:rsidRPr="00553183">
        <w:t xml:space="preserve"> </w:t>
      </w:r>
      <w:r w:rsidRPr="00742C7A">
        <w:t xml:space="preserve">is </w:t>
      </w:r>
      <w:r w:rsidR="00164632" w:rsidRPr="006C6A82">
        <w:t xml:space="preserve">available </w:t>
      </w:r>
      <w:hyperlink r:id="rId26" w:history="1">
        <w:r w:rsidR="00742C7A" w:rsidRPr="006C6A82">
          <w:rPr>
            <w:rStyle w:val="Hyperlink"/>
          </w:rPr>
          <w:t>here</w:t>
        </w:r>
      </w:hyperlink>
      <w:r w:rsidRPr="006C6A82">
        <w:t>.</w:t>
      </w:r>
    </w:p>
    <w:p w14:paraId="6976A519" w14:textId="6DF2F769" w:rsidR="00111E12" w:rsidRDefault="00111E12" w:rsidP="00CB733B">
      <w:pPr>
        <w:keepNext/>
        <w:keepLines/>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w:t>
      </w:r>
      <w:r w:rsidR="00A97EAC">
        <w:rPr>
          <w:rFonts w:asciiTheme="minorHAnsi" w:hAnsiTheme="minorHAnsi" w:cstheme="minorHAnsi"/>
          <w:b/>
          <w:bCs/>
          <w:color w:val="000000" w:themeColor="text1"/>
        </w:rPr>
        <w:t>7</w:t>
      </w:r>
      <w:r w:rsidRPr="00D75BAB">
        <w:rPr>
          <w:rFonts w:asciiTheme="minorHAnsi" w:hAnsiTheme="minorHAnsi" w:cstheme="minorHAnsi"/>
          <w:b/>
          <w:bCs/>
          <w:color w:val="000000" w:themeColor="text1"/>
        </w:rPr>
        <w:tab/>
      </w:r>
      <w:r w:rsidR="0085615F">
        <w:rPr>
          <w:rFonts w:asciiTheme="minorHAnsi" w:hAnsiTheme="minorHAnsi" w:cstheme="minorHAnsi"/>
          <w:b/>
          <w:bCs/>
          <w:color w:val="000000" w:themeColor="text1"/>
        </w:rPr>
        <w:t xml:space="preserve">Preliminary Project </w:t>
      </w:r>
      <w:r w:rsidRPr="00D75BAB">
        <w:rPr>
          <w:rFonts w:asciiTheme="minorHAnsi" w:hAnsiTheme="minorHAnsi" w:cstheme="minorHAnsi"/>
          <w:b/>
          <w:bCs/>
          <w:color w:val="000000" w:themeColor="text1"/>
        </w:rPr>
        <w:t>Schedule</w:t>
      </w:r>
    </w:p>
    <w:p w14:paraId="5F620400" w14:textId="565644A5" w:rsidR="00EF2E41" w:rsidRDefault="00EF2E41" w:rsidP="00CB733B">
      <w:pPr>
        <w:jc w:val="both"/>
      </w:pPr>
      <w:r>
        <w:t xml:space="preserve">Hill International, with substantive input from the Design </w:t>
      </w:r>
      <w:r w:rsidR="001B707F">
        <w:t>c</w:t>
      </w:r>
      <w:r w:rsidR="00873B9A">
        <w:t>onsortium</w:t>
      </w:r>
      <w:r>
        <w:t xml:space="preserve"> </w:t>
      </w:r>
      <w:r w:rsidR="00E65B13">
        <w:t xml:space="preserve">CDTK </w:t>
      </w:r>
      <w:r>
        <w:t xml:space="preserve">and in coordination with </w:t>
      </w:r>
      <w:r w:rsidR="00873B9A">
        <w:t xml:space="preserve">the </w:t>
      </w:r>
      <w:r w:rsidR="00495BDA">
        <w:t>Building Project</w:t>
      </w:r>
      <w:r>
        <w:t xml:space="preserve"> </w:t>
      </w:r>
      <w:r w:rsidR="00495BDA">
        <w:t>Division team</w:t>
      </w:r>
      <w:r>
        <w:t xml:space="preserve">, is responsible to monitor, review and update the design and construction schedule. </w:t>
      </w:r>
    </w:p>
    <w:p w14:paraId="38A974EC" w14:textId="1D0A68E3" w:rsidR="005F5E44" w:rsidRPr="005F5E44" w:rsidRDefault="005F5E44" w:rsidP="00CB733B">
      <w:pPr>
        <w:jc w:val="both"/>
      </w:pPr>
      <w:r w:rsidRPr="0012278C">
        <w:t xml:space="preserve">The </w:t>
      </w:r>
      <w:r w:rsidR="0085615F" w:rsidRPr="0012278C">
        <w:t xml:space="preserve">Preliminary Project Schedule </w:t>
      </w:r>
      <w:r w:rsidRPr="00742C7A">
        <w:t xml:space="preserve">is </w:t>
      </w:r>
      <w:r w:rsidR="00545FF9" w:rsidRPr="00742C7A">
        <w:t xml:space="preserve">available </w:t>
      </w:r>
      <w:hyperlink r:id="rId27" w:history="1">
        <w:r w:rsidR="00742C7A" w:rsidRPr="006C6A82">
          <w:rPr>
            <w:rStyle w:val="Hyperlink"/>
          </w:rPr>
          <w:t>here</w:t>
        </w:r>
      </w:hyperlink>
      <w:r w:rsidR="00742C7A">
        <w:t>.</w:t>
      </w:r>
    </w:p>
    <w:p w14:paraId="37773C17" w14:textId="027FE19A" w:rsidR="0086489C" w:rsidRPr="00D75BAB" w:rsidRDefault="0086489C" w:rsidP="006C6A82">
      <w:pPr>
        <w:keepNext/>
        <w:spacing w:before="240" w:after="120"/>
        <w:ind w:left="567" w:hanging="567"/>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lastRenderedPageBreak/>
        <w:t>3.</w:t>
      </w:r>
      <w:r w:rsidR="00A97EAC">
        <w:rPr>
          <w:rFonts w:asciiTheme="minorHAnsi" w:hAnsiTheme="minorHAnsi" w:cstheme="minorHAnsi"/>
          <w:b/>
          <w:bCs/>
          <w:color w:val="000000" w:themeColor="text1"/>
        </w:rPr>
        <w:t>8</w:t>
      </w:r>
      <w:r w:rsidRPr="00D75BAB">
        <w:rPr>
          <w:rFonts w:asciiTheme="minorHAnsi" w:hAnsiTheme="minorHAnsi" w:cstheme="minorHAnsi"/>
          <w:b/>
          <w:bCs/>
          <w:color w:val="000000" w:themeColor="text1"/>
        </w:rPr>
        <w:tab/>
        <w:t xml:space="preserve">Financial impact on the value of the Tower when retaining the </w:t>
      </w:r>
      <w:r w:rsidR="00275E9B">
        <w:rPr>
          <w:rFonts w:asciiTheme="minorHAnsi" w:hAnsiTheme="minorHAnsi" w:cstheme="minorHAnsi"/>
          <w:b/>
          <w:bCs/>
          <w:color w:val="000000" w:themeColor="text1"/>
        </w:rPr>
        <w:t xml:space="preserve">use of the </w:t>
      </w:r>
      <w:r w:rsidRPr="00D75BAB">
        <w:rPr>
          <w:rFonts w:asciiTheme="minorHAnsi" w:hAnsiTheme="minorHAnsi" w:cstheme="minorHAnsi"/>
          <w:b/>
          <w:bCs/>
          <w:color w:val="000000" w:themeColor="text1"/>
        </w:rPr>
        <w:t>Popov conference room</w:t>
      </w:r>
    </w:p>
    <w:p w14:paraId="594053FA" w14:textId="70300E2E" w:rsidR="00BD7B1F" w:rsidRDefault="00A97EAC" w:rsidP="006C6A82">
      <w:pPr>
        <w:keepNext/>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color w:val="000000" w:themeColor="text1"/>
        </w:rPr>
      </w:pPr>
      <w:r>
        <w:rPr>
          <w:rFonts w:asciiTheme="minorHAnsi" w:hAnsiTheme="minorHAnsi" w:cstheme="minorHAnsi"/>
          <w:color w:val="000000" w:themeColor="text1"/>
        </w:rPr>
        <w:t>A</w:t>
      </w:r>
      <w:r w:rsidR="00275E9B">
        <w:rPr>
          <w:rFonts w:asciiTheme="minorHAnsi" w:hAnsiTheme="minorHAnsi" w:cstheme="minorHAnsi"/>
          <w:color w:val="000000" w:themeColor="text1"/>
        </w:rPr>
        <w:t xml:space="preserve"> contract was issued to SPG Intercity</w:t>
      </w:r>
      <w:r>
        <w:rPr>
          <w:rFonts w:asciiTheme="minorHAnsi" w:hAnsiTheme="minorHAnsi" w:cstheme="minorHAnsi"/>
          <w:color w:val="000000" w:themeColor="text1"/>
        </w:rPr>
        <w:t>,</w:t>
      </w:r>
      <w:r w:rsidR="00275E9B">
        <w:rPr>
          <w:rFonts w:asciiTheme="minorHAnsi" w:hAnsiTheme="minorHAnsi" w:cstheme="minorHAnsi"/>
          <w:color w:val="000000" w:themeColor="text1"/>
        </w:rPr>
        <w:t xml:space="preserve"> </w:t>
      </w:r>
      <w:r w:rsidR="0086489C" w:rsidRPr="00D75BAB">
        <w:rPr>
          <w:rFonts w:asciiTheme="minorHAnsi" w:hAnsiTheme="minorHAnsi" w:cstheme="minorHAnsi"/>
          <w:color w:val="000000" w:themeColor="text1"/>
        </w:rPr>
        <w:t>a real estate expert</w:t>
      </w:r>
      <w:r>
        <w:rPr>
          <w:rFonts w:asciiTheme="minorHAnsi" w:hAnsiTheme="minorHAnsi" w:cstheme="minorHAnsi"/>
          <w:color w:val="000000" w:themeColor="text1"/>
        </w:rPr>
        <w:t>,</w:t>
      </w:r>
      <w:r w:rsidR="0086489C" w:rsidRPr="00D75BAB">
        <w:rPr>
          <w:rFonts w:asciiTheme="minorHAnsi" w:hAnsiTheme="minorHAnsi" w:cstheme="minorHAnsi"/>
          <w:color w:val="000000" w:themeColor="text1"/>
        </w:rPr>
        <w:t xml:space="preserve"> to provide a financial/economic analysis for the option of retaining the use of the </w:t>
      </w:r>
      <w:r>
        <w:rPr>
          <w:rFonts w:asciiTheme="minorHAnsi" w:hAnsiTheme="minorHAnsi" w:cstheme="minorHAnsi"/>
          <w:color w:val="000000" w:themeColor="text1"/>
        </w:rPr>
        <w:t xml:space="preserve">Popov </w:t>
      </w:r>
      <w:r w:rsidR="0086489C" w:rsidRPr="00D75BAB">
        <w:rPr>
          <w:rFonts w:asciiTheme="minorHAnsi" w:hAnsiTheme="minorHAnsi" w:cstheme="minorHAnsi"/>
          <w:color w:val="000000" w:themeColor="text1"/>
        </w:rPr>
        <w:t xml:space="preserve">room after the sale of the Tower. </w:t>
      </w:r>
    </w:p>
    <w:p w14:paraId="05AFE51C" w14:textId="7E9CFD02" w:rsidR="008B7471" w:rsidRDefault="00B66322" w:rsidP="00CB733B">
      <w:pPr>
        <w:jc w:val="both"/>
        <w:rPr>
          <w:rFonts w:asciiTheme="minorHAnsi" w:hAnsiTheme="minorHAnsi" w:cstheme="minorHAnsi"/>
          <w:color w:val="000000" w:themeColor="text1"/>
        </w:rPr>
      </w:pPr>
      <w:r>
        <w:rPr>
          <w:rFonts w:asciiTheme="minorHAnsi" w:hAnsiTheme="minorHAnsi" w:cstheme="minorHAnsi"/>
          <w:color w:val="000000" w:themeColor="text1"/>
        </w:rPr>
        <w:t>T</w:t>
      </w:r>
      <w:r w:rsidR="00691140">
        <w:rPr>
          <w:rFonts w:asciiTheme="minorHAnsi" w:hAnsiTheme="minorHAnsi" w:cstheme="minorHAnsi"/>
          <w:color w:val="000000" w:themeColor="text1"/>
        </w:rPr>
        <w:t xml:space="preserve">he outcome of the </w:t>
      </w:r>
      <w:r w:rsidR="00A97EAC">
        <w:rPr>
          <w:rFonts w:asciiTheme="minorHAnsi" w:hAnsiTheme="minorHAnsi" w:cstheme="minorHAnsi"/>
          <w:color w:val="000000" w:themeColor="text1"/>
        </w:rPr>
        <w:t xml:space="preserve">initial </w:t>
      </w:r>
      <w:r w:rsidR="00691140">
        <w:rPr>
          <w:rFonts w:asciiTheme="minorHAnsi" w:hAnsiTheme="minorHAnsi" w:cstheme="minorHAnsi"/>
          <w:color w:val="000000" w:themeColor="text1"/>
        </w:rPr>
        <w:t xml:space="preserve">study </w:t>
      </w:r>
      <w:r w:rsidR="00A97EAC">
        <w:rPr>
          <w:rFonts w:asciiTheme="minorHAnsi" w:hAnsiTheme="minorHAnsi" w:cstheme="minorHAnsi"/>
          <w:color w:val="000000" w:themeColor="text1"/>
        </w:rPr>
        <w:t xml:space="preserve">demonstrated </w:t>
      </w:r>
      <w:r w:rsidR="006C477D">
        <w:rPr>
          <w:rFonts w:asciiTheme="minorHAnsi" w:hAnsiTheme="minorHAnsi" w:cstheme="minorHAnsi"/>
          <w:color w:val="000000" w:themeColor="text1"/>
        </w:rPr>
        <w:t>that t</w:t>
      </w:r>
      <w:r w:rsidR="00DC0F78" w:rsidRPr="004447AC">
        <w:rPr>
          <w:rFonts w:asciiTheme="minorHAnsi" w:hAnsiTheme="minorHAnsi" w:cstheme="minorHAnsi"/>
          <w:color w:val="000000" w:themeColor="text1"/>
        </w:rPr>
        <w:t xml:space="preserve">he financial impact on the value </w:t>
      </w:r>
      <w:r w:rsidR="00A97EAC" w:rsidRPr="00A97EAC">
        <w:rPr>
          <w:rFonts w:asciiTheme="minorHAnsi" w:hAnsiTheme="minorHAnsi" w:cstheme="minorHAnsi"/>
          <w:color w:val="000000" w:themeColor="text1"/>
        </w:rPr>
        <w:t xml:space="preserve">when retaining the use of the Popov room </w:t>
      </w:r>
      <w:r w:rsidR="00DC0F78" w:rsidRPr="004447AC">
        <w:rPr>
          <w:rFonts w:asciiTheme="minorHAnsi" w:hAnsiTheme="minorHAnsi" w:cstheme="minorHAnsi"/>
          <w:color w:val="000000" w:themeColor="text1"/>
        </w:rPr>
        <w:t xml:space="preserve">is relatively </w:t>
      </w:r>
      <w:r w:rsidR="006C477D">
        <w:rPr>
          <w:rFonts w:asciiTheme="minorHAnsi" w:hAnsiTheme="minorHAnsi" w:cstheme="minorHAnsi"/>
          <w:color w:val="000000" w:themeColor="text1"/>
        </w:rPr>
        <w:t xml:space="preserve">limited </w:t>
      </w:r>
      <w:r w:rsidR="00DC0F78" w:rsidRPr="004447AC">
        <w:rPr>
          <w:rFonts w:asciiTheme="minorHAnsi" w:hAnsiTheme="minorHAnsi" w:cstheme="minorHAnsi"/>
          <w:color w:val="000000" w:themeColor="text1"/>
        </w:rPr>
        <w:t>compared to the overall value of the building</w:t>
      </w:r>
      <w:r>
        <w:rPr>
          <w:rFonts w:asciiTheme="minorHAnsi" w:hAnsiTheme="minorHAnsi" w:cstheme="minorHAnsi"/>
          <w:color w:val="000000" w:themeColor="text1"/>
        </w:rPr>
        <w:t>.</w:t>
      </w:r>
    </w:p>
    <w:p w14:paraId="6673DC05" w14:textId="533B2D35" w:rsidR="00746BBA" w:rsidRPr="00C50C0E" w:rsidRDefault="00E02A75" w:rsidP="00CB733B">
      <w:pPr>
        <w:jc w:val="both"/>
        <w:rPr>
          <w:rFonts w:cstheme="minorHAnsi"/>
          <w:color w:val="000000" w:themeColor="text1"/>
        </w:rPr>
      </w:pPr>
      <w:r>
        <w:rPr>
          <w:rFonts w:cstheme="minorHAnsi"/>
          <w:color w:val="000000" w:themeColor="text1"/>
        </w:rPr>
        <w:t>The study highlights</w:t>
      </w:r>
      <w:r w:rsidR="006B36CA">
        <w:rPr>
          <w:rFonts w:cstheme="minorHAnsi"/>
          <w:color w:val="000000" w:themeColor="text1"/>
        </w:rPr>
        <w:t xml:space="preserve"> however that investors </w:t>
      </w:r>
      <w:r>
        <w:rPr>
          <w:rFonts w:cstheme="minorHAnsi"/>
          <w:color w:val="000000" w:themeColor="text1"/>
        </w:rPr>
        <w:t>c</w:t>
      </w:r>
      <w:r w:rsidR="006B36CA">
        <w:rPr>
          <w:rFonts w:cstheme="minorHAnsi"/>
          <w:color w:val="000000" w:themeColor="text1"/>
        </w:rPr>
        <w:t xml:space="preserve">ould perceive the retaining of the Popov room as a negative factor </w:t>
      </w:r>
      <w:r w:rsidR="00520293">
        <w:rPr>
          <w:rFonts w:cstheme="minorHAnsi"/>
          <w:color w:val="000000" w:themeColor="text1"/>
        </w:rPr>
        <w:t>since it</w:t>
      </w:r>
      <w:r w:rsidR="006B36CA">
        <w:rPr>
          <w:rFonts w:cstheme="minorHAnsi"/>
          <w:color w:val="000000" w:themeColor="text1"/>
        </w:rPr>
        <w:t xml:space="preserve"> </w:t>
      </w:r>
      <w:r>
        <w:rPr>
          <w:rFonts w:cstheme="minorHAnsi"/>
          <w:color w:val="000000" w:themeColor="text1"/>
        </w:rPr>
        <w:t xml:space="preserve">would </w:t>
      </w:r>
      <w:r w:rsidR="006B36CA">
        <w:rPr>
          <w:rFonts w:cstheme="minorHAnsi"/>
          <w:color w:val="000000" w:themeColor="text1"/>
        </w:rPr>
        <w:t xml:space="preserve">represent a limitation for the exploitation of the overall basement and would compromise any other operation </w:t>
      </w:r>
      <w:r w:rsidR="00520293">
        <w:rPr>
          <w:rFonts w:cstheme="minorHAnsi"/>
          <w:color w:val="000000" w:themeColor="text1"/>
        </w:rPr>
        <w:t>other than</w:t>
      </w:r>
      <w:r w:rsidR="006B36CA">
        <w:rPr>
          <w:rFonts w:cstheme="minorHAnsi"/>
          <w:color w:val="000000" w:themeColor="text1"/>
        </w:rPr>
        <w:t xml:space="preserve"> conference rooms the future landlord might </w:t>
      </w:r>
      <w:r w:rsidR="00520293">
        <w:rPr>
          <w:rFonts w:cstheme="minorHAnsi"/>
          <w:color w:val="000000" w:themeColor="text1"/>
        </w:rPr>
        <w:t>wish</w:t>
      </w:r>
      <w:r w:rsidR="006B36CA" w:rsidRPr="00C50C0E">
        <w:rPr>
          <w:rFonts w:cstheme="minorHAnsi"/>
          <w:color w:val="000000" w:themeColor="text1"/>
        </w:rPr>
        <w:t>.</w:t>
      </w:r>
    </w:p>
    <w:p w14:paraId="38A4C93E" w14:textId="20422D63" w:rsidR="00A97EAC" w:rsidRDefault="00D83351" w:rsidP="00CB733B">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heme="minorHAnsi" w:hAnsiTheme="minorHAnsi" w:cstheme="minorHAnsi"/>
          <w:color w:val="000000" w:themeColor="text1"/>
        </w:rPr>
      </w:pPr>
      <w:r>
        <w:rPr>
          <w:rFonts w:asciiTheme="minorHAnsi" w:hAnsiTheme="minorHAnsi" w:cstheme="minorHAnsi"/>
          <w:color w:val="000000" w:themeColor="text1"/>
        </w:rPr>
        <w:t>In consideration of a</w:t>
      </w:r>
      <w:r w:rsidRPr="00D83351">
        <w:rPr>
          <w:rFonts w:asciiTheme="minorHAnsi" w:hAnsiTheme="minorHAnsi" w:cstheme="minorHAnsi"/>
          <w:color w:val="000000" w:themeColor="text1"/>
        </w:rPr>
        <w:t xml:space="preserve"> future sale of the site, </w:t>
      </w:r>
      <w:r w:rsidR="00A82F66">
        <w:rPr>
          <w:rFonts w:asciiTheme="minorHAnsi" w:hAnsiTheme="minorHAnsi" w:cstheme="minorHAnsi"/>
          <w:color w:val="000000" w:themeColor="text1"/>
        </w:rPr>
        <w:t>a</w:t>
      </w:r>
      <w:r w:rsidRPr="00D83351">
        <w:rPr>
          <w:rFonts w:asciiTheme="minorHAnsi" w:hAnsiTheme="minorHAnsi" w:cstheme="minorHAnsi"/>
          <w:color w:val="000000" w:themeColor="text1"/>
        </w:rPr>
        <w:t xml:space="preserve"> recommendation</w:t>
      </w:r>
      <w:r w:rsidR="00C638AD">
        <w:rPr>
          <w:rFonts w:asciiTheme="minorHAnsi" w:hAnsiTheme="minorHAnsi" w:cstheme="minorHAnsi"/>
          <w:color w:val="000000" w:themeColor="text1"/>
        </w:rPr>
        <w:t xml:space="preserve"> </w:t>
      </w:r>
      <w:r w:rsidR="001F7DEC">
        <w:rPr>
          <w:rFonts w:asciiTheme="minorHAnsi" w:hAnsiTheme="minorHAnsi" w:cstheme="minorHAnsi"/>
          <w:color w:val="000000" w:themeColor="text1"/>
        </w:rPr>
        <w:t>for a</w:t>
      </w:r>
      <w:r w:rsidRPr="00D83351">
        <w:rPr>
          <w:rFonts w:asciiTheme="minorHAnsi" w:hAnsiTheme="minorHAnsi" w:cstheme="minorHAnsi"/>
          <w:color w:val="000000" w:themeColor="text1"/>
        </w:rPr>
        <w:t xml:space="preserve"> “</w:t>
      </w:r>
      <w:r w:rsidRPr="00D83351">
        <w:rPr>
          <w:rFonts w:asciiTheme="minorHAnsi" w:hAnsiTheme="minorHAnsi" w:cstheme="minorHAnsi"/>
          <w:i/>
          <w:iCs/>
          <w:color w:val="000000" w:themeColor="text1"/>
        </w:rPr>
        <w:t>sale &amp; lease-back</w:t>
      </w:r>
      <w:r w:rsidRPr="00D83351">
        <w:rPr>
          <w:rFonts w:asciiTheme="minorHAnsi" w:hAnsiTheme="minorHAnsi" w:cstheme="minorHAnsi"/>
          <w:color w:val="000000" w:themeColor="text1"/>
        </w:rPr>
        <w:t xml:space="preserve">” alternative </w:t>
      </w:r>
      <w:r w:rsidR="00A97EAC">
        <w:rPr>
          <w:rFonts w:asciiTheme="minorHAnsi" w:hAnsiTheme="minorHAnsi" w:cstheme="minorHAnsi"/>
          <w:color w:val="000000" w:themeColor="text1"/>
        </w:rPr>
        <w:t xml:space="preserve">was </w:t>
      </w:r>
      <w:r w:rsidR="001F7DEC">
        <w:rPr>
          <w:rFonts w:asciiTheme="minorHAnsi" w:hAnsiTheme="minorHAnsi" w:cstheme="minorHAnsi"/>
          <w:color w:val="000000" w:themeColor="text1"/>
        </w:rPr>
        <w:t>made</w:t>
      </w:r>
      <w:r w:rsidR="00A82F66" w:rsidRPr="00A82F66">
        <w:rPr>
          <w:rFonts w:asciiTheme="minorHAnsi" w:hAnsiTheme="minorHAnsi" w:cstheme="minorHAnsi"/>
          <w:color w:val="000000" w:themeColor="text1"/>
        </w:rPr>
        <w:t xml:space="preserve"> </w:t>
      </w:r>
      <w:r w:rsidR="00520293">
        <w:rPr>
          <w:rFonts w:asciiTheme="minorHAnsi" w:hAnsiTheme="minorHAnsi" w:cstheme="minorHAnsi"/>
          <w:color w:val="000000" w:themeColor="text1"/>
        </w:rPr>
        <w:t xml:space="preserve">by the study </w:t>
      </w:r>
      <w:r w:rsidR="00A82F66">
        <w:rPr>
          <w:rFonts w:asciiTheme="minorHAnsi" w:hAnsiTheme="minorHAnsi" w:cstheme="minorHAnsi"/>
          <w:color w:val="000000" w:themeColor="text1"/>
        </w:rPr>
        <w:t>as</w:t>
      </w:r>
      <w:r w:rsidR="00A82F66" w:rsidRPr="00D83351">
        <w:rPr>
          <w:rFonts w:asciiTheme="minorHAnsi" w:hAnsiTheme="minorHAnsi" w:cstheme="minorHAnsi"/>
          <w:color w:val="000000" w:themeColor="text1"/>
        </w:rPr>
        <w:t xml:space="preserve"> an interesting strategy to explore</w:t>
      </w:r>
      <w:r w:rsidR="00A82F66">
        <w:rPr>
          <w:rFonts w:asciiTheme="minorHAnsi" w:hAnsiTheme="minorHAnsi" w:cstheme="minorHAnsi"/>
          <w:color w:val="000000" w:themeColor="text1"/>
        </w:rPr>
        <w:t xml:space="preserve"> further</w:t>
      </w:r>
      <w:r w:rsidR="001F7DEC">
        <w:rPr>
          <w:rFonts w:asciiTheme="minorHAnsi" w:hAnsiTheme="minorHAnsi" w:cstheme="minorHAnsi"/>
          <w:color w:val="000000" w:themeColor="text1"/>
        </w:rPr>
        <w:t xml:space="preserve">. </w:t>
      </w:r>
    </w:p>
    <w:p w14:paraId="24C9252B" w14:textId="77777777" w:rsidR="00A97EAC" w:rsidRDefault="00A97EAC" w:rsidP="006C6A82">
      <w:pPr>
        <w:tabs>
          <w:tab w:val="clear" w:pos="567"/>
          <w:tab w:val="clear" w:pos="1134"/>
          <w:tab w:val="clear" w:pos="1701"/>
          <w:tab w:val="clear" w:pos="2268"/>
          <w:tab w:val="clear" w:pos="2835"/>
        </w:tabs>
        <w:overflowPunct/>
        <w:spacing w:after="120"/>
        <w:jc w:val="both"/>
        <w:textAlignment w:val="auto"/>
        <w:rPr>
          <w:rFonts w:cs="Calibri"/>
          <w:szCs w:val="24"/>
          <w:lang w:eastAsia="zh-CN"/>
        </w:rPr>
      </w:pPr>
      <w:r>
        <w:rPr>
          <w:rFonts w:cs="Calibri"/>
          <w:szCs w:val="24"/>
          <w:lang w:eastAsia="zh-CN"/>
        </w:rPr>
        <w:t>In light of the above, the virtual consultation of councillors in June 2020 encouraged the secretariat to conduct further investigations on the different sale options of the Tower for the next MSAG meeting and report to the next physical meeting of the Council.</w:t>
      </w:r>
    </w:p>
    <w:p w14:paraId="53A3ADB3" w14:textId="77777777" w:rsidR="00A97EAC" w:rsidRDefault="00A97EAC" w:rsidP="00CB733B">
      <w:pPr>
        <w:tabs>
          <w:tab w:val="clear" w:pos="567"/>
          <w:tab w:val="clear" w:pos="1134"/>
          <w:tab w:val="clear" w:pos="1701"/>
          <w:tab w:val="clear" w:pos="2268"/>
          <w:tab w:val="clear" w:pos="2835"/>
        </w:tabs>
        <w:overflowPunct/>
        <w:spacing w:before="0" w:after="120"/>
        <w:jc w:val="both"/>
        <w:textAlignment w:val="auto"/>
        <w:rPr>
          <w:rFonts w:cs="Calibri"/>
          <w:szCs w:val="24"/>
          <w:lang w:eastAsia="zh-CN"/>
        </w:rPr>
      </w:pPr>
      <w:r>
        <w:rPr>
          <w:rFonts w:cs="Calibri"/>
          <w:szCs w:val="24"/>
          <w:lang w:eastAsia="zh-CN"/>
        </w:rPr>
        <w:t>A second mandate with SPG Intercity was put in place during the summer to investigate the sale and lease-back option such as its attractiveness on the market further. A report to the secretariat containing the expert’s advice concerning the strategy to put the Tower on the market optimally will be finalized by the end of October.</w:t>
      </w:r>
    </w:p>
    <w:p w14:paraId="494B8604" w14:textId="77777777" w:rsidR="00A97EAC" w:rsidRDefault="00A97EAC" w:rsidP="00CB733B">
      <w:pPr>
        <w:tabs>
          <w:tab w:val="clear" w:pos="567"/>
          <w:tab w:val="clear" w:pos="1134"/>
          <w:tab w:val="clear" w:pos="1701"/>
          <w:tab w:val="clear" w:pos="2268"/>
          <w:tab w:val="clear" w:pos="2835"/>
        </w:tabs>
        <w:overflowPunct/>
        <w:spacing w:before="0" w:after="120"/>
        <w:jc w:val="both"/>
        <w:textAlignment w:val="auto"/>
        <w:rPr>
          <w:rFonts w:cs="Calibri"/>
          <w:szCs w:val="24"/>
          <w:lang w:eastAsia="zh-CN"/>
        </w:rPr>
      </w:pPr>
      <w:r>
        <w:rPr>
          <w:rFonts w:cs="Calibri"/>
          <w:szCs w:val="24"/>
          <w:lang w:eastAsia="zh-CN"/>
        </w:rPr>
        <w:t>Its outcome and results will be shared and discussed at the next MSAG meeting taking place on the 12 November 2020.</w:t>
      </w:r>
    </w:p>
    <w:p w14:paraId="4E4ABC39" w14:textId="619782C5" w:rsidR="00B0264A" w:rsidRPr="00455F68" w:rsidRDefault="009B2548" w:rsidP="00CB733B">
      <w:pPr>
        <w:spacing w:before="240" w:after="120"/>
        <w:jc w:val="both"/>
        <w:rPr>
          <w:rFonts w:asciiTheme="minorHAnsi" w:hAnsiTheme="minorHAnsi" w:cstheme="minorHAnsi"/>
          <w:b/>
          <w:bCs/>
          <w:color w:val="000000" w:themeColor="text1"/>
        </w:rPr>
      </w:pPr>
      <w:r w:rsidRPr="00455F68">
        <w:rPr>
          <w:rFonts w:asciiTheme="minorHAnsi" w:hAnsiTheme="minorHAnsi" w:cstheme="minorHAnsi"/>
          <w:b/>
          <w:bCs/>
          <w:color w:val="000000" w:themeColor="text1"/>
        </w:rPr>
        <w:t>3.</w:t>
      </w:r>
      <w:r w:rsidR="00A97EAC">
        <w:rPr>
          <w:rFonts w:asciiTheme="minorHAnsi" w:hAnsiTheme="minorHAnsi" w:cstheme="minorHAnsi"/>
          <w:b/>
          <w:bCs/>
          <w:color w:val="000000" w:themeColor="text1"/>
        </w:rPr>
        <w:t>9</w:t>
      </w:r>
      <w:r w:rsidR="006973E2" w:rsidRPr="00455F68">
        <w:rPr>
          <w:rFonts w:asciiTheme="minorHAnsi" w:hAnsiTheme="minorHAnsi" w:cstheme="minorHAnsi"/>
          <w:b/>
          <w:bCs/>
          <w:color w:val="000000" w:themeColor="text1"/>
        </w:rPr>
        <w:tab/>
      </w:r>
      <w:r w:rsidR="004C0B2D">
        <w:rPr>
          <w:rFonts w:asciiTheme="minorHAnsi" w:hAnsiTheme="minorHAnsi" w:cstheme="minorHAnsi"/>
          <w:b/>
          <w:bCs/>
          <w:color w:val="000000" w:themeColor="text1"/>
        </w:rPr>
        <w:t>Combination</w:t>
      </w:r>
      <w:r w:rsidR="004C0B2D" w:rsidRPr="00455F68">
        <w:rPr>
          <w:rFonts w:asciiTheme="minorHAnsi" w:hAnsiTheme="minorHAnsi" w:cstheme="minorHAnsi"/>
          <w:b/>
          <w:bCs/>
          <w:color w:val="000000" w:themeColor="text1"/>
        </w:rPr>
        <w:t xml:space="preserve"> </w:t>
      </w:r>
      <w:r w:rsidR="006973E2" w:rsidRPr="00455F68">
        <w:rPr>
          <w:rFonts w:asciiTheme="minorHAnsi" w:hAnsiTheme="minorHAnsi" w:cstheme="minorHAnsi"/>
          <w:b/>
          <w:bCs/>
          <w:color w:val="000000" w:themeColor="text1"/>
        </w:rPr>
        <w:t xml:space="preserve">of Facilities Management </w:t>
      </w:r>
      <w:r w:rsidR="00F701C8">
        <w:rPr>
          <w:rFonts w:asciiTheme="minorHAnsi" w:hAnsiTheme="minorHAnsi" w:cstheme="minorHAnsi"/>
          <w:b/>
          <w:bCs/>
          <w:color w:val="000000" w:themeColor="text1"/>
        </w:rPr>
        <w:t xml:space="preserve">Division </w:t>
      </w:r>
      <w:r w:rsidR="006973E2" w:rsidRPr="00455F68">
        <w:rPr>
          <w:rFonts w:asciiTheme="minorHAnsi" w:hAnsiTheme="minorHAnsi" w:cstheme="minorHAnsi"/>
          <w:b/>
          <w:bCs/>
          <w:color w:val="000000" w:themeColor="text1"/>
        </w:rPr>
        <w:t>and Building Project Division</w:t>
      </w:r>
      <w:r w:rsidR="00E421A3" w:rsidRPr="00455F68">
        <w:rPr>
          <w:rFonts w:asciiTheme="minorHAnsi" w:hAnsiTheme="minorHAnsi" w:cstheme="minorHAnsi"/>
          <w:b/>
          <w:bCs/>
          <w:color w:val="000000" w:themeColor="text1"/>
        </w:rPr>
        <w:t xml:space="preserve"> </w:t>
      </w:r>
    </w:p>
    <w:p w14:paraId="2EAC94DF" w14:textId="130BB952" w:rsidR="00332F63" w:rsidRPr="00332F63" w:rsidRDefault="003B2E90" w:rsidP="006C6A82">
      <w:p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A97EAC">
        <w:rPr>
          <w:rFonts w:asciiTheme="minorHAnsi" w:hAnsiTheme="minorHAnsi" w:cstheme="minorHAnsi"/>
          <w:color w:val="000000" w:themeColor="text1"/>
        </w:rPr>
        <w:t xml:space="preserve">recent </w:t>
      </w:r>
      <w:r w:rsidR="004C0B2D">
        <w:rPr>
          <w:rFonts w:asciiTheme="minorHAnsi" w:hAnsiTheme="minorHAnsi" w:cstheme="minorHAnsi"/>
          <w:color w:val="000000" w:themeColor="text1"/>
        </w:rPr>
        <w:t xml:space="preserve">combination </w:t>
      </w:r>
      <w:r>
        <w:rPr>
          <w:rFonts w:asciiTheme="minorHAnsi" w:hAnsiTheme="minorHAnsi" w:cstheme="minorHAnsi"/>
          <w:color w:val="000000" w:themeColor="text1"/>
        </w:rPr>
        <w:t>of</w:t>
      </w:r>
      <w:r w:rsidR="00383AF1" w:rsidRPr="0056429A">
        <w:rPr>
          <w:rFonts w:asciiTheme="minorHAnsi" w:hAnsiTheme="minorHAnsi" w:cstheme="minorHAnsi"/>
          <w:color w:val="000000" w:themeColor="text1"/>
        </w:rPr>
        <w:t xml:space="preserve"> the </w:t>
      </w:r>
      <w:r w:rsidR="00332F63">
        <w:rPr>
          <w:rFonts w:asciiTheme="minorHAnsi" w:hAnsiTheme="minorHAnsi" w:cstheme="minorHAnsi"/>
          <w:color w:val="000000" w:themeColor="text1"/>
        </w:rPr>
        <w:t xml:space="preserve">Facilities Management </w:t>
      </w:r>
      <w:r w:rsidR="00383AF1" w:rsidRPr="0056429A">
        <w:rPr>
          <w:rFonts w:asciiTheme="minorHAnsi" w:hAnsiTheme="minorHAnsi" w:cstheme="minorHAnsi"/>
          <w:color w:val="000000" w:themeColor="text1"/>
        </w:rPr>
        <w:t>Division</w:t>
      </w:r>
      <w:r w:rsidR="00332F63">
        <w:rPr>
          <w:rFonts w:asciiTheme="minorHAnsi" w:hAnsiTheme="minorHAnsi" w:cstheme="minorHAnsi"/>
          <w:color w:val="000000" w:themeColor="text1"/>
        </w:rPr>
        <w:t xml:space="preserve"> (FMD) </w:t>
      </w:r>
      <w:r w:rsidR="00332F63" w:rsidRPr="0056429A">
        <w:rPr>
          <w:rFonts w:asciiTheme="minorHAnsi" w:hAnsiTheme="minorHAnsi" w:cstheme="minorHAnsi"/>
          <w:color w:val="000000" w:themeColor="text1"/>
        </w:rPr>
        <w:t>and the Building Project Division (BPD)</w:t>
      </w:r>
      <w:r w:rsidR="00383AF1" w:rsidRPr="0056429A">
        <w:rPr>
          <w:rFonts w:asciiTheme="minorHAnsi" w:hAnsiTheme="minorHAnsi" w:cstheme="minorHAnsi"/>
          <w:color w:val="000000" w:themeColor="text1"/>
        </w:rPr>
        <w:t xml:space="preserve"> </w:t>
      </w:r>
      <w:r w:rsidR="00F701C8">
        <w:rPr>
          <w:rFonts w:asciiTheme="minorHAnsi" w:hAnsiTheme="minorHAnsi" w:cstheme="minorHAnsi"/>
          <w:color w:val="000000" w:themeColor="text1"/>
        </w:rPr>
        <w:t xml:space="preserve">has </w:t>
      </w:r>
      <w:r w:rsidR="00A32DFC" w:rsidRPr="0056429A">
        <w:rPr>
          <w:rFonts w:asciiTheme="minorHAnsi" w:hAnsiTheme="minorHAnsi" w:cstheme="minorHAnsi"/>
          <w:color w:val="000000" w:themeColor="text1"/>
        </w:rPr>
        <w:t>allowed</w:t>
      </w:r>
      <w:r>
        <w:rPr>
          <w:rFonts w:asciiTheme="minorHAnsi" w:hAnsiTheme="minorHAnsi" w:cstheme="minorHAnsi"/>
          <w:color w:val="000000" w:themeColor="text1"/>
        </w:rPr>
        <w:t xml:space="preserve"> </w:t>
      </w:r>
      <w:r w:rsidR="00644660" w:rsidRPr="0056429A">
        <w:rPr>
          <w:rFonts w:asciiTheme="minorHAnsi" w:hAnsiTheme="minorHAnsi" w:cstheme="minorHAnsi"/>
          <w:color w:val="000000" w:themeColor="text1"/>
        </w:rPr>
        <w:t>saving</w:t>
      </w:r>
      <w:r w:rsidR="00F701C8">
        <w:rPr>
          <w:rFonts w:asciiTheme="minorHAnsi" w:hAnsiTheme="minorHAnsi" w:cstheme="minorHAnsi"/>
          <w:color w:val="000000" w:themeColor="text1"/>
        </w:rPr>
        <w:t>s</w:t>
      </w:r>
      <w:r w:rsidR="00644660" w:rsidRPr="0056429A">
        <w:rPr>
          <w:rFonts w:asciiTheme="minorHAnsi" w:hAnsiTheme="minorHAnsi" w:cstheme="minorHAnsi"/>
          <w:color w:val="000000" w:themeColor="text1"/>
        </w:rPr>
        <w:t xml:space="preserve"> </w:t>
      </w:r>
      <w:r w:rsidR="00DF563E">
        <w:rPr>
          <w:rFonts w:asciiTheme="minorHAnsi" w:hAnsiTheme="minorHAnsi" w:cstheme="minorHAnsi"/>
          <w:color w:val="000000" w:themeColor="text1"/>
        </w:rPr>
        <w:t xml:space="preserve">to </w:t>
      </w:r>
      <w:r w:rsidR="00F701C8">
        <w:rPr>
          <w:rFonts w:asciiTheme="minorHAnsi" w:hAnsiTheme="minorHAnsi" w:cstheme="minorHAnsi"/>
          <w:color w:val="000000" w:themeColor="text1"/>
        </w:rPr>
        <w:t xml:space="preserve">be </w:t>
      </w:r>
      <w:r w:rsidR="00DF563E">
        <w:rPr>
          <w:rFonts w:asciiTheme="minorHAnsi" w:hAnsiTheme="minorHAnsi" w:cstheme="minorHAnsi"/>
          <w:color w:val="000000" w:themeColor="text1"/>
        </w:rPr>
        <w:t>use</w:t>
      </w:r>
      <w:r w:rsidR="00F701C8">
        <w:rPr>
          <w:rFonts w:asciiTheme="minorHAnsi" w:hAnsiTheme="minorHAnsi" w:cstheme="minorHAnsi"/>
          <w:color w:val="000000" w:themeColor="text1"/>
        </w:rPr>
        <w:t>d to</w:t>
      </w:r>
      <w:r w:rsidR="00DF563E">
        <w:rPr>
          <w:rFonts w:asciiTheme="minorHAnsi" w:hAnsiTheme="minorHAnsi" w:cstheme="minorHAnsi"/>
          <w:color w:val="000000" w:themeColor="text1"/>
        </w:rPr>
        <w:t xml:space="preserve"> fund </w:t>
      </w:r>
      <w:r w:rsidR="00A32DFC" w:rsidRPr="0056429A">
        <w:rPr>
          <w:rFonts w:asciiTheme="minorHAnsi" w:hAnsiTheme="minorHAnsi" w:cstheme="minorHAnsi"/>
          <w:color w:val="000000" w:themeColor="text1"/>
        </w:rPr>
        <w:t>the</w:t>
      </w:r>
      <w:r w:rsidR="00D90162" w:rsidRPr="0056429A">
        <w:rPr>
          <w:rFonts w:asciiTheme="minorHAnsi" w:hAnsiTheme="minorHAnsi" w:cstheme="minorHAnsi"/>
          <w:color w:val="000000" w:themeColor="text1"/>
        </w:rPr>
        <w:t xml:space="preserve"> creation of a temporary position (for the duration of the project) </w:t>
      </w:r>
      <w:r w:rsidR="000863FF">
        <w:rPr>
          <w:rFonts w:asciiTheme="minorHAnsi" w:hAnsiTheme="minorHAnsi" w:cstheme="minorHAnsi"/>
          <w:color w:val="000000" w:themeColor="text1"/>
        </w:rPr>
        <w:t>of a</w:t>
      </w:r>
      <w:r w:rsidR="00D90162" w:rsidRPr="0056429A">
        <w:rPr>
          <w:rFonts w:asciiTheme="minorHAnsi" w:hAnsiTheme="minorHAnsi" w:cstheme="minorHAnsi"/>
          <w:color w:val="000000" w:themeColor="text1"/>
        </w:rPr>
        <w:t xml:space="preserve"> Space Planning Officer</w:t>
      </w:r>
      <w:r w:rsidR="00DF563E">
        <w:rPr>
          <w:rFonts w:asciiTheme="minorHAnsi" w:hAnsiTheme="minorHAnsi" w:cstheme="minorHAnsi"/>
          <w:color w:val="000000" w:themeColor="text1"/>
        </w:rPr>
        <w:t xml:space="preserve">. </w:t>
      </w:r>
      <w:r w:rsidR="00332F63" w:rsidRPr="00332F63">
        <w:rPr>
          <w:rFonts w:asciiTheme="minorHAnsi" w:hAnsiTheme="minorHAnsi" w:cstheme="minorHAnsi"/>
          <w:color w:val="000000" w:themeColor="text1"/>
        </w:rPr>
        <w:t>The recruitment and selection process took place during the summer. Status of recruitment to date:</w:t>
      </w:r>
    </w:p>
    <w:p w14:paraId="2DD807E1" w14:textId="1B584EE1" w:rsidR="00332F63" w:rsidRPr="00332F63" w:rsidRDefault="00332F63" w:rsidP="006C6A82">
      <w:pPr>
        <w:numPr>
          <w:ilvl w:val="1"/>
          <w:numId w:val="48"/>
        </w:numPr>
        <w:tabs>
          <w:tab w:val="clear" w:pos="567"/>
          <w:tab w:val="clear" w:pos="1134"/>
          <w:tab w:val="clear" w:pos="1701"/>
          <w:tab w:val="clear" w:pos="2268"/>
          <w:tab w:val="clear" w:pos="2835"/>
        </w:tabs>
        <w:overflowPunct/>
        <w:spacing w:after="120"/>
        <w:jc w:val="both"/>
        <w:textAlignment w:val="auto"/>
        <w:rPr>
          <w:rFonts w:asciiTheme="minorHAnsi" w:hAnsiTheme="minorHAnsi" w:cstheme="minorHAnsi"/>
          <w:color w:val="000000" w:themeColor="text1"/>
        </w:rPr>
      </w:pPr>
      <w:r w:rsidRPr="00332F63">
        <w:rPr>
          <w:rFonts w:asciiTheme="minorHAnsi" w:hAnsiTheme="minorHAnsi" w:cstheme="minorHAnsi"/>
          <w:color w:val="000000" w:themeColor="text1"/>
        </w:rPr>
        <w:t>June 2020: vacancy announcement</w:t>
      </w:r>
    </w:p>
    <w:p w14:paraId="53B3068C" w14:textId="77777777" w:rsidR="00332F63" w:rsidRPr="00332F63" w:rsidRDefault="00332F63" w:rsidP="006C6A82">
      <w:pPr>
        <w:numPr>
          <w:ilvl w:val="1"/>
          <w:numId w:val="48"/>
        </w:numPr>
        <w:tabs>
          <w:tab w:val="clear" w:pos="567"/>
          <w:tab w:val="clear" w:pos="1134"/>
          <w:tab w:val="clear" w:pos="1701"/>
          <w:tab w:val="clear" w:pos="2268"/>
          <w:tab w:val="clear" w:pos="2835"/>
        </w:tabs>
        <w:overflowPunct/>
        <w:spacing w:after="120"/>
        <w:jc w:val="both"/>
        <w:textAlignment w:val="auto"/>
        <w:rPr>
          <w:rFonts w:asciiTheme="minorHAnsi" w:hAnsiTheme="minorHAnsi" w:cstheme="minorHAnsi"/>
          <w:color w:val="000000" w:themeColor="text1"/>
        </w:rPr>
      </w:pPr>
      <w:r w:rsidRPr="00332F63">
        <w:rPr>
          <w:rFonts w:asciiTheme="minorHAnsi" w:hAnsiTheme="minorHAnsi" w:cstheme="minorHAnsi"/>
          <w:color w:val="000000" w:themeColor="text1"/>
        </w:rPr>
        <w:t>July – September 2020: candidates interview and selection</w:t>
      </w:r>
    </w:p>
    <w:p w14:paraId="23A5BEDD" w14:textId="26528981" w:rsidR="00332F63" w:rsidRPr="00332F63" w:rsidRDefault="00332F63" w:rsidP="006C6A82">
      <w:pPr>
        <w:numPr>
          <w:ilvl w:val="1"/>
          <w:numId w:val="44"/>
        </w:numPr>
        <w:tabs>
          <w:tab w:val="clear" w:pos="567"/>
          <w:tab w:val="clear" w:pos="1134"/>
          <w:tab w:val="clear" w:pos="1701"/>
          <w:tab w:val="clear" w:pos="2268"/>
          <w:tab w:val="clear" w:pos="2835"/>
        </w:tabs>
        <w:overflowPunct/>
        <w:spacing w:after="120"/>
        <w:jc w:val="both"/>
        <w:textAlignment w:val="auto"/>
        <w:rPr>
          <w:rFonts w:asciiTheme="minorHAnsi" w:hAnsiTheme="minorHAnsi" w:cstheme="minorHAnsi"/>
          <w:color w:val="000000" w:themeColor="text1"/>
        </w:rPr>
      </w:pPr>
      <w:r w:rsidRPr="00332F63">
        <w:rPr>
          <w:rFonts w:asciiTheme="minorHAnsi" w:hAnsiTheme="minorHAnsi" w:cstheme="minorHAnsi"/>
          <w:color w:val="000000" w:themeColor="text1"/>
        </w:rPr>
        <w:t>October 2020: appointment of selected candidate</w:t>
      </w:r>
    </w:p>
    <w:p w14:paraId="1CCEB8DE" w14:textId="091C897B" w:rsidR="00D90162" w:rsidRPr="0056429A" w:rsidRDefault="00DF563E" w:rsidP="006C6A82">
      <w:pPr>
        <w:tabs>
          <w:tab w:val="clear" w:pos="567"/>
          <w:tab w:val="clear" w:pos="1134"/>
          <w:tab w:val="clear" w:pos="1701"/>
          <w:tab w:val="clear" w:pos="2268"/>
          <w:tab w:val="clear" w:pos="2835"/>
        </w:tabs>
        <w:overflowPunct/>
        <w:spacing w:after="120"/>
        <w:jc w:val="both"/>
        <w:textAlignment w:val="auto"/>
        <w:rPr>
          <w:rFonts w:asciiTheme="minorHAnsi" w:hAnsiTheme="minorHAnsi" w:cstheme="minorHAnsi"/>
          <w:color w:val="000000" w:themeColor="text1"/>
        </w:rPr>
      </w:pPr>
      <w:r>
        <w:rPr>
          <w:rFonts w:asciiTheme="minorHAnsi" w:hAnsiTheme="minorHAnsi" w:cstheme="minorHAnsi"/>
          <w:color w:val="000000" w:themeColor="text1"/>
        </w:rPr>
        <w:t>Once recruited</w:t>
      </w:r>
      <w:r w:rsidR="0005204E">
        <w:rPr>
          <w:rFonts w:asciiTheme="minorHAnsi" w:hAnsiTheme="minorHAnsi" w:cstheme="minorHAnsi"/>
          <w:color w:val="000000" w:themeColor="text1"/>
        </w:rPr>
        <w:t>, h</w:t>
      </w:r>
      <w:r>
        <w:rPr>
          <w:rFonts w:asciiTheme="minorHAnsi" w:hAnsiTheme="minorHAnsi" w:cstheme="minorHAnsi"/>
          <w:color w:val="000000" w:themeColor="text1"/>
        </w:rPr>
        <w:t>e/she</w:t>
      </w:r>
      <w:r w:rsidR="0005204E">
        <w:rPr>
          <w:rFonts w:asciiTheme="minorHAnsi" w:hAnsiTheme="minorHAnsi" w:cstheme="minorHAnsi"/>
          <w:color w:val="000000" w:themeColor="text1"/>
        </w:rPr>
        <w:t xml:space="preserve"> will</w:t>
      </w:r>
      <w:r w:rsidR="00D90162" w:rsidRPr="0056429A">
        <w:rPr>
          <w:rFonts w:asciiTheme="minorHAnsi" w:hAnsiTheme="minorHAnsi" w:cstheme="minorHAnsi"/>
          <w:color w:val="000000" w:themeColor="text1"/>
        </w:rPr>
        <w:t xml:space="preserve"> </w:t>
      </w:r>
      <w:r w:rsidR="0056429A">
        <w:rPr>
          <w:rFonts w:asciiTheme="minorHAnsi" w:hAnsiTheme="minorHAnsi" w:cstheme="minorHAnsi"/>
          <w:color w:val="000000" w:themeColor="text1"/>
        </w:rPr>
        <w:t xml:space="preserve">engage with staff, </w:t>
      </w:r>
      <w:r w:rsidR="00D90162" w:rsidRPr="0056429A">
        <w:rPr>
          <w:rFonts w:asciiTheme="minorHAnsi" w:hAnsiTheme="minorHAnsi" w:cstheme="minorHAnsi"/>
          <w:color w:val="000000" w:themeColor="text1"/>
        </w:rPr>
        <w:t>take care of the temporary arrangements during the staff relocation</w:t>
      </w:r>
      <w:r w:rsidR="00332F63">
        <w:rPr>
          <w:rFonts w:asciiTheme="minorHAnsi" w:hAnsiTheme="minorHAnsi" w:cstheme="minorHAnsi"/>
          <w:color w:val="000000" w:themeColor="text1"/>
        </w:rPr>
        <w:t>,</w:t>
      </w:r>
      <w:r w:rsidR="00D90162" w:rsidRPr="0056429A">
        <w:rPr>
          <w:rFonts w:asciiTheme="minorHAnsi" w:hAnsiTheme="minorHAnsi" w:cstheme="minorHAnsi"/>
          <w:color w:val="000000" w:themeColor="text1"/>
        </w:rPr>
        <w:t xml:space="preserve"> and establish the final space allocation</w:t>
      </w:r>
      <w:r w:rsidR="0005204E">
        <w:rPr>
          <w:rFonts w:asciiTheme="minorHAnsi" w:hAnsiTheme="minorHAnsi" w:cstheme="minorHAnsi"/>
          <w:color w:val="000000" w:themeColor="text1"/>
        </w:rPr>
        <w:t xml:space="preserve"> in line with the </w:t>
      </w:r>
      <w:r w:rsidR="000E0478">
        <w:rPr>
          <w:rFonts w:asciiTheme="minorHAnsi" w:hAnsiTheme="minorHAnsi" w:cstheme="minorHAnsi"/>
          <w:color w:val="000000" w:themeColor="text1"/>
        </w:rPr>
        <w:t>workspace recommendations</w:t>
      </w:r>
      <w:r w:rsidR="00D90162" w:rsidRPr="0056429A">
        <w:rPr>
          <w:rFonts w:asciiTheme="minorHAnsi" w:hAnsiTheme="minorHAnsi" w:cstheme="minorHAnsi"/>
          <w:color w:val="000000" w:themeColor="text1"/>
        </w:rPr>
        <w:t xml:space="preserve"> in the new building. </w:t>
      </w:r>
    </w:p>
    <w:p w14:paraId="3471197B" w14:textId="49E71EDE" w:rsidR="0086489C" w:rsidRPr="00455F68" w:rsidRDefault="00F47C43" w:rsidP="00CB733B">
      <w:pPr>
        <w:pStyle w:val="ListParagraph"/>
        <w:spacing w:before="360" w:after="120"/>
        <w:ind w:left="0"/>
        <w:jc w:val="both"/>
        <w:rPr>
          <w:rFonts w:asciiTheme="minorHAnsi" w:hAnsiTheme="minorHAnsi" w:cstheme="minorHAnsi"/>
          <w:b/>
          <w:bCs/>
          <w:color w:val="000000" w:themeColor="text1"/>
          <w:sz w:val="28"/>
          <w:szCs w:val="28"/>
          <w:lang w:val="en-GB" w:eastAsia="ja-JP"/>
        </w:rPr>
      </w:pPr>
      <w:r w:rsidRPr="00455F68">
        <w:rPr>
          <w:rFonts w:asciiTheme="minorHAnsi" w:hAnsiTheme="minorHAnsi" w:cstheme="minorHAnsi"/>
          <w:b/>
          <w:bCs/>
          <w:color w:val="000000" w:themeColor="text1"/>
          <w:sz w:val="28"/>
          <w:szCs w:val="28"/>
          <w:lang w:val="en-GB" w:eastAsia="ja-JP"/>
        </w:rPr>
        <w:t>4</w:t>
      </w:r>
      <w:r w:rsidR="00E36A1F" w:rsidRPr="00455F68">
        <w:rPr>
          <w:rFonts w:asciiTheme="minorHAnsi" w:hAnsiTheme="minorHAnsi" w:cstheme="minorHAnsi"/>
          <w:b/>
          <w:bCs/>
          <w:color w:val="000000" w:themeColor="text1"/>
          <w:sz w:val="28"/>
          <w:szCs w:val="28"/>
          <w:lang w:val="en-GB" w:eastAsia="ja-JP"/>
        </w:rPr>
        <w:tab/>
      </w:r>
      <w:r w:rsidR="0086489C" w:rsidRPr="00455F68">
        <w:rPr>
          <w:rFonts w:asciiTheme="minorHAnsi" w:hAnsiTheme="minorHAnsi" w:cstheme="minorHAnsi"/>
          <w:b/>
          <w:bCs/>
          <w:color w:val="000000" w:themeColor="text1"/>
          <w:sz w:val="28"/>
          <w:szCs w:val="28"/>
          <w:lang w:val="en-GB" w:eastAsia="ja-JP"/>
        </w:rPr>
        <w:t xml:space="preserve">Financial </w:t>
      </w:r>
      <w:proofErr w:type="gramStart"/>
      <w:r w:rsidR="006632C7">
        <w:rPr>
          <w:rFonts w:asciiTheme="minorHAnsi" w:hAnsiTheme="minorHAnsi" w:cstheme="minorHAnsi"/>
          <w:b/>
          <w:bCs/>
          <w:color w:val="000000" w:themeColor="text1"/>
          <w:sz w:val="28"/>
          <w:szCs w:val="28"/>
          <w:lang w:val="en-GB" w:eastAsia="ja-JP"/>
        </w:rPr>
        <w:t>u</w:t>
      </w:r>
      <w:r w:rsidR="0086489C" w:rsidRPr="00455F68">
        <w:rPr>
          <w:rFonts w:asciiTheme="minorHAnsi" w:hAnsiTheme="minorHAnsi" w:cstheme="minorHAnsi"/>
          <w:b/>
          <w:bCs/>
          <w:color w:val="000000" w:themeColor="text1"/>
          <w:sz w:val="28"/>
          <w:szCs w:val="28"/>
          <w:lang w:val="en-GB" w:eastAsia="ja-JP"/>
        </w:rPr>
        <w:t>pdate</w:t>
      </w:r>
      <w:proofErr w:type="gramEnd"/>
    </w:p>
    <w:p w14:paraId="34EFB5C5" w14:textId="19F76F10" w:rsidR="0095139F" w:rsidRDefault="00D824AE" w:rsidP="00CB733B">
      <w:pPr>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4.1</w:t>
      </w:r>
      <w:r w:rsidRPr="00D75BAB">
        <w:rPr>
          <w:rFonts w:asciiTheme="minorHAnsi" w:hAnsiTheme="minorHAnsi" w:cstheme="minorHAnsi"/>
          <w:b/>
          <w:bCs/>
          <w:color w:val="000000" w:themeColor="text1"/>
        </w:rPr>
        <w:tab/>
      </w:r>
      <w:r w:rsidR="0086489C" w:rsidRPr="00D75BAB">
        <w:rPr>
          <w:rFonts w:asciiTheme="minorHAnsi" w:hAnsiTheme="minorHAnsi" w:cstheme="minorHAnsi"/>
          <w:b/>
          <w:bCs/>
          <w:color w:val="000000" w:themeColor="text1"/>
        </w:rPr>
        <w:t>Confirmation of available budget</w:t>
      </w:r>
    </w:p>
    <w:p w14:paraId="54D6E765" w14:textId="41B3DAB6" w:rsidR="009F1589" w:rsidRDefault="009F1589" w:rsidP="00CB733B">
      <w:pPr>
        <w:pStyle w:val="ListParagraph"/>
        <w:ind w:left="0"/>
        <w:jc w:val="both"/>
        <w:rPr>
          <w:rFonts w:asciiTheme="minorHAnsi" w:hAnsiTheme="minorHAnsi" w:cstheme="minorHAnsi"/>
          <w:color w:val="000000" w:themeColor="text1"/>
          <w:sz w:val="24"/>
        </w:rPr>
      </w:pPr>
      <w:r w:rsidRPr="00D75BAB">
        <w:rPr>
          <w:rFonts w:asciiTheme="minorHAnsi" w:hAnsiTheme="minorHAnsi" w:cstheme="minorHAnsi"/>
          <w:color w:val="000000" w:themeColor="text1"/>
          <w:sz w:val="24"/>
        </w:rPr>
        <w:t xml:space="preserve">Decision 619 was adopted at the additional session of the Council held in Geneva on 27 September 2019, approving the final direct </w:t>
      </w:r>
      <w:r w:rsidR="00A4346C">
        <w:rPr>
          <w:rFonts w:asciiTheme="minorHAnsi" w:hAnsiTheme="minorHAnsi" w:cstheme="minorHAnsi"/>
          <w:color w:val="000000" w:themeColor="text1"/>
          <w:sz w:val="24"/>
        </w:rPr>
        <w:t>P</w:t>
      </w:r>
      <w:r w:rsidRPr="00D75BAB">
        <w:rPr>
          <w:rFonts w:asciiTheme="minorHAnsi" w:hAnsiTheme="minorHAnsi" w:cstheme="minorHAnsi"/>
          <w:color w:val="000000" w:themeColor="text1"/>
          <w:sz w:val="24"/>
        </w:rPr>
        <w:t>roject cost of the Union’s New Headquarters Building of CHF 170,139,000, as described in C19-ADD/2, financed entirely by the available funding of</w:t>
      </w:r>
      <w:r w:rsidR="00494694">
        <w:rPr>
          <w:rFonts w:asciiTheme="minorHAnsi" w:hAnsiTheme="minorHAnsi" w:cstheme="minorHAnsi"/>
          <w:color w:val="000000" w:themeColor="text1"/>
          <w:sz w:val="24"/>
        </w:rPr>
        <w:t>:</w:t>
      </w:r>
      <w:r w:rsidRPr="00D75BAB">
        <w:rPr>
          <w:rFonts w:asciiTheme="minorHAnsi" w:hAnsiTheme="minorHAnsi" w:cstheme="minorHAnsi"/>
          <w:color w:val="000000" w:themeColor="text1"/>
          <w:sz w:val="24"/>
        </w:rPr>
        <w:t xml:space="preserve"> </w:t>
      </w:r>
    </w:p>
    <w:p w14:paraId="34F2383E" w14:textId="4E889075" w:rsidR="00C803A9" w:rsidRDefault="00494694" w:rsidP="00CB733B">
      <w:pPr>
        <w:pStyle w:val="ListParagraph"/>
        <w:numPr>
          <w:ilvl w:val="0"/>
          <w:numId w:val="43"/>
        </w:numPr>
        <w:spacing w:before="120"/>
        <w:jc w:val="both"/>
        <w:rPr>
          <w:rFonts w:asciiTheme="minorHAnsi" w:hAnsiTheme="minorHAnsi" w:cstheme="minorHAnsi"/>
          <w:color w:val="000000" w:themeColor="text1"/>
          <w:sz w:val="24"/>
          <w:lang w:val="en-GB" w:eastAsia="ja-JP"/>
        </w:rPr>
      </w:pPr>
      <w:r w:rsidRPr="00D75BAB">
        <w:rPr>
          <w:rFonts w:asciiTheme="minorHAnsi" w:hAnsiTheme="minorHAnsi" w:cstheme="minorHAnsi"/>
          <w:color w:val="000000" w:themeColor="text1"/>
          <w:sz w:val="24"/>
        </w:rPr>
        <w:lastRenderedPageBreak/>
        <w:t>CHF 150,000,000 host country loan</w:t>
      </w:r>
      <w:r>
        <w:rPr>
          <w:rFonts w:asciiTheme="minorHAnsi" w:hAnsiTheme="minorHAnsi" w:cstheme="minorHAnsi"/>
          <w:color w:val="000000" w:themeColor="text1"/>
          <w:sz w:val="24"/>
          <w:lang w:val="en-GB" w:eastAsia="ja-JP"/>
        </w:rPr>
        <w:t xml:space="preserve"> </w:t>
      </w:r>
      <w:r w:rsidR="00C803A9">
        <w:rPr>
          <w:rFonts w:asciiTheme="minorHAnsi" w:hAnsiTheme="minorHAnsi" w:cstheme="minorHAnsi"/>
          <w:color w:val="000000" w:themeColor="text1"/>
          <w:sz w:val="24"/>
          <w:lang w:val="en-GB" w:eastAsia="ja-JP"/>
        </w:rPr>
        <w:t>– as described under §3.7 of this report, the request for a CHF 150M loan has been submitted</w:t>
      </w:r>
      <w:r w:rsidR="00847452">
        <w:rPr>
          <w:rFonts w:asciiTheme="minorHAnsi" w:hAnsiTheme="minorHAnsi" w:cstheme="minorHAnsi"/>
          <w:color w:val="000000" w:themeColor="text1"/>
          <w:sz w:val="24"/>
          <w:lang w:val="en-GB" w:eastAsia="ja-JP"/>
        </w:rPr>
        <w:t>.</w:t>
      </w:r>
    </w:p>
    <w:p w14:paraId="0F50D23E" w14:textId="681AA827" w:rsidR="0046213F" w:rsidRDefault="00494694" w:rsidP="00CB733B">
      <w:pPr>
        <w:pStyle w:val="ListParagraph"/>
        <w:numPr>
          <w:ilvl w:val="0"/>
          <w:numId w:val="43"/>
        </w:numPr>
        <w:spacing w:before="120"/>
        <w:jc w:val="both"/>
        <w:rPr>
          <w:rFonts w:asciiTheme="minorHAnsi" w:hAnsiTheme="minorHAnsi" w:cstheme="minorHAnsi"/>
          <w:color w:val="000000" w:themeColor="text1"/>
          <w:sz w:val="24"/>
          <w:lang w:val="en-GB" w:eastAsia="ja-JP"/>
        </w:rPr>
      </w:pPr>
      <w:r w:rsidRPr="00D75BAB">
        <w:rPr>
          <w:rFonts w:asciiTheme="minorHAnsi" w:hAnsiTheme="minorHAnsi" w:cstheme="minorHAnsi"/>
          <w:color w:val="000000" w:themeColor="text1"/>
          <w:sz w:val="24"/>
        </w:rPr>
        <w:t>CHF 5,000,000 new building fund</w:t>
      </w:r>
      <w:r w:rsidR="00847452">
        <w:rPr>
          <w:rFonts w:asciiTheme="minorHAnsi" w:hAnsiTheme="minorHAnsi" w:cstheme="minorHAnsi"/>
          <w:color w:val="000000" w:themeColor="text1"/>
          <w:sz w:val="24"/>
        </w:rPr>
        <w:t>.</w:t>
      </w:r>
    </w:p>
    <w:p w14:paraId="0B083384" w14:textId="7005C028" w:rsidR="00855455" w:rsidRDefault="00494694" w:rsidP="006C6A82">
      <w:pPr>
        <w:pStyle w:val="ListParagraph"/>
        <w:numPr>
          <w:ilvl w:val="0"/>
          <w:numId w:val="43"/>
        </w:numPr>
        <w:spacing w:before="120" w:after="120"/>
        <w:jc w:val="both"/>
        <w:rPr>
          <w:rFonts w:asciiTheme="minorHAnsi" w:hAnsiTheme="minorHAnsi" w:cstheme="minorHAnsi"/>
          <w:color w:val="000000" w:themeColor="text1"/>
          <w:sz w:val="24"/>
          <w:lang w:val="en-GB" w:eastAsia="ja-JP"/>
        </w:rPr>
      </w:pPr>
      <w:r w:rsidRPr="00D75BAB">
        <w:rPr>
          <w:rFonts w:asciiTheme="minorHAnsi" w:hAnsiTheme="minorHAnsi" w:cstheme="minorHAnsi"/>
          <w:color w:val="000000" w:themeColor="text1"/>
          <w:sz w:val="24"/>
        </w:rPr>
        <w:t>CHF 15,140,000 sponsorships and donations</w:t>
      </w:r>
      <w:r w:rsidR="00000D1F">
        <w:rPr>
          <w:rFonts w:asciiTheme="minorHAnsi" w:hAnsiTheme="minorHAnsi" w:cstheme="minorHAnsi"/>
          <w:color w:val="000000" w:themeColor="text1"/>
          <w:sz w:val="24"/>
        </w:rPr>
        <w:t xml:space="preserve"> </w:t>
      </w:r>
      <w:r w:rsidR="005F3285">
        <w:rPr>
          <w:rFonts w:asciiTheme="minorHAnsi" w:hAnsiTheme="minorHAnsi" w:cstheme="minorHAnsi"/>
          <w:color w:val="000000" w:themeColor="text1"/>
          <w:sz w:val="24"/>
          <w:lang w:val="en-GB" w:eastAsia="ja-JP"/>
        </w:rPr>
        <w:t>–</w:t>
      </w:r>
      <w:r w:rsidR="00C803A9">
        <w:rPr>
          <w:rFonts w:asciiTheme="minorHAnsi" w:hAnsiTheme="minorHAnsi" w:cstheme="minorHAnsi"/>
          <w:color w:val="000000" w:themeColor="text1"/>
          <w:sz w:val="24"/>
          <w:lang w:val="en-GB" w:eastAsia="ja-JP"/>
        </w:rPr>
        <w:t xml:space="preserve"> </w:t>
      </w:r>
      <w:r w:rsidR="005F3285">
        <w:rPr>
          <w:rFonts w:asciiTheme="minorHAnsi" w:hAnsiTheme="minorHAnsi" w:cstheme="minorHAnsi"/>
          <w:color w:val="000000" w:themeColor="text1"/>
          <w:sz w:val="24"/>
          <w:lang w:val="en-GB" w:eastAsia="ja-JP"/>
        </w:rPr>
        <w:t xml:space="preserve">breakdown of </w:t>
      </w:r>
      <w:r w:rsidR="00B51A22">
        <w:rPr>
          <w:rFonts w:asciiTheme="minorHAnsi" w:hAnsiTheme="minorHAnsi" w:cstheme="minorHAnsi"/>
          <w:color w:val="000000" w:themeColor="text1"/>
          <w:sz w:val="24"/>
          <w:lang w:val="en-GB" w:eastAsia="ja-JP"/>
        </w:rPr>
        <w:t xml:space="preserve">funds </w:t>
      </w:r>
      <w:r w:rsidR="00000D1F">
        <w:rPr>
          <w:rFonts w:asciiTheme="minorHAnsi" w:hAnsiTheme="minorHAnsi" w:cstheme="minorHAnsi"/>
          <w:color w:val="000000" w:themeColor="text1"/>
          <w:sz w:val="24"/>
          <w:lang w:val="en-GB" w:eastAsia="ja-JP"/>
        </w:rPr>
        <w:t xml:space="preserve">currently available and </w:t>
      </w:r>
      <w:r w:rsidR="00A4346C">
        <w:rPr>
          <w:rFonts w:asciiTheme="minorHAnsi" w:hAnsiTheme="minorHAnsi" w:cstheme="minorHAnsi"/>
          <w:color w:val="000000" w:themeColor="text1"/>
          <w:sz w:val="24"/>
          <w:lang w:val="en-GB" w:eastAsia="ja-JP"/>
        </w:rPr>
        <w:t xml:space="preserve">actually </w:t>
      </w:r>
      <w:r w:rsidR="00B51A22">
        <w:rPr>
          <w:rFonts w:asciiTheme="minorHAnsi" w:hAnsiTheme="minorHAnsi" w:cstheme="minorHAnsi"/>
          <w:color w:val="000000" w:themeColor="text1"/>
          <w:sz w:val="24"/>
          <w:lang w:val="en-GB" w:eastAsia="ja-JP"/>
        </w:rPr>
        <w:t>received f</w:t>
      </w:r>
      <w:r w:rsidR="00000D1F">
        <w:rPr>
          <w:rFonts w:asciiTheme="minorHAnsi" w:hAnsiTheme="minorHAnsi" w:cstheme="minorHAnsi"/>
          <w:color w:val="000000" w:themeColor="text1"/>
          <w:sz w:val="24"/>
          <w:lang w:val="en-GB" w:eastAsia="ja-JP"/>
        </w:rPr>
        <w:t>rom</w:t>
      </w:r>
      <w:r w:rsidR="00B51A22">
        <w:rPr>
          <w:rFonts w:asciiTheme="minorHAnsi" w:hAnsiTheme="minorHAnsi" w:cstheme="minorHAnsi"/>
          <w:color w:val="000000" w:themeColor="text1"/>
          <w:sz w:val="24"/>
          <w:lang w:val="en-GB" w:eastAsia="ja-JP"/>
        </w:rPr>
        <w:t xml:space="preserve"> sponsorship and donations is as follows</w:t>
      </w:r>
      <w:r w:rsidR="00855455">
        <w:rPr>
          <w:rFonts w:asciiTheme="minorHAnsi" w:hAnsiTheme="minorHAnsi" w:cstheme="minorHAnsi"/>
          <w:color w:val="000000" w:themeColor="text1"/>
          <w:sz w:val="24"/>
          <w:lang w:val="en-GB" w:eastAsia="ja-JP"/>
        </w:rPr>
        <w:t>:</w:t>
      </w:r>
    </w:p>
    <w:tbl>
      <w:tblPr>
        <w:tblStyle w:val="TableGrid"/>
        <w:tblW w:w="0" w:type="auto"/>
        <w:tblLook w:val="04A0" w:firstRow="1" w:lastRow="0" w:firstColumn="1" w:lastColumn="0" w:noHBand="0" w:noVBand="1"/>
      </w:tblPr>
      <w:tblGrid>
        <w:gridCol w:w="2263"/>
        <w:gridCol w:w="4962"/>
        <w:gridCol w:w="2404"/>
      </w:tblGrid>
      <w:tr w:rsidR="003D1F35" w14:paraId="07C3AD78" w14:textId="77777777" w:rsidTr="006C6A82">
        <w:tc>
          <w:tcPr>
            <w:tcW w:w="2263" w:type="dxa"/>
            <w:tcBorders>
              <w:bottom w:val="single" w:sz="4" w:space="0" w:color="auto"/>
            </w:tcBorders>
            <w:vAlign w:val="bottom"/>
          </w:tcPr>
          <w:p w14:paraId="37097085" w14:textId="14931025" w:rsidR="003D1F35" w:rsidRPr="003D1F35" w:rsidRDefault="003D1F35" w:rsidP="006C6A82">
            <w:pPr>
              <w:pStyle w:val="ListParagraph"/>
              <w:spacing w:before="120" w:after="120"/>
              <w:ind w:left="0"/>
              <w:jc w:val="both"/>
              <w:rPr>
                <w:rFonts w:asciiTheme="minorHAnsi" w:hAnsiTheme="minorHAnsi" w:cstheme="minorHAnsi"/>
                <w:color w:val="000000" w:themeColor="text1"/>
                <w:sz w:val="24"/>
                <w:lang w:val="en-GB" w:eastAsia="ja-JP"/>
              </w:rPr>
            </w:pPr>
            <w:r w:rsidRPr="006C6A82">
              <w:rPr>
                <w:rFonts w:asciiTheme="minorHAnsi" w:hAnsiTheme="minorHAnsi" w:cstheme="minorHAnsi"/>
                <w:b/>
                <w:bCs/>
                <w:color w:val="000000"/>
                <w:sz w:val="24"/>
                <w:lang w:eastAsia="en-GB"/>
              </w:rPr>
              <w:t>Funding Type</w:t>
            </w:r>
          </w:p>
        </w:tc>
        <w:tc>
          <w:tcPr>
            <w:tcW w:w="4962" w:type="dxa"/>
            <w:tcBorders>
              <w:bottom w:val="single" w:sz="4" w:space="0" w:color="auto"/>
            </w:tcBorders>
          </w:tcPr>
          <w:p w14:paraId="002E71DE" w14:textId="16F23CB5" w:rsidR="003D1F35" w:rsidRPr="003D1F35" w:rsidRDefault="003D1F35" w:rsidP="006C6A82">
            <w:pPr>
              <w:pStyle w:val="ListParagraph"/>
              <w:spacing w:before="120" w:after="120"/>
              <w:ind w:left="0"/>
              <w:jc w:val="center"/>
              <w:rPr>
                <w:rFonts w:asciiTheme="minorHAnsi" w:hAnsiTheme="minorHAnsi" w:cstheme="minorHAnsi"/>
                <w:color w:val="000000" w:themeColor="text1"/>
                <w:sz w:val="24"/>
                <w:lang w:val="en-GB" w:eastAsia="ja-JP"/>
              </w:rPr>
            </w:pPr>
            <w:r w:rsidRPr="006C6A82">
              <w:rPr>
                <w:rFonts w:asciiTheme="minorHAnsi" w:hAnsiTheme="minorHAnsi" w:cstheme="minorHAnsi"/>
                <w:b/>
                <w:bCs/>
                <w:color w:val="000000"/>
                <w:sz w:val="24"/>
                <w:lang w:eastAsia="en-GB"/>
              </w:rPr>
              <w:t>Country</w:t>
            </w:r>
          </w:p>
        </w:tc>
        <w:tc>
          <w:tcPr>
            <w:tcW w:w="2404" w:type="dxa"/>
            <w:tcBorders>
              <w:bottom w:val="single" w:sz="4" w:space="0" w:color="auto"/>
            </w:tcBorders>
          </w:tcPr>
          <w:p w14:paraId="10D2F312" w14:textId="11481B08" w:rsidR="003D1F35" w:rsidRPr="006C6A82" w:rsidRDefault="003D1F35" w:rsidP="006C6A82">
            <w:pPr>
              <w:pStyle w:val="ListParagraph"/>
              <w:spacing w:before="120" w:after="120"/>
              <w:ind w:left="0"/>
              <w:jc w:val="center"/>
              <w:rPr>
                <w:rFonts w:asciiTheme="minorHAnsi" w:hAnsiTheme="minorHAnsi" w:cstheme="minorHAnsi"/>
                <w:b/>
                <w:bCs/>
                <w:color w:val="000000" w:themeColor="text1"/>
                <w:sz w:val="24"/>
                <w:lang w:val="en-GB" w:eastAsia="ja-JP"/>
              </w:rPr>
            </w:pPr>
            <w:r w:rsidRPr="006C6A82">
              <w:rPr>
                <w:rFonts w:asciiTheme="minorHAnsi" w:hAnsiTheme="minorHAnsi" w:cstheme="minorHAnsi"/>
                <w:b/>
                <w:bCs/>
                <w:color w:val="000000" w:themeColor="text1"/>
                <w:sz w:val="24"/>
                <w:lang w:val="en-GB" w:eastAsia="ja-JP"/>
              </w:rPr>
              <w:t>Received</w:t>
            </w:r>
          </w:p>
        </w:tc>
      </w:tr>
      <w:tr w:rsidR="003D1F35" w14:paraId="3462E1E6" w14:textId="77777777" w:rsidTr="006C6A82">
        <w:tc>
          <w:tcPr>
            <w:tcW w:w="2263" w:type="dxa"/>
            <w:tcBorders>
              <w:bottom w:val="dashed" w:sz="4" w:space="0" w:color="auto"/>
            </w:tcBorders>
            <w:vAlign w:val="bottom"/>
          </w:tcPr>
          <w:p w14:paraId="78E291B7" w14:textId="68DF2099" w:rsidR="003D1F35" w:rsidRPr="003D1F35" w:rsidRDefault="003D1F35" w:rsidP="006C6A82">
            <w:pPr>
              <w:pStyle w:val="ListParagraph"/>
              <w:spacing w:before="120" w:after="120"/>
              <w:ind w:left="0"/>
              <w:jc w:val="both"/>
              <w:rPr>
                <w:rFonts w:asciiTheme="minorHAnsi" w:hAnsiTheme="minorHAnsi" w:cstheme="minorHAnsi"/>
                <w:color w:val="000000" w:themeColor="text1"/>
                <w:sz w:val="24"/>
                <w:lang w:val="en-GB" w:eastAsia="ja-JP"/>
              </w:rPr>
            </w:pPr>
            <w:r w:rsidRPr="006C6A82">
              <w:rPr>
                <w:rFonts w:asciiTheme="minorHAnsi" w:hAnsiTheme="minorHAnsi" w:cstheme="minorHAnsi"/>
                <w:color w:val="000000"/>
                <w:sz w:val="24"/>
                <w:lang w:eastAsia="en-GB"/>
              </w:rPr>
              <w:t>Sponsorship</w:t>
            </w:r>
          </w:p>
        </w:tc>
        <w:tc>
          <w:tcPr>
            <w:tcW w:w="4962" w:type="dxa"/>
            <w:tcBorders>
              <w:bottom w:val="dashed" w:sz="4" w:space="0" w:color="auto"/>
            </w:tcBorders>
            <w:shd w:val="clear" w:color="auto" w:fill="auto"/>
            <w:vAlign w:val="bottom"/>
          </w:tcPr>
          <w:p w14:paraId="26FD0390" w14:textId="216D9D0E" w:rsidR="003D1F35" w:rsidRPr="003D1F35" w:rsidRDefault="003D1F35" w:rsidP="006C6A82">
            <w:pPr>
              <w:pStyle w:val="ListParagraph"/>
              <w:spacing w:before="120" w:after="120"/>
              <w:ind w:left="0"/>
              <w:jc w:val="both"/>
              <w:rPr>
                <w:rFonts w:asciiTheme="minorHAnsi" w:hAnsiTheme="minorHAnsi" w:cstheme="minorHAnsi"/>
                <w:color w:val="000000" w:themeColor="text1"/>
                <w:sz w:val="24"/>
                <w:lang w:val="en-GB" w:eastAsia="ja-JP"/>
              </w:rPr>
            </w:pPr>
            <w:r w:rsidRPr="006C6A82">
              <w:rPr>
                <w:rFonts w:asciiTheme="minorHAnsi" w:hAnsiTheme="minorHAnsi" w:cstheme="minorHAnsi"/>
                <w:color w:val="000000"/>
                <w:sz w:val="24"/>
                <w:lang w:eastAsia="en-GB"/>
              </w:rPr>
              <w:t>Saudi Arabia (CHF 10,000,000)</w:t>
            </w:r>
          </w:p>
        </w:tc>
        <w:tc>
          <w:tcPr>
            <w:tcW w:w="2404" w:type="dxa"/>
            <w:tcBorders>
              <w:bottom w:val="dashed" w:sz="4" w:space="0" w:color="auto"/>
            </w:tcBorders>
            <w:shd w:val="clear" w:color="auto" w:fill="auto"/>
          </w:tcPr>
          <w:p w14:paraId="537E6E86" w14:textId="50E3C879" w:rsidR="003D1F35" w:rsidRPr="006C6A82" w:rsidRDefault="003D1F35" w:rsidP="006C6A82">
            <w:pPr>
              <w:pStyle w:val="ListParagraph"/>
              <w:spacing w:before="120" w:after="120"/>
              <w:ind w:left="0"/>
              <w:jc w:val="right"/>
              <w:rPr>
                <w:rFonts w:asciiTheme="minorHAnsi" w:hAnsiTheme="minorHAnsi" w:cstheme="minorHAnsi"/>
                <w:color w:val="000000" w:themeColor="text1"/>
                <w:sz w:val="24"/>
                <w:lang w:val="en-GB" w:eastAsia="ja-JP"/>
              </w:rPr>
            </w:pPr>
            <w:r w:rsidRPr="006C6A82">
              <w:rPr>
                <w:rFonts w:asciiTheme="minorHAnsi" w:hAnsiTheme="minorHAnsi" w:cstheme="minorHAnsi"/>
                <w:sz w:val="24"/>
                <w:lang w:eastAsia="en-GB"/>
              </w:rPr>
              <w:t>7,000,000.00</w:t>
            </w:r>
          </w:p>
        </w:tc>
      </w:tr>
      <w:tr w:rsidR="003D1F35" w14:paraId="1224F071" w14:textId="77777777" w:rsidTr="006C6A82">
        <w:tc>
          <w:tcPr>
            <w:tcW w:w="2263" w:type="dxa"/>
            <w:tcBorders>
              <w:top w:val="dashed" w:sz="4" w:space="0" w:color="auto"/>
              <w:bottom w:val="dashed" w:sz="4" w:space="0" w:color="auto"/>
            </w:tcBorders>
            <w:vAlign w:val="bottom"/>
          </w:tcPr>
          <w:p w14:paraId="5080F884" w14:textId="52F28085" w:rsidR="003D1F35" w:rsidRPr="003D1F35" w:rsidRDefault="003D1F35" w:rsidP="006C6A82">
            <w:pPr>
              <w:pStyle w:val="ListParagraph"/>
              <w:spacing w:before="120" w:after="120"/>
              <w:ind w:left="0"/>
              <w:jc w:val="both"/>
              <w:rPr>
                <w:rFonts w:asciiTheme="minorHAnsi" w:hAnsiTheme="minorHAnsi" w:cstheme="minorHAnsi"/>
                <w:color w:val="000000" w:themeColor="text1"/>
                <w:sz w:val="24"/>
                <w:lang w:val="en-GB" w:eastAsia="ja-JP"/>
              </w:rPr>
            </w:pPr>
            <w:r w:rsidRPr="006C6A82">
              <w:rPr>
                <w:rFonts w:asciiTheme="minorHAnsi" w:hAnsiTheme="minorHAnsi" w:cstheme="minorHAnsi"/>
                <w:color w:val="000000"/>
                <w:sz w:val="24"/>
                <w:lang w:eastAsia="en-GB"/>
              </w:rPr>
              <w:t>Sponsorship</w:t>
            </w:r>
          </w:p>
        </w:tc>
        <w:tc>
          <w:tcPr>
            <w:tcW w:w="4962" w:type="dxa"/>
            <w:tcBorders>
              <w:top w:val="dashed" w:sz="4" w:space="0" w:color="auto"/>
              <w:bottom w:val="dashed" w:sz="4" w:space="0" w:color="auto"/>
            </w:tcBorders>
            <w:shd w:val="clear" w:color="auto" w:fill="auto"/>
            <w:vAlign w:val="bottom"/>
          </w:tcPr>
          <w:p w14:paraId="7ECAB01F" w14:textId="052ED351" w:rsidR="003D1F35" w:rsidRPr="003D1F35" w:rsidRDefault="003D1F35" w:rsidP="006C6A82">
            <w:pPr>
              <w:pStyle w:val="ListParagraph"/>
              <w:spacing w:before="120" w:after="120"/>
              <w:ind w:left="0"/>
              <w:jc w:val="both"/>
              <w:rPr>
                <w:rFonts w:asciiTheme="minorHAnsi" w:hAnsiTheme="minorHAnsi" w:cstheme="minorHAnsi"/>
                <w:color w:val="000000" w:themeColor="text1"/>
                <w:sz w:val="24"/>
                <w:lang w:val="en-GB" w:eastAsia="ja-JP"/>
              </w:rPr>
            </w:pPr>
            <w:r w:rsidRPr="006C6A82">
              <w:rPr>
                <w:rFonts w:asciiTheme="minorHAnsi" w:hAnsiTheme="minorHAnsi" w:cstheme="minorHAnsi"/>
                <w:color w:val="000000"/>
                <w:sz w:val="24"/>
                <w:lang w:eastAsia="en-GB"/>
              </w:rPr>
              <w:t>United Arab Emirates (CHF 5,000,000)</w:t>
            </w:r>
          </w:p>
        </w:tc>
        <w:tc>
          <w:tcPr>
            <w:tcW w:w="2404" w:type="dxa"/>
            <w:tcBorders>
              <w:top w:val="dashed" w:sz="4" w:space="0" w:color="auto"/>
              <w:bottom w:val="dashed" w:sz="4" w:space="0" w:color="auto"/>
            </w:tcBorders>
            <w:shd w:val="clear" w:color="auto" w:fill="auto"/>
          </w:tcPr>
          <w:p w14:paraId="40D3A31A" w14:textId="4D8E9B67" w:rsidR="003D1F35" w:rsidRPr="006C6A82" w:rsidRDefault="003D1F35" w:rsidP="006C6A82">
            <w:pPr>
              <w:pStyle w:val="ListParagraph"/>
              <w:spacing w:before="120" w:after="120"/>
              <w:ind w:left="0"/>
              <w:jc w:val="right"/>
              <w:rPr>
                <w:rFonts w:asciiTheme="minorHAnsi" w:hAnsiTheme="minorHAnsi" w:cstheme="minorHAnsi"/>
                <w:color w:val="000000" w:themeColor="text1"/>
                <w:sz w:val="24"/>
                <w:lang w:val="en-GB" w:eastAsia="ja-JP"/>
              </w:rPr>
            </w:pPr>
            <w:r w:rsidRPr="006C6A82">
              <w:rPr>
                <w:rFonts w:asciiTheme="minorHAnsi" w:hAnsiTheme="minorHAnsi" w:cstheme="minorHAnsi"/>
                <w:sz w:val="24"/>
                <w:lang w:eastAsia="en-GB"/>
              </w:rPr>
              <w:t>3,000,000.00</w:t>
            </w:r>
          </w:p>
        </w:tc>
      </w:tr>
      <w:tr w:rsidR="003D1F35" w14:paraId="103720AB" w14:textId="77777777" w:rsidTr="006C6A82">
        <w:tc>
          <w:tcPr>
            <w:tcW w:w="2263" w:type="dxa"/>
            <w:tcBorders>
              <w:top w:val="dashed" w:sz="4" w:space="0" w:color="auto"/>
              <w:bottom w:val="dashed" w:sz="4" w:space="0" w:color="auto"/>
            </w:tcBorders>
            <w:vAlign w:val="bottom"/>
          </w:tcPr>
          <w:p w14:paraId="2E28EA48" w14:textId="3C396095" w:rsidR="003D1F35" w:rsidRPr="003D1F35" w:rsidRDefault="003D1F35" w:rsidP="006C6A82">
            <w:pPr>
              <w:pStyle w:val="ListParagraph"/>
              <w:spacing w:before="120" w:after="120"/>
              <w:ind w:left="0"/>
              <w:jc w:val="both"/>
              <w:rPr>
                <w:rFonts w:asciiTheme="minorHAnsi" w:hAnsiTheme="minorHAnsi" w:cstheme="minorHAnsi"/>
                <w:color w:val="000000" w:themeColor="text1"/>
                <w:sz w:val="24"/>
                <w:lang w:val="en-GB" w:eastAsia="ja-JP"/>
              </w:rPr>
            </w:pPr>
            <w:r w:rsidRPr="006C6A82">
              <w:rPr>
                <w:rFonts w:asciiTheme="minorHAnsi" w:hAnsiTheme="minorHAnsi" w:cstheme="minorHAnsi"/>
                <w:color w:val="000000"/>
                <w:sz w:val="24"/>
                <w:lang w:eastAsia="en-GB"/>
              </w:rPr>
              <w:t>Donation</w:t>
            </w:r>
          </w:p>
        </w:tc>
        <w:tc>
          <w:tcPr>
            <w:tcW w:w="4962" w:type="dxa"/>
            <w:tcBorders>
              <w:top w:val="dashed" w:sz="4" w:space="0" w:color="auto"/>
              <w:bottom w:val="dashed" w:sz="4" w:space="0" w:color="auto"/>
            </w:tcBorders>
            <w:shd w:val="clear" w:color="auto" w:fill="auto"/>
            <w:vAlign w:val="bottom"/>
          </w:tcPr>
          <w:p w14:paraId="72B08DB7" w14:textId="706D8ADD" w:rsidR="003D1F35" w:rsidRPr="003D1F35" w:rsidRDefault="003D1F35" w:rsidP="006C6A82">
            <w:pPr>
              <w:pStyle w:val="ListParagraph"/>
              <w:spacing w:before="120" w:after="120"/>
              <w:ind w:left="0"/>
              <w:jc w:val="both"/>
              <w:rPr>
                <w:rFonts w:asciiTheme="minorHAnsi" w:hAnsiTheme="minorHAnsi" w:cstheme="minorHAnsi"/>
                <w:color w:val="000000" w:themeColor="text1"/>
                <w:sz w:val="24"/>
                <w:lang w:val="en-GB" w:eastAsia="ja-JP"/>
              </w:rPr>
            </w:pPr>
            <w:r w:rsidRPr="006C6A82">
              <w:rPr>
                <w:rFonts w:asciiTheme="minorHAnsi" w:hAnsiTheme="minorHAnsi" w:cstheme="minorHAnsi"/>
                <w:color w:val="000000"/>
                <w:sz w:val="24"/>
                <w:lang w:eastAsia="en-GB"/>
              </w:rPr>
              <w:t>Czech Republic (USD 100.000)</w:t>
            </w:r>
          </w:p>
        </w:tc>
        <w:tc>
          <w:tcPr>
            <w:tcW w:w="2404" w:type="dxa"/>
            <w:tcBorders>
              <w:top w:val="dashed" w:sz="4" w:space="0" w:color="auto"/>
              <w:bottom w:val="dashed" w:sz="4" w:space="0" w:color="auto"/>
            </w:tcBorders>
            <w:shd w:val="clear" w:color="auto" w:fill="auto"/>
          </w:tcPr>
          <w:p w14:paraId="7A39A335" w14:textId="72ECA943" w:rsidR="003D1F35" w:rsidRPr="006C6A82" w:rsidRDefault="003D1F35" w:rsidP="006C6A82">
            <w:pPr>
              <w:pStyle w:val="ListParagraph"/>
              <w:spacing w:before="120" w:after="120"/>
              <w:ind w:left="0"/>
              <w:jc w:val="right"/>
              <w:rPr>
                <w:rFonts w:asciiTheme="minorHAnsi" w:hAnsiTheme="minorHAnsi" w:cstheme="minorHAnsi"/>
                <w:color w:val="000000" w:themeColor="text1"/>
                <w:sz w:val="24"/>
                <w:lang w:val="en-GB" w:eastAsia="ja-JP"/>
              </w:rPr>
            </w:pPr>
            <w:r w:rsidRPr="006C6A82">
              <w:rPr>
                <w:rFonts w:asciiTheme="minorHAnsi" w:hAnsiTheme="minorHAnsi" w:cstheme="minorHAnsi"/>
                <w:sz w:val="24"/>
                <w:lang w:eastAsia="en-GB"/>
              </w:rPr>
              <w:t>95,251.40</w:t>
            </w:r>
          </w:p>
        </w:tc>
      </w:tr>
      <w:tr w:rsidR="003D1F35" w14:paraId="21B83B1F" w14:textId="77777777" w:rsidTr="006C6A82">
        <w:tc>
          <w:tcPr>
            <w:tcW w:w="2263" w:type="dxa"/>
            <w:tcBorders>
              <w:top w:val="dashed" w:sz="4" w:space="0" w:color="auto"/>
              <w:bottom w:val="dashed" w:sz="4" w:space="0" w:color="auto"/>
            </w:tcBorders>
            <w:vAlign w:val="bottom"/>
          </w:tcPr>
          <w:p w14:paraId="2DECEFB4" w14:textId="003B0E0C" w:rsidR="003D1F35" w:rsidRPr="003D1F35" w:rsidRDefault="003D1F35" w:rsidP="006C6A82">
            <w:pPr>
              <w:pStyle w:val="ListParagraph"/>
              <w:spacing w:before="120" w:after="120"/>
              <w:ind w:left="0"/>
              <w:jc w:val="both"/>
              <w:rPr>
                <w:rFonts w:asciiTheme="minorHAnsi" w:hAnsiTheme="minorHAnsi" w:cstheme="minorHAnsi"/>
                <w:color w:val="000000" w:themeColor="text1"/>
                <w:sz w:val="24"/>
                <w:lang w:val="en-GB" w:eastAsia="ja-JP"/>
              </w:rPr>
            </w:pPr>
            <w:r w:rsidRPr="006C6A82">
              <w:rPr>
                <w:rFonts w:asciiTheme="minorHAnsi" w:hAnsiTheme="minorHAnsi" w:cstheme="minorHAnsi"/>
                <w:color w:val="000000"/>
                <w:sz w:val="24"/>
                <w:lang w:eastAsia="en-GB"/>
              </w:rPr>
              <w:t>Donation</w:t>
            </w:r>
          </w:p>
        </w:tc>
        <w:tc>
          <w:tcPr>
            <w:tcW w:w="4962" w:type="dxa"/>
            <w:tcBorders>
              <w:top w:val="dashed" w:sz="4" w:space="0" w:color="auto"/>
              <w:bottom w:val="dashed" w:sz="4" w:space="0" w:color="auto"/>
            </w:tcBorders>
            <w:shd w:val="clear" w:color="auto" w:fill="auto"/>
            <w:vAlign w:val="bottom"/>
          </w:tcPr>
          <w:p w14:paraId="75B48CFA" w14:textId="1F4F3DED" w:rsidR="003D1F35" w:rsidRPr="006C6A82" w:rsidRDefault="003D1F35" w:rsidP="006C6A82">
            <w:pPr>
              <w:pStyle w:val="ListParagraph"/>
              <w:spacing w:before="120" w:after="120"/>
              <w:ind w:left="0"/>
              <w:jc w:val="both"/>
              <w:rPr>
                <w:rFonts w:asciiTheme="minorHAnsi" w:hAnsiTheme="minorHAnsi" w:cstheme="minorHAnsi"/>
                <w:color w:val="000000" w:themeColor="text1"/>
                <w:sz w:val="24"/>
                <w:lang w:val="en-GB" w:eastAsia="ja-JP"/>
              </w:rPr>
            </w:pPr>
            <w:r w:rsidRPr="006C6A82">
              <w:rPr>
                <w:rFonts w:asciiTheme="minorHAnsi" w:hAnsiTheme="minorHAnsi" w:cstheme="minorHAnsi"/>
                <w:color w:val="000000"/>
                <w:sz w:val="24"/>
                <w:lang w:eastAsia="en-GB"/>
              </w:rPr>
              <w:t>Ghana (</w:t>
            </w:r>
            <w:r w:rsidR="002811AC" w:rsidRPr="006C6A82">
              <w:rPr>
                <w:rFonts w:asciiTheme="minorHAnsi" w:hAnsiTheme="minorHAnsi" w:cstheme="minorHAnsi"/>
                <w:color w:val="000000"/>
                <w:sz w:val="24"/>
                <w:lang w:eastAsia="en-GB"/>
              </w:rPr>
              <w:t>USD</w:t>
            </w:r>
            <w:r w:rsidRPr="006C6A82">
              <w:rPr>
                <w:rFonts w:asciiTheme="minorHAnsi" w:hAnsiTheme="minorHAnsi" w:cstheme="minorHAnsi"/>
                <w:color w:val="000000"/>
                <w:sz w:val="24"/>
                <w:lang w:eastAsia="en-GB"/>
              </w:rPr>
              <w:t xml:space="preserve"> 40,000)</w:t>
            </w:r>
          </w:p>
        </w:tc>
        <w:tc>
          <w:tcPr>
            <w:tcW w:w="2404" w:type="dxa"/>
            <w:tcBorders>
              <w:top w:val="dashed" w:sz="4" w:space="0" w:color="auto"/>
              <w:bottom w:val="dashed" w:sz="4" w:space="0" w:color="auto"/>
            </w:tcBorders>
            <w:shd w:val="clear" w:color="auto" w:fill="auto"/>
          </w:tcPr>
          <w:p w14:paraId="2A9142B1" w14:textId="7C26704A" w:rsidR="003D1F35" w:rsidRPr="006C6A82" w:rsidRDefault="003D1F35" w:rsidP="006C6A82">
            <w:pPr>
              <w:pStyle w:val="ListParagraph"/>
              <w:spacing w:before="120" w:after="120"/>
              <w:ind w:left="0"/>
              <w:jc w:val="right"/>
              <w:rPr>
                <w:rFonts w:asciiTheme="minorHAnsi" w:hAnsiTheme="minorHAnsi" w:cstheme="minorHAnsi"/>
                <w:color w:val="000000" w:themeColor="text1"/>
                <w:sz w:val="24"/>
                <w:lang w:val="en-GB" w:eastAsia="ja-JP"/>
              </w:rPr>
            </w:pPr>
            <w:r w:rsidRPr="006C6A82">
              <w:rPr>
                <w:rFonts w:asciiTheme="minorHAnsi" w:hAnsiTheme="minorHAnsi" w:cstheme="minorHAnsi"/>
                <w:sz w:val="24"/>
                <w:lang w:eastAsia="en-GB"/>
              </w:rPr>
              <w:t>39.920.16</w:t>
            </w:r>
          </w:p>
        </w:tc>
      </w:tr>
      <w:tr w:rsidR="003D1F35" w14:paraId="527E1753" w14:textId="77777777" w:rsidTr="006C6A82">
        <w:tc>
          <w:tcPr>
            <w:tcW w:w="2263" w:type="dxa"/>
            <w:tcBorders>
              <w:top w:val="dashed" w:sz="4" w:space="0" w:color="auto"/>
            </w:tcBorders>
            <w:vAlign w:val="bottom"/>
          </w:tcPr>
          <w:p w14:paraId="33C0DE4B" w14:textId="749694A2" w:rsidR="003D1F35" w:rsidRPr="003D1F35" w:rsidRDefault="003D1F35" w:rsidP="006C6A82">
            <w:pPr>
              <w:pStyle w:val="ListParagraph"/>
              <w:spacing w:before="120" w:after="120"/>
              <w:ind w:left="0"/>
              <w:jc w:val="both"/>
              <w:rPr>
                <w:rFonts w:asciiTheme="minorHAnsi" w:hAnsiTheme="minorHAnsi" w:cstheme="minorHAnsi"/>
                <w:color w:val="000000" w:themeColor="text1"/>
                <w:sz w:val="24"/>
                <w:lang w:val="en-GB" w:eastAsia="ja-JP"/>
              </w:rPr>
            </w:pPr>
            <w:r w:rsidRPr="006C6A82">
              <w:rPr>
                <w:rFonts w:asciiTheme="minorHAnsi" w:hAnsiTheme="minorHAnsi" w:cstheme="minorHAnsi"/>
                <w:color w:val="000000"/>
                <w:sz w:val="24"/>
                <w:lang w:eastAsia="en-GB"/>
              </w:rPr>
              <w:t>Other</w:t>
            </w:r>
          </w:p>
        </w:tc>
        <w:tc>
          <w:tcPr>
            <w:tcW w:w="4962" w:type="dxa"/>
            <w:tcBorders>
              <w:top w:val="dashed" w:sz="4" w:space="0" w:color="auto"/>
            </w:tcBorders>
            <w:shd w:val="clear" w:color="auto" w:fill="auto"/>
            <w:vAlign w:val="bottom"/>
          </w:tcPr>
          <w:p w14:paraId="091CA869" w14:textId="39F08D07" w:rsidR="003D1F35" w:rsidRPr="006C6A82" w:rsidRDefault="003D1F35" w:rsidP="006C6A82">
            <w:pPr>
              <w:pStyle w:val="ListParagraph"/>
              <w:spacing w:before="120" w:after="120"/>
              <w:ind w:left="0"/>
              <w:jc w:val="both"/>
              <w:rPr>
                <w:rFonts w:asciiTheme="minorHAnsi" w:hAnsiTheme="minorHAnsi" w:cstheme="minorHAnsi"/>
                <w:color w:val="000000" w:themeColor="text1"/>
                <w:sz w:val="24"/>
                <w:lang w:val="en-GB" w:eastAsia="ja-JP"/>
              </w:rPr>
            </w:pPr>
            <w:r w:rsidRPr="006C6A82">
              <w:rPr>
                <w:rFonts w:asciiTheme="minorHAnsi" w:hAnsiTheme="minorHAnsi" w:cstheme="minorHAnsi"/>
                <w:color w:val="000000"/>
                <w:sz w:val="24"/>
                <w:lang w:eastAsia="en-GB"/>
              </w:rPr>
              <w:t>Architectural Contest Inscription Fees (CHF)</w:t>
            </w:r>
          </w:p>
        </w:tc>
        <w:tc>
          <w:tcPr>
            <w:tcW w:w="2404" w:type="dxa"/>
            <w:tcBorders>
              <w:top w:val="dashed" w:sz="4" w:space="0" w:color="auto"/>
            </w:tcBorders>
            <w:shd w:val="clear" w:color="auto" w:fill="auto"/>
          </w:tcPr>
          <w:p w14:paraId="2B756A5C" w14:textId="69AEB7F3" w:rsidR="003D1F35" w:rsidRPr="006C6A82" w:rsidRDefault="003D1F35" w:rsidP="006C6A82">
            <w:pPr>
              <w:pStyle w:val="ListParagraph"/>
              <w:spacing w:before="120" w:after="120"/>
              <w:ind w:left="0"/>
              <w:jc w:val="right"/>
              <w:rPr>
                <w:rFonts w:asciiTheme="minorHAnsi" w:hAnsiTheme="minorHAnsi" w:cstheme="minorHAnsi"/>
                <w:color w:val="000000" w:themeColor="text1"/>
                <w:sz w:val="24"/>
                <w:lang w:val="en-GB" w:eastAsia="ja-JP"/>
              </w:rPr>
            </w:pPr>
            <w:r w:rsidRPr="006C6A82">
              <w:rPr>
                <w:rFonts w:asciiTheme="minorHAnsi" w:hAnsiTheme="minorHAnsi" w:cstheme="minorHAnsi"/>
                <w:sz w:val="24"/>
                <w:lang w:eastAsia="en-GB"/>
              </w:rPr>
              <w:t>46,935.47</w:t>
            </w:r>
          </w:p>
        </w:tc>
      </w:tr>
      <w:tr w:rsidR="003D1F35" w14:paraId="7B5234C3" w14:textId="77777777" w:rsidTr="006C6A82">
        <w:tc>
          <w:tcPr>
            <w:tcW w:w="2263" w:type="dxa"/>
          </w:tcPr>
          <w:p w14:paraId="4A51A511" w14:textId="77777777" w:rsidR="003D1F35" w:rsidRPr="003D1F35" w:rsidRDefault="003D1F35" w:rsidP="006C6A82">
            <w:pPr>
              <w:pStyle w:val="ListParagraph"/>
              <w:spacing w:before="120" w:after="120"/>
              <w:ind w:left="0"/>
              <w:jc w:val="both"/>
              <w:rPr>
                <w:rFonts w:asciiTheme="minorHAnsi" w:hAnsiTheme="minorHAnsi" w:cstheme="minorHAnsi"/>
                <w:color w:val="000000" w:themeColor="text1"/>
                <w:sz w:val="24"/>
                <w:lang w:val="en-GB" w:eastAsia="ja-JP"/>
              </w:rPr>
            </w:pPr>
          </w:p>
        </w:tc>
        <w:tc>
          <w:tcPr>
            <w:tcW w:w="4962" w:type="dxa"/>
            <w:shd w:val="clear" w:color="auto" w:fill="auto"/>
          </w:tcPr>
          <w:p w14:paraId="393655D1" w14:textId="618BB40D" w:rsidR="003D1F35" w:rsidRPr="003D1F35" w:rsidRDefault="003D1F35" w:rsidP="006C6A82">
            <w:pPr>
              <w:pStyle w:val="ListParagraph"/>
              <w:spacing w:before="120" w:after="120"/>
              <w:ind w:left="0"/>
              <w:jc w:val="right"/>
              <w:rPr>
                <w:rFonts w:asciiTheme="minorHAnsi" w:hAnsiTheme="minorHAnsi" w:cstheme="minorHAnsi"/>
                <w:color w:val="000000" w:themeColor="text1"/>
                <w:sz w:val="24"/>
                <w:lang w:val="en-GB" w:eastAsia="ja-JP"/>
              </w:rPr>
            </w:pPr>
            <w:r w:rsidRPr="006C6A82">
              <w:rPr>
                <w:rFonts w:asciiTheme="minorHAnsi" w:hAnsiTheme="minorHAnsi" w:cstheme="minorHAnsi"/>
                <w:b/>
                <w:bCs/>
                <w:color w:val="000000"/>
                <w:sz w:val="24"/>
                <w:lang w:eastAsia="en-GB"/>
              </w:rPr>
              <w:t>TOTAL in CHF</w:t>
            </w:r>
          </w:p>
        </w:tc>
        <w:tc>
          <w:tcPr>
            <w:tcW w:w="2404" w:type="dxa"/>
            <w:shd w:val="clear" w:color="auto" w:fill="auto"/>
          </w:tcPr>
          <w:p w14:paraId="74870831" w14:textId="6DD7592D" w:rsidR="003D1F35" w:rsidRPr="006C6A82" w:rsidRDefault="003D1F35" w:rsidP="006C6A82">
            <w:pPr>
              <w:pStyle w:val="ListParagraph"/>
              <w:spacing w:before="120" w:after="120"/>
              <w:ind w:left="0"/>
              <w:jc w:val="right"/>
              <w:rPr>
                <w:rFonts w:asciiTheme="minorHAnsi" w:hAnsiTheme="minorHAnsi" w:cstheme="minorHAnsi"/>
                <w:color w:val="000000" w:themeColor="text1"/>
                <w:sz w:val="24"/>
                <w:lang w:val="en-GB" w:eastAsia="ja-JP"/>
              </w:rPr>
            </w:pPr>
            <w:r w:rsidRPr="006C6A82">
              <w:rPr>
                <w:rFonts w:asciiTheme="minorHAnsi" w:hAnsiTheme="minorHAnsi" w:cstheme="minorHAnsi"/>
                <w:b/>
                <w:bCs/>
                <w:sz w:val="24"/>
                <w:lang w:eastAsia="en-GB"/>
              </w:rPr>
              <w:t>10,182,107.03</w:t>
            </w:r>
          </w:p>
        </w:tc>
      </w:tr>
    </w:tbl>
    <w:p w14:paraId="5E8D8370" w14:textId="77777777" w:rsidR="004B7D57" w:rsidRDefault="004B7D57" w:rsidP="006C6A82">
      <w:pPr>
        <w:pStyle w:val="ListParagraph"/>
        <w:spacing w:before="120"/>
        <w:ind w:left="0"/>
        <w:jc w:val="both"/>
        <w:rPr>
          <w:rFonts w:asciiTheme="minorHAnsi" w:hAnsiTheme="minorHAnsi" w:cstheme="minorHAnsi"/>
          <w:color w:val="000000" w:themeColor="text1"/>
          <w:sz w:val="24"/>
          <w:lang w:val="en-GB" w:eastAsia="ja-JP"/>
        </w:rPr>
      </w:pPr>
    </w:p>
    <w:p w14:paraId="61868666" w14:textId="429811E6" w:rsidR="00346ED8" w:rsidRPr="006D267B" w:rsidRDefault="00912BD3" w:rsidP="00CB733B">
      <w:pPr>
        <w:jc w:val="both"/>
        <w:rPr>
          <w:rFonts w:asciiTheme="minorHAnsi" w:hAnsiTheme="minorHAnsi" w:cstheme="minorHAnsi"/>
          <w:color w:val="000000" w:themeColor="text1"/>
        </w:rPr>
      </w:pPr>
      <w:r>
        <w:rPr>
          <w:rFonts w:asciiTheme="minorHAnsi" w:hAnsiTheme="minorHAnsi" w:cstheme="minorHAnsi"/>
          <w:color w:val="000000" w:themeColor="text1"/>
          <w:lang w:eastAsia="ja-JP"/>
        </w:rPr>
        <w:t xml:space="preserve">The </w:t>
      </w:r>
      <w:r w:rsidR="008B5D58" w:rsidRPr="008B5D58">
        <w:rPr>
          <w:rFonts w:asciiTheme="minorHAnsi" w:hAnsiTheme="minorHAnsi" w:cstheme="minorHAnsi"/>
          <w:color w:val="000000" w:themeColor="text1"/>
          <w:lang w:eastAsia="ja-JP"/>
        </w:rPr>
        <w:t>Co</w:t>
      </w:r>
      <w:r w:rsidR="008B5D58">
        <w:rPr>
          <w:rFonts w:asciiTheme="minorHAnsi" w:hAnsiTheme="minorHAnsi" w:cstheme="minorHAnsi"/>
          <w:color w:val="000000" w:themeColor="text1"/>
          <w:lang w:eastAsia="ja-JP"/>
        </w:rPr>
        <w:t xml:space="preserve">uncil decided </w:t>
      </w:r>
      <w:r w:rsidR="00815468">
        <w:rPr>
          <w:rFonts w:asciiTheme="minorHAnsi" w:hAnsiTheme="minorHAnsi" w:cstheme="minorHAnsi"/>
          <w:color w:val="000000" w:themeColor="text1"/>
          <w:lang w:eastAsia="ja-JP"/>
        </w:rPr>
        <w:t xml:space="preserve">at </w:t>
      </w:r>
      <w:r w:rsidR="00E666C4">
        <w:rPr>
          <w:rFonts w:asciiTheme="minorHAnsi" w:hAnsiTheme="minorHAnsi" w:cstheme="minorHAnsi"/>
          <w:color w:val="000000" w:themeColor="text1"/>
          <w:lang w:eastAsia="ja-JP"/>
        </w:rPr>
        <w:t>the</w:t>
      </w:r>
      <w:r w:rsidR="009945B5">
        <w:rPr>
          <w:rFonts w:asciiTheme="minorHAnsi" w:hAnsiTheme="minorHAnsi" w:cstheme="minorHAnsi"/>
          <w:color w:val="000000" w:themeColor="text1"/>
          <w:lang w:eastAsia="ja-JP"/>
        </w:rPr>
        <w:t xml:space="preserve"> </w:t>
      </w:r>
      <w:r w:rsidR="006632C7">
        <w:rPr>
          <w:rFonts w:asciiTheme="minorHAnsi" w:hAnsiTheme="minorHAnsi" w:cstheme="minorHAnsi"/>
          <w:color w:val="000000" w:themeColor="text1"/>
          <w:lang w:eastAsia="ja-JP"/>
        </w:rPr>
        <w:t xml:space="preserve">additional </w:t>
      </w:r>
      <w:r w:rsidR="009945B5">
        <w:rPr>
          <w:rFonts w:asciiTheme="minorHAnsi" w:hAnsiTheme="minorHAnsi" w:cstheme="minorHAnsi"/>
          <w:color w:val="000000" w:themeColor="text1"/>
          <w:lang w:eastAsia="ja-JP"/>
        </w:rPr>
        <w:t xml:space="preserve">session </w:t>
      </w:r>
      <w:r w:rsidR="00815468">
        <w:rPr>
          <w:rFonts w:asciiTheme="minorHAnsi" w:hAnsiTheme="minorHAnsi" w:cstheme="minorHAnsi"/>
          <w:color w:val="000000" w:themeColor="text1"/>
          <w:lang w:eastAsia="ja-JP"/>
        </w:rPr>
        <w:t xml:space="preserve">held </w:t>
      </w:r>
      <w:r w:rsidR="009945B5">
        <w:rPr>
          <w:rFonts w:asciiTheme="minorHAnsi" w:hAnsiTheme="minorHAnsi" w:cstheme="minorHAnsi"/>
          <w:color w:val="000000" w:themeColor="text1"/>
          <w:lang w:eastAsia="ja-JP"/>
        </w:rPr>
        <w:t>in September 2019</w:t>
      </w:r>
      <w:r w:rsidR="008B5D58">
        <w:rPr>
          <w:rFonts w:asciiTheme="minorHAnsi" w:hAnsiTheme="minorHAnsi" w:cstheme="minorHAnsi"/>
          <w:color w:val="000000" w:themeColor="text1"/>
          <w:lang w:eastAsia="ja-JP"/>
        </w:rPr>
        <w:t xml:space="preserve"> to create an additional</w:t>
      </w:r>
      <w:r w:rsidR="00F74A6C">
        <w:rPr>
          <w:rFonts w:asciiTheme="minorHAnsi" w:hAnsiTheme="minorHAnsi" w:cstheme="minorHAnsi"/>
          <w:color w:val="000000" w:themeColor="text1"/>
          <w:lang w:eastAsia="ja-JP"/>
        </w:rPr>
        <w:t xml:space="preserve"> </w:t>
      </w:r>
      <w:r w:rsidR="008B5D58">
        <w:rPr>
          <w:rFonts w:asciiTheme="minorHAnsi" w:hAnsiTheme="minorHAnsi" w:cstheme="minorHAnsi"/>
          <w:color w:val="000000" w:themeColor="text1"/>
          <w:lang w:eastAsia="ja-JP"/>
        </w:rPr>
        <w:t>R</w:t>
      </w:r>
      <w:r w:rsidR="00346ED8" w:rsidRPr="009945B5">
        <w:rPr>
          <w:rFonts w:asciiTheme="minorHAnsi" w:hAnsiTheme="minorHAnsi" w:cstheme="minorHAnsi"/>
          <w:color w:val="000000" w:themeColor="text1"/>
          <w:lang w:eastAsia="ja-JP"/>
        </w:rPr>
        <w:t xml:space="preserve">isk </w:t>
      </w:r>
      <w:r w:rsidR="008B5D58">
        <w:rPr>
          <w:rFonts w:asciiTheme="minorHAnsi" w:hAnsiTheme="minorHAnsi" w:cstheme="minorHAnsi"/>
          <w:color w:val="000000" w:themeColor="text1"/>
          <w:lang w:eastAsia="ja-JP"/>
        </w:rPr>
        <w:t>R</w:t>
      </w:r>
      <w:r w:rsidR="00346ED8" w:rsidRPr="009945B5">
        <w:rPr>
          <w:rFonts w:asciiTheme="minorHAnsi" w:hAnsiTheme="minorHAnsi" w:cstheme="minorHAnsi"/>
          <w:color w:val="000000" w:themeColor="text1"/>
          <w:lang w:eastAsia="ja-JP"/>
        </w:rPr>
        <w:t>egister fund</w:t>
      </w:r>
      <w:r w:rsidR="00E4351D" w:rsidRPr="009945B5">
        <w:rPr>
          <w:rFonts w:asciiTheme="minorHAnsi" w:hAnsiTheme="minorHAnsi" w:cstheme="minorHAnsi"/>
          <w:color w:val="000000" w:themeColor="text1"/>
          <w:lang w:eastAsia="ja-JP"/>
        </w:rPr>
        <w:t xml:space="preserve"> </w:t>
      </w:r>
      <w:r w:rsidR="00A06FC4">
        <w:rPr>
          <w:rFonts w:asciiTheme="minorHAnsi" w:hAnsiTheme="minorHAnsi" w:cstheme="minorHAnsi"/>
          <w:color w:val="000000" w:themeColor="text1"/>
          <w:lang w:eastAsia="ja-JP"/>
        </w:rPr>
        <w:t>(D</w:t>
      </w:r>
      <w:r w:rsidR="002949DA" w:rsidRPr="009945B5">
        <w:rPr>
          <w:rFonts w:asciiTheme="minorHAnsi" w:hAnsiTheme="minorHAnsi" w:cstheme="minorHAnsi"/>
          <w:color w:val="000000" w:themeColor="text1"/>
          <w:lang w:eastAsia="ja-JP"/>
        </w:rPr>
        <w:t>ecide</w:t>
      </w:r>
      <w:r w:rsidR="000A24CC" w:rsidRPr="009945B5">
        <w:rPr>
          <w:rFonts w:asciiTheme="minorHAnsi" w:hAnsiTheme="minorHAnsi" w:cstheme="minorHAnsi"/>
          <w:color w:val="000000" w:themeColor="text1"/>
          <w:lang w:eastAsia="ja-JP"/>
        </w:rPr>
        <w:t>s 3 of</w:t>
      </w:r>
      <w:r w:rsidR="00183DC0" w:rsidRPr="009945B5">
        <w:rPr>
          <w:rFonts w:asciiTheme="minorHAnsi" w:hAnsiTheme="minorHAnsi" w:cstheme="minorHAnsi"/>
          <w:color w:val="000000" w:themeColor="text1"/>
          <w:lang w:eastAsia="ja-JP"/>
        </w:rPr>
        <w:t xml:space="preserve"> Decision 619</w:t>
      </w:r>
      <w:r w:rsidR="00A06FC4">
        <w:rPr>
          <w:rFonts w:asciiTheme="minorHAnsi" w:hAnsiTheme="minorHAnsi" w:cstheme="minorHAnsi"/>
          <w:color w:val="000000" w:themeColor="text1"/>
          <w:lang w:eastAsia="ja-JP"/>
        </w:rPr>
        <w:t>)</w:t>
      </w:r>
      <w:r w:rsidR="00183DC0" w:rsidRPr="009945B5">
        <w:rPr>
          <w:rFonts w:asciiTheme="minorHAnsi" w:hAnsiTheme="minorHAnsi" w:cstheme="minorHAnsi"/>
          <w:color w:val="000000" w:themeColor="text1"/>
          <w:lang w:eastAsia="ja-JP"/>
        </w:rPr>
        <w:t xml:space="preserve"> </w:t>
      </w:r>
      <w:r w:rsidR="00795EE5">
        <w:rPr>
          <w:rFonts w:asciiTheme="minorHAnsi" w:hAnsiTheme="minorHAnsi" w:cstheme="minorHAnsi"/>
          <w:szCs w:val="24"/>
        </w:rPr>
        <w:t xml:space="preserve">to provide an additional financial cushion for the non-mitigated risks </w:t>
      </w:r>
      <w:r w:rsidR="00530EBC">
        <w:rPr>
          <w:rFonts w:asciiTheme="minorHAnsi" w:hAnsiTheme="minorHAnsi" w:cstheme="minorHAnsi"/>
          <w:szCs w:val="24"/>
        </w:rPr>
        <w:t xml:space="preserve">and to </w:t>
      </w:r>
      <w:r w:rsidR="002949DA" w:rsidRPr="009945B5">
        <w:rPr>
          <w:rFonts w:asciiTheme="minorHAnsi" w:hAnsiTheme="minorHAnsi" w:cstheme="minorHAnsi"/>
        </w:rPr>
        <w:t>be financed by subsequent Council decisions beginning in 2020</w:t>
      </w:r>
      <w:r w:rsidR="005E68C1">
        <w:rPr>
          <w:rFonts w:asciiTheme="minorHAnsi" w:hAnsiTheme="minorHAnsi" w:cstheme="minorHAnsi"/>
          <w:color w:val="000000" w:themeColor="text1"/>
          <w:lang w:eastAsia="ja-JP"/>
        </w:rPr>
        <w:t>.</w:t>
      </w:r>
      <w:r w:rsidR="00A947F6">
        <w:rPr>
          <w:rFonts w:asciiTheme="minorHAnsi" w:hAnsiTheme="minorHAnsi" w:cstheme="minorHAnsi"/>
          <w:color w:val="000000" w:themeColor="text1"/>
        </w:rPr>
        <w:t xml:space="preserve"> </w:t>
      </w:r>
      <w:r w:rsidR="00F74A6C" w:rsidRPr="006D267B">
        <w:rPr>
          <w:rFonts w:asciiTheme="minorHAnsi" w:hAnsiTheme="minorHAnsi" w:cstheme="minorHAnsi"/>
          <w:color w:val="000000" w:themeColor="text1"/>
        </w:rPr>
        <w:t>CHF 1,425,000</w:t>
      </w:r>
      <w:r w:rsidR="00BE3368" w:rsidRPr="006D267B">
        <w:rPr>
          <w:rFonts w:asciiTheme="minorHAnsi" w:hAnsiTheme="minorHAnsi" w:cstheme="minorHAnsi"/>
          <w:color w:val="000000" w:themeColor="text1"/>
        </w:rPr>
        <w:t xml:space="preserve"> </w:t>
      </w:r>
      <w:r w:rsidR="00A947F6">
        <w:rPr>
          <w:rFonts w:asciiTheme="minorHAnsi" w:hAnsiTheme="minorHAnsi" w:cstheme="minorHAnsi"/>
          <w:color w:val="000000" w:themeColor="text1"/>
        </w:rPr>
        <w:t xml:space="preserve">is </w:t>
      </w:r>
      <w:r w:rsidR="00BE3368" w:rsidRPr="006D267B">
        <w:rPr>
          <w:rFonts w:asciiTheme="minorHAnsi" w:hAnsiTheme="minorHAnsi" w:cstheme="minorHAnsi"/>
          <w:color w:val="000000" w:themeColor="text1"/>
        </w:rPr>
        <w:t>currently allocated to the Risk Register fund</w:t>
      </w:r>
      <w:r w:rsidR="006F5CEC">
        <w:rPr>
          <w:rFonts w:asciiTheme="minorHAnsi" w:hAnsiTheme="minorHAnsi" w:cstheme="minorHAnsi"/>
          <w:color w:val="000000" w:themeColor="text1"/>
        </w:rPr>
        <w:t>.</w:t>
      </w:r>
    </w:p>
    <w:p w14:paraId="6DD16AF4" w14:textId="6C9C6F62" w:rsidR="0086489C" w:rsidRPr="0018606C" w:rsidRDefault="00E83827" w:rsidP="00CB733B">
      <w:pPr>
        <w:keepNext/>
        <w:spacing w:before="240" w:after="120"/>
        <w:jc w:val="both"/>
        <w:rPr>
          <w:rFonts w:asciiTheme="minorHAnsi" w:hAnsiTheme="minorHAnsi" w:cstheme="minorHAnsi"/>
          <w:b/>
          <w:bCs/>
          <w:color w:val="000000" w:themeColor="text1"/>
        </w:rPr>
      </w:pPr>
      <w:r>
        <w:rPr>
          <w:rFonts w:asciiTheme="minorHAnsi" w:hAnsiTheme="minorHAnsi" w:cstheme="minorHAnsi"/>
          <w:b/>
          <w:bCs/>
          <w:color w:val="000000" w:themeColor="text1"/>
        </w:rPr>
        <w:t>4.2</w:t>
      </w:r>
      <w:r>
        <w:rPr>
          <w:rFonts w:asciiTheme="minorHAnsi" w:hAnsiTheme="minorHAnsi" w:cstheme="minorHAnsi"/>
          <w:b/>
          <w:bCs/>
          <w:color w:val="000000" w:themeColor="text1"/>
        </w:rPr>
        <w:tab/>
      </w:r>
      <w:r w:rsidR="0086489C" w:rsidRPr="0018606C">
        <w:rPr>
          <w:rFonts w:asciiTheme="minorHAnsi" w:hAnsiTheme="minorHAnsi" w:cstheme="minorHAnsi"/>
          <w:b/>
          <w:bCs/>
          <w:color w:val="000000" w:themeColor="text1"/>
        </w:rPr>
        <w:t>Cash flow</w:t>
      </w:r>
    </w:p>
    <w:p w14:paraId="175B196E" w14:textId="5EF389EE" w:rsidR="0018606C" w:rsidRPr="00ED20B3" w:rsidRDefault="009D3105" w:rsidP="00CB733B">
      <w:pPr>
        <w:spacing w:before="240" w:after="120"/>
        <w:jc w:val="both"/>
        <w:rPr>
          <w:rFonts w:asciiTheme="minorHAnsi" w:hAnsiTheme="minorHAnsi" w:cstheme="minorHAnsi"/>
          <w:color w:val="000000"/>
          <w:szCs w:val="22"/>
          <w:lang w:eastAsia="zh-CN"/>
        </w:rPr>
      </w:pPr>
      <w:r w:rsidRPr="00ED20B3">
        <w:rPr>
          <w:rFonts w:asciiTheme="minorHAnsi" w:hAnsiTheme="minorHAnsi" w:cstheme="minorHAnsi"/>
          <w:color w:val="000000"/>
          <w:szCs w:val="22"/>
          <w:lang w:eastAsia="zh-CN"/>
        </w:rPr>
        <w:t>T</w:t>
      </w:r>
      <w:r w:rsidR="0018606C" w:rsidRPr="00ED20B3">
        <w:rPr>
          <w:rFonts w:asciiTheme="minorHAnsi" w:hAnsiTheme="minorHAnsi" w:cstheme="minorHAnsi"/>
          <w:color w:val="000000"/>
          <w:szCs w:val="22"/>
          <w:lang w:eastAsia="zh-CN"/>
        </w:rPr>
        <w:t xml:space="preserve">he cash flow </w:t>
      </w:r>
      <w:r w:rsidR="003D1F35">
        <w:rPr>
          <w:rFonts w:asciiTheme="minorHAnsi" w:hAnsiTheme="minorHAnsi" w:cstheme="minorHAnsi"/>
          <w:color w:val="000000"/>
          <w:szCs w:val="22"/>
          <w:lang w:eastAsia="zh-CN"/>
        </w:rPr>
        <w:t xml:space="preserve">(see </w:t>
      </w:r>
      <w:hyperlink w:anchor="AnnexB" w:history="1">
        <w:r w:rsidR="003D1F35" w:rsidRPr="006C6A82">
          <w:rPr>
            <w:rStyle w:val="Hyperlink"/>
          </w:rPr>
          <w:t>Annex B</w:t>
        </w:r>
      </w:hyperlink>
      <w:r w:rsidR="003D1F35">
        <w:rPr>
          <w:rFonts w:asciiTheme="minorHAnsi" w:hAnsiTheme="minorHAnsi" w:cstheme="minorHAnsi"/>
          <w:color w:val="000000"/>
          <w:szCs w:val="22"/>
          <w:lang w:eastAsia="zh-CN"/>
        </w:rPr>
        <w:t xml:space="preserve">) </w:t>
      </w:r>
      <w:r w:rsidR="0018606C" w:rsidRPr="00ED20B3">
        <w:rPr>
          <w:rFonts w:asciiTheme="minorHAnsi" w:hAnsiTheme="minorHAnsi" w:cstheme="minorHAnsi"/>
          <w:color w:val="000000"/>
          <w:szCs w:val="22"/>
          <w:lang w:eastAsia="zh-CN"/>
        </w:rPr>
        <w:t xml:space="preserve">and the monitoring of the cash flow </w:t>
      </w:r>
      <w:r w:rsidRPr="00ED20B3">
        <w:rPr>
          <w:rFonts w:asciiTheme="minorHAnsi" w:hAnsiTheme="minorHAnsi" w:cstheme="minorHAnsi"/>
          <w:color w:val="000000"/>
          <w:szCs w:val="22"/>
          <w:lang w:eastAsia="zh-CN"/>
        </w:rPr>
        <w:t xml:space="preserve">performed by Hill </w:t>
      </w:r>
      <w:r w:rsidR="00780AE9">
        <w:rPr>
          <w:rFonts w:asciiTheme="minorHAnsi" w:hAnsiTheme="minorHAnsi" w:cstheme="minorHAnsi"/>
          <w:color w:val="000000"/>
          <w:szCs w:val="22"/>
          <w:lang w:eastAsia="zh-CN"/>
        </w:rPr>
        <w:t>I</w:t>
      </w:r>
      <w:r w:rsidRPr="00ED20B3">
        <w:rPr>
          <w:rFonts w:asciiTheme="minorHAnsi" w:hAnsiTheme="minorHAnsi" w:cstheme="minorHAnsi"/>
          <w:color w:val="000000"/>
          <w:szCs w:val="22"/>
          <w:lang w:eastAsia="zh-CN"/>
        </w:rPr>
        <w:t xml:space="preserve">nt. </w:t>
      </w:r>
      <w:r w:rsidR="001C4812" w:rsidRPr="00ED20B3">
        <w:rPr>
          <w:rFonts w:asciiTheme="minorHAnsi" w:hAnsiTheme="minorHAnsi" w:cstheme="minorHAnsi"/>
          <w:color w:val="000000"/>
          <w:szCs w:val="22"/>
          <w:lang w:eastAsia="zh-CN"/>
        </w:rPr>
        <w:t>is</w:t>
      </w:r>
      <w:r w:rsidR="0018606C" w:rsidRPr="00ED20B3">
        <w:rPr>
          <w:rFonts w:asciiTheme="minorHAnsi" w:hAnsiTheme="minorHAnsi" w:cstheme="minorHAnsi"/>
          <w:color w:val="000000"/>
          <w:szCs w:val="22"/>
          <w:lang w:eastAsia="zh-CN"/>
        </w:rPr>
        <w:t xml:space="preserve"> one of the more critical activities of the </w:t>
      </w:r>
      <w:r w:rsidR="00A4346C">
        <w:rPr>
          <w:rFonts w:asciiTheme="minorHAnsi" w:hAnsiTheme="minorHAnsi" w:cstheme="minorHAnsi"/>
          <w:color w:val="000000"/>
          <w:szCs w:val="22"/>
          <w:lang w:eastAsia="zh-CN"/>
        </w:rPr>
        <w:t>P</w:t>
      </w:r>
      <w:r w:rsidR="001C4812" w:rsidRPr="00ED20B3">
        <w:rPr>
          <w:rFonts w:asciiTheme="minorHAnsi" w:hAnsiTheme="minorHAnsi" w:cstheme="minorHAnsi"/>
          <w:color w:val="000000"/>
          <w:szCs w:val="22"/>
          <w:lang w:eastAsia="zh-CN"/>
        </w:rPr>
        <w:t>roject</w:t>
      </w:r>
      <w:r w:rsidR="0018606C" w:rsidRPr="00ED20B3">
        <w:rPr>
          <w:rFonts w:asciiTheme="minorHAnsi" w:hAnsiTheme="minorHAnsi" w:cstheme="minorHAnsi"/>
          <w:color w:val="000000"/>
          <w:szCs w:val="22"/>
          <w:lang w:eastAsia="zh-CN"/>
        </w:rPr>
        <w:t>. The cash flow gives a clear early indication</w:t>
      </w:r>
      <w:r w:rsidR="002C7456" w:rsidRPr="00ED20B3">
        <w:rPr>
          <w:rFonts w:asciiTheme="minorHAnsi" w:hAnsiTheme="minorHAnsi" w:cstheme="minorHAnsi"/>
          <w:color w:val="000000"/>
          <w:szCs w:val="22"/>
          <w:lang w:eastAsia="zh-CN"/>
        </w:rPr>
        <w:t xml:space="preserve"> when</w:t>
      </w:r>
      <w:r w:rsidR="0018606C" w:rsidRPr="00ED20B3">
        <w:rPr>
          <w:rFonts w:asciiTheme="minorHAnsi" w:hAnsiTheme="minorHAnsi" w:cstheme="minorHAnsi"/>
          <w:color w:val="000000"/>
          <w:szCs w:val="22"/>
          <w:lang w:eastAsia="zh-CN"/>
        </w:rPr>
        <w:t xml:space="preserve"> a project is starting to deviate from the planned progress. </w:t>
      </w:r>
      <w:r w:rsidR="005814A9" w:rsidRPr="00ED20B3">
        <w:rPr>
          <w:rFonts w:asciiTheme="minorHAnsi" w:hAnsiTheme="minorHAnsi" w:cstheme="minorHAnsi"/>
          <w:color w:val="000000"/>
          <w:szCs w:val="22"/>
          <w:lang w:eastAsia="zh-CN"/>
        </w:rPr>
        <w:t xml:space="preserve">To avoid such a deviation, </w:t>
      </w:r>
      <w:r w:rsidR="00BD0C37" w:rsidRPr="00ED20B3">
        <w:rPr>
          <w:rFonts w:asciiTheme="minorHAnsi" w:hAnsiTheme="minorHAnsi" w:cstheme="minorHAnsi"/>
          <w:color w:val="000000"/>
          <w:szCs w:val="22"/>
          <w:lang w:eastAsia="zh-CN"/>
        </w:rPr>
        <w:t>a</w:t>
      </w:r>
      <w:r w:rsidR="0018606C" w:rsidRPr="00ED20B3">
        <w:rPr>
          <w:rFonts w:asciiTheme="minorHAnsi" w:hAnsiTheme="minorHAnsi" w:cstheme="minorHAnsi"/>
          <w:color w:val="000000"/>
          <w:szCs w:val="22"/>
          <w:lang w:eastAsia="zh-CN"/>
        </w:rPr>
        <w:t xml:space="preserve"> tested report that graphically details the planned vs. actual, including reasonable fluctuations,</w:t>
      </w:r>
      <w:r w:rsidR="00A947F6">
        <w:rPr>
          <w:rFonts w:asciiTheme="minorHAnsi" w:hAnsiTheme="minorHAnsi" w:cstheme="minorHAnsi"/>
          <w:color w:val="000000"/>
          <w:szCs w:val="22"/>
          <w:lang w:eastAsia="zh-CN"/>
        </w:rPr>
        <w:t xml:space="preserve"> is used</w:t>
      </w:r>
      <w:r w:rsidR="0018606C" w:rsidRPr="00ED20B3">
        <w:rPr>
          <w:rFonts w:asciiTheme="minorHAnsi" w:hAnsiTheme="minorHAnsi" w:cstheme="minorHAnsi"/>
          <w:color w:val="000000"/>
          <w:szCs w:val="22"/>
          <w:lang w:eastAsia="zh-CN"/>
        </w:rPr>
        <w:t xml:space="preserve"> in order that any issues are promptly </w:t>
      </w:r>
      <w:r w:rsidR="000D3D4F" w:rsidRPr="00ED20B3">
        <w:rPr>
          <w:rFonts w:asciiTheme="minorHAnsi" w:hAnsiTheme="minorHAnsi" w:cstheme="minorHAnsi"/>
          <w:color w:val="000000"/>
          <w:szCs w:val="22"/>
          <w:lang w:eastAsia="zh-CN"/>
        </w:rPr>
        <w:t>identified,</w:t>
      </w:r>
      <w:r w:rsidR="0018606C" w:rsidRPr="00ED20B3">
        <w:rPr>
          <w:rFonts w:asciiTheme="minorHAnsi" w:hAnsiTheme="minorHAnsi" w:cstheme="minorHAnsi"/>
          <w:color w:val="000000"/>
          <w:szCs w:val="22"/>
          <w:lang w:eastAsia="zh-CN"/>
        </w:rPr>
        <w:t xml:space="preserve"> mitigation actions can be implemented.</w:t>
      </w:r>
    </w:p>
    <w:p w14:paraId="23F196AB" w14:textId="7673D832" w:rsidR="00855455" w:rsidRDefault="00855455" w:rsidP="00CB733B">
      <w:pPr>
        <w:spacing w:before="240" w:after="120"/>
        <w:jc w:val="both"/>
        <w:rPr>
          <w:rFonts w:asciiTheme="minorHAnsi" w:hAnsiTheme="minorHAnsi" w:cstheme="minorHAnsi"/>
          <w:color w:val="000000"/>
          <w:szCs w:val="22"/>
          <w:lang w:eastAsia="zh-CN"/>
        </w:rPr>
      </w:pPr>
      <w:r w:rsidRPr="00ED20B3">
        <w:rPr>
          <w:rFonts w:asciiTheme="minorHAnsi" w:hAnsiTheme="minorHAnsi" w:cstheme="minorHAnsi"/>
          <w:color w:val="000000"/>
          <w:szCs w:val="22"/>
          <w:lang w:eastAsia="zh-CN"/>
        </w:rPr>
        <w:t xml:space="preserve">Currently the </w:t>
      </w:r>
      <w:r w:rsidR="00A4346C">
        <w:rPr>
          <w:rFonts w:asciiTheme="minorHAnsi" w:hAnsiTheme="minorHAnsi" w:cstheme="minorHAnsi"/>
          <w:color w:val="000000"/>
          <w:szCs w:val="22"/>
          <w:lang w:eastAsia="zh-CN"/>
        </w:rPr>
        <w:t>P</w:t>
      </w:r>
      <w:r w:rsidR="008E7162" w:rsidRPr="00ED20B3">
        <w:rPr>
          <w:rFonts w:asciiTheme="minorHAnsi" w:hAnsiTheme="minorHAnsi" w:cstheme="minorHAnsi"/>
          <w:color w:val="000000"/>
          <w:szCs w:val="22"/>
          <w:lang w:eastAsia="zh-CN"/>
        </w:rPr>
        <w:t xml:space="preserve">roject activities are funded via the first </w:t>
      </w:r>
      <w:r w:rsidR="00A4346C">
        <w:rPr>
          <w:rFonts w:asciiTheme="minorHAnsi" w:hAnsiTheme="minorHAnsi" w:cstheme="minorHAnsi"/>
          <w:color w:val="000000"/>
          <w:szCs w:val="22"/>
          <w:lang w:eastAsia="zh-CN"/>
        </w:rPr>
        <w:t>H</w:t>
      </w:r>
      <w:r w:rsidR="008E7162" w:rsidRPr="00ED20B3">
        <w:rPr>
          <w:rFonts w:asciiTheme="minorHAnsi" w:hAnsiTheme="minorHAnsi" w:cstheme="minorHAnsi"/>
          <w:color w:val="000000"/>
          <w:szCs w:val="22"/>
          <w:lang w:eastAsia="zh-CN"/>
        </w:rPr>
        <w:t xml:space="preserve">ost </w:t>
      </w:r>
      <w:r w:rsidR="00A4346C">
        <w:rPr>
          <w:rFonts w:asciiTheme="minorHAnsi" w:hAnsiTheme="minorHAnsi" w:cstheme="minorHAnsi"/>
          <w:color w:val="000000"/>
          <w:szCs w:val="22"/>
          <w:lang w:eastAsia="zh-CN"/>
        </w:rPr>
        <w:t>C</w:t>
      </w:r>
      <w:r w:rsidR="008E7162" w:rsidRPr="00ED20B3">
        <w:rPr>
          <w:rFonts w:asciiTheme="minorHAnsi" w:hAnsiTheme="minorHAnsi" w:cstheme="minorHAnsi"/>
          <w:color w:val="000000"/>
          <w:szCs w:val="22"/>
          <w:lang w:eastAsia="zh-CN"/>
        </w:rPr>
        <w:t>ountry CHF 12M loan</w:t>
      </w:r>
      <w:r w:rsidR="00B01E19">
        <w:rPr>
          <w:rFonts w:asciiTheme="minorHAnsi" w:hAnsiTheme="minorHAnsi" w:cstheme="minorHAnsi"/>
          <w:color w:val="000000"/>
          <w:szCs w:val="22"/>
          <w:lang w:eastAsia="zh-CN"/>
        </w:rPr>
        <w:t xml:space="preserve">. </w:t>
      </w:r>
      <w:r w:rsidR="00A947F6">
        <w:rPr>
          <w:rFonts w:asciiTheme="minorHAnsi" w:hAnsiTheme="minorHAnsi" w:cstheme="minorHAnsi"/>
          <w:color w:val="000000"/>
          <w:szCs w:val="22"/>
          <w:lang w:eastAsia="zh-CN"/>
        </w:rPr>
        <w:t>T</w:t>
      </w:r>
      <w:r w:rsidR="00B01E19">
        <w:rPr>
          <w:rFonts w:asciiTheme="minorHAnsi" w:hAnsiTheme="minorHAnsi" w:cstheme="minorHAnsi"/>
          <w:color w:val="000000"/>
          <w:szCs w:val="22"/>
          <w:lang w:eastAsia="zh-CN"/>
        </w:rPr>
        <w:t>he availability of the funds until June 2021</w:t>
      </w:r>
      <w:r w:rsidR="00466AEF">
        <w:rPr>
          <w:rFonts w:asciiTheme="minorHAnsi" w:hAnsiTheme="minorHAnsi" w:cstheme="minorHAnsi"/>
          <w:color w:val="000000"/>
          <w:szCs w:val="22"/>
          <w:lang w:eastAsia="zh-CN"/>
        </w:rPr>
        <w:t xml:space="preserve"> </w:t>
      </w:r>
      <w:r w:rsidR="00A947F6">
        <w:rPr>
          <w:rFonts w:asciiTheme="minorHAnsi" w:hAnsiTheme="minorHAnsi" w:cstheme="minorHAnsi"/>
          <w:color w:val="000000"/>
          <w:szCs w:val="22"/>
          <w:lang w:eastAsia="zh-CN"/>
        </w:rPr>
        <w:t xml:space="preserve">is ensured </w:t>
      </w:r>
      <w:r w:rsidR="00466AEF">
        <w:rPr>
          <w:rFonts w:asciiTheme="minorHAnsi" w:hAnsiTheme="minorHAnsi" w:cstheme="minorHAnsi"/>
          <w:color w:val="000000"/>
          <w:szCs w:val="22"/>
          <w:lang w:eastAsia="zh-CN"/>
        </w:rPr>
        <w:t xml:space="preserve">to </w:t>
      </w:r>
      <w:r w:rsidR="00A947F6">
        <w:rPr>
          <w:rFonts w:asciiTheme="minorHAnsi" w:hAnsiTheme="minorHAnsi" w:cstheme="minorHAnsi"/>
          <w:color w:val="000000"/>
          <w:szCs w:val="22"/>
          <w:lang w:eastAsia="zh-CN"/>
        </w:rPr>
        <w:t xml:space="preserve">provide </w:t>
      </w:r>
      <w:r w:rsidR="005A4CCF">
        <w:rPr>
          <w:rFonts w:asciiTheme="minorHAnsi" w:hAnsiTheme="minorHAnsi" w:cstheme="minorHAnsi"/>
          <w:color w:val="000000"/>
          <w:szCs w:val="22"/>
          <w:lang w:eastAsia="zh-CN"/>
        </w:rPr>
        <w:t xml:space="preserve">a continuing </w:t>
      </w:r>
      <w:r w:rsidR="00655907">
        <w:rPr>
          <w:rFonts w:asciiTheme="minorHAnsi" w:hAnsiTheme="minorHAnsi" w:cstheme="minorHAnsi"/>
          <w:color w:val="000000"/>
          <w:szCs w:val="22"/>
          <w:lang w:eastAsia="zh-CN"/>
        </w:rPr>
        <w:t xml:space="preserve">cash flow and </w:t>
      </w:r>
      <w:r w:rsidR="00466AEF">
        <w:rPr>
          <w:rFonts w:asciiTheme="minorHAnsi" w:hAnsiTheme="minorHAnsi" w:cstheme="minorHAnsi"/>
          <w:color w:val="000000"/>
          <w:szCs w:val="22"/>
          <w:lang w:eastAsia="zh-CN"/>
        </w:rPr>
        <w:t xml:space="preserve">allow for </w:t>
      </w:r>
      <w:r w:rsidR="00CD63DD">
        <w:rPr>
          <w:rFonts w:asciiTheme="minorHAnsi" w:hAnsiTheme="minorHAnsi" w:cstheme="minorHAnsi"/>
          <w:color w:val="000000"/>
          <w:szCs w:val="22"/>
          <w:lang w:eastAsia="zh-CN"/>
        </w:rPr>
        <w:t xml:space="preserve">the </w:t>
      </w:r>
      <w:r w:rsidR="00823E46">
        <w:rPr>
          <w:rFonts w:asciiTheme="minorHAnsi" w:hAnsiTheme="minorHAnsi" w:cstheme="minorHAnsi"/>
          <w:color w:val="000000"/>
          <w:szCs w:val="22"/>
          <w:lang w:eastAsia="zh-CN"/>
        </w:rPr>
        <w:t xml:space="preserve">time for the </w:t>
      </w:r>
      <w:r w:rsidR="00C51390">
        <w:rPr>
          <w:rFonts w:asciiTheme="minorHAnsi" w:hAnsiTheme="minorHAnsi" w:cstheme="minorHAnsi"/>
          <w:color w:val="000000"/>
          <w:szCs w:val="22"/>
          <w:lang w:eastAsia="zh-CN"/>
        </w:rPr>
        <w:t xml:space="preserve">approval </w:t>
      </w:r>
      <w:r w:rsidR="00A87084">
        <w:rPr>
          <w:rFonts w:asciiTheme="minorHAnsi" w:hAnsiTheme="minorHAnsi" w:cstheme="minorHAnsi"/>
          <w:color w:val="000000"/>
          <w:szCs w:val="22"/>
          <w:lang w:eastAsia="zh-CN"/>
        </w:rPr>
        <w:t xml:space="preserve">of the second loan </w:t>
      </w:r>
      <w:r w:rsidR="00A4346C">
        <w:rPr>
          <w:rFonts w:asciiTheme="minorHAnsi" w:hAnsiTheme="minorHAnsi" w:cstheme="minorHAnsi"/>
          <w:color w:val="000000"/>
          <w:szCs w:val="22"/>
          <w:lang w:eastAsia="zh-CN"/>
        </w:rPr>
        <w:t xml:space="preserve">of </w:t>
      </w:r>
      <w:r w:rsidR="00A87084">
        <w:rPr>
          <w:rFonts w:asciiTheme="minorHAnsi" w:hAnsiTheme="minorHAnsi" w:cstheme="minorHAnsi"/>
          <w:color w:val="000000"/>
          <w:szCs w:val="22"/>
          <w:lang w:eastAsia="zh-CN"/>
        </w:rPr>
        <w:t>CHF 138M</w:t>
      </w:r>
      <w:r w:rsidR="00116D7A">
        <w:rPr>
          <w:rFonts w:asciiTheme="minorHAnsi" w:hAnsiTheme="minorHAnsi" w:cstheme="minorHAnsi"/>
          <w:color w:val="000000"/>
          <w:szCs w:val="22"/>
          <w:lang w:eastAsia="zh-CN"/>
        </w:rPr>
        <w:t xml:space="preserve"> and signature of the loan contract with FIPOI</w:t>
      </w:r>
      <w:r w:rsidR="00A87084">
        <w:rPr>
          <w:rFonts w:asciiTheme="minorHAnsi" w:hAnsiTheme="minorHAnsi" w:cstheme="minorHAnsi"/>
          <w:color w:val="000000"/>
          <w:szCs w:val="22"/>
          <w:lang w:eastAsia="zh-CN"/>
        </w:rPr>
        <w:t>.</w:t>
      </w:r>
    </w:p>
    <w:p w14:paraId="58D81E69" w14:textId="585984A9" w:rsidR="00E36A1F" w:rsidRDefault="00E36A1F" w:rsidP="00CB733B">
      <w:pPr>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4.3</w:t>
      </w:r>
      <w:r w:rsidRPr="00D75BAB">
        <w:rPr>
          <w:rFonts w:asciiTheme="minorHAnsi" w:hAnsiTheme="minorHAnsi" w:cstheme="minorHAnsi"/>
          <w:b/>
          <w:bCs/>
          <w:color w:val="000000" w:themeColor="text1"/>
        </w:rPr>
        <w:tab/>
        <w:t>Expen</w:t>
      </w:r>
      <w:r w:rsidR="004C0B2D">
        <w:rPr>
          <w:rFonts w:asciiTheme="minorHAnsi" w:hAnsiTheme="minorHAnsi" w:cstheme="minorHAnsi"/>
          <w:b/>
          <w:bCs/>
          <w:color w:val="000000" w:themeColor="text1"/>
        </w:rPr>
        <w:t xml:space="preserve">se </w:t>
      </w:r>
      <w:r w:rsidRPr="00D75BAB">
        <w:rPr>
          <w:rFonts w:asciiTheme="minorHAnsi" w:hAnsiTheme="minorHAnsi" w:cstheme="minorHAnsi"/>
          <w:b/>
          <w:bCs/>
          <w:color w:val="000000" w:themeColor="text1"/>
        </w:rPr>
        <w:t>to date</w:t>
      </w:r>
    </w:p>
    <w:p w14:paraId="76137802" w14:textId="36E371B7" w:rsidR="00E36A1F" w:rsidRDefault="00E36A1F" w:rsidP="00CB733B">
      <w:pPr>
        <w:spacing w:before="240"/>
        <w:jc w:val="both"/>
        <w:rPr>
          <w:rFonts w:asciiTheme="minorHAnsi" w:hAnsiTheme="minorHAnsi" w:cstheme="minorHAnsi"/>
          <w:color w:val="000000" w:themeColor="text1"/>
        </w:rPr>
      </w:pPr>
      <w:r w:rsidRPr="00CD78B3">
        <w:rPr>
          <w:rFonts w:asciiTheme="minorHAnsi" w:hAnsiTheme="minorHAnsi" w:cstheme="minorHAnsi"/>
          <w:color w:val="000000"/>
          <w:szCs w:val="22"/>
          <w:lang w:eastAsia="zh-CN"/>
        </w:rPr>
        <w:t xml:space="preserve">The </w:t>
      </w:r>
      <w:r>
        <w:rPr>
          <w:rFonts w:asciiTheme="minorHAnsi" w:hAnsiTheme="minorHAnsi" w:cstheme="minorHAnsi"/>
          <w:color w:val="000000"/>
          <w:szCs w:val="22"/>
          <w:lang w:eastAsia="zh-CN"/>
        </w:rPr>
        <w:t xml:space="preserve">current </w:t>
      </w:r>
      <w:r w:rsidRPr="00CD78B3">
        <w:rPr>
          <w:rFonts w:asciiTheme="minorHAnsi" w:hAnsiTheme="minorHAnsi" w:cstheme="minorHAnsi"/>
          <w:color w:val="000000"/>
          <w:szCs w:val="22"/>
          <w:lang w:eastAsia="zh-CN"/>
        </w:rPr>
        <w:t>expen</w:t>
      </w:r>
      <w:r>
        <w:rPr>
          <w:rFonts w:asciiTheme="minorHAnsi" w:hAnsiTheme="minorHAnsi" w:cstheme="minorHAnsi"/>
          <w:color w:val="000000"/>
          <w:szCs w:val="22"/>
          <w:lang w:eastAsia="zh-CN"/>
        </w:rPr>
        <w:t>ses</w:t>
      </w:r>
      <w:r w:rsidRPr="00CD78B3">
        <w:rPr>
          <w:rFonts w:asciiTheme="minorHAnsi" w:hAnsiTheme="minorHAnsi" w:cstheme="minorHAnsi"/>
          <w:color w:val="000000"/>
          <w:szCs w:val="22"/>
          <w:lang w:eastAsia="zh-CN"/>
        </w:rPr>
        <w:t xml:space="preserve"> are </w:t>
      </w:r>
      <w:r>
        <w:rPr>
          <w:rFonts w:asciiTheme="minorHAnsi" w:hAnsiTheme="minorHAnsi" w:cstheme="minorHAnsi"/>
          <w:color w:val="000000"/>
          <w:szCs w:val="22"/>
          <w:lang w:eastAsia="zh-CN"/>
        </w:rPr>
        <w:t>exclusively generated by</w:t>
      </w:r>
      <w:r w:rsidRPr="00CD78B3">
        <w:rPr>
          <w:rFonts w:asciiTheme="minorHAnsi" w:hAnsiTheme="minorHAnsi" w:cstheme="minorHAnsi"/>
          <w:color w:val="000000"/>
          <w:szCs w:val="22"/>
          <w:lang w:eastAsia="zh-CN"/>
        </w:rPr>
        <w:t xml:space="preserve"> the fees </w:t>
      </w:r>
      <w:r>
        <w:rPr>
          <w:rFonts w:asciiTheme="minorHAnsi" w:hAnsiTheme="minorHAnsi" w:cstheme="minorHAnsi"/>
          <w:color w:val="000000"/>
          <w:szCs w:val="22"/>
          <w:lang w:eastAsia="zh-CN"/>
        </w:rPr>
        <w:t>of the A</w:t>
      </w:r>
      <w:r w:rsidRPr="00CD78B3">
        <w:rPr>
          <w:rFonts w:asciiTheme="minorHAnsi" w:hAnsiTheme="minorHAnsi" w:cstheme="minorHAnsi"/>
          <w:color w:val="000000"/>
          <w:szCs w:val="22"/>
          <w:lang w:eastAsia="zh-CN"/>
        </w:rPr>
        <w:t xml:space="preserve">rchitects’ </w:t>
      </w:r>
      <w:r>
        <w:rPr>
          <w:rFonts w:asciiTheme="minorHAnsi" w:hAnsiTheme="minorHAnsi" w:cstheme="minorHAnsi"/>
          <w:color w:val="000000"/>
          <w:szCs w:val="22"/>
          <w:lang w:eastAsia="zh-CN"/>
        </w:rPr>
        <w:t>C</w:t>
      </w:r>
      <w:r w:rsidRPr="00CD78B3">
        <w:rPr>
          <w:rFonts w:asciiTheme="minorHAnsi" w:hAnsiTheme="minorHAnsi" w:cstheme="minorHAnsi"/>
          <w:color w:val="000000"/>
          <w:szCs w:val="22"/>
          <w:lang w:eastAsia="zh-CN"/>
        </w:rPr>
        <w:t xml:space="preserve">onsortium, CDTK and </w:t>
      </w:r>
      <w:r>
        <w:rPr>
          <w:rFonts w:asciiTheme="minorHAnsi" w:hAnsiTheme="minorHAnsi" w:cstheme="minorHAnsi"/>
          <w:color w:val="000000"/>
          <w:szCs w:val="22"/>
          <w:lang w:eastAsia="zh-CN"/>
        </w:rPr>
        <w:t>P</w:t>
      </w:r>
      <w:r w:rsidRPr="00CD78B3">
        <w:rPr>
          <w:rFonts w:asciiTheme="minorHAnsi" w:hAnsiTheme="minorHAnsi" w:cstheme="minorHAnsi"/>
          <w:color w:val="000000"/>
          <w:szCs w:val="22"/>
          <w:lang w:eastAsia="zh-CN"/>
        </w:rPr>
        <w:t xml:space="preserve">roject </w:t>
      </w:r>
      <w:r>
        <w:rPr>
          <w:rFonts w:asciiTheme="minorHAnsi" w:hAnsiTheme="minorHAnsi" w:cstheme="minorHAnsi"/>
          <w:color w:val="000000"/>
          <w:szCs w:val="22"/>
          <w:lang w:eastAsia="zh-CN"/>
        </w:rPr>
        <w:t>Management S</w:t>
      </w:r>
      <w:r w:rsidRPr="00CD78B3">
        <w:rPr>
          <w:rFonts w:asciiTheme="minorHAnsi" w:hAnsiTheme="minorHAnsi" w:cstheme="minorHAnsi"/>
          <w:color w:val="000000"/>
          <w:szCs w:val="22"/>
          <w:lang w:eastAsia="zh-CN"/>
        </w:rPr>
        <w:t>upport, Hill int</w:t>
      </w:r>
      <w:r>
        <w:rPr>
          <w:rFonts w:asciiTheme="minorHAnsi" w:hAnsiTheme="minorHAnsi" w:cstheme="minorHAnsi"/>
          <w:color w:val="000000"/>
          <w:szCs w:val="22"/>
          <w:lang w:eastAsia="zh-CN"/>
        </w:rPr>
        <w:t>.</w:t>
      </w:r>
      <w:r w:rsidRPr="00CD78B3">
        <w:rPr>
          <w:rFonts w:asciiTheme="minorHAnsi" w:hAnsiTheme="minorHAnsi" w:cstheme="minorHAnsi"/>
          <w:color w:val="000000"/>
          <w:szCs w:val="22"/>
          <w:lang w:eastAsia="zh-CN"/>
        </w:rPr>
        <w:t xml:space="preserve"> </w:t>
      </w:r>
      <w:r>
        <w:rPr>
          <w:rFonts w:asciiTheme="minorHAnsi" w:hAnsiTheme="minorHAnsi" w:cstheme="minorHAnsi"/>
          <w:color w:val="000000"/>
          <w:szCs w:val="22"/>
          <w:lang w:eastAsia="zh-CN"/>
        </w:rPr>
        <w:t>The expense to date is in line with the projected expenses that are reported on a quarterly basis to the Host Country and f</w:t>
      </w:r>
      <w:r w:rsidRPr="00D75BAB">
        <w:rPr>
          <w:rFonts w:asciiTheme="minorHAnsi" w:hAnsiTheme="minorHAnsi" w:cstheme="minorHAnsi"/>
          <w:color w:val="000000" w:themeColor="text1"/>
        </w:rPr>
        <w:t xml:space="preserve">undraising requests are processed every </w:t>
      </w:r>
      <w:r>
        <w:rPr>
          <w:rFonts w:asciiTheme="minorHAnsi" w:hAnsiTheme="minorHAnsi" w:cstheme="minorHAnsi"/>
          <w:color w:val="000000" w:themeColor="text1"/>
        </w:rPr>
        <w:t xml:space="preserve">quarter </w:t>
      </w:r>
      <w:r w:rsidRPr="00D75BAB">
        <w:rPr>
          <w:rFonts w:asciiTheme="minorHAnsi" w:hAnsiTheme="minorHAnsi" w:cstheme="minorHAnsi"/>
          <w:color w:val="000000" w:themeColor="text1"/>
        </w:rPr>
        <w:t xml:space="preserve">to cover the ongoing </w:t>
      </w:r>
      <w:r>
        <w:rPr>
          <w:rFonts w:asciiTheme="minorHAnsi" w:hAnsiTheme="minorHAnsi" w:cstheme="minorHAnsi"/>
          <w:color w:val="000000" w:themeColor="text1"/>
        </w:rPr>
        <w:t>P</w:t>
      </w:r>
      <w:r w:rsidRPr="00D75BAB">
        <w:rPr>
          <w:rFonts w:asciiTheme="minorHAnsi" w:hAnsiTheme="minorHAnsi" w:cstheme="minorHAnsi"/>
          <w:color w:val="000000" w:themeColor="text1"/>
        </w:rPr>
        <w:t xml:space="preserve">roject expenditures. </w:t>
      </w:r>
    </w:p>
    <w:p w14:paraId="0AF5F27B" w14:textId="154195A6" w:rsidR="00AA40CE" w:rsidRPr="00536900" w:rsidRDefault="00D824AE" w:rsidP="006C6A82">
      <w:pPr>
        <w:keepNext/>
        <w:spacing w:before="240" w:after="120"/>
        <w:jc w:val="both"/>
        <w:rPr>
          <w:rFonts w:asciiTheme="minorHAnsi" w:hAnsiTheme="minorHAnsi" w:cstheme="minorHAnsi"/>
          <w:b/>
          <w:bCs/>
          <w:color w:val="000000" w:themeColor="text1"/>
        </w:rPr>
      </w:pPr>
      <w:r w:rsidRPr="00536900">
        <w:rPr>
          <w:rFonts w:asciiTheme="minorHAnsi" w:hAnsiTheme="minorHAnsi" w:cstheme="minorHAnsi"/>
          <w:b/>
          <w:bCs/>
          <w:color w:val="000000" w:themeColor="text1"/>
        </w:rPr>
        <w:lastRenderedPageBreak/>
        <w:t>4.4</w:t>
      </w:r>
      <w:r w:rsidRPr="00536900">
        <w:rPr>
          <w:rFonts w:asciiTheme="minorHAnsi" w:hAnsiTheme="minorHAnsi" w:cstheme="minorHAnsi"/>
          <w:b/>
          <w:bCs/>
          <w:color w:val="000000" w:themeColor="text1"/>
        </w:rPr>
        <w:tab/>
      </w:r>
      <w:r w:rsidR="00AA40CE" w:rsidRPr="00536900">
        <w:rPr>
          <w:rFonts w:asciiTheme="minorHAnsi" w:hAnsiTheme="minorHAnsi" w:cstheme="minorHAnsi"/>
          <w:b/>
          <w:bCs/>
          <w:color w:val="000000" w:themeColor="text1"/>
        </w:rPr>
        <w:t>Foreseen vs. e</w:t>
      </w:r>
      <w:r w:rsidRPr="00536900">
        <w:rPr>
          <w:rFonts w:asciiTheme="minorHAnsi" w:hAnsiTheme="minorHAnsi" w:cstheme="minorHAnsi"/>
          <w:b/>
          <w:bCs/>
          <w:color w:val="000000" w:themeColor="text1"/>
        </w:rPr>
        <w:t xml:space="preserve">xpended </w:t>
      </w:r>
    </w:p>
    <w:p w14:paraId="30ED2124" w14:textId="134BDE68" w:rsidR="001C25D2" w:rsidRDefault="00536900" w:rsidP="006C6A82">
      <w:pPr>
        <w:keepNext/>
        <w:spacing w:before="240" w:after="120"/>
        <w:jc w:val="both"/>
        <w:rPr>
          <w:rFonts w:asciiTheme="minorHAnsi" w:hAnsiTheme="minorHAnsi" w:cstheme="minorHAnsi"/>
          <w:b/>
          <w:bCs/>
          <w:color w:val="000000" w:themeColor="text1"/>
        </w:rPr>
      </w:pPr>
      <w:r w:rsidRPr="00536900">
        <w:rPr>
          <w:rFonts w:asciiTheme="minorHAnsi" w:hAnsiTheme="minorHAnsi" w:cstheme="minorHAnsi"/>
          <w:color w:val="000000"/>
          <w:szCs w:val="22"/>
          <w:lang w:eastAsia="zh-CN"/>
        </w:rPr>
        <w:t xml:space="preserve">The graph </w:t>
      </w:r>
      <w:r w:rsidR="00CD69E2">
        <w:rPr>
          <w:rFonts w:asciiTheme="minorHAnsi" w:hAnsiTheme="minorHAnsi" w:cstheme="minorHAnsi"/>
          <w:color w:val="000000"/>
          <w:szCs w:val="22"/>
          <w:lang w:eastAsia="zh-CN"/>
        </w:rPr>
        <w:t xml:space="preserve">presented </w:t>
      </w:r>
      <w:r w:rsidR="00CD69E2" w:rsidRPr="00742C7A">
        <w:rPr>
          <w:rFonts w:asciiTheme="minorHAnsi" w:hAnsiTheme="minorHAnsi" w:cstheme="minorHAnsi"/>
          <w:color w:val="000000"/>
          <w:szCs w:val="22"/>
          <w:lang w:eastAsia="zh-CN"/>
        </w:rPr>
        <w:t xml:space="preserve">in </w:t>
      </w:r>
      <w:hyperlink w:anchor="AnnexC" w:history="1">
        <w:r w:rsidR="00CD69E2" w:rsidRPr="004748E0">
          <w:rPr>
            <w:rStyle w:val="Hyperlink"/>
            <w:rFonts w:asciiTheme="minorHAnsi" w:hAnsiTheme="minorHAnsi" w:cstheme="minorHAnsi"/>
            <w:szCs w:val="22"/>
            <w:lang w:eastAsia="zh-CN"/>
          </w:rPr>
          <w:t>Annex C</w:t>
        </w:r>
      </w:hyperlink>
      <w:r w:rsidR="00CD69E2" w:rsidRPr="00742C7A">
        <w:rPr>
          <w:rFonts w:asciiTheme="minorHAnsi" w:hAnsiTheme="minorHAnsi" w:cstheme="minorHAnsi"/>
          <w:color w:val="000000"/>
          <w:szCs w:val="22"/>
          <w:lang w:eastAsia="zh-CN"/>
        </w:rPr>
        <w:t xml:space="preserve"> </w:t>
      </w:r>
      <w:r w:rsidRPr="00742C7A">
        <w:rPr>
          <w:rFonts w:asciiTheme="minorHAnsi" w:hAnsiTheme="minorHAnsi" w:cstheme="minorHAnsi"/>
          <w:color w:val="000000"/>
          <w:szCs w:val="22"/>
          <w:lang w:eastAsia="zh-CN"/>
        </w:rPr>
        <w:t>represents</w:t>
      </w:r>
      <w:r w:rsidRPr="00536900">
        <w:rPr>
          <w:rFonts w:asciiTheme="minorHAnsi" w:hAnsiTheme="minorHAnsi" w:cstheme="minorHAnsi"/>
          <w:color w:val="000000"/>
          <w:szCs w:val="22"/>
          <w:lang w:eastAsia="zh-CN"/>
        </w:rPr>
        <w:t xml:space="preserve"> the actual expenses (red sticks) compared to the planned expenses (blue sticks)</w:t>
      </w:r>
      <w:r>
        <w:rPr>
          <w:rFonts w:asciiTheme="minorHAnsi" w:hAnsiTheme="minorHAnsi" w:cstheme="minorHAnsi"/>
          <w:color w:val="000000"/>
          <w:szCs w:val="22"/>
          <w:lang w:eastAsia="zh-CN"/>
        </w:rPr>
        <w:t>.</w:t>
      </w:r>
      <w:r w:rsidR="0074124E">
        <w:rPr>
          <w:rFonts w:asciiTheme="minorHAnsi" w:hAnsiTheme="minorHAnsi" w:cstheme="minorHAnsi"/>
          <w:color w:val="000000"/>
          <w:szCs w:val="22"/>
          <w:lang w:eastAsia="zh-CN"/>
        </w:rPr>
        <w:t xml:space="preserve"> T</w:t>
      </w:r>
      <w:r w:rsidRPr="00536900">
        <w:rPr>
          <w:rFonts w:asciiTheme="minorHAnsi" w:hAnsiTheme="minorHAnsi" w:cstheme="minorHAnsi"/>
          <w:color w:val="000000"/>
          <w:szCs w:val="22"/>
          <w:lang w:eastAsia="zh-CN"/>
        </w:rPr>
        <w:t>his graph allows a monthly and measurable monitoring of the expenses to bring</w:t>
      </w:r>
      <w:r w:rsidR="0074124E">
        <w:rPr>
          <w:rFonts w:asciiTheme="minorHAnsi" w:hAnsiTheme="minorHAnsi" w:cstheme="minorHAnsi"/>
          <w:color w:val="000000"/>
          <w:szCs w:val="22"/>
          <w:lang w:eastAsia="zh-CN"/>
        </w:rPr>
        <w:t>,</w:t>
      </w:r>
      <w:r w:rsidRPr="00536900">
        <w:rPr>
          <w:rFonts w:asciiTheme="minorHAnsi" w:hAnsiTheme="minorHAnsi" w:cstheme="minorHAnsi"/>
          <w:color w:val="000000"/>
          <w:szCs w:val="22"/>
          <w:lang w:eastAsia="zh-CN"/>
        </w:rPr>
        <w:t xml:space="preserve"> if necessary</w:t>
      </w:r>
      <w:r w:rsidR="0074124E">
        <w:rPr>
          <w:rFonts w:asciiTheme="minorHAnsi" w:hAnsiTheme="minorHAnsi" w:cstheme="minorHAnsi"/>
          <w:color w:val="000000"/>
          <w:szCs w:val="22"/>
          <w:lang w:eastAsia="zh-CN"/>
        </w:rPr>
        <w:t>,</w:t>
      </w:r>
      <w:r w:rsidRPr="00536900">
        <w:rPr>
          <w:rFonts w:asciiTheme="minorHAnsi" w:hAnsiTheme="minorHAnsi" w:cstheme="minorHAnsi"/>
          <w:color w:val="000000"/>
          <w:szCs w:val="22"/>
          <w:lang w:eastAsia="zh-CN"/>
        </w:rPr>
        <w:t xml:space="preserve"> the corrective measures in a reactive manner. In addition, it also </w:t>
      </w:r>
      <w:r w:rsidR="005E3477">
        <w:rPr>
          <w:rFonts w:asciiTheme="minorHAnsi" w:hAnsiTheme="minorHAnsi" w:cstheme="minorHAnsi"/>
          <w:color w:val="000000"/>
          <w:szCs w:val="22"/>
          <w:lang w:eastAsia="zh-CN"/>
        </w:rPr>
        <w:t>allows</w:t>
      </w:r>
      <w:r w:rsidR="005570F9">
        <w:rPr>
          <w:rFonts w:asciiTheme="minorHAnsi" w:hAnsiTheme="minorHAnsi" w:cstheme="minorHAnsi"/>
          <w:color w:val="000000"/>
          <w:szCs w:val="22"/>
          <w:lang w:eastAsia="zh-CN"/>
        </w:rPr>
        <w:t xml:space="preserve"> to</w:t>
      </w:r>
      <w:r w:rsidRPr="00536900">
        <w:rPr>
          <w:rFonts w:asciiTheme="minorHAnsi" w:hAnsiTheme="minorHAnsi" w:cstheme="minorHAnsi"/>
          <w:color w:val="000000"/>
          <w:szCs w:val="22"/>
          <w:lang w:eastAsia="zh-CN"/>
        </w:rPr>
        <w:t xml:space="preserve"> monitor the amount linked to the </w:t>
      </w:r>
      <w:r w:rsidR="00720232">
        <w:rPr>
          <w:rFonts w:asciiTheme="minorHAnsi" w:hAnsiTheme="minorHAnsi" w:cstheme="minorHAnsi"/>
          <w:color w:val="000000"/>
          <w:szCs w:val="22"/>
          <w:lang w:eastAsia="zh-CN"/>
        </w:rPr>
        <w:t>R</w:t>
      </w:r>
      <w:r w:rsidR="00720232" w:rsidRPr="00536900">
        <w:rPr>
          <w:rFonts w:asciiTheme="minorHAnsi" w:hAnsiTheme="minorHAnsi" w:cstheme="minorHAnsi"/>
          <w:color w:val="000000"/>
          <w:szCs w:val="22"/>
          <w:lang w:eastAsia="zh-CN"/>
        </w:rPr>
        <w:t xml:space="preserve">isk </w:t>
      </w:r>
      <w:r w:rsidR="00720232">
        <w:rPr>
          <w:rFonts w:asciiTheme="minorHAnsi" w:hAnsiTheme="minorHAnsi" w:cstheme="minorHAnsi"/>
          <w:color w:val="000000"/>
          <w:szCs w:val="22"/>
          <w:lang w:eastAsia="zh-CN"/>
        </w:rPr>
        <w:t>R</w:t>
      </w:r>
      <w:r w:rsidR="00720232" w:rsidRPr="00536900">
        <w:rPr>
          <w:rFonts w:asciiTheme="minorHAnsi" w:hAnsiTheme="minorHAnsi" w:cstheme="minorHAnsi"/>
          <w:color w:val="000000"/>
          <w:szCs w:val="22"/>
          <w:lang w:eastAsia="zh-CN"/>
        </w:rPr>
        <w:t xml:space="preserve">egister </w:t>
      </w:r>
      <w:r w:rsidRPr="00536900">
        <w:rPr>
          <w:rFonts w:asciiTheme="minorHAnsi" w:hAnsiTheme="minorHAnsi" w:cstheme="minorHAnsi"/>
          <w:color w:val="000000"/>
          <w:szCs w:val="22"/>
          <w:lang w:eastAsia="zh-CN"/>
        </w:rPr>
        <w:t xml:space="preserve">(black dashed line) as the project progresses. The contingency (green line) will change as and when we draw </w:t>
      </w:r>
      <w:r w:rsidR="005E09B3">
        <w:rPr>
          <w:rFonts w:asciiTheme="minorHAnsi" w:hAnsiTheme="minorHAnsi" w:cstheme="minorHAnsi"/>
          <w:color w:val="000000"/>
          <w:szCs w:val="22"/>
          <w:lang w:eastAsia="zh-CN"/>
        </w:rPr>
        <w:t>from the contingency</w:t>
      </w:r>
      <w:r w:rsidRPr="00536900">
        <w:rPr>
          <w:rFonts w:asciiTheme="minorHAnsi" w:hAnsiTheme="minorHAnsi" w:cstheme="minorHAnsi"/>
          <w:color w:val="000000"/>
          <w:szCs w:val="22"/>
          <w:lang w:eastAsia="zh-CN"/>
        </w:rPr>
        <w:t>.</w:t>
      </w:r>
    </w:p>
    <w:p w14:paraId="7047DD6E" w14:textId="67011E1D" w:rsidR="00D824AE" w:rsidRDefault="00D824AE" w:rsidP="00CB733B">
      <w:pPr>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4.5</w:t>
      </w:r>
      <w:r w:rsidRPr="00D75BAB">
        <w:rPr>
          <w:rFonts w:asciiTheme="minorHAnsi" w:hAnsiTheme="minorHAnsi" w:cstheme="minorHAnsi"/>
          <w:b/>
          <w:bCs/>
          <w:color w:val="000000" w:themeColor="text1"/>
        </w:rPr>
        <w:tab/>
        <w:t xml:space="preserve">Indirect </w:t>
      </w:r>
      <w:r w:rsidR="0041182C" w:rsidRPr="00D75BAB">
        <w:rPr>
          <w:rFonts w:asciiTheme="minorHAnsi" w:hAnsiTheme="minorHAnsi" w:cstheme="minorHAnsi"/>
          <w:b/>
          <w:bCs/>
          <w:color w:val="000000" w:themeColor="text1"/>
        </w:rPr>
        <w:t>project costs</w:t>
      </w:r>
    </w:p>
    <w:p w14:paraId="602C8981" w14:textId="0A8EF66A" w:rsidR="00D52500" w:rsidRPr="00D52500" w:rsidRDefault="009D1802" w:rsidP="00CB733B">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rFonts w:asciiTheme="minorHAnsi" w:hAnsiTheme="minorHAnsi" w:cstheme="minorHAnsi"/>
          <w:color w:val="000000"/>
          <w:szCs w:val="22"/>
          <w:lang w:eastAsia="zh-CN"/>
        </w:rPr>
      </w:pPr>
      <w:r w:rsidRPr="002E1E58">
        <w:rPr>
          <w:rFonts w:asciiTheme="minorHAnsi" w:hAnsiTheme="minorHAnsi" w:cstheme="minorHAnsi"/>
          <w:color w:val="000000"/>
          <w:szCs w:val="22"/>
          <w:lang w:eastAsia="zh-CN"/>
        </w:rPr>
        <w:t>I</w:t>
      </w:r>
      <w:r w:rsidRPr="009D1802">
        <w:rPr>
          <w:rFonts w:asciiTheme="minorHAnsi" w:hAnsiTheme="minorHAnsi" w:cstheme="minorHAnsi"/>
          <w:color w:val="000000"/>
          <w:szCs w:val="22"/>
          <w:lang w:eastAsia="zh-CN"/>
        </w:rPr>
        <w:t xml:space="preserve">n accordance with </w:t>
      </w:r>
      <w:r w:rsidR="00116D7A">
        <w:rPr>
          <w:rFonts w:asciiTheme="minorHAnsi" w:hAnsiTheme="minorHAnsi" w:cstheme="minorHAnsi"/>
          <w:color w:val="000000"/>
          <w:szCs w:val="22"/>
          <w:lang w:eastAsia="zh-CN"/>
        </w:rPr>
        <w:t xml:space="preserve">Council </w:t>
      </w:r>
      <w:r w:rsidRPr="002E1E58">
        <w:rPr>
          <w:rFonts w:asciiTheme="minorHAnsi" w:hAnsiTheme="minorHAnsi" w:cstheme="minorHAnsi"/>
          <w:color w:val="000000"/>
          <w:szCs w:val="22"/>
          <w:lang w:eastAsia="zh-CN"/>
        </w:rPr>
        <w:t>Decision</w:t>
      </w:r>
      <w:r w:rsidRPr="009D1802">
        <w:rPr>
          <w:rFonts w:asciiTheme="minorHAnsi" w:hAnsiTheme="minorHAnsi" w:cstheme="minorHAnsi"/>
          <w:color w:val="000000"/>
          <w:szCs w:val="22"/>
          <w:lang w:eastAsia="zh-CN"/>
        </w:rPr>
        <w:t xml:space="preserve"> 619 </w:t>
      </w:r>
      <w:r w:rsidR="00607F8E" w:rsidRPr="002E1E58">
        <w:rPr>
          <w:rFonts w:asciiTheme="minorHAnsi" w:hAnsiTheme="minorHAnsi" w:cstheme="minorHAnsi"/>
          <w:color w:val="000000"/>
          <w:szCs w:val="22"/>
          <w:lang w:eastAsia="zh-CN"/>
        </w:rPr>
        <w:t>and as per the table presented at C</w:t>
      </w:r>
      <w:r w:rsidR="005E1F5A" w:rsidRPr="002E1E58">
        <w:rPr>
          <w:rFonts w:asciiTheme="minorHAnsi" w:hAnsiTheme="minorHAnsi" w:cstheme="minorHAnsi"/>
          <w:color w:val="000000"/>
          <w:szCs w:val="22"/>
          <w:lang w:eastAsia="zh-CN"/>
        </w:rPr>
        <w:t>WG-FHR in February 2020,</w:t>
      </w:r>
      <w:r w:rsidR="00607F8E" w:rsidRPr="002E1E58">
        <w:rPr>
          <w:rFonts w:asciiTheme="minorHAnsi" w:hAnsiTheme="minorHAnsi" w:cstheme="minorHAnsi"/>
          <w:color w:val="000000"/>
          <w:szCs w:val="22"/>
          <w:lang w:eastAsia="zh-CN"/>
        </w:rPr>
        <w:t xml:space="preserve"> </w:t>
      </w:r>
      <w:r w:rsidRPr="009D1802">
        <w:rPr>
          <w:rFonts w:asciiTheme="minorHAnsi" w:hAnsiTheme="minorHAnsi" w:cstheme="minorHAnsi"/>
          <w:color w:val="000000"/>
          <w:szCs w:val="22"/>
          <w:lang w:eastAsia="zh-CN"/>
        </w:rPr>
        <w:t>CH</w:t>
      </w:r>
      <w:r w:rsidRPr="002E1E58">
        <w:rPr>
          <w:rFonts w:asciiTheme="minorHAnsi" w:hAnsiTheme="minorHAnsi" w:cstheme="minorHAnsi"/>
          <w:color w:val="000000"/>
          <w:szCs w:val="22"/>
          <w:lang w:eastAsia="zh-CN"/>
        </w:rPr>
        <w:t>F</w:t>
      </w:r>
      <w:r w:rsidRPr="009D1802">
        <w:rPr>
          <w:rFonts w:asciiTheme="minorHAnsi" w:hAnsiTheme="minorHAnsi" w:cstheme="minorHAnsi"/>
          <w:color w:val="000000"/>
          <w:szCs w:val="22"/>
          <w:lang w:eastAsia="zh-CN"/>
        </w:rPr>
        <w:t xml:space="preserve"> 935</w:t>
      </w:r>
      <w:r w:rsidRPr="002E1E58">
        <w:rPr>
          <w:rFonts w:asciiTheme="minorHAnsi" w:hAnsiTheme="minorHAnsi" w:cstheme="minorHAnsi"/>
          <w:color w:val="000000"/>
          <w:szCs w:val="22"/>
          <w:lang w:eastAsia="zh-CN"/>
        </w:rPr>
        <w:t>K</w:t>
      </w:r>
      <w:r w:rsidRPr="009D1802">
        <w:rPr>
          <w:rFonts w:asciiTheme="minorHAnsi" w:hAnsiTheme="minorHAnsi" w:cstheme="minorHAnsi"/>
          <w:color w:val="000000"/>
          <w:szCs w:val="22"/>
          <w:lang w:eastAsia="zh-CN"/>
        </w:rPr>
        <w:t xml:space="preserve"> will be allocated for indirect costs</w:t>
      </w:r>
      <w:r w:rsidR="002E1E58">
        <w:rPr>
          <w:rFonts w:asciiTheme="minorHAnsi" w:hAnsiTheme="minorHAnsi" w:cstheme="minorHAnsi"/>
          <w:color w:val="000000"/>
          <w:szCs w:val="22"/>
          <w:lang w:eastAsia="zh-CN"/>
        </w:rPr>
        <w:t>.</w:t>
      </w:r>
      <w:r w:rsidR="00B14993" w:rsidRPr="00B14993">
        <w:rPr>
          <w:rFonts w:asciiTheme="minorHAnsi" w:hAnsiTheme="minorHAnsi" w:cstheme="minorHAnsi"/>
          <w:color w:val="000000"/>
          <w:szCs w:val="22"/>
          <w:lang w:eastAsia="zh-CN"/>
        </w:rPr>
        <w:t xml:space="preserve"> </w:t>
      </w:r>
    </w:p>
    <w:p w14:paraId="3198468F" w14:textId="487398AC" w:rsidR="00133FBC" w:rsidRPr="00355EFF" w:rsidRDefault="006742B6" w:rsidP="006C6A82">
      <w:pPr>
        <w:pStyle w:val="ListParagraph"/>
        <w:numPr>
          <w:ilvl w:val="0"/>
          <w:numId w:val="37"/>
        </w:numPr>
        <w:spacing w:before="360" w:after="120"/>
        <w:ind w:hanging="720"/>
        <w:jc w:val="both"/>
        <w:rPr>
          <w:rFonts w:asciiTheme="minorHAnsi" w:hAnsiTheme="minorHAnsi" w:cstheme="minorHAnsi"/>
          <w:b/>
          <w:bCs/>
          <w:color w:val="000000" w:themeColor="text1"/>
          <w:sz w:val="28"/>
          <w:szCs w:val="28"/>
          <w:lang w:eastAsia="ja-JP"/>
        </w:rPr>
      </w:pPr>
      <w:r w:rsidRPr="00355EFF">
        <w:rPr>
          <w:rFonts w:asciiTheme="minorHAnsi" w:hAnsiTheme="minorHAnsi" w:cstheme="minorHAnsi"/>
          <w:b/>
          <w:bCs/>
          <w:color w:val="000000" w:themeColor="text1"/>
          <w:sz w:val="28"/>
          <w:szCs w:val="28"/>
          <w:lang w:eastAsia="ja-JP"/>
        </w:rPr>
        <w:t xml:space="preserve">Definition of </w:t>
      </w:r>
      <w:r w:rsidR="00895B7B" w:rsidRPr="00355EFF">
        <w:rPr>
          <w:rFonts w:asciiTheme="minorHAnsi" w:hAnsiTheme="minorHAnsi" w:cstheme="minorHAnsi"/>
          <w:b/>
          <w:bCs/>
          <w:color w:val="000000" w:themeColor="text1"/>
          <w:sz w:val="28"/>
          <w:szCs w:val="28"/>
          <w:lang w:eastAsia="ja-JP"/>
        </w:rPr>
        <w:t>Easement Instalment</w:t>
      </w:r>
      <w:r w:rsidRPr="00355EFF">
        <w:rPr>
          <w:rFonts w:asciiTheme="minorHAnsi" w:hAnsiTheme="minorHAnsi" w:cstheme="minorHAnsi"/>
          <w:b/>
          <w:bCs/>
          <w:color w:val="000000" w:themeColor="text1"/>
          <w:sz w:val="28"/>
          <w:szCs w:val="28"/>
          <w:lang w:eastAsia="ja-JP"/>
        </w:rPr>
        <w:t>s</w:t>
      </w:r>
      <w:r w:rsidR="00E52A4F" w:rsidRPr="00355EFF">
        <w:rPr>
          <w:rFonts w:asciiTheme="minorHAnsi" w:hAnsiTheme="minorHAnsi" w:cstheme="minorHAnsi"/>
          <w:b/>
          <w:bCs/>
          <w:color w:val="000000" w:themeColor="text1"/>
          <w:sz w:val="28"/>
          <w:szCs w:val="28"/>
          <w:lang w:eastAsia="ja-JP"/>
        </w:rPr>
        <w:t xml:space="preserve"> </w:t>
      </w:r>
      <w:r w:rsidR="00AB2D3B" w:rsidRPr="00355EFF">
        <w:rPr>
          <w:rFonts w:asciiTheme="minorHAnsi" w:hAnsiTheme="minorHAnsi" w:cstheme="minorHAnsi"/>
          <w:b/>
          <w:bCs/>
          <w:color w:val="000000" w:themeColor="text1"/>
          <w:sz w:val="28"/>
          <w:szCs w:val="28"/>
          <w:lang w:eastAsia="ja-JP"/>
        </w:rPr>
        <w:t xml:space="preserve">prior to the </w:t>
      </w:r>
      <w:r w:rsidR="00DF70EA" w:rsidRPr="00355EFF">
        <w:rPr>
          <w:rFonts w:asciiTheme="minorHAnsi" w:hAnsiTheme="minorHAnsi" w:cstheme="minorHAnsi"/>
          <w:b/>
          <w:bCs/>
          <w:color w:val="000000" w:themeColor="text1"/>
          <w:sz w:val="28"/>
          <w:szCs w:val="28"/>
          <w:lang w:eastAsia="ja-JP"/>
        </w:rPr>
        <w:t xml:space="preserve">Permitting </w:t>
      </w:r>
      <w:r w:rsidR="00F873E0" w:rsidRPr="00355EFF">
        <w:rPr>
          <w:rFonts w:asciiTheme="minorHAnsi" w:hAnsiTheme="minorHAnsi" w:cstheme="minorHAnsi"/>
          <w:b/>
          <w:bCs/>
          <w:color w:val="000000" w:themeColor="text1"/>
          <w:sz w:val="28"/>
          <w:szCs w:val="28"/>
          <w:lang w:eastAsia="ja-JP"/>
        </w:rPr>
        <w:t xml:space="preserve">Request </w:t>
      </w:r>
      <w:r w:rsidR="00D157EA" w:rsidRPr="00355EFF">
        <w:rPr>
          <w:rFonts w:asciiTheme="minorHAnsi" w:hAnsiTheme="minorHAnsi" w:cstheme="minorHAnsi"/>
          <w:b/>
          <w:bCs/>
          <w:color w:val="000000" w:themeColor="text1"/>
          <w:sz w:val="28"/>
          <w:szCs w:val="28"/>
          <w:lang w:eastAsia="ja-JP"/>
        </w:rPr>
        <w:t>Submission</w:t>
      </w:r>
    </w:p>
    <w:p w14:paraId="7C10B94A" w14:textId="6B223380" w:rsidR="00894E27" w:rsidRDefault="00194883" w:rsidP="00CB733B">
      <w:pPr>
        <w:spacing w:after="120"/>
        <w:jc w:val="both"/>
        <w:rPr>
          <w:rFonts w:asciiTheme="minorHAnsi" w:hAnsiTheme="minorHAnsi" w:cstheme="minorHAnsi"/>
          <w:color w:val="000000"/>
          <w:szCs w:val="22"/>
          <w:lang w:eastAsia="zh-CN"/>
        </w:rPr>
      </w:pPr>
      <w:r>
        <w:rPr>
          <w:rFonts w:asciiTheme="minorHAnsi" w:hAnsiTheme="minorHAnsi" w:cstheme="minorHAnsi"/>
          <w:color w:val="000000"/>
          <w:szCs w:val="22"/>
          <w:lang w:eastAsia="zh-CN"/>
        </w:rPr>
        <w:t xml:space="preserve">Prior to the </w:t>
      </w:r>
      <w:r w:rsidR="00862F8D">
        <w:rPr>
          <w:rFonts w:asciiTheme="minorHAnsi" w:hAnsiTheme="minorHAnsi" w:cstheme="minorHAnsi"/>
          <w:color w:val="000000"/>
          <w:szCs w:val="22"/>
          <w:lang w:eastAsia="zh-CN"/>
        </w:rPr>
        <w:t>submission of the construction permit request</w:t>
      </w:r>
      <w:r w:rsidR="0043555B">
        <w:rPr>
          <w:rFonts w:asciiTheme="minorHAnsi" w:hAnsiTheme="minorHAnsi" w:cstheme="minorHAnsi"/>
          <w:color w:val="000000"/>
          <w:szCs w:val="22"/>
          <w:lang w:eastAsia="zh-CN"/>
        </w:rPr>
        <w:t xml:space="preserve">, </w:t>
      </w:r>
      <w:r w:rsidR="00DA02C8" w:rsidRPr="00DA02C8">
        <w:rPr>
          <w:rFonts w:asciiTheme="minorHAnsi" w:hAnsiTheme="minorHAnsi" w:cstheme="minorHAnsi"/>
          <w:color w:val="000000"/>
          <w:szCs w:val="22"/>
          <w:lang w:eastAsia="zh-CN"/>
        </w:rPr>
        <w:t xml:space="preserve">existing and new easement </w:t>
      </w:r>
      <w:r w:rsidR="00590651" w:rsidRPr="00DA02C8">
        <w:rPr>
          <w:rFonts w:asciiTheme="minorHAnsi" w:hAnsiTheme="minorHAnsi" w:cstheme="minorHAnsi"/>
          <w:color w:val="000000"/>
          <w:szCs w:val="22"/>
          <w:lang w:eastAsia="zh-CN"/>
        </w:rPr>
        <w:t>instalments</w:t>
      </w:r>
      <w:r w:rsidR="00DA02C8" w:rsidRPr="00DA02C8">
        <w:rPr>
          <w:rFonts w:asciiTheme="minorHAnsi" w:hAnsiTheme="minorHAnsi" w:cstheme="minorHAnsi"/>
          <w:color w:val="000000"/>
          <w:szCs w:val="22"/>
          <w:lang w:eastAsia="zh-CN"/>
        </w:rPr>
        <w:t xml:space="preserve"> </w:t>
      </w:r>
      <w:r w:rsidR="000A4147">
        <w:rPr>
          <w:rFonts w:asciiTheme="minorHAnsi" w:hAnsiTheme="minorHAnsi" w:cstheme="minorHAnsi"/>
          <w:color w:val="000000"/>
          <w:szCs w:val="22"/>
          <w:lang w:eastAsia="zh-CN"/>
        </w:rPr>
        <w:t>must</w:t>
      </w:r>
      <w:r w:rsidR="0043555B">
        <w:rPr>
          <w:rFonts w:asciiTheme="minorHAnsi" w:hAnsiTheme="minorHAnsi" w:cstheme="minorHAnsi"/>
          <w:color w:val="000000"/>
          <w:szCs w:val="22"/>
          <w:lang w:eastAsia="zh-CN"/>
        </w:rPr>
        <w:t xml:space="preserve"> be </w:t>
      </w:r>
      <w:r w:rsidR="00EC5530">
        <w:rPr>
          <w:rFonts w:asciiTheme="minorHAnsi" w:hAnsiTheme="minorHAnsi" w:cstheme="minorHAnsi"/>
          <w:color w:val="000000"/>
          <w:szCs w:val="22"/>
          <w:lang w:eastAsia="zh-CN"/>
        </w:rPr>
        <w:t xml:space="preserve">identified and </w:t>
      </w:r>
      <w:r w:rsidR="004257BE">
        <w:rPr>
          <w:rFonts w:asciiTheme="minorHAnsi" w:hAnsiTheme="minorHAnsi" w:cstheme="minorHAnsi"/>
          <w:color w:val="000000"/>
          <w:szCs w:val="22"/>
          <w:lang w:eastAsia="zh-CN"/>
        </w:rPr>
        <w:t>addressed</w:t>
      </w:r>
      <w:r w:rsidR="00E909C4">
        <w:rPr>
          <w:rFonts w:asciiTheme="minorHAnsi" w:hAnsiTheme="minorHAnsi" w:cstheme="minorHAnsi"/>
          <w:color w:val="000000"/>
          <w:szCs w:val="22"/>
          <w:lang w:eastAsia="zh-CN"/>
        </w:rPr>
        <w:t xml:space="preserve">. </w:t>
      </w:r>
      <w:r w:rsidR="00720232">
        <w:rPr>
          <w:rFonts w:asciiTheme="minorHAnsi" w:hAnsiTheme="minorHAnsi" w:cstheme="minorHAnsi"/>
          <w:color w:val="000000"/>
          <w:szCs w:val="22"/>
          <w:lang w:eastAsia="zh-CN"/>
        </w:rPr>
        <w:t xml:space="preserve">End of June 2020, the </w:t>
      </w:r>
      <w:r w:rsidR="00780AE9">
        <w:rPr>
          <w:rFonts w:asciiTheme="minorHAnsi" w:hAnsiTheme="minorHAnsi" w:cstheme="minorHAnsi"/>
          <w:color w:val="000000"/>
          <w:szCs w:val="22"/>
          <w:lang w:eastAsia="zh-CN"/>
        </w:rPr>
        <w:t>s</w:t>
      </w:r>
      <w:r w:rsidR="00E909C4">
        <w:rPr>
          <w:rFonts w:asciiTheme="minorHAnsi" w:hAnsiTheme="minorHAnsi" w:cstheme="minorHAnsi"/>
          <w:color w:val="000000"/>
          <w:szCs w:val="22"/>
          <w:lang w:eastAsia="zh-CN"/>
        </w:rPr>
        <w:t xml:space="preserve">ecretariat </w:t>
      </w:r>
      <w:r w:rsidR="00720232">
        <w:rPr>
          <w:rFonts w:asciiTheme="minorHAnsi" w:hAnsiTheme="minorHAnsi" w:cstheme="minorHAnsi"/>
          <w:color w:val="000000"/>
          <w:szCs w:val="22"/>
          <w:lang w:eastAsia="zh-CN"/>
        </w:rPr>
        <w:t xml:space="preserve">has appointed </w:t>
      </w:r>
      <w:r w:rsidR="00A7380A">
        <w:rPr>
          <w:rFonts w:asciiTheme="minorHAnsi" w:hAnsiTheme="minorHAnsi" w:cstheme="minorHAnsi"/>
          <w:color w:val="000000"/>
          <w:szCs w:val="22"/>
          <w:lang w:eastAsia="zh-CN"/>
        </w:rPr>
        <w:t>the</w:t>
      </w:r>
      <w:r w:rsidR="00E909C4">
        <w:rPr>
          <w:rFonts w:asciiTheme="minorHAnsi" w:hAnsiTheme="minorHAnsi" w:cstheme="minorHAnsi"/>
          <w:color w:val="000000"/>
          <w:szCs w:val="22"/>
          <w:lang w:eastAsia="zh-CN"/>
        </w:rPr>
        <w:t xml:space="preserve"> </w:t>
      </w:r>
      <w:r w:rsidR="008561B9">
        <w:rPr>
          <w:rFonts w:asciiTheme="minorHAnsi" w:hAnsiTheme="minorHAnsi" w:cstheme="minorHAnsi"/>
          <w:color w:val="000000"/>
          <w:szCs w:val="22"/>
          <w:lang w:eastAsia="zh-CN"/>
        </w:rPr>
        <w:t>N</w:t>
      </w:r>
      <w:r w:rsidR="00F15D30">
        <w:rPr>
          <w:rFonts w:asciiTheme="minorHAnsi" w:hAnsiTheme="minorHAnsi" w:cstheme="minorHAnsi"/>
          <w:color w:val="000000"/>
          <w:szCs w:val="22"/>
          <w:lang w:eastAsia="zh-CN"/>
        </w:rPr>
        <w:t xml:space="preserve">otary </w:t>
      </w:r>
      <w:r w:rsidR="00590651">
        <w:rPr>
          <w:rFonts w:asciiTheme="minorHAnsi" w:hAnsiTheme="minorHAnsi" w:cstheme="minorHAnsi"/>
          <w:color w:val="000000"/>
          <w:szCs w:val="22"/>
          <w:lang w:eastAsia="zh-CN"/>
        </w:rPr>
        <w:t xml:space="preserve">familiar with the </w:t>
      </w:r>
      <w:r w:rsidR="00A7380A">
        <w:rPr>
          <w:rFonts w:asciiTheme="minorHAnsi" w:hAnsiTheme="minorHAnsi" w:cstheme="minorHAnsi"/>
          <w:color w:val="000000"/>
          <w:szCs w:val="22"/>
          <w:lang w:eastAsia="zh-CN"/>
        </w:rPr>
        <w:t>history of the ITU buildings</w:t>
      </w:r>
      <w:r w:rsidR="00116D7A">
        <w:rPr>
          <w:rFonts w:asciiTheme="minorHAnsi" w:hAnsiTheme="minorHAnsi" w:cstheme="minorHAnsi"/>
          <w:color w:val="000000"/>
          <w:szCs w:val="22"/>
          <w:lang w:eastAsia="zh-CN"/>
        </w:rPr>
        <w:t>, as well as with ITU status, privileges</w:t>
      </w:r>
      <w:r w:rsidR="00720232">
        <w:rPr>
          <w:rFonts w:asciiTheme="minorHAnsi" w:hAnsiTheme="minorHAnsi" w:cstheme="minorHAnsi"/>
          <w:color w:val="000000"/>
          <w:szCs w:val="22"/>
          <w:lang w:eastAsia="zh-CN"/>
        </w:rPr>
        <w:t>,</w:t>
      </w:r>
      <w:r w:rsidR="00116D7A">
        <w:rPr>
          <w:rFonts w:asciiTheme="minorHAnsi" w:hAnsiTheme="minorHAnsi" w:cstheme="minorHAnsi"/>
          <w:color w:val="000000"/>
          <w:szCs w:val="22"/>
          <w:lang w:eastAsia="zh-CN"/>
        </w:rPr>
        <w:t xml:space="preserve"> and immunities</w:t>
      </w:r>
      <w:r w:rsidR="00A7380A">
        <w:rPr>
          <w:rFonts w:asciiTheme="minorHAnsi" w:hAnsiTheme="minorHAnsi" w:cstheme="minorHAnsi"/>
          <w:color w:val="000000"/>
          <w:szCs w:val="22"/>
          <w:lang w:eastAsia="zh-CN"/>
        </w:rPr>
        <w:t xml:space="preserve">. </w:t>
      </w:r>
      <w:r w:rsidR="00720232">
        <w:rPr>
          <w:rFonts w:asciiTheme="minorHAnsi" w:hAnsiTheme="minorHAnsi" w:cstheme="minorHAnsi"/>
          <w:color w:val="000000"/>
          <w:szCs w:val="22"/>
          <w:lang w:eastAsia="zh-CN"/>
        </w:rPr>
        <w:t>Consultations</w:t>
      </w:r>
      <w:r w:rsidR="005A683B">
        <w:rPr>
          <w:rFonts w:asciiTheme="minorHAnsi" w:hAnsiTheme="minorHAnsi" w:cstheme="minorHAnsi"/>
          <w:color w:val="000000"/>
          <w:szCs w:val="22"/>
          <w:lang w:eastAsia="zh-CN"/>
        </w:rPr>
        <w:t xml:space="preserve"> with </w:t>
      </w:r>
      <w:r w:rsidR="008D4CE9">
        <w:rPr>
          <w:rFonts w:asciiTheme="minorHAnsi" w:hAnsiTheme="minorHAnsi" w:cstheme="minorHAnsi"/>
          <w:color w:val="000000"/>
          <w:szCs w:val="22"/>
          <w:lang w:eastAsia="zh-CN"/>
        </w:rPr>
        <w:t xml:space="preserve">different </w:t>
      </w:r>
      <w:r w:rsidR="005C68B7">
        <w:rPr>
          <w:rFonts w:asciiTheme="minorHAnsi" w:hAnsiTheme="minorHAnsi" w:cstheme="minorHAnsi"/>
          <w:color w:val="000000"/>
          <w:szCs w:val="22"/>
          <w:lang w:eastAsia="zh-CN"/>
        </w:rPr>
        <w:t>landowners</w:t>
      </w:r>
      <w:r w:rsidR="00A179D5">
        <w:rPr>
          <w:rFonts w:asciiTheme="minorHAnsi" w:hAnsiTheme="minorHAnsi" w:cstheme="minorHAnsi"/>
          <w:color w:val="000000"/>
          <w:szCs w:val="22"/>
          <w:lang w:eastAsia="zh-CN"/>
        </w:rPr>
        <w:t xml:space="preserve"> and</w:t>
      </w:r>
      <w:r w:rsidR="009F0862">
        <w:rPr>
          <w:rFonts w:asciiTheme="minorHAnsi" w:hAnsiTheme="minorHAnsi" w:cstheme="minorHAnsi"/>
          <w:color w:val="000000"/>
          <w:szCs w:val="22"/>
          <w:lang w:eastAsia="zh-CN"/>
        </w:rPr>
        <w:t>/or</w:t>
      </w:r>
      <w:r w:rsidR="00A179D5">
        <w:rPr>
          <w:rFonts w:asciiTheme="minorHAnsi" w:hAnsiTheme="minorHAnsi" w:cstheme="minorHAnsi"/>
          <w:color w:val="000000"/>
          <w:szCs w:val="22"/>
          <w:lang w:eastAsia="zh-CN"/>
        </w:rPr>
        <w:t xml:space="preserve"> beneficiaries </w:t>
      </w:r>
      <w:r w:rsidR="00720232">
        <w:rPr>
          <w:rFonts w:asciiTheme="minorHAnsi" w:hAnsiTheme="minorHAnsi" w:cstheme="minorHAnsi"/>
          <w:color w:val="000000"/>
          <w:szCs w:val="22"/>
          <w:lang w:eastAsia="zh-CN"/>
        </w:rPr>
        <w:t xml:space="preserve">are taking </w:t>
      </w:r>
      <w:r w:rsidR="00A179D5">
        <w:rPr>
          <w:rFonts w:asciiTheme="minorHAnsi" w:hAnsiTheme="minorHAnsi" w:cstheme="minorHAnsi"/>
          <w:color w:val="000000"/>
          <w:szCs w:val="22"/>
          <w:lang w:eastAsia="zh-CN"/>
        </w:rPr>
        <w:t xml:space="preserve">place to agree on the </w:t>
      </w:r>
      <w:r w:rsidR="008D4CE9">
        <w:rPr>
          <w:rFonts w:asciiTheme="minorHAnsi" w:hAnsiTheme="minorHAnsi" w:cstheme="minorHAnsi"/>
          <w:color w:val="000000"/>
          <w:szCs w:val="22"/>
          <w:lang w:eastAsia="zh-CN"/>
        </w:rPr>
        <w:t>modalities</w:t>
      </w:r>
      <w:r w:rsidR="007F3583">
        <w:rPr>
          <w:rFonts w:asciiTheme="minorHAnsi" w:hAnsiTheme="minorHAnsi" w:cstheme="minorHAnsi"/>
          <w:color w:val="000000"/>
          <w:szCs w:val="22"/>
          <w:lang w:eastAsia="zh-CN"/>
        </w:rPr>
        <w:t xml:space="preserve"> </w:t>
      </w:r>
      <w:r w:rsidR="00720232">
        <w:rPr>
          <w:rFonts w:asciiTheme="minorHAnsi" w:hAnsiTheme="minorHAnsi" w:cstheme="minorHAnsi"/>
          <w:color w:val="000000"/>
          <w:szCs w:val="22"/>
          <w:lang w:eastAsia="zh-CN"/>
        </w:rPr>
        <w:t xml:space="preserve">prior to the establishment of the notarial acts. In the context </w:t>
      </w:r>
      <w:r w:rsidR="00A30FC3">
        <w:rPr>
          <w:rFonts w:asciiTheme="minorHAnsi" w:hAnsiTheme="minorHAnsi" w:cstheme="minorHAnsi"/>
          <w:color w:val="000000"/>
          <w:szCs w:val="22"/>
          <w:lang w:eastAsia="zh-CN"/>
        </w:rPr>
        <w:t>of the permitting request</w:t>
      </w:r>
      <w:r w:rsidR="00720232">
        <w:rPr>
          <w:rFonts w:asciiTheme="minorHAnsi" w:hAnsiTheme="minorHAnsi" w:cstheme="minorHAnsi"/>
          <w:color w:val="000000"/>
          <w:szCs w:val="22"/>
          <w:lang w:eastAsia="zh-CN"/>
        </w:rPr>
        <w:t xml:space="preserve"> the</w:t>
      </w:r>
      <w:r w:rsidR="00893979">
        <w:rPr>
          <w:rFonts w:asciiTheme="minorHAnsi" w:hAnsiTheme="minorHAnsi" w:cstheme="minorHAnsi"/>
          <w:color w:val="000000"/>
          <w:szCs w:val="22"/>
          <w:lang w:eastAsia="zh-CN"/>
        </w:rPr>
        <w:t xml:space="preserve"> notary will </w:t>
      </w:r>
      <w:r w:rsidR="002F49A0">
        <w:rPr>
          <w:rFonts w:asciiTheme="minorHAnsi" w:hAnsiTheme="minorHAnsi" w:cstheme="minorHAnsi"/>
          <w:color w:val="000000"/>
          <w:szCs w:val="22"/>
          <w:lang w:eastAsia="zh-CN"/>
        </w:rPr>
        <w:t xml:space="preserve">certify the agreement and </w:t>
      </w:r>
      <w:r w:rsidR="00A947F6">
        <w:rPr>
          <w:rFonts w:asciiTheme="minorHAnsi" w:hAnsiTheme="minorHAnsi" w:cstheme="minorHAnsi"/>
          <w:color w:val="000000"/>
          <w:szCs w:val="22"/>
          <w:lang w:eastAsia="zh-CN"/>
        </w:rPr>
        <w:t xml:space="preserve">then </w:t>
      </w:r>
      <w:r w:rsidR="00893979">
        <w:rPr>
          <w:rFonts w:asciiTheme="minorHAnsi" w:hAnsiTheme="minorHAnsi" w:cstheme="minorHAnsi"/>
          <w:color w:val="000000"/>
          <w:szCs w:val="22"/>
          <w:lang w:eastAsia="zh-CN"/>
        </w:rPr>
        <w:t xml:space="preserve">proceed with the establishment of </w:t>
      </w:r>
      <w:r w:rsidR="00F4214A">
        <w:rPr>
          <w:rFonts w:asciiTheme="minorHAnsi" w:hAnsiTheme="minorHAnsi" w:cstheme="minorHAnsi"/>
          <w:color w:val="000000"/>
          <w:szCs w:val="22"/>
          <w:lang w:eastAsia="zh-CN"/>
        </w:rPr>
        <w:t>every</w:t>
      </w:r>
      <w:r w:rsidR="00893979">
        <w:rPr>
          <w:rFonts w:asciiTheme="minorHAnsi" w:hAnsiTheme="minorHAnsi" w:cstheme="minorHAnsi"/>
          <w:color w:val="000000"/>
          <w:szCs w:val="22"/>
          <w:lang w:eastAsia="zh-CN"/>
        </w:rPr>
        <w:t xml:space="preserve"> single easement instalment</w:t>
      </w:r>
      <w:r w:rsidR="00720232">
        <w:rPr>
          <w:rFonts w:asciiTheme="minorHAnsi" w:hAnsiTheme="minorHAnsi" w:cstheme="minorHAnsi"/>
          <w:color w:val="000000"/>
          <w:szCs w:val="22"/>
          <w:lang w:eastAsia="zh-CN"/>
        </w:rPr>
        <w:t xml:space="preserve"> at building completion</w:t>
      </w:r>
      <w:r w:rsidR="00542C7E">
        <w:rPr>
          <w:rFonts w:asciiTheme="minorHAnsi" w:hAnsiTheme="minorHAnsi" w:cstheme="minorHAnsi"/>
          <w:color w:val="000000"/>
          <w:szCs w:val="22"/>
          <w:lang w:eastAsia="zh-CN"/>
        </w:rPr>
        <w:t>.</w:t>
      </w:r>
    </w:p>
    <w:p w14:paraId="431BBC56" w14:textId="6ED574D3" w:rsidR="00DA02C8" w:rsidRPr="00D27794" w:rsidRDefault="005D388C" w:rsidP="006C6A82">
      <w:pPr>
        <w:pStyle w:val="ListParagraph"/>
        <w:numPr>
          <w:ilvl w:val="0"/>
          <w:numId w:val="37"/>
        </w:numPr>
        <w:tabs>
          <w:tab w:val="left" w:pos="720"/>
        </w:tabs>
        <w:spacing w:before="360" w:after="120"/>
        <w:ind w:left="0" w:firstLine="0"/>
        <w:rPr>
          <w:rFonts w:asciiTheme="minorHAnsi" w:hAnsiTheme="minorHAnsi" w:cstheme="minorHAnsi"/>
          <w:b/>
          <w:bCs/>
          <w:color w:val="000000" w:themeColor="text1"/>
          <w:sz w:val="28"/>
          <w:szCs w:val="28"/>
          <w:lang w:val="en-GB" w:eastAsia="ja-JP"/>
        </w:rPr>
      </w:pPr>
      <w:r w:rsidRPr="00355EFF">
        <w:rPr>
          <w:rFonts w:asciiTheme="minorHAnsi" w:hAnsiTheme="minorHAnsi" w:cstheme="minorHAnsi"/>
          <w:b/>
          <w:bCs/>
          <w:color w:val="000000" w:themeColor="text1"/>
          <w:sz w:val="28"/>
          <w:szCs w:val="28"/>
          <w:lang w:eastAsia="ja-JP"/>
        </w:rPr>
        <w:t>Development of file classification to move towards a paperless environment</w:t>
      </w:r>
    </w:p>
    <w:p w14:paraId="791B0FB8" w14:textId="54E2FB20" w:rsidR="00D27794" w:rsidRDefault="00D27794" w:rsidP="00CB733B">
      <w:pPr>
        <w:spacing w:after="120"/>
        <w:jc w:val="both"/>
      </w:pPr>
      <w:r>
        <w:t xml:space="preserve">As ITU transitions to its new building, the need for flexible working and paperless procedures becomes urgent, and although ITU has been adopting electronic working methods for many years, many processes are not fully digital as has been highlighted in the current crisis. ITU staff, members, and other stakeholders need to be able to access and use information online from multiple sources, in real-time and anytime (24/7), and there is a growing demand for more collaborative tools. </w:t>
      </w:r>
      <w:hyperlink r:id="rId28" w:history="1">
        <w:r w:rsidRPr="006C6A82">
          <w:rPr>
            <w:rStyle w:val="Hyperlink"/>
          </w:rPr>
          <w:t>Document C20/53</w:t>
        </w:r>
      </w:hyperlink>
      <w:r>
        <w:rPr>
          <w:b/>
          <w:bCs/>
        </w:rPr>
        <w:t xml:space="preserve"> </w:t>
      </w:r>
      <w:r>
        <w:t xml:space="preserve">Business Continuity - Information management and </w:t>
      </w:r>
      <w:hyperlink r:id="rId29" w:history="1">
        <w:r w:rsidRPr="00742C7A">
          <w:rPr>
            <w:rStyle w:val="Hyperlink"/>
          </w:rPr>
          <w:t>Document C20/15</w:t>
        </w:r>
      </w:hyperlink>
      <w:r>
        <w:t xml:space="preserve"> ORMS Status report provide further details. </w:t>
      </w:r>
    </w:p>
    <w:p w14:paraId="1ECAFD76" w14:textId="6C6A5BFA" w:rsidR="00135B9D" w:rsidRPr="00355EFF" w:rsidRDefault="00135B9D" w:rsidP="00CB733B">
      <w:pPr>
        <w:spacing w:after="120"/>
        <w:jc w:val="both"/>
        <w:rPr>
          <w:lang w:eastAsia="ja-JP"/>
        </w:rPr>
      </w:pPr>
      <w:r>
        <w:t>Progress on the BR archiving project has been delayed by the lockdown (16 March – 30 June 2020) and continuing COVID-19 mitigation measures. The collections of files have been prioritized and work has started on the physical transfer of the satellite files to the Archives repository. A dedicated project team will start the indexing in October 2020. Work will continue through 2021.</w:t>
      </w:r>
    </w:p>
    <w:p w14:paraId="28132E9B" w14:textId="6516B9EB" w:rsidR="00A25547" w:rsidRDefault="0086489C" w:rsidP="006C6A82">
      <w:pPr>
        <w:pStyle w:val="ListParagraph"/>
        <w:numPr>
          <w:ilvl w:val="0"/>
          <w:numId w:val="37"/>
        </w:numPr>
        <w:spacing w:before="360" w:after="120"/>
        <w:ind w:hanging="720"/>
        <w:jc w:val="both"/>
        <w:rPr>
          <w:rFonts w:asciiTheme="minorHAnsi" w:hAnsiTheme="minorHAnsi" w:cstheme="minorHAnsi"/>
          <w:b/>
          <w:bCs/>
          <w:color w:val="000000" w:themeColor="text1"/>
          <w:sz w:val="28"/>
          <w:szCs w:val="28"/>
          <w:lang w:eastAsia="ja-JP"/>
        </w:rPr>
      </w:pPr>
      <w:r w:rsidRPr="00355EFF">
        <w:rPr>
          <w:rFonts w:asciiTheme="minorHAnsi" w:hAnsiTheme="minorHAnsi" w:cstheme="minorHAnsi"/>
          <w:b/>
          <w:bCs/>
          <w:color w:val="000000" w:themeColor="text1"/>
          <w:sz w:val="28"/>
          <w:szCs w:val="28"/>
          <w:lang w:eastAsia="ja-JP"/>
        </w:rPr>
        <w:t xml:space="preserve">Business Continuity – Conferences during </w:t>
      </w:r>
      <w:proofErr w:type="spellStart"/>
      <w:r w:rsidRPr="00355EFF">
        <w:rPr>
          <w:rFonts w:asciiTheme="minorHAnsi" w:hAnsiTheme="minorHAnsi" w:cstheme="minorHAnsi"/>
          <w:b/>
          <w:bCs/>
          <w:color w:val="000000" w:themeColor="text1"/>
          <w:sz w:val="28"/>
          <w:szCs w:val="28"/>
          <w:lang w:eastAsia="ja-JP"/>
        </w:rPr>
        <w:t>Varembé</w:t>
      </w:r>
      <w:proofErr w:type="spellEnd"/>
      <w:r w:rsidRPr="00355EFF">
        <w:rPr>
          <w:rFonts w:asciiTheme="minorHAnsi" w:hAnsiTheme="minorHAnsi" w:cstheme="minorHAnsi"/>
          <w:b/>
          <w:bCs/>
          <w:color w:val="000000" w:themeColor="text1"/>
          <w:sz w:val="28"/>
          <w:szCs w:val="28"/>
          <w:lang w:eastAsia="ja-JP"/>
        </w:rPr>
        <w:t xml:space="preserve"> demolition and new building construction</w:t>
      </w:r>
    </w:p>
    <w:p w14:paraId="79DF186D" w14:textId="77777777" w:rsidR="00135B9D" w:rsidRPr="00135B9D" w:rsidRDefault="00135B9D" w:rsidP="00CB733B">
      <w:pPr>
        <w:spacing w:after="120"/>
        <w:jc w:val="both"/>
        <w:rPr>
          <w:rFonts w:asciiTheme="minorHAnsi" w:hAnsiTheme="minorHAnsi" w:cstheme="minorHAnsi"/>
          <w:color w:val="000000"/>
          <w:szCs w:val="22"/>
          <w:lang w:eastAsia="zh-CN"/>
        </w:rPr>
      </w:pPr>
      <w:r w:rsidRPr="00135B9D">
        <w:rPr>
          <w:rFonts w:asciiTheme="minorHAnsi" w:hAnsiTheme="minorHAnsi" w:cstheme="minorHAnsi"/>
          <w:color w:val="000000"/>
          <w:szCs w:val="22"/>
          <w:lang w:eastAsia="zh-CN"/>
        </w:rPr>
        <w:t>Since the dates of the next Council Sessions have been approved by the Member States at the Virtual Consultation session held in June 2020, C&amp;P is now in a position to provide Sectors with proposals for rooms and dates at CICG during the work period from 2022 to 2026. Unfortunately, CICG is not able to respond to all our requests for dates but we are continuing our consultation work with them to find alternatives knowing that with regard to the CWGs, the dates cannot be confirmed after 2021, which implies that changes of dates will certainly be expected and which will have implications for the planning of meetings of the Sectors.</w:t>
      </w:r>
    </w:p>
    <w:p w14:paraId="7EB8F5F9" w14:textId="77777777" w:rsidR="00135B9D" w:rsidRPr="00135B9D" w:rsidRDefault="00135B9D" w:rsidP="00CB733B">
      <w:pPr>
        <w:spacing w:after="120"/>
        <w:jc w:val="both"/>
        <w:rPr>
          <w:rFonts w:asciiTheme="minorHAnsi" w:hAnsiTheme="minorHAnsi" w:cstheme="minorHAnsi"/>
          <w:color w:val="000000"/>
          <w:szCs w:val="22"/>
          <w:lang w:eastAsia="zh-CN"/>
        </w:rPr>
      </w:pPr>
      <w:r w:rsidRPr="00135B9D">
        <w:rPr>
          <w:rFonts w:asciiTheme="minorHAnsi" w:hAnsiTheme="minorHAnsi" w:cstheme="minorHAnsi"/>
          <w:color w:val="000000"/>
          <w:szCs w:val="22"/>
          <w:lang w:eastAsia="zh-CN"/>
        </w:rPr>
        <w:lastRenderedPageBreak/>
        <w:t>As a result of the limited possibility to travel because of Covid-19, virtual meetings and events were held from April to September 2020. The pandemic clearly highlighted the importance of remote participation possibilities and showed that virtual meetings are a feasible alternative to physical attendance for most ITU meetings. Examples of successfully conducted meetings are the Virtual Consultation of Councillors 2020, the RAG, the TDAG, the TSAG, Study Groups meetings, etc. all of which were held remotely due to Covid-19. This current situation is an opportunity for ITU to further build on its role as a front runner in remote participation technologies by supporting ITU Membership as well as other UN organizations to scale up their infrastructure and skills needed for remote participation. This would allow a homogenous meeting infrastructure across ITU’s network, strengthening the effectiveness of virtual meetings and ultimately minimizing the need for physical meetings.</w:t>
      </w:r>
    </w:p>
    <w:p w14:paraId="33E75160" w14:textId="0CBBB9E0" w:rsidR="00F31F7E" w:rsidRPr="006009B5" w:rsidRDefault="00135B9D" w:rsidP="00CB733B">
      <w:pPr>
        <w:spacing w:after="120"/>
        <w:jc w:val="both"/>
        <w:rPr>
          <w:rFonts w:asciiTheme="minorHAnsi" w:hAnsiTheme="minorHAnsi" w:cstheme="minorHAnsi"/>
          <w:color w:val="000000"/>
          <w:lang w:eastAsia="en-GB"/>
        </w:rPr>
      </w:pPr>
      <w:r w:rsidRPr="00135B9D">
        <w:rPr>
          <w:rFonts w:asciiTheme="minorHAnsi" w:hAnsiTheme="minorHAnsi" w:cstheme="minorHAnsi"/>
          <w:color w:val="000000"/>
          <w:szCs w:val="22"/>
          <w:lang w:eastAsia="zh-CN"/>
        </w:rPr>
        <w:t>Scaling up virtual meetings and remote participation at ITU’s conferences, assemblies and meetings also in post-</w:t>
      </w:r>
      <w:proofErr w:type="spellStart"/>
      <w:r w:rsidRPr="00135B9D">
        <w:rPr>
          <w:rFonts w:asciiTheme="minorHAnsi" w:hAnsiTheme="minorHAnsi" w:cstheme="minorHAnsi"/>
          <w:color w:val="000000"/>
          <w:szCs w:val="22"/>
          <w:lang w:eastAsia="zh-CN"/>
        </w:rPr>
        <w:t>Covid</w:t>
      </w:r>
      <w:proofErr w:type="spellEnd"/>
      <w:r w:rsidRPr="00135B9D">
        <w:rPr>
          <w:rFonts w:asciiTheme="minorHAnsi" w:hAnsiTheme="minorHAnsi" w:cstheme="minorHAnsi"/>
          <w:color w:val="000000"/>
          <w:szCs w:val="22"/>
          <w:lang w:eastAsia="zh-CN"/>
        </w:rPr>
        <w:t xml:space="preserve"> times would not only significantly reduce emissions from air travel and shipping of goods, but also reduce the need of conference and meeting facilities during the </w:t>
      </w:r>
      <w:proofErr w:type="spellStart"/>
      <w:r w:rsidRPr="00135B9D">
        <w:rPr>
          <w:rFonts w:asciiTheme="minorHAnsi" w:hAnsiTheme="minorHAnsi" w:cstheme="minorHAnsi"/>
          <w:color w:val="000000"/>
          <w:szCs w:val="22"/>
          <w:lang w:eastAsia="zh-CN"/>
        </w:rPr>
        <w:t>Varembé</w:t>
      </w:r>
      <w:proofErr w:type="spellEnd"/>
      <w:r w:rsidRPr="00135B9D">
        <w:rPr>
          <w:rFonts w:asciiTheme="minorHAnsi" w:hAnsiTheme="minorHAnsi" w:cstheme="minorHAnsi"/>
          <w:color w:val="000000"/>
          <w:szCs w:val="22"/>
          <w:lang w:eastAsia="zh-CN"/>
        </w:rPr>
        <w:t xml:space="preserve"> demolition and new building construction.</w:t>
      </w:r>
    </w:p>
    <w:p w14:paraId="48B4C3C8" w14:textId="6AF0B4B8" w:rsidR="00D338E0" w:rsidRDefault="00ED2364" w:rsidP="006C6A82">
      <w:pPr>
        <w:pStyle w:val="ListParagraph"/>
        <w:numPr>
          <w:ilvl w:val="0"/>
          <w:numId w:val="37"/>
        </w:numPr>
        <w:spacing w:before="360" w:after="120"/>
        <w:ind w:hanging="720"/>
        <w:jc w:val="both"/>
        <w:rPr>
          <w:rFonts w:asciiTheme="minorHAnsi" w:hAnsiTheme="minorHAnsi" w:cstheme="minorHAnsi"/>
          <w:b/>
          <w:bCs/>
          <w:color w:val="000000" w:themeColor="text1"/>
          <w:sz w:val="28"/>
          <w:szCs w:val="28"/>
          <w:lang w:eastAsia="ja-JP"/>
        </w:rPr>
      </w:pPr>
      <w:r>
        <w:rPr>
          <w:rFonts w:asciiTheme="minorHAnsi" w:hAnsiTheme="minorHAnsi" w:cstheme="minorHAnsi"/>
          <w:b/>
          <w:bCs/>
          <w:color w:val="000000" w:themeColor="text1"/>
          <w:sz w:val="28"/>
          <w:szCs w:val="28"/>
          <w:lang w:eastAsia="ja-JP"/>
        </w:rPr>
        <w:t>Internal and external c</w:t>
      </w:r>
      <w:r w:rsidR="004125E4" w:rsidRPr="00355EFF">
        <w:rPr>
          <w:rFonts w:asciiTheme="minorHAnsi" w:hAnsiTheme="minorHAnsi" w:cstheme="minorHAnsi"/>
          <w:b/>
          <w:bCs/>
          <w:color w:val="000000" w:themeColor="text1"/>
          <w:sz w:val="28"/>
          <w:szCs w:val="28"/>
          <w:lang w:eastAsia="ja-JP"/>
        </w:rPr>
        <w:t xml:space="preserve">ommunication </w:t>
      </w:r>
      <w:r>
        <w:rPr>
          <w:rFonts w:asciiTheme="minorHAnsi" w:hAnsiTheme="minorHAnsi" w:cstheme="minorHAnsi"/>
          <w:b/>
          <w:bCs/>
          <w:color w:val="000000" w:themeColor="text1"/>
          <w:sz w:val="28"/>
          <w:szCs w:val="28"/>
          <w:lang w:eastAsia="ja-JP"/>
        </w:rPr>
        <w:t xml:space="preserve">in the context of the new building construction </w:t>
      </w:r>
    </w:p>
    <w:p w14:paraId="5F117515" w14:textId="18D6811F" w:rsidR="002803AF" w:rsidRDefault="0059123D" w:rsidP="00CB733B">
      <w:pPr>
        <w:spacing w:after="120"/>
        <w:jc w:val="both"/>
        <w:rPr>
          <w:rFonts w:asciiTheme="minorHAnsi" w:hAnsiTheme="minorHAnsi" w:cstheme="minorHAnsi"/>
          <w:color w:val="000000"/>
          <w:szCs w:val="22"/>
          <w:lang w:eastAsia="zh-CN"/>
        </w:rPr>
      </w:pPr>
      <w:r w:rsidRPr="0059123D">
        <w:rPr>
          <w:rFonts w:asciiTheme="minorHAnsi" w:hAnsiTheme="minorHAnsi" w:cstheme="minorHAnsi"/>
          <w:color w:val="000000"/>
          <w:szCs w:val="22"/>
          <w:lang w:eastAsia="zh-CN"/>
        </w:rPr>
        <w:t xml:space="preserve">ITU has </w:t>
      </w:r>
      <w:r w:rsidR="000D6024">
        <w:rPr>
          <w:rFonts w:asciiTheme="minorHAnsi" w:hAnsiTheme="minorHAnsi" w:cstheme="minorHAnsi"/>
          <w:color w:val="000000"/>
          <w:szCs w:val="22"/>
          <w:lang w:eastAsia="zh-CN"/>
        </w:rPr>
        <w:t xml:space="preserve">developed </w:t>
      </w:r>
      <w:r w:rsidRPr="0059123D">
        <w:rPr>
          <w:rFonts w:asciiTheme="minorHAnsi" w:hAnsiTheme="minorHAnsi" w:cstheme="minorHAnsi"/>
          <w:color w:val="000000"/>
          <w:szCs w:val="22"/>
          <w:lang w:eastAsia="zh-CN"/>
        </w:rPr>
        <w:t xml:space="preserve">a communication strategy with regard to internal and external communications about the future ITU Headquarters and related change management issues in the context of the Staff Working Conditions Strategy and Implementation Plan. The recruitment of a temporary P3 Officer for internal and external communications </w:t>
      </w:r>
      <w:r w:rsidR="00135B9D" w:rsidRPr="00135B9D">
        <w:rPr>
          <w:rFonts w:asciiTheme="minorHAnsi" w:hAnsiTheme="minorHAnsi" w:cstheme="minorHAnsi"/>
          <w:color w:val="000000"/>
          <w:szCs w:val="22"/>
          <w:lang w:eastAsia="zh-CN"/>
        </w:rPr>
        <w:t>is imminent, the candidate has been selected and signed off by the Secretary-General. Meanwhile, internal communications have been strengthened through the set-up of an Internal Communications Working Group which has been meeting weekly since 20 May 2020 and which reports to the Operational Response Team (ORT). A digital newsletter for staff by staff, ITU Connections, has been launched in mid-August 2020 to promote more communications and prepare the ground for a decentralized social collaboration tool that should enhance listening to staff concerns, build trust and a culture of engagement.</w:t>
      </w:r>
    </w:p>
    <w:p w14:paraId="406D0A2F" w14:textId="78244552" w:rsidR="00A947F6" w:rsidRDefault="002803AF" w:rsidP="006C6A82">
      <w:pPr>
        <w:pStyle w:val="ListParagraph"/>
        <w:spacing w:before="360" w:after="120"/>
        <w:ind w:left="0"/>
        <w:jc w:val="both"/>
        <w:rPr>
          <w:rFonts w:asciiTheme="minorHAnsi" w:hAnsiTheme="minorHAnsi" w:cstheme="minorHAnsi"/>
          <w:b/>
          <w:bCs/>
          <w:color w:val="000000" w:themeColor="text1"/>
          <w:sz w:val="28"/>
          <w:szCs w:val="28"/>
          <w:lang w:eastAsia="ja-JP"/>
        </w:rPr>
      </w:pPr>
      <w:r>
        <w:rPr>
          <w:rFonts w:asciiTheme="minorHAnsi" w:hAnsiTheme="minorHAnsi" w:cstheme="minorHAnsi"/>
          <w:b/>
          <w:bCs/>
          <w:color w:val="000000" w:themeColor="text1"/>
          <w:sz w:val="28"/>
          <w:szCs w:val="28"/>
          <w:lang w:eastAsia="ja-JP"/>
        </w:rPr>
        <w:t>9</w:t>
      </w:r>
      <w:r>
        <w:rPr>
          <w:rFonts w:asciiTheme="minorHAnsi" w:hAnsiTheme="minorHAnsi" w:cstheme="minorHAnsi"/>
          <w:b/>
          <w:bCs/>
          <w:color w:val="000000" w:themeColor="text1"/>
          <w:sz w:val="28"/>
          <w:szCs w:val="28"/>
          <w:lang w:eastAsia="ja-JP"/>
        </w:rPr>
        <w:tab/>
      </w:r>
      <w:r w:rsidR="00A947F6">
        <w:rPr>
          <w:rFonts w:asciiTheme="minorHAnsi" w:hAnsiTheme="minorHAnsi" w:cstheme="minorHAnsi"/>
          <w:b/>
          <w:bCs/>
          <w:color w:val="000000" w:themeColor="text1"/>
          <w:sz w:val="28"/>
          <w:szCs w:val="28"/>
          <w:lang w:eastAsia="ja-JP"/>
        </w:rPr>
        <w:t>Impact o</w:t>
      </w:r>
      <w:r w:rsidR="00780AE9">
        <w:rPr>
          <w:rFonts w:asciiTheme="minorHAnsi" w:hAnsiTheme="minorHAnsi" w:cstheme="minorHAnsi"/>
          <w:b/>
          <w:bCs/>
          <w:color w:val="000000" w:themeColor="text1"/>
          <w:sz w:val="28"/>
          <w:szCs w:val="28"/>
          <w:lang w:eastAsia="ja-JP"/>
        </w:rPr>
        <w:t>f</w:t>
      </w:r>
      <w:r w:rsidR="00A947F6">
        <w:rPr>
          <w:rFonts w:asciiTheme="minorHAnsi" w:hAnsiTheme="minorHAnsi" w:cstheme="minorHAnsi"/>
          <w:b/>
          <w:bCs/>
          <w:color w:val="000000" w:themeColor="text1"/>
          <w:sz w:val="28"/>
          <w:szCs w:val="28"/>
          <w:lang w:eastAsia="ja-JP"/>
        </w:rPr>
        <w:t xml:space="preserve"> Covid-19</w:t>
      </w:r>
    </w:p>
    <w:p w14:paraId="044BD51E" w14:textId="5D813E8B" w:rsidR="000E438A" w:rsidRPr="00845A83" w:rsidRDefault="000E438A" w:rsidP="00CB733B">
      <w:pPr>
        <w:jc w:val="both"/>
        <w:rPr>
          <w:rFonts w:asciiTheme="minorHAnsi" w:hAnsiTheme="minorHAnsi" w:cstheme="minorHAnsi"/>
          <w:color w:val="000000"/>
          <w:szCs w:val="22"/>
          <w:lang w:eastAsia="zh-CN"/>
        </w:rPr>
      </w:pPr>
      <w:r w:rsidRPr="00D639B1">
        <w:rPr>
          <w:rFonts w:asciiTheme="minorHAnsi" w:hAnsiTheme="minorHAnsi" w:cstheme="minorHAnsi"/>
          <w:color w:val="000000"/>
          <w:szCs w:val="22"/>
          <w:lang w:eastAsia="zh-CN"/>
        </w:rPr>
        <w:t>As the entire ITU</w:t>
      </w:r>
      <w:r w:rsidRPr="00916534">
        <w:rPr>
          <w:rFonts w:asciiTheme="minorHAnsi" w:hAnsiTheme="minorHAnsi" w:cstheme="minorHAnsi"/>
          <w:color w:val="000000"/>
          <w:szCs w:val="22"/>
          <w:lang w:eastAsia="zh-CN"/>
        </w:rPr>
        <w:t xml:space="preserve">, the BPD team has </w:t>
      </w:r>
      <w:r w:rsidR="00135B9D">
        <w:rPr>
          <w:rFonts w:asciiTheme="minorHAnsi" w:hAnsiTheme="minorHAnsi" w:cstheme="minorHAnsi"/>
          <w:color w:val="000000"/>
          <w:szCs w:val="22"/>
          <w:lang w:eastAsia="zh-CN"/>
        </w:rPr>
        <w:t>continued</w:t>
      </w:r>
      <w:r w:rsidR="00135B9D" w:rsidRPr="00916534">
        <w:rPr>
          <w:rFonts w:asciiTheme="minorHAnsi" w:hAnsiTheme="minorHAnsi" w:cstheme="minorHAnsi"/>
          <w:color w:val="000000"/>
          <w:szCs w:val="22"/>
          <w:lang w:eastAsia="zh-CN"/>
        </w:rPr>
        <w:t xml:space="preserve"> </w:t>
      </w:r>
      <w:r w:rsidRPr="00916534">
        <w:rPr>
          <w:rFonts w:asciiTheme="minorHAnsi" w:hAnsiTheme="minorHAnsi" w:cstheme="minorHAnsi"/>
          <w:color w:val="000000"/>
          <w:szCs w:val="22"/>
          <w:lang w:eastAsia="zh-CN"/>
        </w:rPr>
        <w:t>teleworking since mid-March. All design activities including thematical workshops, technical coordination meetings with CDTK and their subcontractors, internal stakeholder consultations for the conf</w:t>
      </w:r>
      <w:r w:rsidRPr="004B4C6D">
        <w:rPr>
          <w:rFonts w:asciiTheme="minorHAnsi" w:hAnsiTheme="minorHAnsi" w:cstheme="minorHAnsi"/>
          <w:color w:val="000000"/>
          <w:szCs w:val="22"/>
          <w:lang w:eastAsia="zh-CN"/>
        </w:rPr>
        <w:t xml:space="preserve">irmation of functional, specifically, technical requirements have been pursued and have taken place remotely. </w:t>
      </w:r>
    </w:p>
    <w:p w14:paraId="494BB673" w14:textId="0429EFEB" w:rsidR="009E2931" w:rsidRDefault="000E438A" w:rsidP="00CB733B">
      <w:pPr>
        <w:jc w:val="both"/>
        <w:rPr>
          <w:rFonts w:asciiTheme="minorHAnsi" w:hAnsiTheme="minorHAnsi" w:cstheme="minorHAnsi"/>
          <w:color w:val="000000"/>
          <w:szCs w:val="22"/>
          <w:lang w:eastAsia="zh-CN"/>
        </w:rPr>
      </w:pPr>
      <w:r w:rsidRPr="00845A83">
        <w:rPr>
          <w:rFonts w:asciiTheme="minorHAnsi" w:hAnsiTheme="minorHAnsi" w:cstheme="minorHAnsi"/>
          <w:color w:val="000000"/>
          <w:szCs w:val="22"/>
          <w:lang w:eastAsia="zh-CN"/>
        </w:rPr>
        <w:t xml:space="preserve">The critical milestone this year is the submission of the permitting request at </w:t>
      </w:r>
      <w:r w:rsidR="00135B9D">
        <w:rPr>
          <w:rFonts w:asciiTheme="minorHAnsi" w:hAnsiTheme="minorHAnsi" w:cstheme="minorHAnsi"/>
          <w:color w:val="000000"/>
          <w:szCs w:val="22"/>
          <w:lang w:eastAsia="zh-CN"/>
        </w:rPr>
        <w:t xml:space="preserve">the </w:t>
      </w:r>
      <w:r w:rsidRPr="00845A83">
        <w:rPr>
          <w:rFonts w:asciiTheme="minorHAnsi" w:hAnsiTheme="minorHAnsi" w:cstheme="minorHAnsi"/>
          <w:color w:val="000000"/>
          <w:szCs w:val="22"/>
          <w:lang w:eastAsia="zh-CN"/>
        </w:rPr>
        <w:t xml:space="preserve">end of 2020. In this context, ITU has </w:t>
      </w:r>
      <w:r w:rsidR="00135B9D">
        <w:rPr>
          <w:rFonts w:asciiTheme="minorHAnsi" w:hAnsiTheme="minorHAnsi" w:cstheme="minorHAnsi"/>
          <w:color w:val="000000"/>
          <w:szCs w:val="22"/>
          <w:lang w:eastAsia="zh-CN"/>
        </w:rPr>
        <w:t>successfully consulted</w:t>
      </w:r>
      <w:r w:rsidRPr="00845A83">
        <w:rPr>
          <w:rFonts w:asciiTheme="minorHAnsi" w:hAnsiTheme="minorHAnsi" w:cstheme="minorHAnsi"/>
          <w:color w:val="000000"/>
          <w:szCs w:val="22"/>
          <w:lang w:eastAsia="zh-CN"/>
        </w:rPr>
        <w:t xml:space="preserve"> the local authorities</w:t>
      </w:r>
      <w:r w:rsidRPr="00916534">
        <w:rPr>
          <w:rFonts w:asciiTheme="minorHAnsi" w:hAnsiTheme="minorHAnsi" w:cstheme="minorHAnsi"/>
          <w:color w:val="000000"/>
          <w:szCs w:val="22"/>
          <w:lang w:eastAsia="zh-CN"/>
        </w:rPr>
        <w:t xml:space="preserve"> </w:t>
      </w:r>
      <w:r w:rsidR="00135B9D">
        <w:rPr>
          <w:rFonts w:asciiTheme="minorHAnsi" w:hAnsiTheme="minorHAnsi" w:cstheme="minorHAnsi"/>
          <w:color w:val="000000"/>
          <w:szCs w:val="22"/>
          <w:lang w:eastAsia="zh-CN"/>
        </w:rPr>
        <w:t>remotely.</w:t>
      </w:r>
    </w:p>
    <w:p w14:paraId="004D7B8A" w14:textId="23356511" w:rsidR="009E55E3" w:rsidRDefault="009E55E3" w:rsidP="006C6A82">
      <w:pPr>
        <w:spacing w:after="120"/>
        <w:jc w:val="both"/>
        <w:rPr>
          <w:rFonts w:asciiTheme="minorHAnsi" w:hAnsiTheme="minorHAnsi" w:cstheme="minorHAnsi"/>
          <w:color w:val="000000"/>
          <w:szCs w:val="22"/>
          <w:lang w:eastAsia="zh-CN"/>
        </w:rPr>
      </w:pPr>
      <w:r w:rsidRPr="00845A83">
        <w:rPr>
          <w:rFonts w:asciiTheme="minorHAnsi" w:hAnsiTheme="minorHAnsi" w:cstheme="minorHAnsi"/>
          <w:color w:val="000000"/>
          <w:szCs w:val="22"/>
          <w:lang w:eastAsia="zh-CN"/>
        </w:rPr>
        <w:t xml:space="preserve">The risks have changed, and the </w:t>
      </w:r>
      <w:r>
        <w:rPr>
          <w:rFonts w:asciiTheme="minorHAnsi" w:hAnsiTheme="minorHAnsi" w:cstheme="minorHAnsi"/>
          <w:color w:val="000000"/>
          <w:szCs w:val="22"/>
          <w:lang w:eastAsia="zh-CN"/>
        </w:rPr>
        <w:t>Risk Register</w:t>
      </w:r>
      <w:r w:rsidRPr="00845A83">
        <w:rPr>
          <w:rFonts w:asciiTheme="minorHAnsi" w:hAnsiTheme="minorHAnsi" w:cstheme="minorHAnsi"/>
          <w:color w:val="000000"/>
          <w:szCs w:val="22"/>
          <w:lang w:eastAsia="zh-CN"/>
        </w:rPr>
        <w:t xml:space="preserve"> is being updated considering the actual crisis, re-evaluating the likelihood, </w:t>
      </w:r>
      <w:proofErr w:type="gramStart"/>
      <w:r w:rsidRPr="00845A83">
        <w:rPr>
          <w:rFonts w:asciiTheme="minorHAnsi" w:hAnsiTheme="minorHAnsi" w:cstheme="minorHAnsi"/>
          <w:color w:val="000000"/>
          <w:szCs w:val="22"/>
          <w:lang w:eastAsia="zh-CN"/>
        </w:rPr>
        <w:t>impact</w:t>
      </w:r>
      <w:proofErr w:type="gramEnd"/>
      <w:r w:rsidRPr="00845A83">
        <w:rPr>
          <w:rFonts w:asciiTheme="minorHAnsi" w:hAnsiTheme="minorHAnsi" w:cstheme="minorHAnsi"/>
          <w:color w:val="000000"/>
          <w:szCs w:val="22"/>
          <w:lang w:eastAsia="zh-CN"/>
        </w:rPr>
        <w:t xml:space="preserve"> and mitigation measures.</w:t>
      </w:r>
      <w:r>
        <w:rPr>
          <w:rFonts w:asciiTheme="minorHAnsi" w:hAnsiTheme="minorHAnsi" w:cstheme="minorHAnsi"/>
          <w:color w:val="000000"/>
          <w:szCs w:val="22"/>
          <w:lang w:eastAsia="zh-CN"/>
        </w:rPr>
        <w:t xml:space="preserve"> Items have </w:t>
      </w:r>
      <w:r w:rsidR="00634F40">
        <w:rPr>
          <w:rFonts w:asciiTheme="minorHAnsi" w:hAnsiTheme="minorHAnsi" w:cstheme="minorHAnsi"/>
          <w:color w:val="000000"/>
          <w:szCs w:val="22"/>
          <w:lang w:eastAsia="zh-CN"/>
        </w:rPr>
        <w:t xml:space="preserve">been added to the Risk Register to cover </w:t>
      </w:r>
      <w:r w:rsidR="0099459E">
        <w:rPr>
          <w:rFonts w:asciiTheme="minorHAnsi" w:hAnsiTheme="minorHAnsi" w:cstheme="minorHAnsi"/>
          <w:color w:val="000000"/>
          <w:szCs w:val="22"/>
          <w:lang w:eastAsia="zh-CN"/>
        </w:rPr>
        <w:t xml:space="preserve">and anticipate for </w:t>
      </w:r>
      <w:r w:rsidR="00E53309">
        <w:rPr>
          <w:rFonts w:asciiTheme="minorHAnsi" w:hAnsiTheme="minorHAnsi" w:cstheme="minorHAnsi"/>
          <w:color w:val="000000"/>
          <w:szCs w:val="22"/>
          <w:lang w:eastAsia="zh-CN"/>
        </w:rPr>
        <w:t xml:space="preserve">eventual changes that might occur </w:t>
      </w:r>
      <w:r w:rsidR="009E2931">
        <w:rPr>
          <w:rFonts w:asciiTheme="minorHAnsi" w:hAnsiTheme="minorHAnsi" w:cstheme="minorHAnsi"/>
          <w:color w:val="000000"/>
          <w:szCs w:val="22"/>
          <w:lang w:eastAsia="zh-CN"/>
        </w:rPr>
        <w:t xml:space="preserve">in the design </w:t>
      </w:r>
      <w:r w:rsidR="00E53309">
        <w:rPr>
          <w:rFonts w:asciiTheme="minorHAnsi" w:hAnsiTheme="minorHAnsi" w:cstheme="minorHAnsi"/>
          <w:color w:val="000000"/>
          <w:szCs w:val="22"/>
          <w:lang w:eastAsia="zh-CN"/>
        </w:rPr>
        <w:t xml:space="preserve">from </w:t>
      </w:r>
      <w:r w:rsidR="00634F40">
        <w:rPr>
          <w:rFonts w:asciiTheme="minorHAnsi" w:hAnsiTheme="minorHAnsi" w:cstheme="minorHAnsi"/>
          <w:color w:val="000000"/>
          <w:szCs w:val="22"/>
          <w:lang w:eastAsia="zh-CN"/>
        </w:rPr>
        <w:t>a</w:t>
      </w:r>
      <w:r w:rsidR="00E53309">
        <w:rPr>
          <w:rFonts w:asciiTheme="minorHAnsi" w:hAnsiTheme="minorHAnsi" w:cstheme="minorHAnsi"/>
          <w:color w:val="000000"/>
          <w:szCs w:val="22"/>
          <w:lang w:eastAsia="zh-CN"/>
        </w:rPr>
        <w:t xml:space="preserve"> post Covid</w:t>
      </w:r>
      <w:r w:rsidR="00634F40">
        <w:rPr>
          <w:rFonts w:asciiTheme="minorHAnsi" w:hAnsiTheme="minorHAnsi" w:cstheme="minorHAnsi"/>
          <w:color w:val="000000"/>
          <w:szCs w:val="22"/>
          <w:lang w:eastAsia="zh-CN"/>
        </w:rPr>
        <w:t>19 impact analysis</w:t>
      </w:r>
      <w:r w:rsidR="00656E34">
        <w:rPr>
          <w:rFonts w:asciiTheme="minorHAnsi" w:hAnsiTheme="minorHAnsi" w:cstheme="minorHAnsi"/>
          <w:color w:val="000000"/>
          <w:szCs w:val="22"/>
          <w:lang w:eastAsia="zh-CN"/>
        </w:rPr>
        <w:t xml:space="preserve"> on the new building programme requirements</w:t>
      </w:r>
      <w:r w:rsidR="0099459E">
        <w:rPr>
          <w:rFonts w:asciiTheme="minorHAnsi" w:hAnsiTheme="minorHAnsi" w:cstheme="minorHAnsi"/>
          <w:color w:val="000000"/>
          <w:szCs w:val="22"/>
          <w:lang w:eastAsia="zh-CN"/>
        </w:rPr>
        <w:t>.</w:t>
      </w:r>
      <w:r w:rsidRPr="009E55E3">
        <w:rPr>
          <w:rFonts w:asciiTheme="minorHAnsi" w:hAnsiTheme="minorHAnsi" w:cstheme="minorHAnsi"/>
          <w:color w:val="000000"/>
          <w:szCs w:val="22"/>
          <w:lang w:eastAsia="zh-CN"/>
        </w:rPr>
        <w:t xml:space="preserve"> </w:t>
      </w:r>
      <w:r>
        <w:rPr>
          <w:rFonts w:asciiTheme="minorHAnsi" w:hAnsiTheme="minorHAnsi" w:cstheme="minorHAnsi"/>
          <w:color w:val="000000"/>
          <w:szCs w:val="22"/>
          <w:lang w:eastAsia="zh-CN"/>
        </w:rPr>
        <w:t>Approximative costs have been anticipated but will need to be confirmed once the impact on the office design will be known.</w:t>
      </w:r>
    </w:p>
    <w:p w14:paraId="3788FB41" w14:textId="527307F4" w:rsidR="009E55E3" w:rsidRPr="000D0C75" w:rsidRDefault="009E55E3" w:rsidP="00CB733B">
      <w:pPr>
        <w:spacing w:before="0" w:after="120"/>
        <w:jc w:val="both"/>
        <w:rPr>
          <w:rFonts w:asciiTheme="minorHAnsi" w:hAnsiTheme="minorHAnsi" w:cstheme="minorHAnsi"/>
          <w:color w:val="000000"/>
          <w:szCs w:val="22"/>
          <w:lang w:eastAsia="zh-CN"/>
        </w:rPr>
      </w:pPr>
      <w:r>
        <w:rPr>
          <w:rFonts w:asciiTheme="minorHAnsi" w:hAnsiTheme="minorHAnsi" w:cstheme="minorHAnsi"/>
          <w:color w:val="000000"/>
          <w:szCs w:val="22"/>
          <w:lang w:eastAsia="zh-CN"/>
        </w:rPr>
        <w:t>A document including some research from workplace specialists about a post-</w:t>
      </w:r>
      <w:proofErr w:type="spellStart"/>
      <w:r>
        <w:rPr>
          <w:rFonts w:asciiTheme="minorHAnsi" w:hAnsiTheme="minorHAnsi" w:cstheme="minorHAnsi"/>
          <w:color w:val="000000"/>
          <w:szCs w:val="22"/>
          <w:lang w:eastAsia="zh-CN"/>
        </w:rPr>
        <w:t>Covid</w:t>
      </w:r>
      <w:proofErr w:type="spellEnd"/>
      <w:r>
        <w:rPr>
          <w:rFonts w:asciiTheme="minorHAnsi" w:hAnsiTheme="minorHAnsi" w:cstheme="minorHAnsi"/>
          <w:color w:val="000000"/>
          <w:szCs w:val="22"/>
          <w:lang w:eastAsia="zh-CN"/>
        </w:rPr>
        <w:t xml:space="preserve"> work environment was shared and presented at the MSAG meeting in July. </w:t>
      </w:r>
      <w:r>
        <w:rPr>
          <w:rFonts w:cs="Calibri"/>
          <w:szCs w:val="24"/>
          <w:lang w:eastAsia="zh-CN"/>
        </w:rPr>
        <w:t>To address the latter of aspects that must be treated in this context, the secretariat recommended consultants</w:t>
      </w:r>
      <w:r>
        <w:rPr>
          <w:rFonts w:asciiTheme="minorHAnsi" w:hAnsiTheme="minorHAnsi" w:cstheme="minorHAnsi"/>
          <w:color w:val="000000"/>
          <w:szCs w:val="22"/>
          <w:lang w:eastAsia="zh-CN"/>
        </w:rPr>
        <w:t xml:space="preserve"> </w:t>
      </w:r>
      <w:r>
        <w:rPr>
          <w:rFonts w:cs="Calibri"/>
          <w:szCs w:val="24"/>
          <w:lang w:eastAsia="zh-CN"/>
        </w:rPr>
        <w:t xml:space="preserve">may need </w:t>
      </w:r>
      <w:r>
        <w:rPr>
          <w:rFonts w:cs="Calibri"/>
          <w:szCs w:val="24"/>
          <w:lang w:eastAsia="zh-CN"/>
        </w:rPr>
        <w:lastRenderedPageBreak/>
        <w:t>to be contracted. The provision of those services is covered under the indirect project</w:t>
      </w:r>
      <w:r>
        <w:rPr>
          <w:rFonts w:asciiTheme="minorHAnsi" w:hAnsiTheme="minorHAnsi" w:cstheme="minorHAnsi"/>
          <w:color w:val="000000"/>
          <w:szCs w:val="22"/>
          <w:lang w:eastAsia="zh-CN"/>
        </w:rPr>
        <w:t xml:space="preserve"> </w:t>
      </w:r>
      <w:r>
        <w:rPr>
          <w:rFonts w:cs="Calibri"/>
          <w:szCs w:val="24"/>
          <w:lang w:eastAsia="zh-CN"/>
        </w:rPr>
        <w:t xml:space="preserve">cost budget approved by the </w:t>
      </w:r>
      <w:r w:rsidR="00817CFD">
        <w:rPr>
          <w:rFonts w:cs="Calibri"/>
          <w:szCs w:val="24"/>
          <w:lang w:eastAsia="zh-CN"/>
        </w:rPr>
        <w:t>c</w:t>
      </w:r>
      <w:r>
        <w:rPr>
          <w:rFonts w:cs="Calibri"/>
          <w:szCs w:val="24"/>
          <w:lang w:eastAsia="zh-CN"/>
        </w:rPr>
        <w:t>ouncillors in Decision 619.</w:t>
      </w:r>
    </w:p>
    <w:p w14:paraId="1D1BC735" w14:textId="2205001F" w:rsidR="009E55E3" w:rsidRDefault="009E55E3" w:rsidP="00CB733B">
      <w:pPr>
        <w:tabs>
          <w:tab w:val="clear" w:pos="567"/>
          <w:tab w:val="clear" w:pos="1134"/>
          <w:tab w:val="clear" w:pos="1701"/>
          <w:tab w:val="clear" w:pos="2268"/>
          <w:tab w:val="clear" w:pos="2835"/>
        </w:tabs>
        <w:overflowPunct/>
        <w:spacing w:before="0" w:after="120"/>
        <w:jc w:val="both"/>
        <w:textAlignment w:val="auto"/>
        <w:rPr>
          <w:rFonts w:asciiTheme="minorHAnsi" w:hAnsiTheme="minorHAnsi" w:cstheme="minorHAnsi"/>
          <w:szCs w:val="24"/>
          <w:lang w:eastAsia="zh-CN"/>
        </w:rPr>
      </w:pPr>
      <w:r>
        <w:rPr>
          <w:rFonts w:asciiTheme="minorHAnsi" w:hAnsiTheme="minorHAnsi" w:cstheme="minorHAnsi"/>
          <w:color w:val="000000"/>
          <w:szCs w:val="24"/>
          <w:lang w:eastAsia="zh-CN"/>
        </w:rPr>
        <w:t>Consequently, a</w:t>
      </w:r>
      <w:r w:rsidRPr="0018342F">
        <w:rPr>
          <w:rFonts w:asciiTheme="minorHAnsi" w:hAnsiTheme="minorHAnsi" w:cstheme="minorHAnsi"/>
          <w:color w:val="000000"/>
          <w:szCs w:val="24"/>
          <w:lang w:eastAsia="zh-CN"/>
        </w:rPr>
        <w:t xml:space="preserve"> tender </w:t>
      </w:r>
      <w:r w:rsidRPr="00736E53">
        <w:rPr>
          <w:rFonts w:asciiTheme="minorHAnsi" w:hAnsiTheme="minorHAnsi" w:cstheme="minorHAnsi"/>
          <w:color w:val="000000"/>
          <w:szCs w:val="24"/>
          <w:lang w:eastAsia="zh-CN"/>
        </w:rPr>
        <w:t>was issued beginning of September to appoint a speciali</w:t>
      </w:r>
      <w:r w:rsidR="00780AE9">
        <w:rPr>
          <w:rFonts w:asciiTheme="minorHAnsi" w:hAnsiTheme="minorHAnsi" w:cstheme="minorHAnsi"/>
          <w:color w:val="000000"/>
          <w:szCs w:val="24"/>
          <w:lang w:eastAsia="zh-CN"/>
        </w:rPr>
        <w:t>z</w:t>
      </w:r>
      <w:r w:rsidRPr="00736E53">
        <w:rPr>
          <w:rFonts w:asciiTheme="minorHAnsi" w:hAnsiTheme="minorHAnsi" w:cstheme="minorHAnsi"/>
          <w:color w:val="000000"/>
          <w:szCs w:val="24"/>
          <w:lang w:eastAsia="zh-CN"/>
        </w:rPr>
        <w:t xml:space="preserve">ed firm to develop a Staff </w:t>
      </w:r>
      <w:r>
        <w:rPr>
          <w:rFonts w:asciiTheme="minorHAnsi" w:hAnsiTheme="minorHAnsi" w:cstheme="minorHAnsi"/>
          <w:color w:val="000000"/>
          <w:szCs w:val="24"/>
          <w:lang w:eastAsia="zh-CN"/>
        </w:rPr>
        <w:t>W</w:t>
      </w:r>
      <w:r w:rsidRPr="00736E53">
        <w:rPr>
          <w:rFonts w:asciiTheme="minorHAnsi" w:hAnsiTheme="minorHAnsi" w:cstheme="minorHAnsi"/>
          <w:color w:val="000000"/>
          <w:szCs w:val="24"/>
          <w:lang w:eastAsia="zh-CN"/>
        </w:rPr>
        <w:t xml:space="preserve">orking </w:t>
      </w:r>
      <w:r>
        <w:rPr>
          <w:rFonts w:asciiTheme="minorHAnsi" w:hAnsiTheme="minorHAnsi" w:cstheme="minorHAnsi"/>
          <w:color w:val="000000"/>
          <w:szCs w:val="24"/>
          <w:lang w:eastAsia="zh-CN"/>
        </w:rPr>
        <w:t>C</w:t>
      </w:r>
      <w:r w:rsidRPr="00736E53">
        <w:rPr>
          <w:rFonts w:asciiTheme="minorHAnsi" w:hAnsiTheme="minorHAnsi" w:cstheme="minorHAnsi"/>
          <w:color w:val="000000"/>
          <w:szCs w:val="24"/>
          <w:lang w:eastAsia="zh-CN"/>
        </w:rPr>
        <w:t xml:space="preserve">onditions </w:t>
      </w:r>
      <w:r>
        <w:rPr>
          <w:rFonts w:asciiTheme="minorHAnsi" w:hAnsiTheme="minorHAnsi" w:cstheme="minorHAnsi"/>
          <w:color w:val="000000"/>
          <w:szCs w:val="24"/>
          <w:lang w:eastAsia="zh-CN"/>
        </w:rPr>
        <w:t>I</w:t>
      </w:r>
      <w:r w:rsidRPr="00736E53">
        <w:rPr>
          <w:rFonts w:asciiTheme="minorHAnsi" w:hAnsiTheme="minorHAnsi" w:cstheme="minorHAnsi"/>
          <w:color w:val="000000"/>
          <w:szCs w:val="24"/>
          <w:lang w:eastAsia="zh-CN"/>
        </w:rPr>
        <w:t xml:space="preserve">mplementation </w:t>
      </w:r>
      <w:r>
        <w:rPr>
          <w:rFonts w:asciiTheme="minorHAnsi" w:hAnsiTheme="minorHAnsi" w:cstheme="minorHAnsi"/>
          <w:color w:val="000000"/>
          <w:szCs w:val="24"/>
          <w:lang w:eastAsia="zh-CN"/>
        </w:rPr>
        <w:t>P</w:t>
      </w:r>
      <w:r w:rsidRPr="00736E53">
        <w:rPr>
          <w:rFonts w:asciiTheme="minorHAnsi" w:hAnsiTheme="minorHAnsi" w:cstheme="minorHAnsi"/>
          <w:color w:val="000000"/>
          <w:szCs w:val="24"/>
          <w:lang w:eastAsia="zh-CN"/>
        </w:rPr>
        <w:t>lan</w:t>
      </w:r>
      <w:r>
        <w:rPr>
          <w:rFonts w:asciiTheme="minorHAnsi" w:hAnsiTheme="minorHAnsi" w:cstheme="minorHAnsi"/>
          <w:color w:val="000000"/>
          <w:szCs w:val="24"/>
          <w:lang w:eastAsia="zh-CN"/>
        </w:rPr>
        <w:t xml:space="preserve">. </w:t>
      </w:r>
      <w:r w:rsidRPr="00390B8A">
        <w:rPr>
          <w:rFonts w:asciiTheme="minorHAnsi" w:hAnsiTheme="minorHAnsi" w:cstheme="minorHAnsi"/>
          <w:color w:val="000000"/>
          <w:szCs w:val="24"/>
          <w:lang w:eastAsia="zh-CN"/>
        </w:rPr>
        <w:t>Given the most recent impact of Covid</w:t>
      </w:r>
      <w:r w:rsidR="00780AE9">
        <w:rPr>
          <w:rFonts w:asciiTheme="minorHAnsi" w:hAnsiTheme="minorHAnsi" w:cstheme="minorHAnsi"/>
          <w:color w:val="000000"/>
          <w:szCs w:val="24"/>
          <w:lang w:eastAsia="zh-CN"/>
        </w:rPr>
        <w:t>-</w:t>
      </w:r>
      <w:r w:rsidRPr="00390B8A">
        <w:rPr>
          <w:rFonts w:asciiTheme="minorHAnsi" w:hAnsiTheme="minorHAnsi" w:cstheme="minorHAnsi"/>
          <w:color w:val="000000"/>
          <w:szCs w:val="24"/>
          <w:lang w:eastAsia="zh-CN"/>
        </w:rPr>
        <w:t>19 on work practices among which teleworking, and homeworking became necessary, the first deliverable will include initial outcomes and findings on ITU job profiles, work practices and recommendations to be considered for the implementation into the staff relocation proposal and new building office space allocation and/or design.</w:t>
      </w:r>
      <w:r w:rsidRPr="00BC25E1">
        <w:rPr>
          <w:rFonts w:asciiTheme="minorHAnsi" w:hAnsiTheme="minorHAnsi" w:cstheme="minorHAnsi"/>
          <w:szCs w:val="24"/>
          <w:lang w:eastAsia="zh-CN"/>
        </w:rPr>
        <w:t xml:space="preserve"> </w:t>
      </w:r>
      <w:r>
        <w:rPr>
          <w:rFonts w:cs="Calibri"/>
          <w:szCs w:val="24"/>
          <w:lang w:eastAsia="zh-CN"/>
        </w:rPr>
        <w:t>Although not within the MSAG mandate, some members recommended that the standard applications for teleworking at ITU be considered in concert with those for virtual meetings of the membership.</w:t>
      </w:r>
    </w:p>
    <w:p w14:paraId="4DB5EEE8" w14:textId="77777777" w:rsidR="009E55E3" w:rsidRPr="00390B8A" w:rsidRDefault="009E55E3" w:rsidP="00CB733B">
      <w:pPr>
        <w:tabs>
          <w:tab w:val="clear" w:pos="567"/>
          <w:tab w:val="clear" w:pos="1134"/>
          <w:tab w:val="clear" w:pos="1701"/>
          <w:tab w:val="clear" w:pos="2268"/>
          <w:tab w:val="clear" w:pos="2835"/>
        </w:tabs>
        <w:overflowPunct/>
        <w:spacing w:before="0" w:after="120"/>
        <w:jc w:val="both"/>
        <w:textAlignment w:val="auto"/>
        <w:rPr>
          <w:rFonts w:asciiTheme="minorHAnsi" w:hAnsiTheme="minorHAnsi" w:cstheme="minorHAnsi"/>
          <w:color w:val="000000"/>
          <w:szCs w:val="24"/>
          <w:lang w:eastAsia="zh-CN"/>
        </w:rPr>
      </w:pPr>
      <w:r w:rsidRPr="0018342F">
        <w:rPr>
          <w:rFonts w:asciiTheme="minorHAnsi" w:hAnsiTheme="minorHAnsi" w:cstheme="minorHAnsi"/>
          <w:szCs w:val="24"/>
          <w:lang w:eastAsia="zh-CN"/>
        </w:rPr>
        <w:t>The goal of th</w:t>
      </w:r>
      <w:r>
        <w:rPr>
          <w:rFonts w:asciiTheme="minorHAnsi" w:hAnsiTheme="minorHAnsi" w:cstheme="minorHAnsi"/>
          <w:szCs w:val="24"/>
          <w:lang w:eastAsia="zh-CN"/>
        </w:rPr>
        <w:t xml:space="preserve">e </w:t>
      </w:r>
      <w:r w:rsidRPr="0018342F">
        <w:rPr>
          <w:rFonts w:asciiTheme="minorHAnsi" w:hAnsiTheme="minorHAnsi" w:cstheme="minorHAnsi"/>
          <w:szCs w:val="24"/>
          <w:lang w:eastAsia="zh-CN"/>
        </w:rPr>
        <w:t>tender is to ensure the support and accompaniment of a professional company including all professional profiles and competencies required to support the HR and New Building project team during the entire project duration from Autumn 2020 to mid-2027.</w:t>
      </w:r>
    </w:p>
    <w:p w14:paraId="579B0C07" w14:textId="34E26EFE" w:rsidR="009E55E3" w:rsidRDefault="009E55E3" w:rsidP="00CB733B">
      <w:pPr>
        <w:spacing w:before="0" w:after="120"/>
        <w:jc w:val="both"/>
        <w:rPr>
          <w:rFonts w:cs="Calibri"/>
          <w:szCs w:val="24"/>
          <w:lang w:eastAsia="zh-CN"/>
        </w:rPr>
      </w:pPr>
      <w:r w:rsidRPr="00916534">
        <w:rPr>
          <w:rFonts w:asciiTheme="minorHAnsi" w:hAnsiTheme="minorHAnsi" w:cstheme="minorHAnsi"/>
          <w:color w:val="000000"/>
          <w:szCs w:val="22"/>
          <w:lang w:eastAsia="zh-CN"/>
        </w:rPr>
        <w:t xml:space="preserve">Unfortunately, </w:t>
      </w:r>
      <w:r>
        <w:rPr>
          <w:rFonts w:asciiTheme="minorHAnsi" w:hAnsiTheme="minorHAnsi" w:cstheme="minorHAnsi"/>
          <w:color w:val="000000"/>
          <w:szCs w:val="22"/>
          <w:lang w:eastAsia="zh-CN"/>
        </w:rPr>
        <w:t>neither the</w:t>
      </w:r>
      <w:r>
        <w:rPr>
          <w:rFonts w:cs="Calibri"/>
          <w:szCs w:val="24"/>
          <w:lang w:eastAsia="zh-CN"/>
        </w:rPr>
        <w:t xml:space="preserve"> Swiss nor the European Union Authorities have issued post-Covid19 design recommendations relative to the minimal spacing needed between workstations. Nevertheless, the design team verified if the current capacity of the new building could support the current staff should there be a need to separate workers by at least two meters.  The </w:t>
      </w:r>
      <w:r w:rsidR="00780AE9">
        <w:rPr>
          <w:rFonts w:cs="Calibri"/>
          <w:szCs w:val="24"/>
          <w:lang w:eastAsia="zh-CN"/>
        </w:rPr>
        <w:t>s</w:t>
      </w:r>
      <w:r>
        <w:rPr>
          <w:rFonts w:cs="Calibri"/>
          <w:szCs w:val="24"/>
          <w:lang w:eastAsia="zh-CN"/>
        </w:rPr>
        <w:t xml:space="preserve">ecretariat confirms that this would not be possible unless the daily average number of on-site workers can be reduced through modification of the assigned desk policy and the implementation of the telework policy. </w:t>
      </w:r>
    </w:p>
    <w:p w14:paraId="70A8C2A3" w14:textId="6DC8D5EB" w:rsidR="000E438A" w:rsidRDefault="009E55E3" w:rsidP="00CB733B">
      <w:pPr>
        <w:jc w:val="both"/>
        <w:rPr>
          <w:rFonts w:asciiTheme="minorHAnsi" w:hAnsiTheme="minorHAnsi" w:cstheme="minorHAnsi"/>
          <w:color w:val="000000"/>
          <w:szCs w:val="22"/>
          <w:lang w:eastAsia="zh-CN"/>
        </w:rPr>
      </w:pPr>
      <w:r>
        <w:rPr>
          <w:rFonts w:asciiTheme="minorHAnsi" w:hAnsiTheme="minorHAnsi" w:cstheme="minorHAnsi"/>
          <w:color w:val="000000"/>
          <w:szCs w:val="22"/>
          <w:lang w:eastAsia="zh-CN"/>
        </w:rPr>
        <w:t>A</w:t>
      </w:r>
      <w:r w:rsidRPr="00916534">
        <w:rPr>
          <w:rFonts w:asciiTheme="minorHAnsi" w:hAnsiTheme="minorHAnsi" w:cstheme="minorHAnsi"/>
          <w:color w:val="000000"/>
          <w:szCs w:val="22"/>
          <w:lang w:eastAsia="zh-CN"/>
        </w:rPr>
        <w:t xml:space="preserve">t this point in time, </w:t>
      </w:r>
      <w:r>
        <w:rPr>
          <w:rFonts w:asciiTheme="minorHAnsi" w:hAnsiTheme="minorHAnsi" w:cstheme="minorHAnsi"/>
          <w:color w:val="000000"/>
          <w:szCs w:val="22"/>
          <w:lang w:eastAsia="zh-CN"/>
        </w:rPr>
        <w:t>and until the outcome of the specialists’ workplace analysis, it remains difficult to</w:t>
      </w:r>
      <w:r w:rsidRPr="00916534">
        <w:rPr>
          <w:rFonts w:asciiTheme="minorHAnsi" w:hAnsiTheme="minorHAnsi" w:cstheme="minorHAnsi"/>
          <w:color w:val="000000"/>
          <w:szCs w:val="22"/>
          <w:lang w:eastAsia="zh-CN"/>
        </w:rPr>
        <w:t xml:space="preserve"> anticipate the r</w:t>
      </w:r>
      <w:r w:rsidRPr="00845A83">
        <w:rPr>
          <w:rFonts w:asciiTheme="minorHAnsi" w:hAnsiTheme="minorHAnsi" w:cstheme="minorHAnsi"/>
          <w:color w:val="000000"/>
          <w:szCs w:val="22"/>
          <w:lang w:eastAsia="zh-CN"/>
        </w:rPr>
        <w:t xml:space="preserve">eal impact </w:t>
      </w:r>
      <w:r w:rsidR="00780AE9">
        <w:rPr>
          <w:rFonts w:asciiTheme="minorHAnsi" w:hAnsiTheme="minorHAnsi" w:cstheme="minorHAnsi"/>
          <w:color w:val="000000"/>
          <w:szCs w:val="22"/>
          <w:lang w:eastAsia="zh-CN"/>
        </w:rPr>
        <w:t>of</w:t>
      </w:r>
      <w:r w:rsidRPr="00845A83">
        <w:rPr>
          <w:rFonts w:asciiTheme="minorHAnsi" w:hAnsiTheme="minorHAnsi" w:cstheme="minorHAnsi"/>
          <w:color w:val="000000"/>
          <w:szCs w:val="22"/>
          <w:lang w:eastAsia="zh-CN"/>
        </w:rPr>
        <w:t xml:space="preserve"> Covid-19. ITU </w:t>
      </w:r>
      <w:r>
        <w:rPr>
          <w:rFonts w:asciiTheme="minorHAnsi" w:hAnsiTheme="minorHAnsi" w:cstheme="minorHAnsi"/>
          <w:color w:val="000000"/>
          <w:szCs w:val="22"/>
          <w:lang w:eastAsia="zh-CN"/>
        </w:rPr>
        <w:t xml:space="preserve">reaffirms that it </w:t>
      </w:r>
      <w:r w:rsidRPr="00845A83">
        <w:rPr>
          <w:rFonts w:asciiTheme="minorHAnsi" w:hAnsiTheme="minorHAnsi" w:cstheme="minorHAnsi"/>
          <w:color w:val="000000"/>
          <w:szCs w:val="22"/>
          <w:lang w:eastAsia="zh-CN"/>
        </w:rPr>
        <w:t xml:space="preserve">will do its best to minimize as much as possible its impact on the project duration </w:t>
      </w:r>
      <w:r>
        <w:rPr>
          <w:rFonts w:asciiTheme="minorHAnsi" w:hAnsiTheme="minorHAnsi" w:cstheme="minorHAnsi"/>
          <w:color w:val="000000"/>
          <w:szCs w:val="22"/>
          <w:lang w:eastAsia="zh-CN"/>
        </w:rPr>
        <w:t>such as its</w:t>
      </w:r>
      <w:r w:rsidRPr="00845A83">
        <w:rPr>
          <w:rFonts w:asciiTheme="minorHAnsi" w:hAnsiTheme="minorHAnsi" w:cstheme="minorHAnsi"/>
          <w:color w:val="000000"/>
          <w:szCs w:val="22"/>
          <w:lang w:eastAsia="zh-CN"/>
        </w:rPr>
        <w:t xml:space="preserve"> eventual financial impact</w:t>
      </w:r>
      <w:r>
        <w:rPr>
          <w:rFonts w:asciiTheme="minorHAnsi" w:hAnsiTheme="minorHAnsi" w:cstheme="minorHAnsi"/>
          <w:color w:val="000000"/>
          <w:szCs w:val="22"/>
          <w:lang w:eastAsia="zh-CN"/>
        </w:rPr>
        <w:t xml:space="preserve"> on the project cost.</w:t>
      </w:r>
    </w:p>
    <w:p w14:paraId="0E1DB671" w14:textId="77777777" w:rsidR="007B4A7F" w:rsidRDefault="007B4A7F" w:rsidP="00CB733B">
      <w:pPr>
        <w:jc w:val="both"/>
        <w:sectPr w:rsidR="007B4A7F" w:rsidSect="00163C86">
          <w:headerReference w:type="default" r:id="rId30"/>
          <w:footerReference w:type="first" r:id="rId31"/>
          <w:pgSz w:w="11907" w:h="16834" w:code="9"/>
          <w:pgMar w:top="1418" w:right="1134" w:bottom="1418" w:left="1134" w:header="720" w:footer="720" w:gutter="0"/>
          <w:paperSrc w:first="15" w:other="15"/>
          <w:cols w:space="720"/>
          <w:titlePg/>
          <w:docGrid w:linePitch="326"/>
        </w:sectPr>
      </w:pPr>
    </w:p>
    <w:p w14:paraId="7D95FBF2" w14:textId="4A5EA840" w:rsidR="007B4A7F" w:rsidRPr="00887A3E" w:rsidRDefault="007B4A7F" w:rsidP="00CB733B">
      <w:pPr>
        <w:jc w:val="both"/>
        <w:rPr>
          <w:rFonts w:asciiTheme="minorHAnsi" w:hAnsiTheme="minorHAnsi" w:cstheme="minorHAnsi"/>
          <w:b/>
          <w:bCs/>
          <w:color w:val="000000" w:themeColor="text1"/>
          <w:szCs w:val="24"/>
          <w:lang w:val="en-US"/>
        </w:rPr>
      </w:pPr>
      <w:bookmarkStart w:id="9" w:name="AnnexA"/>
      <w:r>
        <w:rPr>
          <w:rFonts w:asciiTheme="minorHAnsi" w:hAnsiTheme="minorHAnsi" w:cstheme="minorHAnsi"/>
          <w:b/>
          <w:bCs/>
          <w:color w:val="000000" w:themeColor="text1"/>
          <w:szCs w:val="24"/>
          <w:lang w:val="en-US"/>
        </w:rPr>
        <w:lastRenderedPageBreak/>
        <w:t>Annex</w:t>
      </w:r>
      <w:r w:rsidRPr="00887A3E">
        <w:rPr>
          <w:rFonts w:asciiTheme="minorHAnsi" w:hAnsiTheme="minorHAnsi" w:cstheme="minorHAnsi"/>
          <w:b/>
          <w:bCs/>
          <w:color w:val="000000" w:themeColor="text1"/>
          <w:szCs w:val="24"/>
          <w:lang w:val="en-US"/>
        </w:rPr>
        <w:t xml:space="preserve"> A. </w:t>
      </w:r>
    </w:p>
    <w:bookmarkEnd w:id="9"/>
    <w:p w14:paraId="3FDF0091" w14:textId="77777777" w:rsidR="009E55E3" w:rsidRPr="002E1E58" w:rsidRDefault="009E55E3" w:rsidP="006C6A82">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20"/>
        <w:jc w:val="both"/>
        <w:textAlignment w:val="auto"/>
        <w:rPr>
          <w:rFonts w:asciiTheme="minorHAnsi" w:hAnsiTheme="minorHAnsi" w:cstheme="minorHAnsi"/>
          <w:color w:val="000000"/>
          <w:szCs w:val="22"/>
          <w:lang w:eastAsia="zh-CN"/>
        </w:rPr>
      </w:pPr>
      <w:r>
        <w:rPr>
          <w:rFonts w:asciiTheme="minorHAnsi" w:hAnsiTheme="minorHAnsi" w:cstheme="minorHAnsi"/>
          <w:b/>
          <w:bCs/>
          <w:color w:val="000000"/>
          <w:szCs w:val="22"/>
          <w:lang w:eastAsia="zh-CN"/>
        </w:rPr>
        <w:t>Extract of Risk Register – 10 most relevant risks</w:t>
      </w:r>
    </w:p>
    <w:tbl>
      <w:tblPr>
        <w:tblW w:w="10915" w:type="dxa"/>
        <w:jc w:val="center"/>
        <w:tblLayout w:type="fixed"/>
        <w:tblCellMar>
          <w:left w:w="70" w:type="dxa"/>
          <w:right w:w="70" w:type="dxa"/>
        </w:tblCellMar>
        <w:tblLook w:val="04A0" w:firstRow="1" w:lastRow="0" w:firstColumn="1" w:lastColumn="0" w:noHBand="0" w:noVBand="1"/>
      </w:tblPr>
      <w:tblGrid>
        <w:gridCol w:w="436"/>
        <w:gridCol w:w="1691"/>
        <w:gridCol w:w="1984"/>
        <w:gridCol w:w="2268"/>
        <w:gridCol w:w="851"/>
        <w:gridCol w:w="567"/>
        <w:gridCol w:w="859"/>
        <w:gridCol w:w="2259"/>
      </w:tblGrid>
      <w:tr w:rsidR="009E55E3" w:rsidRPr="00D5206D" w14:paraId="04AC5B12" w14:textId="77777777" w:rsidTr="009E55E3">
        <w:trPr>
          <w:trHeight w:val="614"/>
          <w:jc w:val="center"/>
        </w:trPr>
        <w:tc>
          <w:tcPr>
            <w:tcW w:w="436"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789AAC83" w14:textId="77777777" w:rsidR="009E55E3" w:rsidRDefault="009E55E3" w:rsidP="00CB733B">
            <w:pPr>
              <w:jc w:val="center"/>
              <w:rPr>
                <w:rFonts w:cs="Calibri"/>
                <w:b/>
                <w:bCs/>
                <w:color w:val="000000"/>
                <w:sz w:val="14"/>
                <w:szCs w:val="18"/>
                <w:lang w:val="en-US" w:eastAsia="es-ES"/>
              </w:rPr>
            </w:pPr>
          </w:p>
          <w:p w14:paraId="60D92489" w14:textId="77777777" w:rsidR="009E55E3" w:rsidRPr="00D5206D" w:rsidRDefault="009E55E3" w:rsidP="00CB733B">
            <w:pPr>
              <w:rPr>
                <w:rFonts w:cs="Calibri"/>
                <w:b/>
                <w:bCs/>
                <w:color w:val="000000"/>
                <w:sz w:val="14"/>
                <w:szCs w:val="18"/>
                <w:lang w:val="en-US" w:eastAsia="es-ES"/>
              </w:rPr>
            </w:pPr>
            <w:r w:rsidRPr="00D5206D">
              <w:rPr>
                <w:rFonts w:cs="Calibri"/>
                <w:b/>
                <w:bCs/>
                <w:color w:val="000000"/>
                <w:sz w:val="14"/>
                <w:szCs w:val="18"/>
                <w:lang w:val="en-US" w:eastAsia="es-ES"/>
              </w:rPr>
              <w:t>Risk Code</w:t>
            </w:r>
          </w:p>
        </w:tc>
        <w:tc>
          <w:tcPr>
            <w:tcW w:w="1691" w:type="dxa"/>
            <w:tcBorders>
              <w:top w:val="single" w:sz="8" w:space="0" w:color="FFFFFF"/>
              <w:left w:val="nil"/>
              <w:bottom w:val="single" w:sz="8" w:space="0" w:color="FFFFFF"/>
              <w:right w:val="single" w:sz="12" w:space="0" w:color="FFFFFF"/>
            </w:tcBorders>
            <w:shd w:val="clear" w:color="auto" w:fill="D9D9D9" w:themeFill="background1" w:themeFillShade="D9"/>
            <w:vAlign w:val="center"/>
            <w:hideMark/>
          </w:tcPr>
          <w:p w14:paraId="055B7ADC" w14:textId="77777777" w:rsidR="009E55E3" w:rsidRPr="00D5206D" w:rsidRDefault="009E55E3" w:rsidP="00CB733B">
            <w:pPr>
              <w:jc w:val="center"/>
              <w:rPr>
                <w:rFonts w:cs="Calibri"/>
                <w:b/>
                <w:bCs/>
                <w:color w:val="000000"/>
                <w:sz w:val="14"/>
                <w:szCs w:val="18"/>
                <w:lang w:val="en-US" w:eastAsia="es-ES"/>
              </w:rPr>
            </w:pPr>
            <w:r w:rsidRPr="00D5206D">
              <w:rPr>
                <w:rFonts w:cs="Calibri"/>
                <w:b/>
                <w:bCs/>
                <w:color w:val="000000"/>
                <w:sz w:val="14"/>
                <w:szCs w:val="18"/>
                <w:lang w:val="en-US" w:eastAsia="es-ES"/>
              </w:rPr>
              <w:t>Risk Name</w:t>
            </w:r>
          </w:p>
        </w:tc>
        <w:tc>
          <w:tcPr>
            <w:tcW w:w="1984"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tcPr>
          <w:p w14:paraId="2184EA4B" w14:textId="77777777" w:rsidR="009E55E3" w:rsidRPr="00D5206D" w:rsidRDefault="009E55E3" w:rsidP="00CB733B">
            <w:pPr>
              <w:jc w:val="center"/>
              <w:rPr>
                <w:rFonts w:cs="Calibri"/>
                <w:b/>
                <w:bCs/>
                <w:color w:val="000000"/>
                <w:sz w:val="14"/>
                <w:szCs w:val="18"/>
                <w:lang w:val="en-US" w:eastAsia="es-ES"/>
              </w:rPr>
            </w:pPr>
            <w:r>
              <w:rPr>
                <w:rFonts w:cs="Calibri"/>
                <w:b/>
                <w:bCs/>
                <w:color w:val="000000"/>
                <w:sz w:val="14"/>
                <w:szCs w:val="18"/>
                <w:lang w:val="en-US" w:eastAsia="es-ES"/>
              </w:rPr>
              <w:t xml:space="preserve">Cause  </w:t>
            </w:r>
          </w:p>
        </w:tc>
        <w:tc>
          <w:tcPr>
            <w:tcW w:w="2268"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tcPr>
          <w:p w14:paraId="031D04B5" w14:textId="77777777" w:rsidR="009E55E3" w:rsidRDefault="009E55E3" w:rsidP="00CB733B">
            <w:pPr>
              <w:jc w:val="center"/>
              <w:rPr>
                <w:rFonts w:cs="Calibri"/>
                <w:b/>
                <w:bCs/>
                <w:color w:val="000000"/>
                <w:sz w:val="14"/>
                <w:szCs w:val="18"/>
                <w:lang w:val="en-US" w:eastAsia="es-ES"/>
              </w:rPr>
            </w:pPr>
            <w:r>
              <w:rPr>
                <w:rFonts w:cs="Calibri"/>
                <w:b/>
                <w:bCs/>
                <w:color w:val="000000"/>
                <w:sz w:val="14"/>
                <w:szCs w:val="18"/>
                <w:lang w:val="en-US" w:eastAsia="es-ES"/>
              </w:rPr>
              <w:t>Mitigation</w:t>
            </w:r>
          </w:p>
        </w:tc>
        <w:tc>
          <w:tcPr>
            <w:tcW w:w="851"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0B4A55D8" w14:textId="77777777" w:rsidR="009E55E3" w:rsidRPr="00D5206D" w:rsidRDefault="009E55E3" w:rsidP="00CB733B">
            <w:pPr>
              <w:jc w:val="center"/>
              <w:rPr>
                <w:rFonts w:cs="Calibri"/>
                <w:b/>
                <w:bCs/>
                <w:color w:val="000000"/>
                <w:sz w:val="14"/>
                <w:szCs w:val="18"/>
                <w:lang w:val="en-US" w:eastAsia="es-ES"/>
              </w:rPr>
            </w:pPr>
            <w:r w:rsidRPr="00D5206D">
              <w:rPr>
                <w:rFonts w:cs="Calibri"/>
                <w:b/>
                <w:bCs/>
                <w:color w:val="000000"/>
                <w:sz w:val="14"/>
                <w:szCs w:val="18"/>
                <w:lang w:val="en-US" w:eastAsia="es-ES"/>
              </w:rPr>
              <w:t>Probability</w:t>
            </w:r>
            <w:r w:rsidRPr="00D5206D">
              <w:rPr>
                <w:rFonts w:cs="Calibri"/>
                <w:b/>
                <w:bCs/>
                <w:color w:val="000000"/>
                <w:sz w:val="14"/>
                <w:szCs w:val="18"/>
                <w:lang w:val="en-US" w:eastAsia="es-ES"/>
              </w:rPr>
              <w:br/>
              <w:t>(A)</w:t>
            </w:r>
          </w:p>
        </w:tc>
        <w:tc>
          <w:tcPr>
            <w:tcW w:w="567"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3DCBFAE4" w14:textId="77777777" w:rsidR="009E55E3" w:rsidRPr="00D5206D" w:rsidRDefault="009E55E3" w:rsidP="00CB733B">
            <w:pPr>
              <w:jc w:val="center"/>
              <w:rPr>
                <w:rFonts w:cs="Calibri"/>
                <w:b/>
                <w:bCs/>
                <w:color w:val="000000"/>
                <w:sz w:val="14"/>
                <w:szCs w:val="18"/>
                <w:lang w:val="en-US" w:eastAsia="es-ES"/>
              </w:rPr>
            </w:pPr>
            <w:r w:rsidRPr="00D5206D">
              <w:rPr>
                <w:rFonts w:cs="Calibri"/>
                <w:b/>
                <w:bCs/>
                <w:color w:val="000000"/>
                <w:sz w:val="14"/>
                <w:szCs w:val="18"/>
                <w:lang w:val="en-US" w:eastAsia="es-ES"/>
              </w:rPr>
              <w:t>Impact</w:t>
            </w:r>
          </w:p>
        </w:tc>
        <w:tc>
          <w:tcPr>
            <w:tcW w:w="859"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5564C8DF" w14:textId="77777777" w:rsidR="009E55E3" w:rsidRPr="00D5206D" w:rsidRDefault="009E55E3" w:rsidP="00CB733B">
            <w:pPr>
              <w:jc w:val="center"/>
              <w:rPr>
                <w:rFonts w:cs="Calibri"/>
                <w:b/>
                <w:bCs/>
                <w:color w:val="000000"/>
                <w:sz w:val="14"/>
                <w:szCs w:val="18"/>
                <w:lang w:val="en-US" w:eastAsia="es-ES"/>
              </w:rPr>
            </w:pPr>
            <w:r w:rsidRPr="00D5206D">
              <w:rPr>
                <w:rFonts w:cs="Calibri"/>
                <w:b/>
                <w:bCs/>
                <w:color w:val="000000"/>
                <w:sz w:val="14"/>
                <w:szCs w:val="18"/>
                <w:lang w:val="en-US" w:eastAsia="es-ES"/>
              </w:rPr>
              <w:t>Weighted Cost</w:t>
            </w:r>
            <w:r w:rsidRPr="00D5206D">
              <w:rPr>
                <w:rFonts w:cs="Calibri"/>
                <w:b/>
                <w:bCs/>
                <w:color w:val="000000"/>
                <w:sz w:val="14"/>
                <w:szCs w:val="18"/>
                <w:lang w:val="en-US" w:eastAsia="es-ES"/>
              </w:rPr>
              <w:br/>
              <w:t xml:space="preserve"> </w:t>
            </w:r>
            <w:r>
              <w:rPr>
                <w:rFonts w:cs="Calibri"/>
                <w:b/>
                <w:bCs/>
                <w:color w:val="000000"/>
                <w:sz w:val="14"/>
                <w:szCs w:val="18"/>
                <w:lang w:val="en-US" w:eastAsia="es-ES"/>
              </w:rPr>
              <w:t>CHF</w:t>
            </w:r>
          </w:p>
        </w:tc>
        <w:tc>
          <w:tcPr>
            <w:tcW w:w="2259"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167AEB94" w14:textId="77777777" w:rsidR="009E55E3" w:rsidRPr="00D5206D" w:rsidRDefault="009E55E3" w:rsidP="00CB733B">
            <w:pPr>
              <w:jc w:val="center"/>
              <w:rPr>
                <w:rFonts w:cs="Calibri"/>
                <w:b/>
                <w:bCs/>
                <w:color w:val="000000"/>
                <w:sz w:val="14"/>
                <w:szCs w:val="18"/>
                <w:lang w:val="en-US" w:eastAsia="es-ES"/>
              </w:rPr>
            </w:pPr>
            <w:r>
              <w:rPr>
                <w:rFonts w:cs="Calibri"/>
                <w:b/>
                <w:bCs/>
                <w:color w:val="000000"/>
                <w:sz w:val="14"/>
                <w:szCs w:val="18"/>
                <w:lang w:val="en-US" w:eastAsia="es-ES"/>
              </w:rPr>
              <w:t>Comment on costs</w:t>
            </w:r>
            <w:r w:rsidRPr="00D5206D" w:rsidDel="002A4A16">
              <w:rPr>
                <w:rFonts w:cs="Calibri"/>
                <w:b/>
                <w:bCs/>
                <w:color w:val="000000"/>
                <w:sz w:val="14"/>
                <w:szCs w:val="18"/>
                <w:lang w:val="en-US" w:eastAsia="es-ES"/>
              </w:rPr>
              <w:t xml:space="preserve"> </w:t>
            </w:r>
          </w:p>
        </w:tc>
      </w:tr>
      <w:tr w:rsidR="009E55E3" w:rsidRPr="00D5206D" w14:paraId="0F9D9123" w14:textId="77777777" w:rsidTr="009E55E3">
        <w:trPr>
          <w:trHeight w:val="294"/>
          <w:jc w:val="center"/>
        </w:trPr>
        <w:tc>
          <w:tcPr>
            <w:tcW w:w="2127"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32E6DE5" w14:textId="77777777" w:rsidR="009E55E3" w:rsidRPr="00D5206D" w:rsidRDefault="009E55E3" w:rsidP="00CB733B">
            <w:pPr>
              <w:rPr>
                <w:rFonts w:cs="Calibri"/>
                <w:sz w:val="14"/>
                <w:szCs w:val="18"/>
                <w:lang w:val="en-US" w:eastAsia="es-ES"/>
              </w:rPr>
            </w:pPr>
            <w:r w:rsidRPr="0061183C">
              <w:rPr>
                <w:rFonts w:cs="Calibri"/>
                <w:b/>
                <w:bCs/>
                <w:color w:val="000000"/>
                <w:sz w:val="20"/>
                <w:lang w:val="en-US" w:eastAsia="es-ES"/>
              </w:rPr>
              <w:t>Business Continuity</w:t>
            </w:r>
          </w:p>
        </w:tc>
        <w:tc>
          <w:tcPr>
            <w:tcW w:w="1984" w:type="dxa"/>
            <w:tcBorders>
              <w:top w:val="single" w:sz="12" w:space="0" w:color="FFFFFF" w:themeColor="background1"/>
              <w:bottom w:val="single" w:sz="12" w:space="0" w:color="FFFFFF" w:themeColor="background1"/>
            </w:tcBorders>
            <w:shd w:val="clear" w:color="auto" w:fill="D9D9D9" w:themeFill="background1" w:themeFillShade="D9"/>
          </w:tcPr>
          <w:p w14:paraId="073AD86A" w14:textId="77777777" w:rsidR="009E55E3" w:rsidRPr="00D5206D" w:rsidRDefault="009E55E3" w:rsidP="00CB733B">
            <w:pPr>
              <w:jc w:val="center"/>
              <w:rPr>
                <w:rFonts w:cs="Calibri"/>
                <w:sz w:val="14"/>
                <w:szCs w:val="18"/>
                <w:lang w:val="en-US" w:eastAsia="es-ES"/>
              </w:rPr>
            </w:pPr>
          </w:p>
        </w:tc>
        <w:tc>
          <w:tcPr>
            <w:tcW w:w="2268" w:type="dxa"/>
            <w:tcBorders>
              <w:top w:val="single" w:sz="12" w:space="0" w:color="FFFFFF" w:themeColor="background1"/>
              <w:bottom w:val="single" w:sz="12" w:space="0" w:color="FFFFFF" w:themeColor="background1"/>
            </w:tcBorders>
            <w:shd w:val="clear" w:color="auto" w:fill="D9D9D9" w:themeFill="background1" w:themeFillShade="D9"/>
          </w:tcPr>
          <w:p w14:paraId="778D1566" w14:textId="77777777" w:rsidR="009E55E3" w:rsidRPr="00D5206D" w:rsidRDefault="009E55E3" w:rsidP="00CB733B">
            <w:pPr>
              <w:jc w:val="center"/>
              <w:rPr>
                <w:rFonts w:cs="Calibri"/>
                <w:sz w:val="14"/>
                <w:szCs w:val="18"/>
                <w:lang w:val="en-US" w:eastAsia="es-ES"/>
              </w:rPr>
            </w:pPr>
          </w:p>
        </w:tc>
        <w:tc>
          <w:tcPr>
            <w:tcW w:w="851" w:type="dxa"/>
            <w:tcBorders>
              <w:top w:val="single" w:sz="12" w:space="0" w:color="FFFFFF" w:themeColor="background1"/>
              <w:bottom w:val="single" w:sz="12" w:space="0" w:color="FFFFFF" w:themeColor="background1"/>
            </w:tcBorders>
            <w:shd w:val="clear" w:color="auto" w:fill="D9D9D9" w:themeFill="background1" w:themeFillShade="D9"/>
          </w:tcPr>
          <w:p w14:paraId="7A7AE16A" w14:textId="77777777" w:rsidR="009E55E3" w:rsidRPr="00D5206D" w:rsidRDefault="009E55E3" w:rsidP="00CB733B">
            <w:pPr>
              <w:jc w:val="center"/>
              <w:rPr>
                <w:rFonts w:cs="Calibri"/>
                <w:sz w:val="14"/>
                <w:szCs w:val="18"/>
                <w:lang w:val="en-US" w:eastAsia="es-ES"/>
              </w:rPr>
            </w:pPr>
          </w:p>
        </w:tc>
        <w:tc>
          <w:tcPr>
            <w:tcW w:w="567" w:type="dxa"/>
            <w:tcBorders>
              <w:top w:val="single" w:sz="12" w:space="0" w:color="FFFFFF" w:themeColor="background1"/>
              <w:bottom w:val="single" w:sz="12" w:space="0" w:color="FFFFFF" w:themeColor="background1"/>
            </w:tcBorders>
            <w:shd w:val="clear" w:color="auto" w:fill="D9D9D9" w:themeFill="background1" w:themeFillShade="D9"/>
            <w:noWrap/>
          </w:tcPr>
          <w:p w14:paraId="572686FC" w14:textId="77777777" w:rsidR="009E55E3" w:rsidRPr="00D5206D" w:rsidRDefault="009E55E3" w:rsidP="00CB733B">
            <w:pPr>
              <w:jc w:val="center"/>
              <w:rPr>
                <w:rFonts w:cs="Calibri"/>
                <w:sz w:val="14"/>
                <w:szCs w:val="18"/>
                <w:lang w:val="en-US" w:eastAsia="es-ES"/>
              </w:rPr>
            </w:pPr>
          </w:p>
        </w:tc>
        <w:tc>
          <w:tcPr>
            <w:tcW w:w="859" w:type="dxa"/>
            <w:tcBorders>
              <w:top w:val="single" w:sz="12" w:space="0" w:color="FFFFFF" w:themeColor="background1"/>
              <w:bottom w:val="single" w:sz="12" w:space="0" w:color="FFFFFF" w:themeColor="background1"/>
            </w:tcBorders>
            <w:shd w:val="clear" w:color="auto" w:fill="D9D9D9" w:themeFill="background1" w:themeFillShade="D9"/>
          </w:tcPr>
          <w:p w14:paraId="7C15458A" w14:textId="77777777" w:rsidR="009E55E3" w:rsidRPr="00D5206D" w:rsidRDefault="009E55E3" w:rsidP="00CB733B">
            <w:pPr>
              <w:rPr>
                <w:rFonts w:cs="Calibri"/>
                <w:sz w:val="14"/>
                <w:szCs w:val="18"/>
                <w:lang w:val="en-US" w:eastAsia="es-ES"/>
              </w:rPr>
            </w:pPr>
          </w:p>
        </w:tc>
        <w:tc>
          <w:tcPr>
            <w:tcW w:w="225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719B0B9" w14:textId="77777777" w:rsidR="009E55E3" w:rsidRPr="00D5206D" w:rsidRDefault="009E55E3" w:rsidP="00CB733B">
            <w:pPr>
              <w:rPr>
                <w:rFonts w:cs="Calibri"/>
                <w:sz w:val="14"/>
                <w:szCs w:val="18"/>
                <w:lang w:val="en-US" w:eastAsia="es-ES"/>
              </w:rPr>
            </w:pPr>
          </w:p>
        </w:tc>
      </w:tr>
      <w:tr w:rsidR="009E55E3" w:rsidRPr="00D5206D" w14:paraId="7477CBE9" w14:textId="77777777" w:rsidTr="009E55E3">
        <w:trPr>
          <w:trHeight w:val="2656"/>
          <w:jc w:val="center"/>
        </w:trPr>
        <w:tc>
          <w:tcPr>
            <w:tcW w:w="436" w:type="dxa"/>
            <w:tcBorders>
              <w:top w:val="single" w:sz="12" w:space="0" w:color="FFFFFF" w:themeColor="background1"/>
              <w:left w:val="single" w:sz="4" w:space="0" w:color="BFBFBF"/>
              <w:bottom w:val="single" w:sz="4" w:space="0" w:color="BFBFBF"/>
              <w:right w:val="single" w:sz="4" w:space="0" w:color="BFBFBF"/>
            </w:tcBorders>
            <w:shd w:val="clear" w:color="auto" w:fill="auto"/>
            <w:hideMark/>
          </w:tcPr>
          <w:p w14:paraId="2AD59CB8"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0066</w:t>
            </w:r>
          </w:p>
        </w:tc>
        <w:tc>
          <w:tcPr>
            <w:tcW w:w="1691" w:type="dxa"/>
            <w:tcBorders>
              <w:top w:val="single" w:sz="12" w:space="0" w:color="FFFFFF" w:themeColor="background1"/>
              <w:left w:val="nil"/>
              <w:bottom w:val="single" w:sz="4" w:space="0" w:color="BFBFBF"/>
              <w:right w:val="single" w:sz="4" w:space="0" w:color="BFBFBF"/>
            </w:tcBorders>
            <w:shd w:val="clear" w:color="auto" w:fill="auto"/>
            <w:hideMark/>
          </w:tcPr>
          <w:p w14:paraId="5FEA10BD"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Availability of conference facilities in Geneva during the initial construction period (</w:t>
            </w:r>
            <w:r>
              <w:rPr>
                <w:rFonts w:cs="Calibri"/>
                <w:sz w:val="14"/>
                <w:szCs w:val="18"/>
                <w:lang w:val="en-US" w:eastAsia="es-ES"/>
              </w:rPr>
              <w:t>approx.</w:t>
            </w:r>
            <w:r w:rsidRPr="00D5206D">
              <w:rPr>
                <w:rFonts w:cs="Calibri"/>
                <w:sz w:val="14"/>
                <w:szCs w:val="18"/>
                <w:lang w:val="en-US" w:eastAsia="es-ES"/>
              </w:rPr>
              <w:t xml:space="preserve"> duration - 18 month</w:t>
            </w:r>
            <w:r>
              <w:rPr>
                <w:rFonts w:cs="Calibri"/>
                <w:sz w:val="14"/>
                <w:szCs w:val="18"/>
                <w:lang w:val="en-US" w:eastAsia="es-ES"/>
              </w:rPr>
              <w:t>s</w:t>
            </w:r>
            <w:r w:rsidRPr="00D5206D">
              <w:rPr>
                <w:rFonts w:cs="Calibri"/>
                <w:sz w:val="14"/>
                <w:szCs w:val="18"/>
                <w:lang w:val="en-US" w:eastAsia="es-ES"/>
              </w:rPr>
              <w:t xml:space="preserve">) </w:t>
            </w:r>
          </w:p>
        </w:tc>
        <w:tc>
          <w:tcPr>
            <w:tcW w:w="1984" w:type="dxa"/>
            <w:tcBorders>
              <w:top w:val="single" w:sz="12" w:space="0" w:color="FFFFFF" w:themeColor="background1"/>
              <w:left w:val="nil"/>
              <w:bottom w:val="single" w:sz="4" w:space="0" w:color="BFBFBF"/>
              <w:right w:val="single" w:sz="8" w:space="0" w:color="BFBFBF" w:themeColor="background1" w:themeShade="BF"/>
            </w:tcBorders>
          </w:tcPr>
          <w:p w14:paraId="319110F5" w14:textId="77777777" w:rsidR="009E55E3" w:rsidRPr="00205E02" w:rsidRDefault="009E55E3" w:rsidP="00CB733B">
            <w:pPr>
              <w:rPr>
                <w:rFonts w:cs="Calibri"/>
                <w:sz w:val="14"/>
                <w:szCs w:val="18"/>
                <w:lang w:val="en-US" w:eastAsia="es-ES"/>
              </w:rPr>
            </w:pPr>
            <w:r w:rsidRPr="00205E02">
              <w:rPr>
                <w:rFonts w:cs="Calibri"/>
                <w:sz w:val="14"/>
                <w:szCs w:val="18"/>
                <w:lang w:val="en-US" w:eastAsia="es-ES"/>
              </w:rPr>
              <w:t>Information o</w:t>
            </w:r>
            <w:r>
              <w:rPr>
                <w:rFonts w:cs="Calibri"/>
                <w:sz w:val="14"/>
                <w:szCs w:val="18"/>
                <w:lang w:val="en-US" w:eastAsia="es-ES"/>
              </w:rPr>
              <w:t>f</w:t>
            </w:r>
            <w:r w:rsidRPr="00205E02">
              <w:rPr>
                <w:rFonts w:cs="Calibri"/>
                <w:sz w:val="14"/>
                <w:szCs w:val="18"/>
                <w:lang w:val="en-US" w:eastAsia="es-ES"/>
              </w:rPr>
              <w:t xml:space="preserve"> ITU requirements not provided on time.</w:t>
            </w:r>
          </w:p>
          <w:p w14:paraId="254448DE" w14:textId="77777777" w:rsidR="009E55E3" w:rsidRPr="00D5206D" w:rsidRDefault="009E55E3" w:rsidP="00CB733B">
            <w:pPr>
              <w:rPr>
                <w:rFonts w:cs="Calibri"/>
                <w:sz w:val="14"/>
                <w:szCs w:val="18"/>
                <w:lang w:val="en-US" w:eastAsia="es-ES"/>
              </w:rPr>
            </w:pPr>
            <w:r w:rsidRPr="00205E02">
              <w:rPr>
                <w:rFonts w:cs="Calibri"/>
                <w:sz w:val="14"/>
                <w:szCs w:val="18"/>
                <w:lang w:val="en-US" w:eastAsia="es-ES"/>
              </w:rPr>
              <w:t>Donor to host ITU conferences not identified.</w:t>
            </w:r>
          </w:p>
        </w:tc>
        <w:tc>
          <w:tcPr>
            <w:tcW w:w="2268" w:type="dxa"/>
            <w:tcBorders>
              <w:top w:val="single" w:sz="12" w:space="0" w:color="FFFFFF" w:themeColor="background1"/>
              <w:left w:val="single" w:sz="8" w:space="0" w:color="BFBFBF" w:themeColor="background1" w:themeShade="BF"/>
              <w:bottom w:val="single" w:sz="4" w:space="0" w:color="BFBFBF"/>
              <w:right w:val="single" w:sz="8" w:space="0" w:color="BFBFBF" w:themeColor="background1" w:themeShade="BF"/>
            </w:tcBorders>
          </w:tcPr>
          <w:p w14:paraId="47AC3986" w14:textId="77777777" w:rsidR="009E55E3" w:rsidRDefault="009E55E3" w:rsidP="00CB733B">
            <w:pPr>
              <w:rPr>
                <w:rFonts w:cs="Calibri"/>
                <w:sz w:val="14"/>
                <w:szCs w:val="18"/>
                <w:lang w:val="en-US" w:eastAsia="es-ES"/>
              </w:rPr>
            </w:pPr>
            <w:r w:rsidRPr="00D5206D">
              <w:rPr>
                <w:rFonts w:cs="Calibri"/>
                <w:sz w:val="14"/>
                <w:szCs w:val="18"/>
                <w:lang w:val="en-US" w:eastAsia="es-ES"/>
              </w:rPr>
              <w:t>C&amp;P work with ITU Sectors and the General Secretariat to provide complete calendar with ITU's conference room request as soon as possible.</w:t>
            </w:r>
            <w:r w:rsidRPr="00D5206D">
              <w:rPr>
                <w:rFonts w:cs="Calibri"/>
                <w:sz w:val="14"/>
                <w:szCs w:val="18"/>
                <w:lang w:val="en-US" w:eastAsia="es-ES"/>
              </w:rPr>
              <w:br/>
              <w:t>Seek for donor to host ITU conferences.</w:t>
            </w:r>
            <w:r w:rsidRPr="00D5206D">
              <w:rPr>
                <w:rFonts w:cs="Calibri"/>
                <w:sz w:val="14"/>
                <w:szCs w:val="18"/>
                <w:lang w:val="en-US" w:eastAsia="es-ES"/>
              </w:rPr>
              <w:br/>
            </w:r>
            <w:r w:rsidRPr="00D5206D">
              <w:rPr>
                <w:rFonts w:cs="Calibri"/>
                <w:sz w:val="14"/>
                <w:szCs w:val="18"/>
                <w:lang w:val="en-US" w:eastAsia="es-ES"/>
              </w:rPr>
              <w:br/>
            </w:r>
            <w:r>
              <w:rPr>
                <w:rFonts w:cs="Calibri"/>
                <w:sz w:val="14"/>
                <w:szCs w:val="18"/>
                <w:lang w:val="en-US" w:eastAsia="es-ES"/>
              </w:rPr>
              <w:t xml:space="preserve">Opportunity: </w:t>
            </w:r>
            <w:r w:rsidRPr="00D5206D">
              <w:rPr>
                <w:rFonts w:cs="Calibri"/>
                <w:sz w:val="14"/>
                <w:szCs w:val="18"/>
                <w:lang w:val="en-US" w:eastAsia="es-ES"/>
              </w:rPr>
              <w:t>the extensive use of teleconferencing and virtual meetings could become an opportunity to relieve the request to host conference</w:t>
            </w:r>
            <w:r>
              <w:rPr>
                <w:rFonts w:cs="Calibri"/>
                <w:sz w:val="14"/>
                <w:szCs w:val="18"/>
                <w:lang w:val="en-US" w:eastAsia="es-ES"/>
              </w:rPr>
              <w:t>s</w:t>
            </w:r>
            <w:r w:rsidRPr="00D5206D">
              <w:rPr>
                <w:rFonts w:cs="Calibri"/>
                <w:sz w:val="14"/>
                <w:szCs w:val="18"/>
                <w:lang w:val="en-US" w:eastAsia="es-ES"/>
              </w:rPr>
              <w:t xml:space="preserve"> during the </w:t>
            </w:r>
            <w:proofErr w:type="spellStart"/>
            <w:r w:rsidRPr="00D5206D">
              <w:rPr>
                <w:rFonts w:cs="Calibri"/>
                <w:sz w:val="14"/>
                <w:szCs w:val="18"/>
                <w:lang w:val="en-US" w:eastAsia="es-ES"/>
              </w:rPr>
              <w:t>Varembé</w:t>
            </w:r>
            <w:proofErr w:type="spellEnd"/>
            <w:r w:rsidRPr="00D5206D">
              <w:rPr>
                <w:rFonts w:cs="Calibri"/>
                <w:sz w:val="14"/>
                <w:szCs w:val="18"/>
                <w:lang w:val="en-US" w:eastAsia="es-ES"/>
              </w:rPr>
              <w:t xml:space="preserve"> demolition and new building co</w:t>
            </w:r>
            <w:r>
              <w:rPr>
                <w:rFonts w:cs="Calibri"/>
                <w:sz w:val="14"/>
                <w:szCs w:val="18"/>
                <w:lang w:val="en-US" w:eastAsia="es-ES"/>
              </w:rPr>
              <w:t>n</w:t>
            </w:r>
            <w:r w:rsidRPr="00D5206D">
              <w:rPr>
                <w:rFonts w:cs="Calibri"/>
                <w:sz w:val="14"/>
                <w:szCs w:val="18"/>
                <w:lang w:val="en-US" w:eastAsia="es-ES"/>
              </w:rPr>
              <w:t>struction.</w:t>
            </w:r>
          </w:p>
        </w:tc>
        <w:tc>
          <w:tcPr>
            <w:tcW w:w="851" w:type="dxa"/>
            <w:tcBorders>
              <w:top w:val="single" w:sz="12" w:space="0" w:color="FFFFFF" w:themeColor="background1"/>
              <w:left w:val="single" w:sz="8" w:space="0" w:color="BFBFBF" w:themeColor="background1" w:themeShade="BF"/>
              <w:bottom w:val="single" w:sz="4" w:space="0" w:color="BFBFBF"/>
              <w:right w:val="single" w:sz="4" w:space="0" w:color="BFBFBF"/>
            </w:tcBorders>
            <w:shd w:val="clear" w:color="auto" w:fill="auto"/>
            <w:hideMark/>
          </w:tcPr>
          <w:p w14:paraId="3527B175"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0,50</w:t>
            </w:r>
          </w:p>
        </w:tc>
        <w:tc>
          <w:tcPr>
            <w:tcW w:w="567" w:type="dxa"/>
            <w:tcBorders>
              <w:top w:val="single" w:sz="12" w:space="0" w:color="FFFFFF" w:themeColor="background1"/>
              <w:left w:val="nil"/>
              <w:bottom w:val="single" w:sz="4" w:space="0" w:color="BFBFBF"/>
              <w:right w:val="single" w:sz="4" w:space="0" w:color="BFBFBF"/>
            </w:tcBorders>
            <w:shd w:val="clear" w:color="auto" w:fill="auto"/>
            <w:noWrap/>
            <w:hideMark/>
          </w:tcPr>
          <w:p w14:paraId="4ECF9EEF"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0,40</w:t>
            </w:r>
          </w:p>
        </w:tc>
        <w:tc>
          <w:tcPr>
            <w:tcW w:w="859" w:type="dxa"/>
            <w:tcBorders>
              <w:top w:val="single" w:sz="12" w:space="0" w:color="FFFFFF" w:themeColor="background1"/>
              <w:left w:val="nil"/>
              <w:bottom w:val="single" w:sz="4" w:space="0" w:color="BFBFBF"/>
              <w:right w:val="single" w:sz="4" w:space="0" w:color="BFBFBF"/>
            </w:tcBorders>
            <w:shd w:val="clear" w:color="auto" w:fill="auto"/>
            <w:hideMark/>
          </w:tcPr>
          <w:p w14:paraId="0E1110F7"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1.215.667</w:t>
            </w:r>
          </w:p>
        </w:tc>
        <w:tc>
          <w:tcPr>
            <w:tcW w:w="2259" w:type="dxa"/>
            <w:tcBorders>
              <w:top w:val="single" w:sz="12" w:space="0" w:color="FFFFFF" w:themeColor="background1"/>
              <w:left w:val="nil"/>
              <w:bottom w:val="single" w:sz="4" w:space="0" w:color="BFBFBF"/>
              <w:right w:val="single" w:sz="4" w:space="0" w:color="BFBFBF"/>
            </w:tcBorders>
            <w:shd w:val="clear" w:color="auto" w:fill="auto"/>
          </w:tcPr>
          <w:p w14:paraId="3FC49AEA" w14:textId="77777777" w:rsidR="009E55E3" w:rsidRPr="00D5206D" w:rsidRDefault="009E55E3" w:rsidP="00CB733B">
            <w:pPr>
              <w:rPr>
                <w:rFonts w:cs="Calibri"/>
                <w:sz w:val="14"/>
                <w:szCs w:val="18"/>
                <w:lang w:val="en-US" w:eastAsia="es-ES"/>
              </w:rPr>
            </w:pPr>
            <w:r>
              <w:rPr>
                <w:rFonts w:cs="Calibri"/>
                <w:sz w:val="14"/>
                <w:szCs w:val="18"/>
                <w:lang w:val="en-US" w:eastAsia="es-ES"/>
              </w:rPr>
              <w:t>Amount to cover expenses for the implementation of UN-MOSS requirements in a rented conference facility.</w:t>
            </w:r>
          </w:p>
        </w:tc>
      </w:tr>
      <w:tr w:rsidR="009E55E3" w:rsidRPr="00D5206D" w14:paraId="46007092" w14:textId="77777777" w:rsidTr="009E55E3">
        <w:trPr>
          <w:trHeight w:val="198"/>
          <w:jc w:val="center"/>
        </w:trPr>
        <w:tc>
          <w:tcPr>
            <w:tcW w:w="2127" w:type="dxa"/>
            <w:gridSpan w:val="2"/>
            <w:tcBorders>
              <w:top w:val="nil"/>
              <w:left w:val="single" w:sz="4" w:space="0" w:color="BFBFBF"/>
              <w:bottom w:val="single" w:sz="4" w:space="0" w:color="BFBFBF"/>
              <w:right w:val="single" w:sz="4" w:space="0" w:color="BFBFBF"/>
            </w:tcBorders>
            <w:shd w:val="clear" w:color="auto" w:fill="D9D9D9" w:themeFill="background1" w:themeFillShade="D9"/>
          </w:tcPr>
          <w:p w14:paraId="32D69FBC" w14:textId="77777777" w:rsidR="009E55E3" w:rsidRPr="00D5206D" w:rsidRDefault="009E55E3" w:rsidP="00CB733B">
            <w:pPr>
              <w:rPr>
                <w:rFonts w:cs="Calibri"/>
                <w:sz w:val="14"/>
                <w:szCs w:val="18"/>
                <w:lang w:val="en-US" w:eastAsia="es-ES"/>
              </w:rPr>
            </w:pPr>
            <w:r>
              <w:rPr>
                <w:rFonts w:cs="Calibri"/>
                <w:b/>
                <w:bCs/>
                <w:color w:val="000000"/>
                <w:sz w:val="20"/>
                <w:lang w:val="en-US" w:eastAsia="es-ES"/>
              </w:rPr>
              <w:t>COVID-19</w:t>
            </w:r>
          </w:p>
        </w:tc>
        <w:tc>
          <w:tcPr>
            <w:tcW w:w="1984" w:type="dxa"/>
            <w:tcBorders>
              <w:top w:val="nil"/>
              <w:left w:val="nil"/>
              <w:bottom w:val="single" w:sz="8" w:space="0" w:color="BFBFBF"/>
              <w:right w:val="nil"/>
            </w:tcBorders>
            <w:shd w:val="clear" w:color="auto" w:fill="D9D9D9" w:themeFill="background1" w:themeFillShade="D9"/>
          </w:tcPr>
          <w:p w14:paraId="6EBAACF6" w14:textId="77777777" w:rsidR="009E55E3" w:rsidRPr="00D5206D" w:rsidRDefault="009E55E3" w:rsidP="00CB733B">
            <w:pPr>
              <w:jc w:val="center"/>
              <w:rPr>
                <w:rFonts w:cs="Calibri"/>
                <w:sz w:val="14"/>
                <w:szCs w:val="18"/>
                <w:lang w:val="en-US" w:eastAsia="es-ES"/>
              </w:rPr>
            </w:pPr>
          </w:p>
        </w:tc>
        <w:tc>
          <w:tcPr>
            <w:tcW w:w="2268" w:type="dxa"/>
            <w:tcBorders>
              <w:top w:val="nil"/>
              <w:left w:val="nil"/>
              <w:bottom w:val="single" w:sz="8" w:space="0" w:color="BFBFBF"/>
              <w:right w:val="nil"/>
            </w:tcBorders>
            <w:shd w:val="clear" w:color="auto" w:fill="D9D9D9" w:themeFill="background1" w:themeFillShade="D9"/>
          </w:tcPr>
          <w:p w14:paraId="0A8A4604" w14:textId="77777777" w:rsidR="009E55E3" w:rsidRPr="00D5206D" w:rsidRDefault="009E55E3" w:rsidP="00CB733B">
            <w:pPr>
              <w:jc w:val="center"/>
              <w:rPr>
                <w:rFonts w:cs="Calibri"/>
                <w:sz w:val="14"/>
                <w:szCs w:val="18"/>
                <w:lang w:val="en-US" w:eastAsia="es-ES"/>
              </w:rPr>
            </w:pPr>
          </w:p>
        </w:tc>
        <w:tc>
          <w:tcPr>
            <w:tcW w:w="851" w:type="dxa"/>
            <w:tcBorders>
              <w:top w:val="nil"/>
              <w:left w:val="nil"/>
              <w:bottom w:val="single" w:sz="4" w:space="0" w:color="BFBFBF"/>
              <w:right w:val="single" w:sz="4" w:space="0" w:color="BFBFBF"/>
            </w:tcBorders>
            <w:shd w:val="clear" w:color="auto" w:fill="D9D9D9" w:themeFill="background1" w:themeFillShade="D9"/>
          </w:tcPr>
          <w:p w14:paraId="75ACC99D" w14:textId="77777777" w:rsidR="009E55E3" w:rsidRPr="00D5206D" w:rsidRDefault="009E55E3" w:rsidP="00CB733B">
            <w:pPr>
              <w:jc w:val="center"/>
              <w:rPr>
                <w:rFonts w:cs="Calibri"/>
                <w:sz w:val="14"/>
                <w:szCs w:val="18"/>
                <w:lang w:val="en-US" w:eastAsia="es-ES"/>
              </w:rPr>
            </w:pPr>
          </w:p>
        </w:tc>
        <w:tc>
          <w:tcPr>
            <w:tcW w:w="567" w:type="dxa"/>
            <w:tcBorders>
              <w:top w:val="nil"/>
              <w:left w:val="nil"/>
              <w:bottom w:val="single" w:sz="4" w:space="0" w:color="BFBFBF"/>
              <w:right w:val="single" w:sz="4" w:space="0" w:color="BFBFBF"/>
            </w:tcBorders>
            <w:shd w:val="clear" w:color="auto" w:fill="D9D9D9" w:themeFill="background1" w:themeFillShade="D9"/>
            <w:noWrap/>
          </w:tcPr>
          <w:p w14:paraId="00BF74CA" w14:textId="77777777" w:rsidR="009E55E3" w:rsidRPr="00D5206D" w:rsidRDefault="009E55E3" w:rsidP="00CB733B">
            <w:pPr>
              <w:jc w:val="center"/>
              <w:rPr>
                <w:rFonts w:cs="Calibri"/>
                <w:sz w:val="14"/>
                <w:szCs w:val="18"/>
                <w:lang w:val="en-US" w:eastAsia="es-ES"/>
              </w:rPr>
            </w:pPr>
          </w:p>
        </w:tc>
        <w:tc>
          <w:tcPr>
            <w:tcW w:w="859" w:type="dxa"/>
            <w:tcBorders>
              <w:top w:val="nil"/>
              <w:left w:val="nil"/>
              <w:bottom w:val="single" w:sz="4" w:space="0" w:color="BFBFBF"/>
              <w:right w:val="single" w:sz="4" w:space="0" w:color="BFBFBF"/>
            </w:tcBorders>
            <w:shd w:val="clear" w:color="auto" w:fill="D9D9D9" w:themeFill="background1" w:themeFillShade="D9"/>
          </w:tcPr>
          <w:p w14:paraId="4BF01A76" w14:textId="77777777" w:rsidR="009E55E3" w:rsidRPr="00D5206D" w:rsidRDefault="009E55E3" w:rsidP="00CB733B">
            <w:pPr>
              <w:jc w:val="center"/>
              <w:rPr>
                <w:rFonts w:cs="Calibri"/>
                <w:sz w:val="14"/>
                <w:szCs w:val="18"/>
                <w:lang w:val="en-US" w:eastAsia="es-ES"/>
              </w:rPr>
            </w:pPr>
          </w:p>
        </w:tc>
        <w:tc>
          <w:tcPr>
            <w:tcW w:w="2259" w:type="dxa"/>
            <w:tcBorders>
              <w:top w:val="nil"/>
              <w:left w:val="nil"/>
              <w:bottom w:val="single" w:sz="4" w:space="0" w:color="BFBFBF"/>
              <w:right w:val="single" w:sz="4" w:space="0" w:color="BFBFBF"/>
            </w:tcBorders>
            <w:shd w:val="clear" w:color="auto" w:fill="D9D9D9" w:themeFill="background1" w:themeFillShade="D9"/>
          </w:tcPr>
          <w:p w14:paraId="5533F9BB" w14:textId="77777777" w:rsidR="009E55E3" w:rsidRPr="00D5206D" w:rsidRDefault="009E55E3" w:rsidP="00CB733B">
            <w:pPr>
              <w:rPr>
                <w:rFonts w:cs="Calibri"/>
                <w:sz w:val="14"/>
                <w:szCs w:val="18"/>
                <w:lang w:val="en-US" w:eastAsia="es-ES"/>
              </w:rPr>
            </w:pPr>
          </w:p>
        </w:tc>
      </w:tr>
      <w:tr w:rsidR="009E55E3" w:rsidRPr="00D5206D" w14:paraId="0D4CBF7C" w14:textId="77777777" w:rsidTr="009E55E3">
        <w:trPr>
          <w:trHeight w:val="480"/>
          <w:jc w:val="center"/>
        </w:trPr>
        <w:tc>
          <w:tcPr>
            <w:tcW w:w="436" w:type="dxa"/>
            <w:tcBorders>
              <w:top w:val="nil"/>
              <w:left w:val="single" w:sz="4" w:space="0" w:color="BFBFBF"/>
              <w:bottom w:val="single" w:sz="4" w:space="0" w:color="BFBFBF"/>
              <w:right w:val="single" w:sz="4" w:space="0" w:color="BFBFBF"/>
            </w:tcBorders>
            <w:shd w:val="clear" w:color="000000" w:fill="FFFFFF"/>
            <w:hideMark/>
          </w:tcPr>
          <w:p w14:paraId="19EB71A0"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0034</w:t>
            </w:r>
          </w:p>
        </w:tc>
        <w:tc>
          <w:tcPr>
            <w:tcW w:w="1691" w:type="dxa"/>
            <w:tcBorders>
              <w:top w:val="nil"/>
              <w:left w:val="nil"/>
              <w:bottom w:val="single" w:sz="4" w:space="0" w:color="BFBFBF"/>
              <w:right w:val="single" w:sz="4" w:space="0" w:color="BFBFBF"/>
            </w:tcBorders>
            <w:shd w:val="clear" w:color="auto" w:fill="auto"/>
            <w:hideMark/>
          </w:tcPr>
          <w:p w14:paraId="7872BFC5"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Additional cost for staff relocation during demolition and construction phase.</w:t>
            </w:r>
          </w:p>
        </w:tc>
        <w:tc>
          <w:tcPr>
            <w:tcW w:w="1984" w:type="dxa"/>
            <w:tcBorders>
              <w:top w:val="single" w:sz="8" w:space="0" w:color="BFBFBF"/>
              <w:left w:val="nil"/>
              <w:bottom w:val="single" w:sz="8" w:space="0" w:color="BFBFBF"/>
              <w:right w:val="single" w:sz="8" w:space="0" w:color="BFBFBF"/>
            </w:tcBorders>
          </w:tcPr>
          <w:p w14:paraId="6533CEB1" w14:textId="77777777" w:rsidR="009E55E3" w:rsidRPr="00205E02" w:rsidRDefault="009E55E3" w:rsidP="00CB733B">
            <w:pPr>
              <w:rPr>
                <w:rFonts w:cs="Calibri"/>
                <w:sz w:val="14"/>
                <w:szCs w:val="18"/>
                <w:lang w:val="en-US" w:eastAsia="es-ES"/>
              </w:rPr>
            </w:pPr>
            <w:r w:rsidRPr="00205E02">
              <w:rPr>
                <w:rFonts w:cs="Calibri"/>
                <w:sz w:val="14"/>
                <w:szCs w:val="18"/>
                <w:lang w:val="en-US" w:eastAsia="es-ES"/>
              </w:rPr>
              <w:t>Insufficient space for one desk for each staff member maintaining social distancing.</w:t>
            </w:r>
          </w:p>
          <w:p w14:paraId="0F8D4C52" w14:textId="77777777" w:rsidR="009E55E3" w:rsidRPr="00D5206D" w:rsidRDefault="009E55E3" w:rsidP="00CB733B">
            <w:pPr>
              <w:rPr>
                <w:rFonts w:cs="Calibri"/>
                <w:sz w:val="14"/>
                <w:szCs w:val="18"/>
                <w:lang w:val="en-US" w:eastAsia="es-ES"/>
              </w:rPr>
            </w:pPr>
          </w:p>
        </w:tc>
        <w:tc>
          <w:tcPr>
            <w:tcW w:w="2268" w:type="dxa"/>
            <w:tcBorders>
              <w:top w:val="single" w:sz="8" w:space="0" w:color="BFBFBF"/>
              <w:left w:val="single" w:sz="8" w:space="0" w:color="BFBFBF"/>
              <w:bottom w:val="single" w:sz="8" w:space="0" w:color="BFBFBF"/>
              <w:right w:val="single" w:sz="4" w:space="0" w:color="BFBFBF"/>
            </w:tcBorders>
          </w:tcPr>
          <w:p w14:paraId="3AB5AE78"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Implement unassigned desk policy</w:t>
            </w:r>
            <w:r>
              <w:rPr>
                <w:rFonts w:cs="Calibri"/>
                <w:sz w:val="14"/>
                <w:szCs w:val="18"/>
                <w:lang w:val="en-US" w:eastAsia="es-ES"/>
              </w:rPr>
              <w:t xml:space="preserve"> and teleworking.</w:t>
            </w:r>
          </w:p>
        </w:tc>
        <w:tc>
          <w:tcPr>
            <w:tcW w:w="851" w:type="dxa"/>
            <w:tcBorders>
              <w:top w:val="nil"/>
              <w:left w:val="single" w:sz="4" w:space="0" w:color="BFBFBF"/>
              <w:bottom w:val="single" w:sz="4" w:space="0" w:color="BFBFBF"/>
              <w:right w:val="single" w:sz="4" w:space="0" w:color="BFBFBF"/>
            </w:tcBorders>
            <w:shd w:val="clear" w:color="auto" w:fill="auto"/>
            <w:hideMark/>
          </w:tcPr>
          <w:p w14:paraId="66F312C6"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0,50</w:t>
            </w:r>
          </w:p>
        </w:tc>
        <w:tc>
          <w:tcPr>
            <w:tcW w:w="567" w:type="dxa"/>
            <w:tcBorders>
              <w:top w:val="nil"/>
              <w:left w:val="nil"/>
              <w:bottom w:val="single" w:sz="4" w:space="0" w:color="BFBFBF"/>
              <w:right w:val="single" w:sz="4" w:space="0" w:color="BFBFBF"/>
            </w:tcBorders>
            <w:shd w:val="clear" w:color="auto" w:fill="auto"/>
            <w:noWrap/>
            <w:hideMark/>
          </w:tcPr>
          <w:p w14:paraId="16242653"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0,40</w:t>
            </w:r>
          </w:p>
        </w:tc>
        <w:tc>
          <w:tcPr>
            <w:tcW w:w="859" w:type="dxa"/>
            <w:tcBorders>
              <w:top w:val="nil"/>
              <w:left w:val="nil"/>
              <w:bottom w:val="single" w:sz="4" w:space="0" w:color="BFBFBF"/>
              <w:right w:val="single" w:sz="4" w:space="0" w:color="BFBFBF"/>
            </w:tcBorders>
            <w:shd w:val="clear" w:color="auto" w:fill="auto"/>
            <w:hideMark/>
          </w:tcPr>
          <w:p w14:paraId="03DF0351"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2.966.667</w:t>
            </w:r>
          </w:p>
        </w:tc>
        <w:tc>
          <w:tcPr>
            <w:tcW w:w="2259" w:type="dxa"/>
            <w:tcBorders>
              <w:top w:val="nil"/>
              <w:left w:val="nil"/>
              <w:bottom w:val="single" w:sz="4" w:space="0" w:color="BFBFBF"/>
              <w:right w:val="single" w:sz="4" w:space="0" w:color="BFBFBF"/>
            </w:tcBorders>
            <w:shd w:val="clear" w:color="auto" w:fill="auto"/>
          </w:tcPr>
          <w:p w14:paraId="1D8EE0A4" w14:textId="77777777" w:rsidR="009E55E3" w:rsidRPr="00D5206D" w:rsidRDefault="009E55E3" w:rsidP="00CB733B">
            <w:pPr>
              <w:rPr>
                <w:rFonts w:cs="Calibri"/>
                <w:sz w:val="14"/>
                <w:szCs w:val="18"/>
                <w:lang w:val="en-US" w:eastAsia="es-ES"/>
              </w:rPr>
            </w:pPr>
            <w:r>
              <w:rPr>
                <w:rFonts w:cs="Calibri"/>
                <w:sz w:val="14"/>
                <w:szCs w:val="18"/>
                <w:lang w:val="en-US" w:eastAsia="es-ES"/>
              </w:rPr>
              <w:t>Weighted average, a</w:t>
            </w:r>
            <w:r w:rsidRPr="00205E02">
              <w:rPr>
                <w:rFonts w:cs="Calibri"/>
                <w:sz w:val="14"/>
                <w:szCs w:val="18"/>
                <w:lang w:val="en-US" w:eastAsia="es-ES"/>
              </w:rPr>
              <w:t xml:space="preserve">mount foreseen for </w:t>
            </w:r>
            <w:r>
              <w:rPr>
                <w:rFonts w:cs="Calibri"/>
                <w:sz w:val="14"/>
                <w:szCs w:val="18"/>
                <w:lang w:val="en-US" w:eastAsia="es-ES"/>
              </w:rPr>
              <w:t xml:space="preserve">the </w:t>
            </w:r>
            <w:r w:rsidRPr="00205E02">
              <w:rPr>
                <w:rFonts w:cs="Calibri"/>
                <w:sz w:val="14"/>
                <w:szCs w:val="18"/>
                <w:lang w:val="en-US" w:eastAsia="es-ES"/>
              </w:rPr>
              <w:t>move and (temporary) relocation of staff</w:t>
            </w:r>
            <w:r>
              <w:rPr>
                <w:rFonts w:cs="Calibri"/>
                <w:sz w:val="14"/>
                <w:szCs w:val="18"/>
                <w:lang w:val="en-US" w:eastAsia="es-ES"/>
              </w:rPr>
              <w:t>.</w:t>
            </w:r>
          </w:p>
        </w:tc>
      </w:tr>
      <w:tr w:rsidR="009E55E3" w:rsidRPr="00D5206D" w14:paraId="6FC2594F" w14:textId="77777777" w:rsidTr="009E55E3">
        <w:trPr>
          <w:trHeight w:val="1083"/>
          <w:jc w:val="center"/>
        </w:trPr>
        <w:tc>
          <w:tcPr>
            <w:tcW w:w="436" w:type="dxa"/>
            <w:tcBorders>
              <w:top w:val="nil"/>
              <w:left w:val="single" w:sz="4" w:space="0" w:color="BFBFBF"/>
              <w:bottom w:val="single" w:sz="4" w:space="0" w:color="BFBFBF"/>
              <w:right w:val="single" w:sz="4" w:space="0" w:color="BFBFBF"/>
            </w:tcBorders>
            <w:shd w:val="clear" w:color="auto" w:fill="auto"/>
            <w:hideMark/>
          </w:tcPr>
          <w:p w14:paraId="545AAB99"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0092</w:t>
            </w:r>
          </w:p>
        </w:tc>
        <w:tc>
          <w:tcPr>
            <w:tcW w:w="1691" w:type="dxa"/>
            <w:tcBorders>
              <w:top w:val="nil"/>
              <w:left w:val="nil"/>
              <w:bottom w:val="single" w:sz="4" w:space="0" w:color="BFBFBF"/>
              <w:right w:val="single" w:sz="4" w:space="0" w:color="BFBFBF"/>
            </w:tcBorders>
            <w:shd w:val="clear" w:color="000000" w:fill="FFFFFF"/>
            <w:hideMark/>
          </w:tcPr>
          <w:p w14:paraId="3575E539"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Unknown impact of COVID-19 Pandemic on estimated schedule for the building project.</w:t>
            </w:r>
          </w:p>
        </w:tc>
        <w:tc>
          <w:tcPr>
            <w:tcW w:w="1984" w:type="dxa"/>
            <w:tcBorders>
              <w:top w:val="single" w:sz="8" w:space="0" w:color="BFBFBF"/>
              <w:left w:val="nil"/>
              <w:bottom w:val="single" w:sz="8" w:space="0" w:color="BFBFBF"/>
              <w:right w:val="single" w:sz="8" w:space="0" w:color="BFBFBF"/>
            </w:tcBorders>
            <w:shd w:val="clear" w:color="000000" w:fill="FFFFFF"/>
          </w:tcPr>
          <w:p w14:paraId="06E790FB" w14:textId="77777777" w:rsidR="009E55E3" w:rsidRPr="00D5206D" w:rsidRDefault="009E55E3" w:rsidP="00CB733B">
            <w:pPr>
              <w:rPr>
                <w:rFonts w:cs="Calibri"/>
                <w:sz w:val="14"/>
                <w:szCs w:val="18"/>
                <w:lang w:val="en-US" w:eastAsia="es-ES"/>
              </w:rPr>
            </w:pPr>
            <w:r w:rsidRPr="00205E02">
              <w:rPr>
                <w:rFonts w:cs="Calibri"/>
                <w:sz w:val="14"/>
                <w:szCs w:val="18"/>
                <w:lang w:val="en-US" w:eastAsia="es-ES"/>
              </w:rPr>
              <w:t>Unpredictable Pandemic</w:t>
            </w:r>
          </w:p>
        </w:tc>
        <w:tc>
          <w:tcPr>
            <w:tcW w:w="2268" w:type="dxa"/>
            <w:tcBorders>
              <w:top w:val="single" w:sz="8" w:space="0" w:color="BFBFBF"/>
              <w:left w:val="single" w:sz="8" w:space="0" w:color="BFBFBF"/>
              <w:bottom w:val="single" w:sz="8" w:space="0" w:color="BFBFBF"/>
              <w:right w:val="single" w:sz="4" w:space="0" w:color="BFBFBF"/>
            </w:tcBorders>
            <w:shd w:val="clear" w:color="000000" w:fill="FFFFFF"/>
          </w:tcPr>
          <w:p w14:paraId="7CB1956B"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Establish</w:t>
            </w:r>
            <w:r>
              <w:rPr>
                <w:rFonts w:cs="Calibri"/>
                <w:sz w:val="14"/>
                <w:szCs w:val="18"/>
                <w:lang w:val="en-US" w:eastAsia="es-ES"/>
              </w:rPr>
              <w:t xml:space="preserve"> and quantify </w:t>
            </w:r>
            <w:r w:rsidRPr="00D5206D">
              <w:rPr>
                <w:rFonts w:cs="Calibri"/>
                <w:sz w:val="14"/>
                <w:szCs w:val="18"/>
                <w:lang w:val="en-US" w:eastAsia="es-ES"/>
              </w:rPr>
              <w:t>mitigation measures</w:t>
            </w:r>
            <w:r>
              <w:rPr>
                <w:rFonts w:cs="Calibri"/>
                <w:sz w:val="14"/>
                <w:szCs w:val="18"/>
                <w:lang w:val="en-US" w:eastAsia="es-ES"/>
              </w:rPr>
              <w:t>.</w:t>
            </w:r>
            <w:r w:rsidRPr="00D5206D">
              <w:rPr>
                <w:rFonts w:cs="Calibri"/>
                <w:sz w:val="14"/>
                <w:szCs w:val="18"/>
                <w:lang w:val="en-US" w:eastAsia="es-ES"/>
              </w:rPr>
              <w:br/>
            </w:r>
            <w:r w:rsidRPr="00D5206D">
              <w:rPr>
                <w:rFonts w:cs="Calibri"/>
                <w:sz w:val="14"/>
                <w:szCs w:val="18"/>
                <w:lang w:val="en-US" w:eastAsia="es-ES"/>
              </w:rPr>
              <w:br/>
              <w:t>Include best practices implemented in other organizations and private sector.</w:t>
            </w:r>
          </w:p>
        </w:tc>
        <w:tc>
          <w:tcPr>
            <w:tcW w:w="851" w:type="dxa"/>
            <w:tcBorders>
              <w:top w:val="nil"/>
              <w:left w:val="single" w:sz="4" w:space="0" w:color="BFBFBF"/>
              <w:bottom w:val="single" w:sz="4" w:space="0" w:color="BFBFBF"/>
              <w:right w:val="single" w:sz="4" w:space="0" w:color="BFBFBF"/>
            </w:tcBorders>
            <w:shd w:val="clear" w:color="000000" w:fill="FFFFFF"/>
            <w:hideMark/>
          </w:tcPr>
          <w:p w14:paraId="43BE1877"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0,70</w:t>
            </w:r>
          </w:p>
        </w:tc>
        <w:tc>
          <w:tcPr>
            <w:tcW w:w="567" w:type="dxa"/>
            <w:tcBorders>
              <w:top w:val="nil"/>
              <w:left w:val="nil"/>
              <w:bottom w:val="single" w:sz="4" w:space="0" w:color="BFBFBF"/>
              <w:right w:val="single" w:sz="4" w:space="0" w:color="BFBFBF"/>
            </w:tcBorders>
            <w:shd w:val="clear" w:color="000000" w:fill="FFFFFF"/>
            <w:noWrap/>
            <w:hideMark/>
          </w:tcPr>
          <w:p w14:paraId="6EBD6AF7"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0,40</w:t>
            </w:r>
          </w:p>
        </w:tc>
        <w:tc>
          <w:tcPr>
            <w:tcW w:w="859" w:type="dxa"/>
            <w:tcBorders>
              <w:top w:val="nil"/>
              <w:left w:val="nil"/>
              <w:bottom w:val="single" w:sz="4" w:space="0" w:color="BFBFBF"/>
              <w:right w:val="single" w:sz="4" w:space="0" w:color="BFBFBF"/>
            </w:tcBorders>
            <w:shd w:val="clear" w:color="auto" w:fill="auto"/>
            <w:hideMark/>
          </w:tcPr>
          <w:p w14:paraId="73BD687C" w14:textId="77777777" w:rsidR="009E55E3" w:rsidRPr="00D5206D" w:rsidRDefault="009E55E3" w:rsidP="00CB733B">
            <w:pPr>
              <w:jc w:val="center"/>
              <w:rPr>
                <w:rFonts w:cs="Calibri"/>
                <w:sz w:val="14"/>
                <w:szCs w:val="18"/>
                <w:lang w:val="en-US" w:eastAsia="es-ES"/>
              </w:rPr>
            </w:pPr>
            <w:r>
              <w:rPr>
                <w:rFonts w:cs="Calibri"/>
                <w:sz w:val="14"/>
                <w:szCs w:val="18"/>
                <w:lang w:val="en-US" w:eastAsia="es-ES"/>
              </w:rPr>
              <w:t>1.572.583</w:t>
            </w:r>
          </w:p>
        </w:tc>
        <w:tc>
          <w:tcPr>
            <w:tcW w:w="2259" w:type="dxa"/>
            <w:tcBorders>
              <w:top w:val="nil"/>
              <w:left w:val="nil"/>
              <w:bottom w:val="single" w:sz="4" w:space="0" w:color="BFBFBF"/>
              <w:right w:val="single" w:sz="4" w:space="0" w:color="BFBFBF"/>
            </w:tcBorders>
            <w:shd w:val="clear" w:color="000000" w:fill="FFFFFF"/>
          </w:tcPr>
          <w:p w14:paraId="445E4679" w14:textId="77777777" w:rsidR="009E55E3" w:rsidRPr="00D5206D" w:rsidRDefault="009E55E3" w:rsidP="00CB733B">
            <w:pPr>
              <w:rPr>
                <w:rFonts w:cs="Calibri"/>
                <w:sz w:val="14"/>
                <w:szCs w:val="18"/>
                <w:lang w:val="en-US" w:eastAsia="es-ES"/>
              </w:rPr>
            </w:pPr>
            <w:r w:rsidRPr="00C45D84">
              <w:rPr>
                <w:rFonts w:cs="Calibri"/>
                <w:sz w:val="14"/>
                <w:szCs w:val="18"/>
                <w:lang w:val="en-US" w:eastAsia="es-ES"/>
              </w:rPr>
              <w:t>Implementation of mitigation measures according to the current C</w:t>
            </w:r>
            <w:r>
              <w:rPr>
                <w:rFonts w:cs="Calibri"/>
                <w:sz w:val="14"/>
                <w:szCs w:val="18"/>
                <w:lang w:val="en-US" w:eastAsia="es-ES"/>
              </w:rPr>
              <w:t>OVID-1</w:t>
            </w:r>
            <w:r w:rsidRPr="00C45D84">
              <w:rPr>
                <w:rFonts w:cs="Calibri"/>
                <w:sz w:val="14"/>
                <w:szCs w:val="18"/>
                <w:lang w:val="en-US" w:eastAsia="es-ES"/>
              </w:rPr>
              <w:t>9 protocol</w:t>
            </w:r>
            <w:r>
              <w:rPr>
                <w:rFonts w:cs="Calibri"/>
                <w:sz w:val="14"/>
                <w:szCs w:val="18"/>
                <w:lang w:val="en-US" w:eastAsia="es-ES"/>
              </w:rPr>
              <w:t>.</w:t>
            </w:r>
          </w:p>
        </w:tc>
      </w:tr>
      <w:tr w:rsidR="009E55E3" w:rsidRPr="00D5206D" w14:paraId="6413CCD2" w14:textId="77777777" w:rsidTr="009E55E3">
        <w:trPr>
          <w:trHeight w:val="480"/>
          <w:jc w:val="center"/>
        </w:trPr>
        <w:tc>
          <w:tcPr>
            <w:tcW w:w="436" w:type="dxa"/>
            <w:tcBorders>
              <w:top w:val="nil"/>
              <w:left w:val="single" w:sz="4" w:space="0" w:color="BFBFBF"/>
              <w:bottom w:val="single" w:sz="4" w:space="0" w:color="BFBFBF"/>
              <w:right w:val="single" w:sz="4" w:space="0" w:color="BFBFBF"/>
            </w:tcBorders>
            <w:shd w:val="clear" w:color="auto" w:fill="auto"/>
            <w:hideMark/>
          </w:tcPr>
          <w:p w14:paraId="0DE9253C"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0094</w:t>
            </w:r>
          </w:p>
        </w:tc>
        <w:tc>
          <w:tcPr>
            <w:tcW w:w="1691" w:type="dxa"/>
            <w:tcBorders>
              <w:top w:val="nil"/>
              <w:left w:val="nil"/>
              <w:bottom w:val="single" w:sz="4" w:space="0" w:color="BFBFBF"/>
              <w:right w:val="single" w:sz="4" w:space="0" w:color="BFBFBF"/>
            </w:tcBorders>
            <w:shd w:val="clear" w:color="auto" w:fill="auto"/>
            <w:hideMark/>
          </w:tcPr>
          <w:p w14:paraId="44463A40"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Staff acceptance of the Office layout post COVID-19</w:t>
            </w:r>
          </w:p>
        </w:tc>
        <w:tc>
          <w:tcPr>
            <w:tcW w:w="1984" w:type="dxa"/>
            <w:tcBorders>
              <w:top w:val="single" w:sz="8" w:space="0" w:color="BFBFBF"/>
              <w:left w:val="nil"/>
              <w:bottom w:val="single" w:sz="4" w:space="0" w:color="BFBFBF"/>
              <w:right w:val="single" w:sz="8" w:space="0" w:color="BFBFBF"/>
            </w:tcBorders>
          </w:tcPr>
          <w:p w14:paraId="55357FB7" w14:textId="77777777" w:rsidR="009E55E3" w:rsidRPr="00D5206D" w:rsidRDefault="009E55E3" w:rsidP="00CB733B">
            <w:pPr>
              <w:rPr>
                <w:rFonts w:cs="Calibri"/>
                <w:sz w:val="14"/>
                <w:szCs w:val="18"/>
                <w:lang w:val="en-US" w:eastAsia="es-ES"/>
              </w:rPr>
            </w:pPr>
            <w:r w:rsidRPr="00205E02">
              <w:rPr>
                <w:rFonts w:cs="Calibri"/>
                <w:sz w:val="14"/>
                <w:szCs w:val="18"/>
                <w:lang w:val="en-US" w:eastAsia="es-ES"/>
              </w:rPr>
              <w:t>Awareness of diseases spread</w:t>
            </w:r>
          </w:p>
        </w:tc>
        <w:tc>
          <w:tcPr>
            <w:tcW w:w="2268" w:type="dxa"/>
            <w:tcBorders>
              <w:top w:val="single" w:sz="8" w:space="0" w:color="BFBFBF"/>
              <w:left w:val="single" w:sz="8" w:space="0" w:color="BFBFBF"/>
              <w:bottom w:val="single" w:sz="4" w:space="0" w:color="BFBFBF"/>
              <w:right w:val="single" w:sz="4" w:space="0" w:color="BFBFBF"/>
            </w:tcBorders>
          </w:tcPr>
          <w:p w14:paraId="007180DA"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Appropriate communication based on evidence and management decisions</w:t>
            </w:r>
            <w:r>
              <w:rPr>
                <w:rFonts w:cs="Calibri"/>
                <w:sz w:val="14"/>
                <w:szCs w:val="18"/>
                <w:lang w:val="en-US" w:eastAsia="es-ES"/>
              </w:rPr>
              <w:t>.</w:t>
            </w:r>
          </w:p>
        </w:tc>
        <w:tc>
          <w:tcPr>
            <w:tcW w:w="851" w:type="dxa"/>
            <w:tcBorders>
              <w:top w:val="nil"/>
              <w:left w:val="single" w:sz="4" w:space="0" w:color="BFBFBF"/>
              <w:bottom w:val="single" w:sz="4" w:space="0" w:color="BFBFBF"/>
              <w:right w:val="single" w:sz="4" w:space="0" w:color="BFBFBF"/>
            </w:tcBorders>
            <w:shd w:val="clear" w:color="auto" w:fill="auto"/>
            <w:hideMark/>
          </w:tcPr>
          <w:p w14:paraId="1D68D7DB"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0,50</w:t>
            </w:r>
          </w:p>
        </w:tc>
        <w:tc>
          <w:tcPr>
            <w:tcW w:w="567" w:type="dxa"/>
            <w:tcBorders>
              <w:top w:val="nil"/>
              <w:left w:val="nil"/>
              <w:bottom w:val="single" w:sz="4" w:space="0" w:color="BFBFBF"/>
              <w:right w:val="single" w:sz="4" w:space="0" w:color="BFBFBF"/>
            </w:tcBorders>
            <w:shd w:val="clear" w:color="auto" w:fill="auto"/>
            <w:noWrap/>
            <w:hideMark/>
          </w:tcPr>
          <w:p w14:paraId="5A2DA9ED"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0,40</w:t>
            </w:r>
          </w:p>
        </w:tc>
        <w:tc>
          <w:tcPr>
            <w:tcW w:w="859" w:type="dxa"/>
            <w:tcBorders>
              <w:top w:val="nil"/>
              <w:left w:val="nil"/>
              <w:bottom w:val="single" w:sz="4" w:space="0" w:color="BFBFBF"/>
              <w:right w:val="single" w:sz="4" w:space="0" w:color="BFBFBF"/>
            </w:tcBorders>
            <w:shd w:val="clear" w:color="auto" w:fill="auto"/>
            <w:hideMark/>
          </w:tcPr>
          <w:p w14:paraId="24DCC560" w14:textId="77777777" w:rsidR="009E55E3" w:rsidRPr="00D5206D" w:rsidRDefault="009E55E3" w:rsidP="00CB733B">
            <w:pPr>
              <w:jc w:val="center"/>
              <w:rPr>
                <w:rFonts w:cs="Calibri"/>
                <w:sz w:val="14"/>
                <w:szCs w:val="18"/>
                <w:lang w:val="en-US" w:eastAsia="es-ES"/>
              </w:rPr>
            </w:pPr>
            <w:r>
              <w:rPr>
                <w:rFonts w:cs="Calibri"/>
                <w:sz w:val="14"/>
                <w:szCs w:val="18"/>
                <w:lang w:val="en-US" w:eastAsia="es-ES"/>
              </w:rPr>
              <w:t>0</w:t>
            </w:r>
          </w:p>
        </w:tc>
        <w:tc>
          <w:tcPr>
            <w:tcW w:w="2259" w:type="dxa"/>
            <w:tcBorders>
              <w:top w:val="nil"/>
              <w:left w:val="nil"/>
              <w:bottom w:val="single" w:sz="4" w:space="0" w:color="BFBFBF"/>
              <w:right w:val="single" w:sz="4" w:space="0" w:color="BFBFBF"/>
            </w:tcBorders>
            <w:shd w:val="clear" w:color="auto" w:fill="auto"/>
          </w:tcPr>
          <w:p w14:paraId="448CAE9E" w14:textId="77777777" w:rsidR="009E55E3" w:rsidRPr="00D5206D" w:rsidRDefault="009E55E3" w:rsidP="00CB733B">
            <w:pPr>
              <w:rPr>
                <w:rFonts w:cs="Calibri"/>
                <w:sz w:val="14"/>
                <w:szCs w:val="18"/>
                <w:lang w:val="en-US" w:eastAsia="es-ES"/>
              </w:rPr>
            </w:pPr>
            <w:r>
              <w:rPr>
                <w:rFonts w:cs="Calibri"/>
                <w:sz w:val="14"/>
                <w:szCs w:val="18"/>
                <w:lang w:val="en-US" w:eastAsia="es-ES"/>
              </w:rPr>
              <w:t>Unquantifiable</w:t>
            </w:r>
          </w:p>
        </w:tc>
      </w:tr>
      <w:tr w:rsidR="009E55E3" w:rsidRPr="00D5206D" w14:paraId="76C33406" w14:textId="77777777" w:rsidTr="009E55E3">
        <w:trPr>
          <w:trHeight w:val="208"/>
          <w:jc w:val="center"/>
        </w:trPr>
        <w:tc>
          <w:tcPr>
            <w:tcW w:w="10915" w:type="dxa"/>
            <w:gridSpan w:val="8"/>
            <w:tcBorders>
              <w:top w:val="nil"/>
              <w:left w:val="single" w:sz="4" w:space="0" w:color="BFBFBF"/>
              <w:bottom w:val="single" w:sz="8" w:space="0" w:color="BFBFBF"/>
              <w:right w:val="single" w:sz="4" w:space="0" w:color="BFBFBF"/>
            </w:tcBorders>
            <w:shd w:val="clear" w:color="auto" w:fill="D9D9D9" w:themeFill="background1" w:themeFillShade="D9"/>
          </w:tcPr>
          <w:p w14:paraId="66A583EE" w14:textId="77777777" w:rsidR="009E55E3" w:rsidRPr="00D5206D" w:rsidRDefault="009E55E3" w:rsidP="00CB733B">
            <w:pPr>
              <w:rPr>
                <w:rFonts w:cs="Calibri"/>
                <w:sz w:val="14"/>
                <w:szCs w:val="18"/>
                <w:lang w:val="en-US" w:eastAsia="es-ES"/>
              </w:rPr>
            </w:pPr>
            <w:r>
              <w:rPr>
                <w:rFonts w:cs="Calibri"/>
                <w:b/>
                <w:bCs/>
                <w:color w:val="000000"/>
                <w:sz w:val="20"/>
                <w:lang w:val="en-US" w:eastAsia="es-ES"/>
              </w:rPr>
              <w:t>Change Management &amp; Communications</w:t>
            </w:r>
          </w:p>
        </w:tc>
      </w:tr>
      <w:tr w:rsidR="009E55E3" w:rsidRPr="00D5206D" w14:paraId="452BDD30" w14:textId="77777777" w:rsidTr="009E55E3">
        <w:trPr>
          <w:trHeight w:val="1145"/>
          <w:jc w:val="center"/>
        </w:trPr>
        <w:tc>
          <w:tcPr>
            <w:tcW w:w="436" w:type="dxa"/>
            <w:tcBorders>
              <w:top w:val="single" w:sz="8" w:space="0" w:color="BFBFBF"/>
              <w:left w:val="single" w:sz="4" w:space="0" w:color="BFBFBF"/>
              <w:bottom w:val="single" w:sz="8" w:space="0" w:color="BFBFBF"/>
              <w:right w:val="single" w:sz="8" w:space="0" w:color="BFBFBF"/>
            </w:tcBorders>
            <w:shd w:val="clear" w:color="000000" w:fill="FFFFFF"/>
            <w:hideMark/>
          </w:tcPr>
          <w:p w14:paraId="39AFBFF8"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0068</w:t>
            </w:r>
          </w:p>
        </w:tc>
        <w:tc>
          <w:tcPr>
            <w:tcW w:w="1691" w:type="dxa"/>
            <w:tcBorders>
              <w:top w:val="single" w:sz="8" w:space="0" w:color="BFBFBF"/>
              <w:left w:val="single" w:sz="8" w:space="0" w:color="BFBFBF"/>
              <w:bottom w:val="single" w:sz="8" w:space="0" w:color="BFBFBF"/>
              <w:right w:val="single" w:sz="8" w:space="0" w:color="BFBFBF"/>
            </w:tcBorders>
            <w:shd w:val="clear" w:color="auto" w:fill="auto"/>
            <w:hideMark/>
          </w:tcPr>
          <w:p w14:paraId="26645540"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Executives fail to support project. Not receiving leadership support and sponsorship.</w:t>
            </w:r>
          </w:p>
        </w:tc>
        <w:tc>
          <w:tcPr>
            <w:tcW w:w="1984" w:type="dxa"/>
            <w:tcBorders>
              <w:top w:val="single" w:sz="8" w:space="0" w:color="BFBFBF"/>
              <w:left w:val="single" w:sz="8" w:space="0" w:color="BFBFBF"/>
              <w:bottom w:val="single" w:sz="8" w:space="0" w:color="BFBFBF"/>
              <w:right w:val="single" w:sz="8" w:space="0" w:color="BFBFBF"/>
            </w:tcBorders>
          </w:tcPr>
          <w:p w14:paraId="72274F04" w14:textId="77777777" w:rsidR="009E55E3" w:rsidRDefault="009E55E3" w:rsidP="00CB733B">
            <w:pPr>
              <w:rPr>
                <w:rFonts w:cs="Calibri"/>
                <w:sz w:val="14"/>
                <w:szCs w:val="18"/>
                <w:lang w:val="en-US" w:eastAsia="es-ES"/>
              </w:rPr>
            </w:pPr>
            <w:r w:rsidRPr="00205E02">
              <w:rPr>
                <w:rFonts w:cs="Calibri"/>
                <w:sz w:val="14"/>
                <w:szCs w:val="18"/>
                <w:lang w:val="en-US" w:eastAsia="es-ES"/>
              </w:rPr>
              <w:t>The project team may lack the authority to achieve project objectives. In such cases, executive management support is fundamental to project success.</w:t>
            </w:r>
          </w:p>
          <w:p w14:paraId="690F3354" w14:textId="77777777" w:rsidR="009E55E3" w:rsidRPr="00D5206D" w:rsidRDefault="009E55E3" w:rsidP="00CB733B">
            <w:pPr>
              <w:rPr>
                <w:rFonts w:cs="Calibri"/>
                <w:sz w:val="14"/>
                <w:szCs w:val="18"/>
                <w:lang w:val="en-US" w:eastAsia="es-ES"/>
              </w:rPr>
            </w:pPr>
          </w:p>
        </w:tc>
        <w:tc>
          <w:tcPr>
            <w:tcW w:w="2268" w:type="dxa"/>
            <w:tcBorders>
              <w:top w:val="single" w:sz="8" w:space="0" w:color="BFBFBF"/>
              <w:left w:val="single" w:sz="8" w:space="0" w:color="BFBFBF"/>
              <w:bottom w:val="single" w:sz="8" w:space="0" w:color="BFBFBF"/>
              <w:right w:val="single" w:sz="8" w:space="0" w:color="BFBFBF"/>
            </w:tcBorders>
          </w:tcPr>
          <w:p w14:paraId="0731067E"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Involve leaders early in the process as they provide the authority and influence necessary for a successful workplace change</w:t>
            </w:r>
            <w:r>
              <w:rPr>
                <w:rFonts w:cs="Calibri"/>
                <w:sz w:val="14"/>
                <w:szCs w:val="18"/>
                <w:lang w:val="en-US" w:eastAsia="es-ES"/>
              </w:rPr>
              <w:t xml:space="preserve"> and they </w:t>
            </w:r>
            <w:r w:rsidRPr="00D5206D">
              <w:rPr>
                <w:rFonts w:cs="Calibri"/>
                <w:sz w:val="14"/>
                <w:szCs w:val="18"/>
                <w:lang w:val="en-US" w:eastAsia="es-ES"/>
              </w:rPr>
              <w:t xml:space="preserve">play a critical role in time of change. </w:t>
            </w:r>
          </w:p>
        </w:tc>
        <w:tc>
          <w:tcPr>
            <w:tcW w:w="851" w:type="dxa"/>
            <w:tcBorders>
              <w:top w:val="single" w:sz="8" w:space="0" w:color="BFBFBF"/>
              <w:left w:val="single" w:sz="8" w:space="0" w:color="BFBFBF"/>
              <w:bottom w:val="single" w:sz="8" w:space="0" w:color="BFBFBF"/>
              <w:right w:val="single" w:sz="8" w:space="0" w:color="BFBFBF"/>
            </w:tcBorders>
            <w:shd w:val="clear" w:color="auto" w:fill="auto"/>
            <w:hideMark/>
          </w:tcPr>
          <w:p w14:paraId="7ED2D59A"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0,30</w:t>
            </w:r>
          </w:p>
        </w:tc>
        <w:tc>
          <w:tcPr>
            <w:tcW w:w="567" w:type="dxa"/>
            <w:tcBorders>
              <w:top w:val="single" w:sz="8" w:space="0" w:color="BFBFBF"/>
              <w:left w:val="single" w:sz="8" w:space="0" w:color="BFBFBF"/>
              <w:bottom w:val="single" w:sz="8" w:space="0" w:color="BFBFBF"/>
              <w:right w:val="single" w:sz="8" w:space="0" w:color="BFBFBF"/>
            </w:tcBorders>
            <w:shd w:val="clear" w:color="auto" w:fill="auto"/>
            <w:noWrap/>
            <w:hideMark/>
          </w:tcPr>
          <w:p w14:paraId="7959803C"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0,70</w:t>
            </w:r>
          </w:p>
        </w:tc>
        <w:tc>
          <w:tcPr>
            <w:tcW w:w="859" w:type="dxa"/>
            <w:tcBorders>
              <w:top w:val="single" w:sz="8" w:space="0" w:color="BFBFBF"/>
              <w:left w:val="single" w:sz="8" w:space="0" w:color="BFBFBF"/>
              <w:bottom w:val="single" w:sz="8" w:space="0" w:color="BFBFBF"/>
              <w:right w:val="single" w:sz="8" w:space="0" w:color="BFBFBF"/>
            </w:tcBorders>
            <w:shd w:val="clear" w:color="000000" w:fill="FFFFFF"/>
            <w:hideMark/>
          </w:tcPr>
          <w:p w14:paraId="79997168" w14:textId="77777777" w:rsidR="009E55E3" w:rsidRPr="00D5206D" w:rsidRDefault="009E55E3" w:rsidP="00CB733B">
            <w:pPr>
              <w:jc w:val="center"/>
              <w:rPr>
                <w:rFonts w:cs="Calibri"/>
                <w:sz w:val="14"/>
                <w:szCs w:val="18"/>
                <w:lang w:val="en-US" w:eastAsia="es-ES"/>
              </w:rPr>
            </w:pPr>
            <w:r>
              <w:rPr>
                <w:rFonts w:cs="Calibri"/>
                <w:sz w:val="14"/>
                <w:szCs w:val="18"/>
                <w:lang w:val="en-US" w:eastAsia="es-ES"/>
              </w:rPr>
              <w:t>0</w:t>
            </w:r>
          </w:p>
        </w:tc>
        <w:tc>
          <w:tcPr>
            <w:tcW w:w="2259" w:type="dxa"/>
            <w:tcBorders>
              <w:top w:val="single" w:sz="8" w:space="0" w:color="BFBFBF"/>
              <w:left w:val="single" w:sz="8" w:space="0" w:color="BFBFBF"/>
              <w:bottom w:val="single" w:sz="8" w:space="0" w:color="BFBFBF"/>
              <w:right w:val="single" w:sz="4" w:space="0" w:color="BFBFBF"/>
            </w:tcBorders>
            <w:shd w:val="clear" w:color="auto" w:fill="auto"/>
          </w:tcPr>
          <w:p w14:paraId="0EA0AD7A" w14:textId="77777777" w:rsidR="009E55E3" w:rsidRPr="00D5206D" w:rsidRDefault="009E55E3" w:rsidP="00CB733B">
            <w:pPr>
              <w:rPr>
                <w:rFonts w:cs="Calibri"/>
                <w:sz w:val="14"/>
                <w:szCs w:val="18"/>
                <w:lang w:val="en-US" w:eastAsia="es-ES"/>
              </w:rPr>
            </w:pPr>
            <w:r>
              <w:rPr>
                <w:rFonts w:cs="Calibri"/>
                <w:sz w:val="14"/>
                <w:szCs w:val="18"/>
                <w:lang w:val="en-US" w:eastAsia="es-ES"/>
              </w:rPr>
              <w:t>Unquantifiable</w:t>
            </w:r>
          </w:p>
        </w:tc>
      </w:tr>
      <w:tr w:rsidR="009E55E3" w:rsidRPr="00D5206D" w14:paraId="7A56CD87" w14:textId="77777777" w:rsidTr="009E55E3">
        <w:trPr>
          <w:trHeight w:val="615"/>
          <w:jc w:val="center"/>
        </w:trPr>
        <w:tc>
          <w:tcPr>
            <w:tcW w:w="436" w:type="dxa"/>
            <w:tcBorders>
              <w:top w:val="single" w:sz="8" w:space="0" w:color="BFBFBF"/>
              <w:left w:val="single" w:sz="4" w:space="0" w:color="BFBFBF"/>
              <w:bottom w:val="single" w:sz="4" w:space="0" w:color="BFBFBF"/>
              <w:right w:val="single" w:sz="8" w:space="0" w:color="BFBFBF"/>
            </w:tcBorders>
            <w:shd w:val="clear" w:color="000000" w:fill="FFFFFF"/>
          </w:tcPr>
          <w:p w14:paraId="3ED1594C" w14:textId="77777777" w:rsidR="009E55E3" w:rsidRPr="00D5206D" w:rsidRDefault="009E55E3" w:rsidP="00CB733B">
            <w:pPr>
              <w:rPr>
                <w:rFonts w:cs="Calibri"/>
                <w:sz w:val="14"/>
                <w:szCs w:val="18"/>
                <w:lang w:val="en-US" w:eastAsia="es-ES"/>
              </w:rPr>
            </w:pPr>
            <w:r>
              <w:rPr>
                <w:rFonts w:cs="Calibri"/>
                <w:sz w:val="14"/>
                <w:szCs w:val="18"/>
                <w:lang w:val="en-US" w:eastAsia="es-ES"/>
              </w:rPr>
              <w:t>0070</w:t>
            </w:r>
          </w:p>
        </w:tc>
        <w:tc>
          <w:tcPr>
            <w:tcW w:w="1691" w:type="dxa"/>
            <w:tcBorders>
              <w:top w:val="single" w:sz="8" w:space="0" w:color="BFBFBF"/>
              <w:left w:val="single" w:sz="8" w:space="0" w:color="BFBFBF"/>
              <w:bottom w:val="single" w:sz="4" w:space="0" w:color="BFBFBF"/>
              <w:right w:val="single" w:sz="8" w:space="0" w:color="BFBFBF"/>
            </w:tcBorders>
            <w:shd w:val="clear" w:color="auto" w:fill="auto"/>
          </w:tcPr>
          <w:p w14:paraId="005B90CE" w14:textId="77777777" w:rsidR="009E55E3" w:rsidRPr="00D5206D" w:rsidRDefault="009E55E3" w:rsidP="00CB733B">
            <w:pPr>
              <w:rPr>
                <w:rFonts w:cs="Calibri"/>
                <w:sz w:val="14"/>
                <w:szCs w:val="18"/>
                <w:lang w:val="en-US" w:eastAsia="es-ES"/>
              </w:rPr>
            </w:pPr>
            <w:r w:rsidRPr="004E60B2">
              <w:rPr>
                <w:rFonts w:cs="Calibri"/>
                <w:sz w:val="14"/>
                <w:szCs w:val="18"/>
                <w:lang w:val="en-US" w:eastAsia="es-ES"/>
              </w:rPr>
              <w:t>Inadequate communication</w:t>
            </w:r>
          </w:p>
        </w:tc>
        <w:tc>
          <w:tcPr>
            <w:tcW w:w="1984" w:type="dxa"/>
            <w:tcBorders>
              <w:top w:val="single" w:sz="8" w:space="0" w:color="BFBFBF"/>
              <w:left w:val="single" w:sz="8" w:space="0" w:color="BFBFBF"/>
              <w:bottom w:val="single" w:sz="4" w:space="0" w:color="BFBFBF"/>
              <w:right w:val="single" w:sz="8" w:space="0" w:color="BFBFBF"/>
            </w:tcBorders>
          </w:tcPr>
          <w:p w14:paraId="53CEDA4B" w14:textId="77777777" w:rsidR="009E55E3" w:rsidRDefault="009E55E3" w:rsidP="00CB733B">
            <w:pPr>
              <w:rPr>
                <w:rFonts w:cs="Calibri"/>
                <w:sz w:val="14"/>
                <w:szCs w:val="18"/>
                <w:lang w:val="en-US" w:eastAsia="es-ES"/>
              </w:rPr>
            </w:pPr>
            <w:r>
              <w:rPr>
                <w:rFonts w:cs="Calibri"/>
                <w:sz w:val="14"/>
                <w:szCs w:val="18"/>
                <w:lang w:val="en-US" w:eastAsia="es-ES"/>
              </w:rPr>
              <w:t>Underestimation of the importance of appropriate c</w:t>
            </w:r>
            <w:r w:rsidRPr="00F94C32">
              <w:rPr>
                <w:rFonts w:cs="Calibri"/>
                <w:sz w:val="14"/>
                <w:szCs w:val="18"/>
                <w:lang w:val="en-US" w:eastAsia="es-ES"/>
              </w:rPr>
              <w:t>ommunication.</w:t>
            </w:r>
          </w:p>
        </w:tc>
        <w:tc>
          <w:tcPr>
            <w:tcW w:w="2268" w:type="dxa"/>
            <w:tcBorders>
              <w:top w:val="single" w:sz="8" w:space="0" w:color="BFBFBF"/>
              <w:left w:val="single" w:sz="8" w:space="0" w:color="BFBFBF"/>
              <w:bottom w:val="single" w:sz="4" w:space="0" w:color="BFBFBF"/>
              <w:right w:val="single" w:sz="8" w:space="0" w:color="BFBFBF"/>
            </w:tcBorders>
          </w:tcPr>
          <w:p w14:paraId="41995693" w14:textId="77777777" w:rsidR="009E55E3" w:rsidRDefault="009E55E3" w:rsidP="00CB733B">
            <w:pPr>
              <w:rPr>
                <w:rFonts w:cs="Calibri"/>
                <w:sz w:val="14"/>
                <w:szCs w:val="18"/>
                <w:lang w:val="en-US" w:eastAsia="es-ES"/>
              </w:rPr>
            </w:pPr>
            <w:r>
              <w:rPr>
                <w:rFonts w:cs="Calibri"/>
                <w:sz w:val="14"/>
                <w:szCs w:val="18"/>
                <w:lang w:val="en-US" w:eastAsia="es-ES"/>
              </w:rPr>
              <w:t xml:space="preserve">Recruitment of communication expert dedicated to communicating appropriately. </w:t>
            </w:r>
          </w:p>
          <w:p w14:paraId="329B19C6" w14:textId="77777777" w:rsidR="009E55E3" w:rsidRDefault="009E55E3" w:rsidP="00CB733B">
            <w:pPr>
              <w:rPr>
                <w:rFonts w:cs="Calibri"/>
                <w:sz w:val="14"/>
                <w:szCs w:val="18"/>
                <w:lang w:val="en-US" w:eastAsia="es-ES"/>
              </w:rPr>
            </w:pPr>
          </w:p>
        </w:tc>
        <w:tc>
          <w:tcPr>
            <w:tcW w:w="851" w:type="dxa"/>
            <w:tcBorders>
              <w:top w:val="single" w:sz="8" w:space="0" w:color="BFBFBF"/>
              <w:left w:val="single" w:sz="8" w:space="0" w:color="BFBFBF"/>
              <w:bottom w:val="single" w:sz="4" w:space="0" w:color="BFBFBF"/>
              <w:right w:val="single" w:sz="8" w:space="0" w:color="BFBFBF"/>
            </w:tcBorders>
            <w:shd w:val="clear" w:color="auto" w:fill="auto"/>
          </w:tcPr>
          <w:p w14:paraId="033888A4" w14:textId="77777777" w:rsidR="009E55E3" w:rsidRPr="00D5206D" w:rsidRDefault="009E55E3" w:rsidP="00CB733B">
            <w:pPr>
              <w:jc w:val="center"/>
              <w:rPr>
                <w:rFonts w:cs="Calibri"/>
                <w:sz w:val="14"/>
                <w:szCs w:val="18"/>
                <w:lang w:val="en-US" w:eastAsia="es-ES"/>
              </w:rPr>
            </w:pPr>
            <w:r>
              <w:rPr>
                <w:rFonts w:cs="Calibri"/>
                <w:sz w:val="14"/>
                <w:szCs w:val="18"/>
                <w:lang w:val="en-US" w:eastAsia="es-ES"/>
              </w:rPr>
              <w:t>0,30</w:t>
            </w:r>
          </w:p>
        </w:tc>
        <w:tc>
          <w:tcPr>
            <w:tcW w:w="567" w:type="dxa"/>
            <w:tcBorders>
              <w:top w:val="single" w:sz="8" w:space="0" w:color="BFBFBF"/>
              <w:left w:val="single" w:sz="8" w:space="0" w:color="BFBFBF"/>
              <w:bottom w:val="single" w:sz="4" w:space="0" w:color="BFBFBF"/>
              <w:right w:val="single" w:sz="8" w:space="0" w:color="BFBFBF"/>
            </w:tcBorders>
            <w:shd w:val="clear" w:color="auto" w:fill="auto"/>
            <w:noWrap/>
          </w:tcPr>
          <w:p w14:paraId="2ADEA889" w14:textId="77777777" w:rsidR="009E55E3" w:rsidRPr="00D5206D" w:rsidRDefault="009E55E3" w:rsidP="00CB733B">
            <w:pPr>
              <w:jc w:val="center"/>
              <w:rPr>
                <w:rFonts w:cs="Calibri"/>
                <w:sz w:val="14"/>
                <w:szCs w:val="18"/>
                <w:lang w:val="en-US" w:eastAsia="es-ES"/>
              </w:rPr>
            </w:pPr>
            <w:r>
              <w:rPr>
                <w:rFonts w:cs="Calibri"/>
                <w:sz w:val="14"/>
                <w:szCs w:val="18"/>
                <w:lang w:val="en-US" w:eastAsia="es-ES"/>
              </w:rPr>
              <w:t>0,60</w:t>
            </w:r>
          </w:p>
        </w:tc>
        <w:tc>
          <w:tcPr>
            <w:tcW w:w="859" w:type="dxa"/>
            <w:tcBorders>
              <w:top w:val="single" w:sz="8" w:space="0" w:color="BFBFBF"/>
              <w:left w:val="single" w:sz="8" w:space="0" w:color="BFBFBF"/>
              <w:bottom w:val="single" w:sz="4" w:space="0" w:color="BFBFBF"/>
              <w:right w:val="single" w:sz="8" w:space="0" w:color="BFBFBF"/>
            </w:tcBorders>
            <w:shd w:val="clear" w:color="000000" w:fill="FFFFFF"/>
          </w:tcPr>
          <w:p w14:paraId="3AF46903" w14:textId="77777777" w:rsidR="009E55E3" w:rsidRPr="00D5206D" w:rsidRDefault="009E55E3" w:rsidP="00CB733B">
            <w:pPr>
              <w:jc w:val="center"/>
              <w:rPr>
                <w:rFonts w:cs="Calibri"/>
                <w:sz w:val="14"/>
                <w:szCs w:val="18"/>
                <w:lang w:val="en-US" w:eastAsia="es-ES"/>
              </w:rPr>
            </w:pPr>
            <w:r>
              <w:rPr>
                <w:rFonts w:cs="Calibri"/>
                <w:sz w:val="14"/>
                <w:szCs w:val="18"/>
                <w:lang w:val="en-US" w:eastAsia="es-ES"/>
              </w:rPr>
              <w:t>0</w:t>
            </w:r>
          </w:p>
        </w:tc>
        <w:tc>
          <w:tcPr>
            <w:tcW w:w="2259" w:type="dxa"/>
            <w:tcBorders>
              <w:top w:val="single" w:sz="8" w:space="0" w:color="BFBFBF"/>
              <w:left w:val="single" w:sz="8" w:space="0" w:color="BFBFBF"/>
              <w:bottom w:val="single" w:sz="4" w:space="0" w:color="BFBFBF"/>
              <w:right w:val="single" w:sz="4" w:space="0" w:color="BFBFBF"/>
            </w:tcBorders>
            <w:shd w:val="clear" w:color="auto" w:fill="auto"/>
          </w:tcPr>
          <w:p w14:paraId="4D6D6F61" w14:textId="77777777" w:rsidR="009E55E3" w:rsidRPr="00D5206D" w:rsidRDefault="009E55E3" w:rsidP="00CB733B">
            <w:pPr>
              <w:rPr>
                <w:rFonts w:cs="Calibri"/>
                <w:sz w:val="14"/>
                <w:szCs w:val="18"/>
                <w:lang w:val="en-US" w:eastAsia="es-ES"/>
              </w:rPr>
            </w:pPr>
            <w:r>
              <w:rPr>
                <w:rFonts w:cs="Calibri"/>
                <w:sz w:val="14"/>
                <w:szCs w:val="18"/>
                <w:lang w:val="en-US" w:eastAsia="es-ES"/>
              </w:rPr>
              <w:t>Unquantifiable</w:t>
            </w:r>
          </w:p>
        </w:tc>
      </w:tr>
      <w:tr w:rsidR="009E55E3" w:rsidRPr="00D5206D" w14:paraId="1349F497" w14:textId="77777777" w:rsidTr="009E55E3">
        <w:trPr>
          <w:trHeight w:val="296"/>
          <w:jc w:val="center"/>
        </w:trPr>
        <w:tc>
          <w:tcPr>
            <w:tcW w:w="2127" w:type="dxa"/>
            <w:gridSpan w:val="2"/>
            <w:tcBorders>
              <w:top w:val="nil"/>
              <w:left w:val="single" w:sz="4" w:space="0" w:color="BFBFBF"/>
              <w:bottom w:val="single" w:sz="8" w:space="0" w:color="BFBFBF"/>
              <w:right w:val="single" w:sz="4" w:space="0" w:color="BFBFBF"/>
            </w:tcBorders>
            <w:shd w:val="clear" w:color="auto" w:fill="D9D9D9" w:themeFill="background1" w:themeFillShade="D9"/>
          </w:tcPr>
          <w:p w14:paraId="6F17A675" w14:textId="77777777" w:rsidR="009E55E3" w:rsidRDefault="009E55E3" w:rsidP="00CB733B">
            <w:pPr>
              <w:rPr>
                <w:rFonts w:cs="Calibri"/>
                <w:sz w:val="14"/>
                <w:szCs w:val="18"/>
                <w:lang w:val="en-US" w:eastAsia="es-ES"/>
              </w:rPr>
            </w:pPr>
            <w:proofErr w:type="spellStart"/>
            <w:r>
              <w:rPr>
                <w:rFonts w:cs="Calibri"/>
                <w:b/>
                <w:bCs/>
                <w:color w:val="000000"/>
                <w:sz w:val="20"/>
                <w:lang w:val="en-US" w:eastAsia="es-ES"/>
              </w:rPr>
              <w:t>Programme</w:t>
            </w:r>
            <w:proofErr w:type="spellEnd"/>
          </w:p>
        </w:tc>
        <w:tc>
          <w:tcPr>
            <w:tcW w:w="1984" w:type="dxa"/>
            <w:tcBorders>
              <w:top w:val="nil"/>
              <w:left w:val="nil"/>
              <w:bottom w:val="single" w:sz="8" w:space="0" w:color="BFBFBF"/>
              <w:right w:val="nil"/>
            </w:tcBorders>
            <w:shd w:val="clear" w:color="auto" w:fill="D9D9D9" w:themeFill="background1" w:themeFillShade="D9"/>
          </w:tcPr>
          <w:p w14:paraId="7959BE6D" w14:textId="77777777" w:rsidR="009E55E3" w:rsidRPr="00D5206D" w:rsidRDefault="009E55E3" w:rsidP="00CB733B">
            <w:pPr>
              <w:jc w:val="center"/>
              <w:rPr>
                <w:rFonts w:cs="Calibri"/>
                <w:sz w:val="14"/>
                <w:szCs w:val="18"/>
                <w:lang w:val="en-US" w:eastAsia="es-ES"/>
              </w:rPr>
            </w:pPr>
          </w:p>
        </w:tc>
        <w:tc>
          <w:tcPr>
            <w:tcW w:w="2268" w:type="dxa"/>
            <w:tcBorders>
              <w:top w:val="nil"/>
              <w:left w:val="nil"/>
              <w:bottom w:val="single" w:sz="8" w:space="0" w:color="BFBFBF"/>
              <w:right w:val="nil"/>
            </w:tcBorders>
            <w:shd w:val="clear" w:color="auto" w:fill="D9D9D9" w:themeFill="background1" w:themeFillShade="D9"/>
          </w:tcPr>
          <w:p w14:paraId="02EB5968" w14:textId="77777777" w:rsidR="009E55E3" w:rsidRPr="00D5206D" w:rsidRDefault="009E55E3" w:rsidP="00CB733B">
            <w:pPr>
              <w:rPr>
                <w:rFonts w:cs="Calibri"/>
                <w:sz w:val="14"/>
                <w:szCs w:val="18"/>
                <w:lang w:val="en-US" w:eastAsia="es-ES"/>
              </w:rPr>
            </w:pPr>
          </w:p>
        </w:tc>
        <w:tc>
          <w:tcPr>
            <w:tcW w:w="851" w:type="dxa"/>
            <w:tcBorders>
              <w:top w:val="nil"/>
              <w:left w:val="nil"/>
              <w:bottom w:val="single" w:sz="8" w:space="0" w:color="BFBFBF"/>
              <w:right w:val="single" w:sz="4" w:space="0" w:color="BFBFBF"/>
            </w:tcBorders>
            <w:shd w:val="clear" w:color="auto" w:fill="D9D9D9" w:themeFill="background1" w:themeFillShade="D9"/>
          </w:tcPr>
          <w:p w14:paraId="19D19D5C" w14:textId="77777777" w:rsidR="009E55E3" w:rsidRPr="00D5206D" w:rsidRDefault="009E55E3" w:rsidP="00CB733B">
            <w:pPr>
              <w:jc w:val="center"/>
              <w:rPr>
                <w:rFonts w:cs="Calibri"/>
                <w:sz w:val="14"/>
                <w:szCs w:val="18"/>
                <w:lang w:val="en-US" w:eastAsia="es-ES"/>
              </w:rPr>
            </w:pPr>
          </w:p>
        </w:tc>
        <w:tc>
          <w:tcPr>
            <w:tcW w:w="567" w:type="dxa"/>
            <w:tcBorders>
              <w:top w:val="nil"/>
              <w:left w:val="nil"/>
              <w:bottom w:val="single" w:sz="8" w:space="0" w:color="BFBFBF"/>
              <w:right w:val="single" w:sz="4" w:space="0" w:color="BFBFBF"/>
            </w:tcBorders>
            <w:shd w:val="clear" w:color="auto" w:fill="D9D9D9" w:themeFill="background1" w:themeFillShade="D9"/>
            <w:noWrap/>
          </w:tcPr>
          <w:p w14:paraId="198E9D35" w14:textId="77777777" w:rsidR="009E55E3" w:rsidRPr="00D5206D" w:rsidRDefault="009E55E3" w:rsidP="00CB733B">
            <w:pPr>
              <w:jc w:val="center"/>
              <w:rPr>
                <w:rFonts w:cs="Calibri"/>
                <w:sz w:val="14"/>
                <w:szCs w:val="18"/>
                <w:lang w:val="en-US" w:eastAsia="es-ES"/>
              </w:rPr>
            </w:pPr>
          </w:p>
        </w:tc>
        <w:tc>
          <w:tcPr>
            <w:tcW w:w="859" w:type="dxa"/>
            <w:tcBorders>
              <w:top w:val="nil"/>
              <w:left w:val="nil"/>
              <w:bottom w:val="single" w:sz="8" w:space="0" w:color="BFBFBF"/>
              <w:right w:val="single" w:sz="4" w:space="0" w:color="BFBFBF"/>
            </w:tcBorders>
            <w:shd w:val="clear" w:color="auto" w:fill="D9D9D9" w:themeFill="background1" w:themeFillShade="D9"/>
          </w:tcPr>
          <w:p w14:paraId="0F31A903" w14:textId="77777777" w:rsidR="009E55E3" w:rsidRPr="00D5206D" w:rsidRDefault="009E55E3" w:rsidP="00CB733B">
            <w:pPr>
              <w:jc w:val="center"/>
              <w:rPr>
                <w:rFonts w:cs="Calibri"/>
                <w:sz w:val="14"/>
                <w:szCs w:val="18"/>
                <w:lang w:val="en-US" w:eastAsia="es-ES"/>
              </w:rPr>
            </w:pPr>
          </w:p>
        </w:tc>
        <w:tc>
          <w:tcPr>
            <w:tcW w:w="2259" w:type="dxa"/>
            <w:tcBorders>
              <w:top w:val="nil"/>
              <w:left w:val="nil"/>
              <w:bottom w:val="single" w:sz="8" w:space="0" w:color="BFBFBF"/>
              <w:right w:val="single" w:sz="4" w:space="0" w:color="BFBFBF"/>
            </w:tcBorders>
            <w:shd w:val="clear" w:color="auto" w:fill="D9D9D9" w:themeFill="background1" w:themeFillShade="D9"/>
          </w:tcPr>
          <w:p w14:paraId="7F2D98C0" w14:textId="77777777" w:rsidR="009E55E3" w:rsidRPr="00D5206D" w:rsidRDefault="009E55E3" w:rsidP="00CB733B">
            <w:pPr>
              <w:rPr>
                <w:rFonts w:cs="Calibri"/>
                <w:sz w:val="14"/>
                <w:szCs w:val="18"/>
                <w:lang w:val="en-US" w:eastAsia="es-ES"/>
              </w:rPr>
            </w:pPr>
          </w:p>
        </w:tc>
      </w:tr>
      <w:tr w:rsidR="009E55E3" w:rsidRPr="00D5206D" w14:paraId="213CF763" w14:textId="77777777" w:rsidTr="009E55E3">
        <w:trPr>
          <w:trHeight w:val="960"/>
          <w:jc w:val="center"/>
        </w:trPr>
        <w:tc>
          <w:tcPr>
            <w:tcW w:w="436" w:type="dxa"/>
            <w:tcBorders>
              <w:top w:val="single" w:sz="8" w:space="0" w:color="BFBFBF"/>
              <w:left w:val="single" w:sz="4" w:space="0" w:color="BFBFBF"/>
              <w:bottom w:val="single" w:sz="4" w:space="0" w:color="BFBFBF"/>
              <w:right w:val="single" w:sz="8" w:space="0" w:color="BFBFBF"/>
            </w:tcBorders>
            <w:shd w:val="clear" w:color="auto" w:fill="auto"/>
            <w:hideMark/>
          </w:tcPr>
          <w:p w14:paraId="1738FBA2"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0088</w:t>
            </w:r>
          </w:p>
        </w:tc>
        <w:tc>
          <w:tcPr>
            <w:tcW w:w="1691" w:type="dxa"/>
            <w:tcBorders>
              <w:top w:val="single" w:sz="8" w:space="0" w:color="BFBFBF"/>
              <w:left w:val="single" w:sz="8" w:space="0" w:color="BFBFBF"/>
              <w:bottom w:val="single" w:sz="4" w:space="0" w:color="BFBFBF"/>
              <w:right w:val="single" w:sz="8" w:space="0" w:color="BFBFBF"/>
            </w:tcBorders>
            <w:shd w:val="clear" w:color="000000" w:fill="FFFFFF"/>
            <w:hideMark/>
          </w:tcPr>
          <w:p w14:paraId="001A20DD" w14:textId="77777777" w:rsidR="009E55E3" w:rsidRPr="00D5206D" w:rsidRDefault="009E55E3" w:rsidP="00CB733B">
            <w:pPr>
              <w:rPr>
                <w:rFonts w:cs="Calibri"/>
                <w:sz w:val="14"/>
                <w:szCs w:val="18"/>
                <w:lang w:val="en-US" w:eastAsia="es-ES"/>
              </w:rPr>
            </w:pPr>
            <w:r>
              <w:rPr>
                <w:rFonts w:cs="Calibri"/>
                <w:sz w:val="14"/>
                <w:szCs w:val="18"/>
                <w:lang w:val="en-US" w:eastAsia="es-ES"/>
              </w:rPr>
              <w:t>F</w:t>
            </w:r>
            <w:r w:rsidRPr="00D5206D">
              <w:rPr>
                <w:rFonts w:cs="Calibri"/>
                <w:sz w:val="14"/>
                <w:szCs w:val="18"/>
                <w:lang w:val="en-US" w:eastAsia="es-ES"/>
              </w:rPr>
              <w:t xml:space="preserve">ailure of waterproofing and/or possible soil pollution </w:t>
            </w:r>
            <w:r>
              <w:rPr>
                <w:rFonts w:cs="Calibri"/>
                <w:sz w:val="14"/>
                <w:szCs w:val="18"/>
                <w:lang w:val="en-US" w:eastAsia="es-ES"/>
              </w:rPr>
              <w:t>in</w:t>
            </w:r>
            <w:r w:rsidRPr="00D5206D">
              <w:rPr>
                <w:rFonts w:cs="Calibri"/>
                <w:sz w:val="14"/>
                <w:szCs w:val="18"/>
                <w:lang w:val="en-US" w:eastAsia="es-ES"/>
              </w:rPr>
              <w:t xml:space="preserve"> Tower basement</w:t>
            </w:r>
            <w:r>
              <w:rPr>
                <w:rFonts w:cs="Calibri"/>
                <w:sz w:val="14"/>
                <w:szCs w:val="18"/>
                <w:lang w:val="en-US" w:eastAsia="es-ES"/>
              </w:rPr>
              <w:t>.</w:t>
            </w:r>
            <w:r w:rsidRPr="00D5206D">
              <w:rPr>
                <w:rFonts w:cs="Calibri"/>
                <w:sz w:val="14"/>
                <w:szCs w:val="18"/>
                <w:lang w:val="en-US" w:eastAsia="es-ES"/>
              </w:rPr>
              <w:t xml:space="preserve"> </w:t>
            </w:r>
          </w:p>
        </w:tc>
        <w:tc>
          <w:tcPr>
            <w:tcW w:w="1984" w:type="dxa"/>
            <w:tcBorders>
              <w:top w:val="single" w:sz="8" w:space="0" w:color="BFBFBF"/>
              <w:left w:val="single" w:sz="8" w:space="0" w:color="BFBFBF"/>
              <w:bottom w:val="single" w:sz="4" w:space="0" w:color="BFBFBF"/>
              <w:right w:val="single" w:sz="8" w:space="0" w:color="BFBFBF"/>
            </w:tcBorders>
          </w:tcPr>
          <w:p w14:paraId="056B7BCE" w14:textId="77777777" w:rsidR="009E55E3" w:rsidRPr="00D5206D" w:rsidRDefault="009E55E3" w:rsidP="00CB733B">
            <w:pPr>
              <w:rPr>
                <w:rFonts w:cs="Calibri"/>
                <w:sz w:val="14"/>
                <w:szCs w:val="18"/>
                <w:lang w:val="en-US" w:eastAsia="es-ES"/>
              </w:rPr>
            </w:pPr>
            <w:r w:rsidRPr="00205E02">
              <w:rPr>
                <w:rFonts w:cs="Calibri"/>
                <w:sz w:val="14"/>
                <w:szCs w:val="18"/>
                <w:lang w:val="en-US" w:eastAsia="es-ES"/>
              </w:rPr>
              <w:t>Old waterproofing system and/or growing trees roots</w:t>
            </w:r>
            <w:r>
              <w:rPr>
                <w:rFonts w:cs="Calibri"/>
                <w:sz w:val="14"/>
                <w:szCs w:val="18"/>
                <w:lang w:val="en-US" w:eastAsia="es-ES"/>
              </w:rPr>
              <w:t>.</w:t>
            </w:r>
          </w:p>
        </w:tc>
        <w:tc>
          <w:tcPr>
            <w:tcW w:w="2268" w:type="dxa"/>
            <w:tcBorders>
              <w:top w:val="single" w:sz="8" w:space="0" w:color="BFBFBF"/>
              <w:left w:val="single" w:sz="8" w:space="0" w:color="BFBFBF"/>
              <w:bottom w:val="single" w:sz="4" w:space="0" w:color="BFBFBF"/>
              <w:right w:val="single" w:sz="8" w:space="0" w:color="BFBFBF"/>
            </w:tcBorders>
          </w:tcPr>
          <w:p w14:paraId="07794630"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Definition of level of impact</w:t>
            </w:r>
            <w:r>
              <w:rPr>
                <w:rFonts w:cs="Calibri"/>
                <w:sz w:val="14"/>
                <w:szCs w:val="18"/>
                <w:lang w:val="en-US" w:eastAsia="es-ES"/>
              </w:rPr>
              <w:t>.</w:t>
            </w:r>
            <w:r w:rsidRPr="00D5206D">
              <w:rPr>
                <w:rFonts w:cs="Calibri"/>
                <w:sz w:val="14"/>
                <w:szCs w:val="18"/>
                <w:lang w:val="en-US" w:eastAsia="es-ES"/>
              </w:rPr>
              <w:t xml:space="preserve"> </w:t>
            </w:r>
            <w:r w:rsidRPr="00D5206D">
              <w:rPr>
                <w:rFonts w:cs="Calibri"/>
                <w:sz w:val="14"/>
                <w:szCs w:val="18"/>
                <w:lang w:val="en-US" w:eastAsia="es-ES"/>
              </w:rPr>
              <w:br/>
              <w:t xml:space="preserve">Investigations </w:t>
            </w:r>
            <w:r>
              <w:rPr>
                <w:rFonts w:cs="Calibri"/>
                <w:sz w:val="14"/>
                <w:szCs w:val="18"/>
                <w:lang w:val="en-US" w:eastAsia="es-ES"/>
              </w:rPr>
              <w:t xml:space="preserve">of current </w:t>
            </w:r>
            <w:r w:rsidRPr="00D5206D">
              <w:rPr>
                <w:rFonts w:cs="Calibri"/>
                <w:sz w:val="14"/>
                <w:szCs w:val="18"/>
                <w:lang w:val="en-US" w:eastAsia="es-ES"/>
              </w:rPr>
              <w:t>condition</w:t>
            </w:r>
            <w:r>
              <w:rPr>
                <w:rFonts w:cs="Calibri"/>
                <w:sz w:val="14"/>
                <w:szCs w:val="18"/>
                <w:lang w:val="en-US" w:eastAsia="es-ES"/>
              </w:rPr>
              <w:t>s</w:t>
            </w:r>
            <w:r w:rsidRPr="00D5206D">
              <w:rPr>
                <w:rFonts w:cs="Calibri"/>
                <w:sz w:val="14"/>
                <w:szCs w:val="18"/>
                <w:lang w:val="en-US" w:eastAsia="es-ES"/>
              </w:rPr>
              <w:t xml:space="preserve"> of waterproofing system and </w:t>
            </w:r>
            <w:r>
              <w:rPr>
                <w:rFonts w:cs="Calibri"/>
                <w:sz w:val="14"/>
                <w:szCs w:val="18"/>
                <w:lang w:val="en-US" w:eastAsia="es-ES"/>
              </w:rPr>
              <w:t xml:space="preserve">the </w:t>
            </w:r>
            <w:r w:rsidRPr="00D5206D">
              <w:rPr>
                <w:rFonts w:cs="Calibri"/>
                <w:sz w:val="14"/>
                <w:szCs w:val="18"/>
                <w:lang w:val="en-US" w:eastAsia="es-ES"/>
              </w:rPr>
              <w:t xml:space="preserve">existence of soil pollution </w:t>
            </w:r>
          </w:p>
        </w:tc>
        <w:tc>
          <w:tcPr>
            <w:tcW w:w="851" w:type="dxa"/>
            <w:tcBorders>
              <w:top w:val="single" w:sz="8" w:space="0" w:color="BFBFBF"/>
              <w:left w:val="single" w:sz="8" w:space="0" w:color="BFBFBF"/>
              <w:bottom w:val="single" w:sz="4" w:space="0" w:color="BFBFBF"/>
              <w:right w:val="single" w:sz="8" w:space="0" w:color="BFBFBF"/>
            </w:tcBorders>
            <w:shd w:val="clear" w:color="auto" w:fill="auto"/>
            <w:hideMark/>
          </w:tcPr>
          <w:p w14:paraId="528651B3"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0,50</w:t>
            </w:r>
          </w:p>
        </w:tc>
        <w:tc>
          <w:tcPr>
            <w:tcW w:w="567" w:type="dxa"/>
            <w:tcBorders>
              <w:top w:val="single" w:sz="8" w:space="0" w:color="BFBFBF"/>
              <w:left w:val="single" w:sz="8" w:space="0" w:color="BFBFBF"/>
              <w:bottom w:val="single" w:sz="4" w:space="0" w:color="BFBFBF"/>
              <w:right w:val="single" w:sz="8" w:space="0" w:color="BFBFBF"/>
            </w:tcBorders>
            <w:shd w:val="clear" w:color="auto" w:fill="auto"/>
            <w:noWrap/>
            <w:hideMark/>
          </w:tcPr>
          <w:p w14:paraId="05F924C6"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0,40</w:t>
            </w:r>
          </w:p>
        </w:tc>
        <w:tc>
          <w:tcPr>
            <w:tcW w:w="859" w:type="dxa"/>
            <w:tcBorders>
              <w:top w:val="single" w:sz="8" w:space="0" w:color="BFBFBF"/>
              <w:left w:val="single" w:sz="8" w:space="0" w:color="BFBFBF"/>
              <w:bottom w:val="single" w:sz="4" w:space="0" w:color="BFBFBF"/>
              <w:right w:val="single" w:sz="8" w:space="0" w:color="BFBFBF"/>
            </w:tcBorders>
            <w:shd w:val="clear" w:color="auto" w:fill="auto"/>
            <w:hideMark/>
          </w:tcPr>
          <w:p w14:paraId="4204688B"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502.500</w:t>
            </w:r>
          </w:p>
        </w:tc>
        <w:tc>
          <w:tcPr>
            <w:tcW w:w="2259" w:type="dxa"/>
            <w:tcBorders>
              <w:top w:val="single" w:sz="8" w:space="0" w:color="BFBFBF"/>
              <w:left w:val="single" w:sz="8" w:space="0" w:color="BFBFBF"/>
              <w:bottom w:val="single" w:sz="4" w:space="0" w:color="BFBFBF"/>
              <w:right w:val="single" w:sz="4" w:space="0" w:color="BFBFBF"/>
            </w:tcBorders>
            <w:shd w:val="clear" w:color="000000" w:fill="FFFFFF"/>
          </w:tcPr>
          <w:p w14:paraId="3E2B6135" w14:textId="77777777" w:rsidR="009E55E3" w:rsidRPr="00D5206D" w:rsidRDefault="009E55E3" w:rsidP="00CB733B">
            <w:pPr>
              <w:rPr>
                <w:rFonts w:cs="Calibri"/>
                <w:sz w:val="14"/>
                <w:szCs w:val="18"/>
                <w:lang w:val="en-US" w:eastAsia="es-ES"/>
              </w:rPr>
            </w:pPr>
            <w:r>
              <w:rPr>
                <w:rFonts w:cs="Calibri"/>
                <w:sz w:val="14"/>
                <w:szCs w:val="18"/>
                <w:lang w:val="en-US" w:eastAsia="es-ES"/>
              </w:rPr>
              <w:t>Weighted average based on replacement of waterproofing system.</w:t>
            </w:r>
          </w:p>
        </w:tc>
      </w:tr>
      <w:tr w:rsidR="009E55E3" w:rsidRPr="00D5206D" w14:paraId="7E510923" w14:textId="77777777" w:rsidTr="009E55E3">
        <w:trPr>
          <w:trHeight w:val="480"/>
          <w:jc w:val="center"/>
        </w:trPr>
        <w:tc>
          <w:tcPr>
            <w:tcW w:w="436" w:type="dxa"/>
            <w:tcBorders>
              <w:top w:val="single" w:sz="4" w:space="0" w:color="BFBFBF"/>
              <w:left w:val="single" w:sz="4" w:space="0" w:color="BFBFBF"/>
              <w:bottom w:val="single" w:sz="4" w:space="0" w:color="BFBFBF"/>
              <w:right w:val="single" w:sz="8" w:space="0" w:color="BFBFBF"/>
            </w:tcBorders>
            <w:shd w:val="clear" w:color="000000" w:fill="FFFFFF"/>
            <w:hideMark/>
          </w:tcPr>
          <w:p w14:paraId="3AEB4F3B" w14:textId="77777777" w:rsidR="009E55E3" w:rsidRPr="00D5206D" w:rsidRDefault="009E55E3" w:rsidP="00CB733B">
            <w:pPr>
              <w:rPr>
                <w:rFonts w:cs="Calibri"/>
                <w:sz w:val="14"/>
                <w:szCs w:val="18"/>
                <w:lang w:val="en-US" w:eastAsia="es-ES"/>
              </w:rPr>
            </w:pPr>
            <w:r w:rsidRPr="00D5206D">
              <w:rPr>
                <w:rFonts w:cs="Calibri"/>
                <w:sz w:val="14"/>
                <w:szCs w:val="18"/>
                <w:lang w:val="en-US" w:eastAsia="es-ES"/>
              </w:rPr>
              <w:t>0090</w:t>
            </w:r>
          </w:p>
        </w:tc>
        <w:tc>
          <w:tcPr>
            <w:tcW w:w="1691" w:type="dxa"/>
            <w:tcBorders>
              <w:top w:val="single" w:sz="4" w:space="0" w:color="BFBFBF"/>
              <w:left w:val="single" w:sz="8" w:space="0" w:color="BFBFBF"/>
              <w:bottom w:val="single" w:sz="4" w:space="0" w:color="BFBFBF"/>
              <w:right w:val="single" w:sz="8" w:space="0" w:color="BFBFBF"/>
            </w:tcBorders>
            <w:shd w:val="clear" w:color="auto" w:fill="auto"/>
            <w:hideMark/>
          </w:tcPr>
          <w:p w14:paraId="704B6219" w14:textId="77777777" w:rsidR="009E55E3" w:rsidRPr="00D5206D" w:rsidRDefault="009E55E3" w:rsidP="00CB733B">
            <w:pPr>
              <w:rPr>
                <w:rFonts w:cs="Calibri"/>
                <w:sz w:val="14"/>
                <w:szCs w:val="18"/>
                <w:lang w:val="en-US" w:eastAsia="es-ES"/>
              </w:rPr>
            </w:pPr>
            <w:r w:rsidRPr="009628B0">
              <w:rPr>
                <w:rFonts w:cs="Calibri"/>
                <w:sz w:val="14"/>
                <w:szCs w:val="18"/>
                <w:lang w:val="en-US" w:eastAsia="es-ES"/>
              </w:rPr>
              <w:t xml:space="preserve">Possible request by ITU stakeholders to modify the project </w:t>
            </w:r>
            <w:proofErr w:type="spellStart"/>
            <w:r w:rsidRPr="009628B0">
              <w:rPr>
                <w:rFonts w:cs="Calibri"/>
                <w:sz w:val="14"/>
                <w:szCs w:val="18"/>
                <w:lang w:val="en-US" w:eastAsia="es-ES"/>
              </w:rPr>
              <w:t>programme</w:t>
            </w:r>
            <w:proofErr w:type="spellEnd"/>
            <w:r w:rsidRPr="009628B0">
              <w:rPr>
                <w:rFonts w:cs="Calibri"/>
                <w:sz w:val="14"/>
                <w:szCs w:val="18"/>
                <w:lang w:val="en-US" w:eastAsia="es-ES"/>
              </w:rPr>
              <w:t xml:space="preserve"> at design stage</w:t>
            </w:r>
            <w:r>
              <w:rPr>
                <w:rFonts w:cs="Calibri"/>
                <w:sz w:val="14"/>
                <w:szCs w:val="18"/>
                <w:lang w:val="en-US" w:eastAsia="es-ES"/>
              </w:rPr>
              <w:t>.</w:t>
            </w:r>
          </w:p>
        </w:tc>
        <w:tc>
          <w:tcPr>
            <w:tcW w:w="1984" w:type="dxa"/>
            <w:tcBorders>
              <w:top w:val="single" w:sz="4" w:space="0" w:color="BFBFBF"/>
              <w:left w:val="single" w:sz="8" w:space="0" w:color="BFBFBF"/>
              <w:bottom w:val="single" w:sz="4" w:space="0" w:color="BFBFBF"/>
              <w:right w:val="single" w:sz="8" w:space="0" w:color="BFBFBF"/>
            </w:tcBorders>
          </w:tcPr>
          <w:p w14:paraId="16FF46DB" w14:textId="77777777" w:rsidR="009E55E3" w:rsidRPr="00D5206D" w:rsidRDefault="009E55E3" w:rsidP="00CB733B">
            <w:pPr>
              <w:rPr>
                <w:rFonts w:cs="Calibri"/>
                <w:sz w:val="14"/>
                <w:szCs w:val="18"/>
                <w:lang w:val="en-US" w:eastAsia="es-ES"/>
              </w:rPr>
            </w:pPr>
            <w:r w:rsidRPr="00205E02">
              <w:rPr>
                <w:rFonts w:cs="Calibri"/>
                <w:sz w:val="14"/>
                <w:szCs w:val="18"/>
                <w:lang w:val="en-US" w:eastAsia="es-ES"/>
              </w:rPr>
              <w:t xml:space="preserve">Re-evaluation of initial </w:t>
            </w:r>
            <w:proofErr w:type="spellStart"/>
            <w:r w:rsidRPr="00205E02">
              <w:rPr>
                <w:rFonts w:cs="Calibri"/>
                <w:sz w:val="14"/>
                <w:szCs w:val="18"/>
                <w:lang w:val="en-US" w:eastAsia="es-ES"/>
              </w:rPr>
              <w:t>programme</w:t>
            </w:r>
            <w:proofErr w:type="spellEnd"/>
            <w:r w:rsidRPr="00205E02">
              <w:rPr>
                <w:rFonts w:cs="Calibri"/>
                <w:sz w:val="14"/>
                <w:szCs w:val="18"/>
                <w:lang w:val="en-US" w:eastAsia="es-ES"/>
              </w:rPr>
              <w:t xml:space="preserve"> requirements</w:t>
            </w:r>
            <w:r>
              <w:rPr>
                <w:rFonts w:cs="Calibri"/>
                <w:sz w:val="14"/>
                <w:szCs w:val="18"/>
                <w:lang w:val="en-US" w:eastAsia="es-ES"/>
              </w:rPr>
              <w:t>.</w:t>
            </w:r>
          </w:p>
        </w:tc>
        <w:tc>
          <w:tcPr>
            <w:tcW w:w="2268" w:type="dxa"/>
            <w:tcBorders>
              <w:top w:val="single" w:sz="4" w:space="0" w:color="BFBFBF"/>
              <w:left w:val="single" w:sz="8" w:space="0" w:color="BFBFBF"/>
              <w:bottom w:val="single" w:sz="4" w:space="0" w:color="BFBFBF"/>
              <w:right w:val="single" w:sz="8" w:space="0" w:color="BFBFBF"/>
            </w:tcBorders>
          </w:tcPr>
          <w:p w14:paraId="5A4DF714" w14:textId="77777777" w:rsidR="009E55E3" w:rsidRDefault="009E55E3" w:rsidP="00CB733B">
            <w:pPr>
              <w:rPr>
                <w:rFonts w:cs="Calibri"/>
                <w:sz w:val="14"/>
                <w:szCs w:val="18"/>
                <w:lang w:val="en-US" w:eastAsia="es-ES"/>
              </w:rPr>
            </w:pPr>
            <w:r>
              <w:rPr>
                <w:rFonts w:cs="Calibri"/>
                <w:sz w:val="14"/>
                <w:szCs w:val="18"/>
                <w:lang w:val="en-US" w:eastAsia="es-ES"/>
              </w:rPr>
              <w:t>Implement recommendations formulated by workplace strategy expert (Bid ongoing)</w:t>
            </w:r>
          </w:p>
          <w:p w14:paraId="7C0CAAF4" w14:textId="77777777" w:rsidR="009E55E3" w:rsidRDefault="009E55E3" w:rsidP="00CB733B">
            <w:pPr>
              <w:rPr>
                <w:rFonts w:cs="Calibri"/>
                <w:sz w:val="14"/>
                <w:szCs w:val="18"/>
                <w:lang w:val="en-US" w:eastAsia="es-ES"/>
              </w:rPr>
            </w:pPr>
            <w:r w:rsidRPr="00D5206D">
              <w:rPr>
                <w:rFonts w:cs="Calibri"/>
                <w:sz w:val="14"/>
                <w:szCs w:val="18"/>
                <w:lang w:val="en-US" w:eastAsia="es-ES"/>
              </w:rPr>
              <w:t>Liaise with internal stakeholders</w:t>
            </w:r>
            <w:r>
              <w:rPr>
                <w:rFonts w:cs="Calibri"/>
                <w:sz w:val="14"/>
                <w:szCs w:val="18"/>
                <w:lang w:val="en-US" w:eastAsia="es-ES"/>
              </w:rPr>
              <w:t>.</w:t>
            </w:r>
          </w:p>
          <w:p w14:paraId="0D075A0A" w14:textId="77777777" w:rsidR="009E55E3" w:rsidRPr="00D5206D" w:rsidRDefault="009E55E3" w:rsidP="00CB733B">
            <w:pPr>
              <w:rPr>
                <w:rFonts w:cs="Calibri"/>
                <w:sz w:val="14"/>
                <w:szCs w:val="18"/>
                <w:lang w:val="en-US" w:eastAsia="es-ES"/>
              </w:rPr>
            </w:pPr>
          </w:p>
        </w:tc>
        <w:tc>
          <w:tcPr>
            <w:tcW w:w="851" w:type="dxa"/>
            <w:tcBorders>
              <w:top w:val="single" w:sz="4" w:space="0" w:color="BFBFBF"/>
              <w:left w:val="single" w:sz="8" w:space="0" w:color="BFBFBF"/>
              <w:bottom w:val="single" w:sz="4" w:space="0" w:color="BFBFBF"/>
              <w:right w:val="single" w:sz="8" w:space="0" w:color="BFBFBF"/>
            </w:tcBorders>
            <w:shd w:val="clear" w:color="auto" w:fill="auto"/>
            <w:hideMark/>
          </w:tcPr>
          <w:p w14:paraId="6E15EDCC"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0,50</w:t>
            </w:r>
          </w:p>
        </w:tc>
        <w:tc>
          <w:tcPr>
            <w:tcW w:w="567" w:type="dxa"/>
            <w:tcBorders>
              <w:top w:val="single" w:sz="4" w:space="0" w:color="BFBFBF"/>
              <w:left w:val="single" w:sz="8" w:space="0" w:color="BFBFBF"/>
              <w:bottom w:val="single" w:sz="4" w:space="0" w:color="BFBFBF"/>
              <w:right w:val="single" w:sz="8" w:space="0" w:color="BFBFBF"/>
            </w:tcBorders>
            <w:shd w:val="clear" w:color="auto" w:fill="auto"/>
            <w:noWrap/>
            <w:hideMark/>
          </w:tcPr>
          <w:p w14:paraId="5A50A5D7"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0,40</w:t>
            </w:r>
          </w:p>
        </w:tc>
        <w:tc>
          <w:tcPr>
            <w:tcW w:w="859" w:type="dxa"/>
            <w:tcBorders>
              <w:top w:val="single" w:sz="4" w:space="0" w:color="BFBFBF"/>
              <w:left w:val="single" w:sz="8" w:space="0" w:color="BFBFBF"/>
              <w:bottom w:val="single" w:sz="4" w:space="0" w:color="BFBFBF"/>
              <w:right w:val="single" w:sz="8" w:space="0" w:color="BFBFBF"/>
            </w:tcBorders>
            <w:shd w:val="clear" w:color="auto" w:fill="auto"/>
            <w:hideMark/>
          </w:tcPr>
          <w:p w14:paraId="62F71753" w14:textId="77777777" w:rsidR="009E55E3" w:rsidRPr="00D5206D" w:rsidRDefault="009E55E3" w:rsidP="00CB733B">
            <w:pPr>
              <w:jc w:val="center"/>
              <w:rPr>
                <w:rFonts w:cs="Calibri"/>
                <w:sz w:val="14"/>
                <w:szCs w:val="18"/>
                <w:lang w:val="en-US" w:eastAsia="es-ES"/>
              </w:rPr>
            </w:pPr>
            <w:r w:rsidRPr="00D5206D">
              <w:rPr>
                <w:rFonts w:cs="Calibri"/>
                <w:sz w:val="14"/>
                <w:szCs w:val="18"/>
                <w:lang w:val="en-US" w:eastAsia="es-ES"/>
              </w:rPr>
              <w:t>603.299</w:t>
            </w:r>
          </w:p>
        </w:tc>
        <w:tc>
          <w:tcPr>
            <w:tcW w:w="2259" w:type="dxa"/>
            <w:tcBorders>
              <w:top w:val="single" w:sz="4" w:space="0" w:color="BFBFBF"/>
              <w:left w:val="single" w:sz="8" w:space="0" w:color="BFBFBF"/>
              <w:bottom w:val="single" w:sz="4" w:space="0" w:color="BFBFBF"/>
              <w:right w:val="single" w:sz="4" w:space="0" w:color="BFBFBF"/>
            </w:tcBorders>
            <w:shd w:val="clear" w:color="000000" w:fill="FFFFFF"/>
          </w:tcPr>
          <w:p w14:paraId="3C46AC69" w14:textId="77777777" w:rsidR="009E55E3" w:rsidRPr="00D5206D" w:rsidRDefault="009E55E3" w:rsidP="00CB733B">
            <w:pPr>
              <w:rPr>
                <w:rFonts w:cs="Calibri"/>
                <w:sz w:val="14"/>
                <w:szCs w:val="18"/>
                <w:lang w:val="en-US" w:eastAsia="es-ES"/>
              </w:rPr>
            </w:pPr>
            <w:r>
              <w:rPr>
                <w:rFonts w:cs="Calibri"/>
                <w:sz w:val="14"/>
                <w:szCs w:val="18"/>
                <w:lang w:val="en-US" w:eastAsia="es-ES"/>
              </w:rPr>
              <w:t>Weighted average based on</w:t>
            </w:r>
            <w:r w:rsidRPr="00205E02">
              <w:rPr>
                <w:rFonts w:cs="Calibri"/>
                <w:sz w:val="14"/>
                <w:szCs w:val="18"/>
                <w:lang w:val="en-US" w:eastAsia="es-ES"/>
              </w:rPr>
              <w:t xml:space="preserve"> ECPSS and Architect's fees.</w:t>
            </w:r>
          </w:p>
        </w:tc>
      </w:tr>
    </w:tbl>
    <w:p w14:paraId="74CBF4C0" w14:textId="77777777" w:rsidR="00E43F7B" w:rsidRDefault="00E43F7B" w:rsidP="00CB733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themeColor="text1"/>
          <w:szCs w:val="24"/>
          <w:lang w:val="en-US"/>
        </w:rPr>
      </w:pPr>
      <w:r>
        <w:rPr>
          <w:rFonts w:asciiTheme="minorHAnsi" w:hAnsiTheme="minorHAnsi" w:cstheme="minorHAnsi"/>
          <w:b/>
          <w:bCs/>
          <w:color w:val="000000" w:themeColor="text1"/>
          <w:szCs w:val="24"/>
          <w:lang w:val="en-US"/>
        </w:rPr>
        <w:br w:type="page"/>
      </w:r>
    </w:p>
    <w:p w14:paraId="5CAC16C4" w14:textId="77777777" w:rsidR="0076108E" w:rsidRDefault="0076108E" w:rsidP="00CB733B">
      <w:pPr>
        <w:spacing w:before="240" w:after="120"/>
        <w:rPr>
          <w:rFonts w:asciiTheme="minorHAnsi" w:hAnsiTheme="minorHAnsi" w:cstheme="minorHAnsi"/>
          <w:b/>
          <w:bCs/>
          <w:color w:val="000000"/>
          <w:szCs w:val="24"/>
          <w:lang w:eastAsia="zh-CN"/>
        </w:rPr>
        <w:sectPr w:rsidR="0076108E" w:rsidSect="009E55E3">
          <w:headerReference w:type="first" r:id="rId32"/>
          <w:footerReference w:type="first" r:id="rId33"/>
          <w:pgSz w:w="11907" w:h="16834"/>
          <w:pgMar w:top="1418" w:right="1134" w:bottom="1418" w:left="1134" w:header="720" w:footer="720" w:gutter="0"/>
          <w:paperSrc w:first="15" w:other="15"/>
          <w:cols w:space="720"/>
          <w:titlePg/>
          <w:docGrid w:linePitch="326"/>
        </w:sectPr>
      </w:pPr>
    </w:p>
    <w:p w14:paraId="51B46C56" w14:textId="77777777" w:rsidR="0081384A" w:rsidRDefault="0081384A" w:rsidP="006C6A82">
      <w:pPr>
        <w:spacing w:before="0" w:after="120"/>
        <w:rPr>
          <w:rFonts w:asciiTheme="minorHAnsi" w:hAnsiTheme="minorHAnsi" w:cstheme="minorHAnsi"/>
          <w:b/>
          <w:bCs/>
          <w:color w:val="000000"/>
          <w:szCs w:val="24"/>
          <w:lang w:eastAsia="zh-CN"/>
        </w:rPr>
      </w:pPr>
      <w:bookmarkStart w:id="10" w:name="AnnexB"/>
      <w:r>
        <w:rPr>
          <w:rFonts w:asciiTheme="minorHAnsi" w:hAnsiTheme="minorHAnsi" w:cstheme="minorHAnsi"/>
          <w:b/>
          <w:bCs/>
          <w:color w:val="000000"/>
          <w:szCs w:val="24"/>
          <w:lang w:eastAsia="zh-CN"/>
        </w:rPr>
        <w:lastRenderedPageBreak/>
        <w:t>Annex B</w:t>
      </w:r>
    </w:p>
    <w:bookmarkEnd w:id="10"/>
    <w:p w14:paraId="3F3E892C" w14:textId="6764909E" w:rsidR="0081384A" w:rsidRDefault="0081384A" w:rsidP="006C6A82">
      <w:pPr>
        <w:spacing w:before="0" w:after="120"/>
        <w:rPr>
          <w:rFonts w:asciiTheme="minorHAnsi" w:hAnsiTheme="minorHAnsi" w:cstheme="minorHAnsi"/>
          <w:b/>
          <w:bCs/>
          <w:color w:val="000000"/>
          <w:szCs w:val="24"/>
          <w:lang w:eastAsia="zh-CN"/>
        </w:rPr>
      </w:pPr>
      <w:r w:rsidRPr="00133F2F">
        <w:rPr>
          <w:rFonts w:asciiTheme="minorHAnsi" w:hAnsiTheme="minorHAnsi" w:cstheme="minorHAnsi"/>
          <w:b/>
          <w:bCs/>
          <w:color w:val="000000"/>
          <w:szCs w:val="24"/>
          <w:lang w:eastAsia="zh-CN"/>
        </w:rPr>
        <w:t>Cash Flow in CHF (</w:t>
      </w:r>
      <w:r>
        <w:rPr>
          <w:rFonts w:asciiTheme="minorHAnsi" w:hAnsiTheme="minorHAnsi" w:cstheme="minorHAnsi"/>
          <w:b/>
          <w:bCs/>
          <w:color w:val="000000"/>
          <w:szCs w:val="24"/>
          <w:lang w:eastAsia="zh-CN"/>
        </w:rPr>
        <w:t>September</w:t>
      </w:r>
      <w:r w:rsidRPr="00133F2F">
        <w:rPr>
          <w:rFonts w:asciiTheme="minorHAnsi" w:hAnsiTheme="minorHAnsi" w:cstheme="minorHAnsi"/>
          <w:b/>
          <w:bCs/>
          <w:color w:val="000000"/>
          <w:szCs w:val="24"/>
          <w:lang w:eastAsia="zh-CN"/>
        </w:rPr>
        <w:t xml:space="preserve"> 2020)</w:t>
      </w:r>
    </w:p>
    <w:p w14:paraId="5DD992FA" w14:textId="77777777" w:rsidR="0081384A" w:rsidRPr="00133F2F" w:rsidRDefault="0081384A" w:rsidP="00CB733B">
      <w:pPr>
        <w:spacing w:before="0" w:after="120"/>
        <w:rPr>
          <w:rFonts w:asciiTheme="minorHAnsi" w:hAnsiTheme="minorHAnsi" w:cstheme="minorHAnsi"/>
          <w:b/>
          <w:bCs/>
          <w:color w:val="000000"/>
          <w:szCs w:val="24"/>
          <w:lang w:eastAsia="zh-CN"/>
        </w:rPr>
      </w:pPr>
      <w:r w:rsidRPr="009540C7">
        <w:rPr>
          <w:noProof/>
          <w:lang w:val="en-US"/>
        </w:rPr>
        <w:drawing>
          <wp:inline distT="0" distB="0" distL="0" distR="0" wp14:anchorId="3FE60B53" wp14:editId="774D50B5">
            <wp:extent cx="8888730" cy="185796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88730" cy="1857963"/>
                    </a:xfrm>
                    <a:prstGeom prst="rect">
                      <a:avLst/>
                    </a:prstGeom>
                    <a:noFill/>
                    <a:ln>
                      <a:noFill/>
                    </a:ln>
                  </pic:spPr>
                </pic:pic>
              </a:graphicData>
            </a:graphic>
          </wp:inline>
        </w:drawing>
      </w:r>
    </w:p>
    <w:p w14:paraId="7EE87B79" w14:textId="77777777" w:rsidR="0081384A" w:rsidRDefault="0081384A" w:rsidP="00CB733B">
      <w:pPr>
        <w:spacing w:before="0" w:after="120"/>
        <w:jc w:val="both"/>
        <w:rPr>
          <w:rFonts w:asciiTheme="minorHAnsi" w:hAnsiTheme="minorHAnsi" w:cstheme="minorHAnsi"/>
          <w:b/>
          <w:bCs/>
          <w:color w:val="000000"/>
          <w:szCs w:val="24"/>
          <w:lang w:eastAsia="zh-CN"/>
        </w:rPr>
      </w:pPr>
      <w:r w:rsidRPr="00D644AA">
        <w:rPr>
          <w:rFonts w:asciiTheme="minorHAnsi" w:hAnsiTheme="minorHAnsi" w:cstheme="minorHAnsi"/>
          <w:b/>
          <w:bCs/>
          <w:color w:val="000000"/>
          <w:szCs w:val="22"/>
          <w:lang w:eastAsia="zh-CN"/>
        </w:rPr>
        <w:t>First Host Country Loan</w:t>
      </w:r>
      <w:r>
        <w:rPr>
          <w:rFonts w:asciiTheme="minorHAnsi" w:hAnsiTheme="minorHAnsi" w:cstheme="minorHAnsi"/>
          <w:b/>
          <w:bCs/>
          <w:color w:val="000000"/>
          <w:szCs w:val="24"/>
          <w:lang w:eastAsia="zh-CN"/>
        </w:rPr>
        <w:t xml:space="preserve"> (September 2020)</w:t>
      </w:r>
    </w:p>
    <w:p w14:paraId="37D5DE6C" w14:textId="77777777" w:rsidR="0081384A" w:rsidRDefault="0081384A" w:rsidP="00CB733B">
      <w:pPr>
        <w:spacing w:before="0" w:after="120"/>
        <w:jc w:val="both"/>
        <w:rPr>
          <w:rFonts w:asciiTheme="minorHAnsi" w:hAnsiTheme="minorHAnsi" w:cstheme="minorHAnsi"/>
          <w:b/>
          <w:bCs/>
          <w:color w:val="000000" w:themeColor="text1"/>
        </w:rPr>
        <w:sectPr w:rsidR="0081384A" w:rsidSect="00817CFD">
          <w:headerReference w:type="first" r:id="rId35"/>
          <w:footerReference w:type="first" r:id="rId36"/>
          <w:pgSz w:w="16834" w:h="11907" w:orient="landscape"/>
          <w:pgMar w:top="1134" w:right="1418" w:bottom="1134" w:left="1418" w:header="720" w:footer="720" w:gutter="0"/>
          <w:paperSrc w:first="15" w:other="15"/>
          <w:cols w:space="720"/>
          <w:titlePg/>
          <w:docGrid w:linePitch="326"/>
        </w:sectPr>
      </w:pPr>
      <w:r w:rsidRPr="009540C7">
        <w:rPr>
          <w:noProof/>
          <w:lang w:val="en-US"/>
        </w:rPr>
        <w:drawing>
          <wp:inline distT="0" distB="0" distL="0" distR="0" wp14:anchorId="6C1E1C9F" wp14:editId="5A3CFD1E">
            <wp:extent cx="7910946" cy="295690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004749" cy="2991962"/>
                    </a:xfrm>
                    <a:prstGeom prst="rect">
                      <a:avLst/>
                    </a:prstGeom>
                    <a:noFill/>
                    <a:ln>
                      <a:noFill/>
                    </a:ln>
                  </pic:spPr>
                </pic:pic>
              </a:graphicData>
            </a:graphic>
          </wp:inline>
        </w:drawing>
      </w:r>
    </w:p>
    <w:p w14:paraId="22C2ACAE" w14:textId="77777777" w:rsidR="0081384A" w:rsidRDefault="0081384A" w:rsidP="006C6A82">
      <w:pPr>
        <w:spacing w:before="0" w:after="120"/>
        <w:jc w:val="both"/>
        <w:rPr>
          <w:rFonts w:asciiTheme="minorHAnsi" w:hAnsiTheme="minorHAnsi" w:cstheme="minorHAnsi"/>
          <w:b/>
          <w:bCs/>
          <w:color w:val="000000" w:themeColor="text1"/>
          <w:szCs w:val="24"/>
          <w:lang w:val="en-US"/>
        </w:rPr>
      </w:pPr>
      <w:bookmarkStart w:id="11" w:name="AnnexC"/>
      <w:r>
        <w:rPr>
          <w:rFonts w:asciiTheme="minorHAnsi" w:hAnsiTheme="minorHAnsi" w:cstheme="minorHAnsi"/>
          <w:b/>
          <w:bCs/>
          <w:color w:val="000000" w:themeColor="text1"/>
          <w:szCs w:val="24"/>
          <w:lang w:val="en-US"/>
        </w:rPr>
        <w:lastRenderedPageBreak/>
        <w:t>Annex C</w:t>
      </w:r>
    </w:p>
    <w:bookmarkEnd w:id="11"/>
    <w:p w14:paraId="52B889D0" w14:textId="6FD72B81" w:rsidR="0081384A" w:rsidRDefault="0081384A" w:rsidP="00CB733B">
      <w:pPr>
        <w:spacing w:before="0" w:after="120"/>
        <w:jc w:val="both"/>
        <w:rPr>
          <w:rFonts w:asciiTheme="minorHAnsi" w:hAnsiTheme="minorHAnsi" w:cstheme="minorHAnsi"/>
          <w:b/>
          <w:bCs/>
          <w:color w:val="000000" w:themeColor="text1"/>
        </w:rPr>
      </w:pPr>
      <w:r w:rsidRPr="00536900">
        <w:rPr>
          <w:rFonts w:asciiTheme="minorHAnsi" w:hAnsiTheme="minorHAnsi" w:cstheme="minorHAnsi"/>
          <w:b/>
          <w:bCs/>
          <w:color w:val="000000" w:themeColor="text1"/>
        </w:rPr>
        <w:t>Foreseen vs. expended</w:t>
      </w:r>
    </w:p>
    <w:p w14:paraId="0C8BE24F" w14:textId="77777777" w:rsidR="0081384A" w:rsidRDefault="0081384A" w:rsidP="00CB733B">
      <w:pPr>
        <w:spacing w:before="0" w:after="120"/>
        <w:jc w:val="both"/>
        <w:rPr>
          <w:rFonts w:asciiTheme="minorHAnsi" w:hAnsiTheme="minorHAnsi" w:cstheme="minorHAnsi"/>
          <w:b/>
          <w:bCs/>
          <w:color w:val="000000" w:themeColor="text1"/>
          <w:szCs w:val="24"/>
          <w:lang w:val="en-US"/>
        </w:rPr>
      </w:pPr>
    </w:p>
    <w:p w14:paraId="6D7599D5" w14:textId="77777777" w:rsidR="0081384A" w:rsidRDefault="0081384A" w:rsidP="00CB733B">
      <w:pPr>
        <w:spacing w:before="0" w:after="120"/>
        <w:jc w:val="center"/>
        <w:rPr>
          <w:rFonts w:asciiTheme="minorHAnsi" w:hAnsiTheme="minorHAnsi" w:cstheme="minorHAnsi"/>
          <w:b/>
          <w:bCs/>
          <w:color w:val="000000" w:themeColor="text1"/>
          <w:szCs w:val="24"/>
          <w:lang w:val="en-US"/>
        </w:rPr>
      </w:pPr>
      <w:r w:rsidRPr="00A306DA">
        <w:rPr>
          <w:noProof/>
        </w:rPr>
        <w:drawing>
          <wp:inline distT="0" distB="0" distL="0" distR="0" wp14:anchorId="2C233999" wp14:editId="5E657467">
            <wp:extent cx="7206615" cy="48373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16064" cy="4843688"/>
                    </a:xfrm>
                    <a:prstGeom prst="rect">
                      <a:avLst/>
                    </a:prstGeom>
                    <a:noFill/>
                    <a:ln>
                      <a:noFill/>
                    </a:ln>
                  </pic:spPr>
                </pic:pic>
              </a:graphicData>
            </a:graphic>
          </wp:inline>
        </w:drawing>
      </w:r>
    </w:p>
    <w:p w14:paraId="568BF149" w14:textId="14379BCD" w:rsidR="0081384A" w:rsidRPr="00742C7A" w:rsidRDefault="0081384A" w:rsidP="00CB733B">
      <w:pPr>
        <w:spacing w:before="0" w:after="120"/>
        <w:jc w:val="center"/>
        <w:rPr>
          <w:rFonts w:asciiTheme="minorHAnsi" w:hAnsiTheme="minorHAnsi" w:cstheme="minorHAnsi"/>
          <w:color w:val="000000"/>
          <w:szCs w:val="22"/>
          <w:u w:val="single"/>
          <w:lang w:val="en-US" w:eastAsia="zh-CN"/>
        </w:rPr>
      </w:pPr>
      <w:r>
        <w:rPr>
          <w:rFonts w:asciiTheme="minorHAnsi" w:hAnsiTheme="minorHAnsi" w:cstheme="minorHAnsi"/>
          <w:b/>
          <w:bCs/>
          <w:color w:val="000000" w:themeColor="text1"/>
          <w:szCs w:val="24"/>
          <w:lang w:val="en-US"/>
        </w:rPr>
        <w:t>_____________</w:t>
      </w:r>
    </w:p>
    <w:sectPr w:rsidR="0081384A" w:rsidRPr="00742C7A" w:rsidSect="006C6A82">
      <w:footerReference w:type="first" r:id="rId39"/>
      <w:pgSz w:w="16834" w:h="11907" w:orient="landscape"/>
      <w:pgMar w:top="1134" w:right="1418" w:bottom="1134" w:left="1418" w:header="720" w:footer="720" w:gutter="0"/>
      <w:paperSrc w:first="1264"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E20E8" w14:textId="77777777" w:rsidR="00817CFD" w:rsidRDefault="00817CFD">
      <w:r>
        <w:separator/>
      </w:r>
    </w:p>
  </w:endnote>
  <w:endnote w:type="continuationSeparator" w:id="0">
    <w:p w14:paraId="3C2CCF69" w14:textId="77777777" w:rsidR="00817CFD" w:rsidRDefault="00817CFD">
      <w:r>
        <w:continuationSeparator/>
      </w:r>
    </w:p>
  </w:endnote>
  <w:endnote w:type="continuationNotice" w:id="1">
    <w:p w14:paraId="78B6F194" w14:textId="77777777" w:rsidR="00817CFD" w:rsidRDefault="00817CF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4FA9D" w14:textId="77777777" w:rsidR="00817CFD" w:rsidRDefault="00817CFD" w:rsidP="00163C86">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C6DF" w14:textId="50C21075" w:rsidR="00817CFD" w:rsidRPr="00CD5C44" w:rsidRDefault="00817CFD" w:rsidP="00CD5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F5E34" w14:textId="77777777" w:rsidR="00817CFD" w:rsidRPr="00094F6A" w:rsidRDefault="00817CFD" w:rsidP="00817C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0D133" w14:textId="49DF8A96" w:rsidR="00817CFD" w:rsidRPr="00CD5C44" w:rsidRDefault="00817CFD" w:rsidP="00CD5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6F0DD" w14:textId="77777777" w:rsidR="00817CFD" w:rsidRDefault="00817CFD">
      <w:r>
        <w:t>____________________</w:t>
      </w:r>
    </w:p>
  </w:footnote>
  <w:footnote w:type="continuationSeparator" w:id="0">
    <w:p w14:paraId="6172FBCC" w14:textId="77777777" w:rsidR="00817CFD" w:rsidRDefault="00817CFD">
      <w:r>
        <w:continuationSeparator/>
      </w:r>
    </w:p>
  </w:footnote>
  <w:footnote w:type="continuationNotice" w:id="1">
    <w:p w14:paraId="1B5780F2" w14:textId="77777777" w:rsidR="00817CFD" w:rsidRDefault="00817CFD">
      <w:pPr>
        <w:spacing w:before="0"/>
      </w:pPr>
    </w:p>
  </w:footnote>
  <w:footnote w:id="2">
    <w:p w14:paraId="20EF8229" w14:textId="2742E19C" w:rsidR="00817CFD" w:rsidRPr="00C74B05" w:rsidRDefault="00817CFD" w:rsidP="006C6A82">
      <w:pPr>
        <w:jc w:val="both"/>
        <w:rPr>
          <w:lang w:val="en-US"/>
        </w:rPr>
      </w:pPr>
      <w:r>
        <w:rPr>
          <w:rStyle w:val="FootnoteReference"/>
        </w:rPr>
        <w:footnoteRef/>
      </w:r>
      <w:r>
        <w:t xml:space="preserve"> </w:t>
      </w:r>
      <w:r w:rsidRPr="00C74B05">
        <w:rPr>
          <w:rFonts w:asciiTheme="minorHAnsi" w:hAnsiTheme="minorHAnsi" w:cstheme="minorHAnsi"/>
          <w:color w:val="000000" w:themeColor="text1"/>
          <w:sz w:val="20"/>
        </w:rPr>
        <w:t>Value engineering promotes the substitution of materials and methods with less expensive alternatives, without sacrificing functionality.</w:t>
      </w:r>
    </w:p>
  </w:footnote>
  <w:footnote w:id="3">
    <w:p w14:paraId="4B911A9D" w14:textId="4F2A17A1" w:rsidR="00817CFD" w:rsidRPr="00350814" w:rsidRDefault="00817CFD" w:rsidP="00E679C8">
      <w:pPr>
        <w:pStyle w:val="FootnoteText"/>
        <w:rPr>
          <w:lang w:val="en-US"/>
        </w:rPr>
      </w:pPr>
      <w:r>
        <w:rPr>
          <w:rStyle w:val="FootnoteReference"/>
        </w:rPr>
        <w:footnoteRef/>
      </w:r>
      <w:r>
        <w:t xml:space="preserve"> </w:t>
      </w:r>
      <w:r w:rsidRPr="006C6A82">
        <w:rPr>
          <w:sz w:val="20"/>
          <w:lang w:val="en-US"/>
        </w:rPr>
        <w:t xml:space="preserve">MSAG statement available in Document </w:t>
      </w:r>
      <w:hyperlink r:id="rId1" w:history="1">
        <w:r w:rsidRPr="006C6A82">
          <w:rPr>
            <w:rStyle w:val="Hyperlink"/>
            <w:sz w:val="20"/>
            <w:lang w:val="en-US"/>
          </w:rPr>
          <w:t>C20/48 (Rev.1)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E4FA6" w14:textId="50B59E52" w:rsidR="00817CFD" w:rsidRDefault="00817CFD" w:rsidP="00CE433C">
    <w:pPr>
      <w:pStyle w:val="Header"/>
    </w:pPr>
    <w:r>
      <w:fldChar w:fldCharType="begin"/>
    </w:r>
    <w:r>
      <w:instrText>PAGE</w:instrText>
    </w:r>
    <w:r>
      <w:fldChar w:fldCharType="separate"/>
    </w:r>
    <w:r>
      <w:rPr>
        <w:noProof/>
      </w:rPr>
      <w:t>9</w:t>
    </w:r>
    <w:r>
      <w:rPr>
        <w:noProof/>
      </w:rPr>
      <w:fldChar w:fldCharType="end"/>
    </w:r>
  </w:p>
  <w:p w14:paraId="02F27790" w14:textId="22CCF441" w:rsidR="00817CFD" w:rsidRPr="00623AE3" w:rsidRDefault="00817CFD" w:rsidP="00D338E0">
    <w:pPr>
      <w:pStyle w:val="Header"/>
      <w:rPr>
        <w:bCs/>
      </w:rPr>
    </w:pPr>
    <w:r>
      <w:rPr>
        <w:bCs/>
      </w:rPr>
      <w:t>C20</w:t>
    </w:r>
    <w:r w:rsidRPr="00623AE3">
      <w:rPr>
        <w:bCs/>
      </w:rPr>
      <w:t>/</w:t>
    </w:r>
    <w:r>
      <w:rPr>
        <w:bCs/>
      </w:rPr>
      <w:t>7 (Rev.1)</w:t>
    </w:r>
    <w:r w:rsidRPr="00623AE3">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220C7" w14:textId="77777777" w:rsidR="00817CFD" w:rsidRDefault="00817CFD" w:rsidP="00742C7A">
    <w:pPr>
      <w:pStyle w:val="Header"/>
    </w:pPr>
    <w:r>
      <w:fldChar w:fldCharType="begin"/>
    </w:r>
    <w:r>
      <w:instrText>PAGE</w:instrText>
    </w:r>
    <w:r>
      <w:fldChar w:fldCharType="separate"/>
    </w:r>
    <w:r>
      <w:t>2</w:t>
    </w:r>
    <w:r>
      <w:rPr>
        <w:noProof/>
      </w:rPr>
      <w:fldChar w:fldCharType="end"/>
    </w:r>
  </w:p>
  <w:p w14:paraId="54302744" w14:textId="21B16DDE" w:rsidR="00817CFD" w:rsidRPr="00623AE3" w:rsidRDefault="00817CFD" w:rsidP="00742C7A">
    <w:pPr>
      <w:pStyle w:val="Header"/>
      <w:rPr>
        <w:bCs/>
      </w:rPr>
    </w:pPr>
    <w:r>
      <w:rPr>
        <w:bCs/>
      </w:rPr>
      <w:t>C20</w:t>
    </w:r>
    <w:r w:rsidRPr="00623AE3">
      <w:rPr>
        <w:bCs/>
      </w:rPr>
      <w:t>/</w:t>
    </w:r>
    <w:r>
      <w:rPr>
        <w:bCs/>
      </w:rPr>
      <w:t>7 (Rev.1)</w:t>
    </w:r>
    <w:r w:rsidRPr="00623AE3">
      <w:rPr>
        <w:bCs/>
      </w:rPr>
      <w:t>-E</w:t>
    </w:r>
  </w:p>
  <w:p w14:paraId="55AA9E27" w14:textId="77777777" w:rsidR="00817CFD" w:rsidRDefault="00817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F863E" w14:textId="77777777" w:rsidR="00817CFD" w:rsidRDefault="00817CFD" w:rsidP="00742C7A">
    <w:pPr>
      <w:pStyle w:val="Header"/>
    </w:pPr>
    <w:r>
      <w:fldChar w:fldCharType="begin"/>
    </w:r>
    <w:r>
      <w:instrText>PAGE</w:instrText>
    </w:r>
    <w:r>
      <w:fldChar w:fldCharType="separate"/>
    </w:r>
    <w:r>
      <w:t>2</w:t>
    </w:r>
    <w:r>
      <w:rPr>
        <w:noProof/>
      </w:rPr>
      <w:fldChar w:fldCharType="end"/>
    </w:r>
  </w:p>
  <w:p w14:paraId="3B3DF38E" w14:textId="77777777" w:rsidR="00817CFD" w:rsidRDefault="00817CFD" w:rsidP="00817CFD">
    <w:pPr>
      <w:pStyle w:val="Header"/>
      <w:spacing w:after="120"/>
    </w:pPr>
    <w:r>
      <w:rPr>
        <w:bCs/>
      </w:rPr>
      <w:t>C20</w:t>
    </w:r>
    <w:r w:rsidRPr="00623AE3">
      <w:rPr>
        <w:bCs/>
      </w:rPr>
      <w:t>/</w:t>
    </w:r>
    <w:r>
      <w:rPr>
        <w:bCs/>
      </w:rPr>
      <w:t>7 (Rev.1)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34FEA67"/>
    <w:multiLevelType w:val="hybridMultilevel"/>
    <w:tmpl w:val="ECAC2A3E"/>
    <w:lvl w:ilvl="0" w:tplc="FFFFFFFF">
      <w:start w:val="1"/>
      <w:numFmt w:val="ideographDigital"/>
      <w:lvlText w:val=""/>
      <w:lvlJc w:val="left"/>
    </w:lvl>
    <w:lvl w:ilvl="1" w:tplc="E0CEF04E">
      <w:start w:val="1"/>
      <w:numFmt w:val="bullet"/>
      <w:lvlText w:val=""/>
      <w:lvlJc w:val="left"/>
      <w:rPr>
        <w:rFonts w:ascii="Symbol" w:hAnsi="Symbol" w:hint="default"/>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FA7C24"/>
    <w:multiLevelType w:val="hybridMultilevel"/>
    <w:tmpl w:val="7324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301FDB"/>
    <w:multiLevelType w:val="hybridMultilevel"/>
    <w:tmpl w:val="7874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27991"/>
    <w:multiLevelType w:val="hybridMultilevel"/>
    <w:tmpl w:val="85C0AB76"/>
    <w:lvl w:ilvl="0" w:tplc="BB38F7B4">
      <w:start w:val="1"/>
      <w:numFmt w:val="bullet"/>
      <w:pStyle w:val="B-Square"/>
      <w:lvlText w:val=""/>
      <w:lvlJc w:val="left"/>
      <w:pPr>
        <w:ind w:left="720" w:hanging="360"/>
      </w:pPr>
      <w:rPr>
        <w:rFonts w:ascii="Wingdings" w:hAnsi="Wingdings" w:hint="default"/>
        <w:color w:val="000000" w:themeColor="text1"/>
      </w:rPr>
    </w:lvl>
    <w:lvl w:ilvl="1" w:tplc="562A090C">
      <w:start w:val="1"/>
      <w:numFmt w:val="bullet"/>
      <w:pStyle w:val="B-Round"/>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E125CF"/>
    <w:multiLevelType w:val="hybridMultilevel"/>
    <w:tmpl w:val="7158B2DC"/>
    <w:lvl w:ilvl="0" w:tplc="3C609348">
      <w:start w:val="1"/>
      <w:numFmt w:val="bullet"/>
      <w:lvlText w:val="•"/>
      <w:lvlJc w:val="left"/>
      <w:pPr>
        <w:tabs>
          <w:tab w:val="num" w:pos="720"/>
        </w:tabs>
        <w:ind w:left="720" w:hanging="360"/>
      </w:pPr>
      <w:rPr>
        <w:rFonts w:ascii="Arial" w:hAnsi="Arial" w:hint="default"/>
      </w:rPr>
    </w:lvl>
    <w:lvl w:ilvl="1" w:tplc="A394EA00">
      <w:start w:val="1"/>
      <w:numFmt w:val="bullet"/>
      <w:lvlText w:val="•"/>
      <w:lvlJc w:val="left"/>
      <w:pPr>
        <w:tabs>
          <w:tab w:val="num" w:pos="1440"/>
        </w:tabs>
        <w:ind w:left="1440" w:hanging="360"/>
      </w:pPr>
      <w:rPr>
        <w:rFonts w:ascii="Arial" w:hAnsi="Arial" w:hint="default"/>
      </w:rPr>
    </w:lvl>
    <w:lvl w:ilvl="2" w:tplc="C204B53E" w:tentative="1">
      <w:start w:val="1"/>
      <w:numFmt w:val="bullet"/>
      <w:lvlText w:val="•"/>
      <w:lvlJc w:val="left"/>
      <w:pPr>
        <w:tabs>
          <w:tab w:val="num" w:pos="2160"/>
        </w:tabs>
        <w:ind w:left="2160" w:hanging="360"/>
      </w:pPr>
      <w:rPr>
        <w:rFonts w:ascii="Arial" w:hAnsi="Arial" w:hint="default"/>
      </w:rPr>
    </w:lvl>
    <w:lvl w:ilvl="3" w:tplc="A6EE8BBA" w:tentative="1">
      <w:start w:val="1"/>
      <w:numFmt w:val="bullet"/>
      <w:lvlText w:val="•"/>
      <w:lvlJc w:val="left"/>
      <w:pPr>
        <w:tabs>
          <w:tab w:val="num" w:pos="2880"/>
        </w:tabs>
        <w:ind w:left="2880" w:hanging="360"/>
      </w:pPr>
      <w:rPr>
        <w:rFonts w:ascii="Arial" w:hAnsi="Arial" w:hint="default"/>
      </w:rPr>
    </w:lvl>
    <w:lvl w:ilvl="4" w:tplc="EDB62458" w:tentative="1">
      <w:start w:val="1"/>
      <w:numFmt w:val="bullet"/>
      <w:lvlText w:val="•"/>
      <w:lvlJc w:val="left"/>
      <w:pPr>
        <w:tabs>
          <w:tab w:val="num" w:pos="3600"/>
        </w:tabs>
        <w:ind w:left="3600" w:hanging="360"/>
      </w:pPr>
      <w:rPr>
        <w:rFonts w:ascii="Arial" w:hAnsi="Arial" w:hint="default"/>
      </w:rPr>
    </w:lvl>
    <w:lvl w:ilvl="5" w:tplc="A810E4AE" w:tentative="1">
      <w:start w:val="1"/>
      <w:numFmt w:val="bullet"/>
      <w:lvlText w:val="•"/>
      <w:lvlJc w:val="left"/>
      <w:pPr>
        <w:tabs>
          <w:tab w:val="num" w:pos="4320"/>
        </w:tabs>
        <w:ind w:left="4320" w:hanging="360"/>
      </w:pPr>
      <w:rPr>
        <w:rFonts w:ascii="Arial" w:hAnsi="Arial" w:hint="default"/>
      </w:rPr>
    </w:lvl>
    <w:lvl w:ilvl="6" w:tplc="7B04AECA" w:tentative="1">
      <w:start w:val="1"/>
      <w:numFmt w:val="bullet"/>
      <w:lvlText w:val="•"/>
      <w:lvlJc w:val="left"/>
      <w:pPr>
        <w:tabs>
          <w:tab w:val="num" w:pos="5040"/>
        </w:tabs>
        <w:ind w:left="5040" w:hanging="360"/>
      </w:pPr>
      <w:rPr>
        <w:rFonts w:ascii="Arial" w:hAnsi="Arial" w:hint="default"/>
      </w:rPr>
    </w:lvl>
    <w:lvl w:ilvl="7" w:tplc="E66EA9AC" w:tentative="1">
      <w:start w:val="1"/>
      <w:numFmt w:val="bullet"/>
      <w:lvlText w:val="•"/>
      <w:lvlJc w:val="left"/>
      <w:pPr>
        <w:tabs>
          <w:tab w:val="num" w:pos="5760"/>
        </w:tabs>
        <w:ind w:left="5760" w:hanging="360"/>
      </w:pPr>
      <w:rPr>
        <w:rFonts w:ascii="Arial" w:hAnsi="Arial" w:hint="default"/>
      </w:rPr>
    </w:lvl>
    <w:lvl w:ilvl="8" w:tplc="B1823C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612270"/>
    <w:multiLevelType w:val="hybridMultilevel"/>
    <w:tmpl w:val="BEA2C034"/>
    <w:lvl w:ilvl="0" w:tplc="08090001">
      <w:start w:val="1"/>
      <w:numFmt w:val="bullet"/>
      <w:lvlText w:val=""/>
      <w:lvlJc w:val="left"/>
      <w:pPr>
        <w:ind w:left="590" w:hanging="360"/>
      </w:pPr>
      <w:rPr>
        <w:rFonts w:ascii="Symbol" w:hAnsi="Symbo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7" w15:restartNumberingAfterBreak="0">
    <w:nsid w:val="0D0A6BEC"/>
    <w:multiLevelType w:val="hybridMultilevel"/>
    <w:tmpl w:val="7846A43C"/>
    <w:lvl w:ilvl="0" w:tplc="17009FE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B7264"/>
    <w:multiLevelType w:val="multilevel"/>
    <w:tmpl w:val="70A2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61FCF"/>
    <w:multiLevelType w:val="hybridMultilevel"/>
    <w:tmpl w:val="F0CEA06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BA55051"/>
    <w:multiLevelType w:val="multilevel"/>
    <w:tmpl w:val="CFD8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36FA3"/>
    <w:multiLevelType w:val="multilevel"/>
    <w:tmpl w:val="4274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36C60"/>
    <w:multiLevelType w:val="hybridMultilevel"/>
    <w:tmpl w:val="314C82F2"/>
    <w:lvl w:ilvl="0" w:tplc="E0CEF04E">
      <w:start w:val="1"/>
      <w:numFmt w:val="bullet"/>
      <w:lvlText w:val=""/>
      <w:lvlJc w:val="left"/>
      <w:pPr>
        <w:ind w:left="1069" w:hanging="360"/>
      </w:pPr>
      <w:rPr>
        <w:rFonts w:ascii="Symbol" w:hAnsi="Symbol" w:hint="default"/>
        <w:sz w:val="22"/>
        <w:szCs w:val="22"/>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0190F3D"/>
    <w:multiLevelType w:val="multilevel"/>
    <w:tmpl w:val="B1E4F6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D63E50"/>
    <w:multiLevelType w:val="hybridMultilevel"/>
    <w:tmpl w:val="9D2E8EE4"/>
    <w:lvl w:ilvl="0" w:tplc="FFFFFFFF">
      <w:start w:val="1"/>
      <w:numFmt w:val="ideographDigital"/>
      <w:lvlText w:val=""/>
      <w:lvlJc w:val="left"/>
    </w:lvl>
    <w:lvl w:ilvl="1" w:tplc="E0CEF04E">
      <w:start w:val="1"/>
      <w:numFmt w:val="bullet"/>
      <w:lvlText w:val=""/>
      <w:lvlJc w:val="left"/>
      <w:rPr>
        <w:rFonts w:ascii="Symbol" w:hAnsi="Symbol" w:hint="default"/>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26510F"/>
    <w:multiLevelType w:val="multilevel"/>
    <w:tmpl w:val="E698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82D2C"/>
    <w:multiLevelType w:val="multilevel"/>
    <w:tmpl w:val="40E4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BD3761"/>
    <w:multiLevelType w:val="multilevel"/>
    <w:tmpl w:val="6DE8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C7A03"/>
    <w:multiLevelType w:val="hybridMultilevel"/>
    <w:tmpl w:val="30D4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A2CDF"/>
    <w:multiLevelType w:val="multilevel"/>
    <w:tmpl w:val="6924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7C6677"/>
    <w:multiLevelType w:val="hybridMultilevel"/>
    <w:tmpl w:val="84C0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961349"/>
    <w:multiLevelType w:val="multilevel"/>
    <w:tmpl w:val="34B45F5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D456B4"/>
    <w:multiLevelType w:val="hybridMultilevel"/>
    <w:tmpl w:val="DDACB4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8DC1825"/>
    <w:multiLevelType w:val="multilevel"/>
    <w:tmpl w:val="FCAA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B25AFD"/>
    <w:multiLevelType w:val="hybridMultilevel"/>
    <w:tmpl w:val="B3762B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11B5876"/>
    <w:multiLevelType w:val="multilevel"/>
    <w:tmpl w:val="BC74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061EC1"/>
    <w:multiLevelType w:val="multilevel"/>
    <w:tmpl w:val="F6E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9F757B"/>
    <w:multiLevelType w:val="multilevel"/>
    <w:tmpl w:val="6242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A43067"/>
    <w:multiLevelType w:val="multilevel"/>
    <w:tmpl w:val="4364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760F77"/>
    <w:multiLevelType w:val="hybridMultilevel"/>
    <w:tmpl w:val="ED601D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90B7FC2"/>
    <w:multiLevelType w:val="multilevel"/>
    <w:tmpl w:val="2440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3C0ACB"/>
    <w:multiLevelType w:val="multilevel"/>
    <w:tmpl w:val="7A08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6E4A73"/>
    <w:multiLevelType w:val="hybridMultilevel"/>
    <w:tmpl w:val="B01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E20CF5"/>
    <w:multiLevelType w:val="hybridMultilevel"/>
    <w:tmpl w:val="9AD088CC"/>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5D0A1D92"/>
    <w:multiLevelType w:val="multilevel"/>
    <w:tmpl w:val="3B66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CA2435"/>
    <w:multiLevelType w:val="multilevel"/>
    <w:tmpl w:val="7224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45676"/>
    <w:multiLevelType w:val="multilevel"/>
    <w:tmpl w:val="59208150"/>
    <w:lvl w:ilvl="0">
      <w:start w:val="1"/>
      <w:numFmt w:val="decimal"/>
      <w:lvlText w:val="%1"/>
      <w:lvlJc w:val="left"/>
      <w:pPr>
        <w:ind w:left="708" w:hanging="708"/>
      </w:pPr>
      <w:rPr>
        <w:rFonts w:hint="default"/>
      </w:rPr>
    </w:lvl>
    <w:lvl w:ilvl="1">
      <w:start w:val="1"/>
      <w:numFmt w:val="bullet"/>
      <w:lvlText w:val=""/>
      <w:lvlJc w:val="left"/>
      <w:pPr>
        <w:ind w:left="708" w:hanging="708"/>
      </w:pPr>
      <w:rPr>
        <w:rFonts w:ascii="Symbol" w:hAnsi="Symbo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5678B6"/>
    <w:multiLevelType w:val="multilevel"/>
    <w:tmpl w:val="759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994AB7"/>
    <w:multiLevelType w:val="hybridMultilevel"/>
    <w:tmpl w:val="0608C92E"/>
    <w:lvl w:ilvl="0" w:tplc="F086E36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661E8D"/>
    <w:multiLevelType w:val="multilevel"/>
    <w:tmpl w:val="9F6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6232BA4"/>
    <w:multiLevelType w:val="multilevel"/>
    <w:tmpl w:val="E344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C856E2"/>
    <w:multiLevelType w:val="multilevel"/>
    <w:tmpl w:val="A6E4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DA257A"/>
    <w:multiLevelType w:val="hybridMultilevel"/>
    <w:tmpl w:val="F020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ED78EB"/>
    <w:multiLevelType w:val="multilevel"/>
    <w:tmpl w:val="585E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F51E4F"/>
    <w:multiLevelType w:val="multilevel"/>
    <w:tmpl w:val="D652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7E2934"/>
    <w:multiLevelType w:val="hybridMultilevel"/>
    <w:tmpl w:val="9B686420"/>
    <w:lvl w:ilvl="0" w:tplc="5234F0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D24810"/>
    <w:multiLevelType w:val="hybridMultilevel"/>
    <w:tmpl w:val="5C6C07D2"/>
    <w:lvl w:ilvl="0" w:tplc="07CA39F2">
      <w:start w:val="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21"/>
  </w:num>
  <w:num w:numId="4">
    <w:abstractNumId w:val="12"/>
  </w:num>
  <w:num w:numId="5">
    <w:abstractNumId w:val="13"/>
  </w:num>
  <w:num w:numId="6">
    <w:abstractNumId w:val="5"/>
  </w:num>
  <w:num w:numId="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6"/>
  </w:num>
  <w:num w:numId="17">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6"/>
  </w:num>
  <w:num w:numId="22">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47"/>
  </w:num>
  <w:num w:numId="32">
    <w:abstractNumId w:val="4"/>
  </w:num>
  <w:num w:numId="33">
    <w:abstractNumId w:val="20"/>
  </w:num>
  <w:num w:numId="34">
    <w:abstractNumId w:val="18"/>
  </w:num>
  <w:num w:numId="35">
    <w:abstractNumId w:val="32"/>
  </w:num>
  <w:num w:numId="36">
    <w:abstractNumId w:val="7"/>
  </w:num>
  <w:num w:numId="37">
    <w:abstractNumId w:val="38"/>
  </w:num>
  <w:num w:numId="38">
    <w:abstractNumId w:val="46"/>
  </w:num>
  <w:num w:numId="39">
    <w:abstractNumId w:val="29"/>
  </w:num>
  <w:num w:numId="40">
    <w:abstractNumId w:val="9"/>
  </w:num>
  <w:num w:numId="41">
    <w:abstractNumId w:val="22"/>
  </w:num>
  <w:num w:numId="42">
    <w:abstractNumId w:val="24"/>
  </w:num>
  <w:num w:numId="43">
    <w:abstractNumId w:val="33"/>
  </w:num>
  <w:num w:numId="44">
    <w:abstractNumId w:val="0"/>
  </w:num>
  <w:num w:numId="45">
    <w:abstractNumId w:val="43"/>
  </w:num>
  <w:num w:numId="46">
    <w:abstractNumId w:val="3"/>
  </w:num>
  <w:num w:numId="47">
    <w:abstractNumId w:val="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0D1F"/>
    <w:rsid w:val="00002976"/>
    <w:rsid w:val="0000400E"/>
    <w:rsid w:val="00005191"/>
    <w:rsid w:val="00005DA5"/>
    <w:rsid w:val="000068ED"/>
    <w:rsid w:val="00010C5C"/>
    <w:rsid w:val="0001205E"/>
    <w:rsid w:val="00014B9A"/>
    <w:rsid w:val="000210D4"/>
    <w:rsid w:val="00021473"/>
    <w:rsid w:val="00023561"/>
    <w:rsid w:val="00023FDB"/>
    <w:rsid w:val="0002490A"/>
    <w:rsid w:val="00026006"/>
    <w:rsid w:val="0003275B"/>
    <w:rsid w:val="00033F1C"/>
    <w:rsid w:val="00037EC4"/>
    <w:rsid w:val="00043736"/>
    <w:rsid w:val="00044EB0"/>
    <w:rsid w:val="0004676C"/>
    <w:rsid w:val="0004705C"/>
    <w:rsid w:val="0005204E"/>
    <w:rsid w:val="0005258E"/>
    <w:rsid w:val="0005336D"/>
    <w:rsid w:val="000537A7"/>
    <w:rsid w:val="00054E8D"/>
    <w:rsid w:val="00055CEA"/>
    <w:rsid w:val="00056D69"/>
    <w:rsid w:val="00061745"/>
    <w:rsid w:val="00063016"/>
    <w:rsid w:val="000640A9"/>
    <w:rsid w:val="00066795"/>
    <w:rsid w:val="00066C6F"/>
    <w:rsid w:val="000675E4"/>
    <w:rsid w:val="00072EE0"/>
    <w:rsid w:val="00073A08"/>
    <w:rsid w:val="00073D03"/>
    <w:rsid w:val="00076687"/>
    <w:rsid w:val="00076AF6"/>
    <w:rsid w:val="0008462E"/>
    <w:rsid w:val="0008491A"/>
    <w:rsid w:val="00085174"/>
    <w:rsid w:val="00085CF2"/>
    <w:rsid w:val="000861FF"/>
    <w:rsid w:val="000863FF"/>
    <w:rsid w:val="00093E25"/>
    <w:rsid w:val="00096C48"/>
    <w:rsid w:val="00097B7B"/>
    <w:rsid w:val="00097DEE"/>
    <w:rsid w:val="000A24CC"/>
    <w:rsid w:val="000A2F90"/>
    <w:rsid w:val="000A4147"/>
    <w:rsid w:val="000A4E50"/>
    <w:rsid w:val="000A64CC"/>
    <w:rsid w:val="000A6BA7"/>
    <w:rsid w:val="000A754F"/>
    <w:rsid w:val="000B1705"/>
    <w:rsid w:val="000B5332"/>
    <w:rsid w:val="000B5A0E"/>
    <w:rsid w:val="000B5F2D"/>
    <w:rsid w:val="000B6339"/>
    <w:rsid w:val="000C1FCC"/>
    <w:rsid w:val="000D070F"/>
    <w:rsid w:val="000D3D4F"/>
    <w:rsid w:val="000D4C18"/>
    <w:rsid w:val="000D5319"/>
    <w:rsid w:val="000D5FD5"/>
    <w:rsid w:val="000D6024"/>
    <w:rsid w:val="000D6BB8"/>
    <w:rsid w:val="000D6D29"/>
    <w:rsid w:val="000D75B2"/>
    <w:rsid w:val="000E0269"/>
    <w:rsid w:val="000E034A"/>
    <w:rsid w:val="000E0478"/>
    <w:rsid w:val="000E0A82"/>
    <w:rsid w:val="000E2C12"/>
    <w:rsid w:val="000E3F43"/>
    <w:rsid w:val="000E438A"/>
    <w:rsid w:val="000E7644"/>
    <w:rsid w:val="000F0E0D"/>
    <w:rsid w:val="000F1BEA"/>
    <w:rsid w:val="000F2C6E"/>
    <w:rsid w:val="000F3F8A"/>
    <w:rsid w:val="000F551D"/>
    <w:rsid w:val="000F5C06"/>
    <w:rsid w:val="000F6114"/>
    <w:rsid w:val="000F7A72"/>
    <w:rsid w:val="001012E7"/>
    <w:rsid w:val="00105736"/>
    <w:rsid w:val="00105E2C"/>
    <w:rsid w:val="00106171"/>
    <w:rsid w:val="00111E12"/>
    <w:rsid w:val="001121F5"/>
    <w:rsid w:val="001164C0"/>
    <w:rsid w:val="0011668E"/>
    <w:rsid w:val="00116D7A"/>
    <w:rsid w:val="00117591"/>
    <w:rsid w:val="00120A23"/>
    <w:rsid w:val="0012278C"/>
    <w:rsid w:val="00122E26"/>
    <w:rsid w:val="00123718"/>
    <w:rsid w:val="00132DF9"/>
    <w:rsid w:val="001337E9"/>
    <w:rsid w:val="00133F2F"/>
    <w:rsid w:val="00133FBC"/>
    <w:rsid w:val="00135B9D"/>
    <w:rsid w:val="00136582"/>
    <w:rsid w:val="00137F5B"/>
    <w:rsid w:val="001400DC"/>
    <w:rsid w:val="00140CE1"/>
    <w:rsid w:val="00141AB5"/>
    <w:rsid w:val="001421F9"/>
    <w:rsid w:val="00144B65"/>
    <w:rsid w:val="00145DD9"/>
    <w:rsid w:val="001556DB"/>
    <w:rsid w:val="00155709"/>
    <w:rsid w:val="0015649C"/>
    <w:rsid w:val="001570DD"/>
    <w:rsid w:val="00163C86"/>
    <w:rsid w:val="00164632"/>
    <w:rsid w:val="00167BE6"/>
    <w:rsid w:val="001719AC"/>
    <w:rsid w:val="00172FBB"/>
    <w:rsid w:val="0017539C"/>
    <w:rsid w:val="0017596B"/>
    <w:rsid w:val="00175AC2"/>
    <w:rsid w:val="00175DD0"/>
    <w:rsid w:val="0017609F"/>
    <w:rsid w:val="0017675B"/>
    <w:rsid w:val="00177595"/>
    <w:rsid w:val="00181DB2"/>
    <w:rsid w:val="00183DC0"/>
    <w:rsid w:val="00184D5A"/>
    <w:rsid w:val="00184E9F"/>
    <w:rsid w:val="0018606C"/>
    <w:rsid w:val="00187EA6"/>
    <w:rsid w:val="001905D4"/>
    <w:rsid w:val="00190B7E"/>
    <w:rsid w:val="0019187A"/>
    <w:rsid w:val="00191A57"/>
    <w:rsid w:val="00193349"/>
    <w:rsid w:val="00194883"/>
    <w:rsid w:val="00195F4D"/>
    <w:rsid w:val="00196B6A"/>
    <w:rsid w:val="001979C7"/>
    <w:rsid w:val="00197F5C"/>
    <w:rsid w:val="001A2766"/>
    <w:rsid w:val="001A3D78"/>
    <w:rsid w:val="001B1DD9"/>
    <w:rsid w:val="001B25C6"/>
    <w:rsid w:val="001B2F6D"/>
    <w:rsid w:val="001B4247"/>
    <w:rsid w:val="001B707F"/>
    <w:rsid w:val="001B719A"/>
    <w:rsid w:val="001C19D0"/>
    <w:rsid w:val="001C25D2"/>
    <w:rsid w:val="001C2B89"/>
    <w:rsid w:val="001C4812"/>
    <w:rsid w:val="001C502E"/>
    <w:rsid w:val="001C628E"/>
    <w:rsid w:val="001C7C20"/>
    <w:rsid w:val="001D011E"/>
    <w:rsid w:val="001D0D67"/>
    <w:rsid w:val="001D5BD5"/>
    <w:rsid w:val="001D5C17"/>
    <w:rsid w:val="001E0367"/>
    <w:rsid w:val="001E0F7B"/>
    <w:rsid w:val="001E1931"/>
    <w:rsid w:val="001E23D5"/>
    <w:rsid w:val="001E2BF1"/>
    <w:rsid w:val="001E63A8"/>
    <w:rsid w:val="001E7703"/>
    <w:rsid w:val="001F0FE9"/>
    <w:rsid w:val="001F7DEC"/>
    <w:rsid w:val="00210C85"/>
    <w:rsid w:val="002119FD"/>
    <w:rsid w:val="00211E8F"/>
    <w:rsid w:val="002130E0"/>
    <w:rsid w:val="00214B0B"/>
    <w:rsid w:val="002153EA"/>
    <w:rsid w:val="00220029"/>
    <w:rsid w:val="00220267"/>
    <w:rsid w:val="00222168"/>
    <w:rsid w:val="002239FA"/>
    <w:rsid w:val="00225512"/>
    <w:rsid w:val="002268DE"/>
    <w:rsid w:val="0023016A"/>
    <w:rsid w:val="002403C8"/>
    <w:rsid w:val="002418D1"/>
    <w:rsid w:val="002419EE"/>
    <w:rsid w:val="002427F2"/>
    <w:rsid w:val="00244D5E"/>
    <w:rsid w:val="00256335"/>
    <w:rsid w:val="0026017F"/>
    <w:rsid w:val="00261158"/>
    <w:rsid w:val="00264425"/>
    <w:rsid w:val="00264584"/>
    <w:rsid w:val="0026518E"/>
    <w:rsid w:val="00265875"/>
    <w:rsid w:val="00265E11"/>
    <w:rsid w:val="00267910"/>
    <w:rsid w:val="00271081"/>
    <w:rsid w:val="0027303B"/>
    <w:rsid w:val="00273ADF"/>
    <w:rsid w:val="00274D02"/>
    <w:rsid w:val="00275E9B"/>
    <w:rsid w:val="00276706"/>
    <w:rsid w:val="00277EC0"/>
    <w:rsid w:val="002803AF"/>
    <w:rsid w:val="0028109B"/>
    <w:rsid w:val="002811AC"/>
    <w:rsid w:val="002868C0"/>
    <w:rsid w:val="002922D1"/>
    <w:rsid w:val="00292F2D"/>
    <w:rsid w:val="00293970"/>
    <w:rsid w:val="002949DA"/>
    <w:rsid w:val="00296FD2"/>
    <w:rsid w:val="002A2188"/>
    <w:rsid w:val="002A2FCA"/>
    <w:rsid w:val="002A4C2D"/>
    <w:rsid w:val="002A5D2E"/>
    <w:rsid w:val="002B13D2"/>
    <w:rsid w:val="002B1F58"/>
    <w:rsid w:val="002B4B78"/>
    <w:rsid w:val="002B6FFB"/>
    <w:rsid w:val="002B72C7"/>
    <w:rsid w:val="002C1C7A"/>
    <w:rsid w:val="002C3871"/>
    <w:rsid w:val="002C7456"/>
    <w:rsid w:val="002D0351"/>
    <w:rsid w:val="002D0982"/>
    <w:rsid w:val="002D228B"/>
    <w:rsid w:val="002D34A7"/>
    <w:rsid w:val="002D4C61"/>
    <w:rsid w:val="002D5EF0"/>
    <w:rsid w:val="002D7F19"/>
    <w:rsid w:val="002E138B"/>
    <w:rsid w:val="002E16C7"/>
    <w:rsid w:val="002E1A1B"/>
    <w:rsid w:val="002E1E58"/>
    <w:rsid w:val="002F1DD8"/>
    <w:rsid w:val="002F3923"/>
    <w:rsid w:val="002F3B39"/>
    <w:rsid w:val="002F49A0"/>
    <w:rsid w:val="002F4F62"/>
    <w:rsid w:val="002F5F77"/>
    <w:rsid w:val="00300806"/>
    <w:rsid w:val="0030160F"/>
    <w:rsid w:val="00307E0F"/>
    <w:rsid w:val="00314E68"/>
    <w:rsid w:val="00315833"/>
    <w:rsid w:val="00317257"/>
    <w:rsid w:val="00322D0D"/>
    <w:rsid w:val="00332F63"/>
    <w:rsid w:val="003378AC"/>
    <w:rsid w:val="00340492"/>
    <w:rsid w:val="00341911"/>
    <w:rsid w:val="0034644D"/>
    <w:rsid w:val="00346ED8"/>
    <w:rsid w:val="00351E55"/>
    <w:rsid w:val="003523CE"/>
    <w:rsid w:val="00355EFF"/>
    <w:rsid w:val="00356D15"/>
    <w:rsid w:val="00357F4D"/>
    <w:rsid w:val="003615BE"/>
    <w:rsid w:val="003645AE"/>
    <w:rsid w:val="00366066"/>
    <w:rsid w:val="00367024"/>
    <w:rsid w:val="003713CB"/>
    <w:rsid w:val="003713D5"/>
    <w:rsid w:val="00373BE6"/>
    <w:rsid w:val="00374230"/>
    <w:rsid w:val="0037607F"/>
    <w:rsid w:val="003837FB"/>
    <w:rsid w:val="00383AF1"/>
    <w:rsid w:val="00383E7B"/>
    <w:rsid w:val="00384EAA"/>
    <w:rsid w:val="003942D4"/>
    <w:rsid w:val="003958A8"/>
    <w:rsid w:val="00397A6E"/>
    <w:rsid w:val="003A39AC"/>
    <w:rsid w:val="003A3DF7"/>
    <w:rsid w:val="003B2333"/>
    <w:rsid w:val="003B2E50"/>
    <w:rsid w:val="003B2E90"/>
    <w:rsid w:val="003B4E79"/>
    <w:rsid w:val="003B7E71"/>
    <w:rsid w:val="003C0A95"/>
    <w:rsid w:val="003C1A20"/>
    <w:rsid w:val="003C2533"/>
    <w:rsid w:val="003C68FC"/>
    <w:rsid w:val="003D0572"/>
    <w:rsid w:val="003D1F35"/>
    <w:rsid w:val="003D5568"/>
    <w:rsid w:val="003D5D27"/>
    <w:rsid w:val="003E1090"/>
    <w:rsid w:val="003E3450"/>
    <w:rsid w:val="003E3DB2"/>
    <w:rsid w:val="003E77FB"/>
    <w:rsid w:val="0040435A"/>
    <w:rsid w:val="0040576A"/>
    <w:rsid w:val="004112F3"/>
    <w:rsid w:val="0041182C"/>
    <w:rsid w:val="00412594"/>
    <w:rsid w:val="004125E4"/>
    <w:rsid w:val="00412C33"/>
    <w:rsid w:val="00413211"/>
    <w:rsid w:val="004132E4"/>
    <w:rsid w:val="00413533"/>
    <w:rsid w:val="004156E0"/>
    <w:rsid w:val="00416A24"/>
    <w:rsid w:val="004257BE"/>
    <w:rsid w:val="00431D9E"/>
    <w:rsid w:val="00433CE8"/>
    <w:rsid w:val="00434576"/>
    <w:rsid w:val="00434A5C"/>
    <w:rsid w:val="0043555B"/>
    <w:rsid w:val="00441877"/>
    <w:rsid w:val="004422AB"/>
    <w:rsid w:val="00442A88"/>
    <w:rsid w:val="004447AC"/>
    <w:rsid w:val="0044536E"/>
    <w:rsid w:val="00446BB7"/>
    <w:rsid w:val="0045052D"/>
    <w:rsid w:val="00451656"/>
    <w:rsid w:val="00452788"/>
    <w:rsid w:val="004544D9"/>
    <w:rsid w:val="004552F0"/>
    <w:rsid w:val="00455A3E"/>
    <w:rsid w:val="00455F68"/>
    <w:rsid w:val="00456273"/>
    <w:rsid w:val="0045699D"/>
    <w:rsid w:val="00461E4F"/>
    <w:rsid w:val="0046213F"/>
    <w:rsid w:val="00465F02"/>
    <w:rsid w:val="00466AEF"/>
    <w:rsid w:val="004670D3"/>
    <w:rsid w:val="00467835"/>
    <w:rsid w:val="00474444"/>
    <w:rsid w:val="004748E0"/>
    <w:rsid w:val="0047664E"/>
    <w:rsid w:val="00490E72"/>
    <w:rsid w:val="00491157"/>
    <w:rsid w:val="004921C8"/>
    <w:rsid w:val="004923DD"/>
    <w:rsid w:val="00494694"/>
    <w:rsid w:val="0049470B"/>
    <w:rsid w:val="00495BDA"/>
    <w:rsid w:val="004A2FD5"/>
    <w:rsid w:val="004A3E64"/>
    <w:rsid w:val="004B1CD5"/>
    <w:rsid w:val="004B3F11"/>
    <w:rsid w:val="004B4C6D"/>
    <w:rsid w:val="004B501E"/>
    <w:rsid w:val="004B70C1"/>
    <w:rsid w:val="004B7D57"/>
    <w:rsid w:val="004C0B2D"/>
    <w:rsid w:val="004C0C1C"/>
    <w:rsid w:val="004C3739"/>
    <w:rsid w:val="004C45F6"/>
    <w:rsid w:val="004C7150"/>
    <w:rsid w:val="004D1851"/>
    <w:rsid w:val="004D599D"/>
    <w:rsid w:val="004D66AA"/>
    <w:rsid w:val="004E2EA5"/>
    <w:rsid w:val="004E3AEB"/>
    <w:rsid w:val="004E6841"/>
    <w:rsid w:val="004E70B9"/>
    <w:rsid w:val="004F1432"/>
    <w:rsid w:val="004F385B"/>
    <w:rsid w:val="004F4846"/>
    <w:rsid w:val="004F6C17"/>
    <w:rsid w:val="0050223C"/>
    <w:rsid w:val="005038A3"/>
    <w:rsid w:val="00504C1C"/>
    <w:rsid w:val="00506F8B"/>
    <w:rsid w:val="0051103A"/>
    <w:rsid w:val="0051123C"/>
    <w:rsid w:val="005134F3"/>
    <w:rsid w:val="00513F82"/>
    <w:rsid w:val="00514BD4"/>
    <w:rsid w:val="00516670"/>
    <w:rsid w:val="00517B36"/>
    <w:rsid w:val="00517C9D"/>
    <w:rsid w:val="00520293"/>
    <w:rsid w:val="005243FF"/>
    <w:rsid w:val="005250B3"/>
    <w:rsid w:val="00527528"/>
    <w:rsid w:val="00530EBC"/>
    <w:rsid w:val="00531AF9"/>
    <w:rsid w:val="0053407B"/>
    <w:rsid w:val="0053489D"/>
    <w:rsid w:val="00536900"/>
    <w:rsid w:val="00536BF2"/>
    <w:rsid w:val="0053709C"/>
    <w:rsid w:val="00542C7E"/>
    <w:rsid w:val="00543571"/>
    <w:rsid w:val="005436E8"/>
    <w:rsid w:val="00544165"/>
    <w:rsid w:val="0054538C"/>
    <w:rsid w:val="005453AB"/>
    <w:rsid w:val="00545542"/>
    <w:rsid w:val="00545FF9"/>
    <w:rsid w:val="005507D2"/>
    <w:rsid w:val="00550AED"/>
    <w:rsid w:val="00553183"/>
    <w:rsid w:val="00554A13"/>
    <w:rsid w:val="00555630"/>
    <w:rsid w:val="005570F9"/>
    <w:rsid w:val="00557F43"/>
    <w:rsid w:val="00560C07"/>
    <w:rsid w:val="00562CE0"/>
    <w:rsid w:val="00562E68"/>
    <w:rsid w:val="00562F32"/>
    <w:rsid w:val="00563911"/>
    <w:rsid w:val="0056429A"/>
    <w:rsid w:val="00564FBC"/>
    <w:rsid w:val="00570ADA"/>
    <w:rsid w:val="0057154E"/>
    <w:rsid w:val="005722C1"/>
    <w:rsid w:val="005726D9"/>
    <w:rsid w:val="00572B1C"/>
    <w:rsid w:val="005730D3"/>
    <w:rsid w:val="00573B5C"/>
    <w:rsid w:val="00573BDC"/>
    <w:rsid w:val="00574FA9"/>
    <w:rsid w:val="00576BED"/>
    <w:rsid w:val="00581255"/>
    <w:rsid w:val="005814A9"/>
    <w:rsid w:val="00582442"/>
    <w:rsid w:val="005838C0"/>
    <w:rsid w:val="00585429"/>
    <w:rsid w:val="00590651"/>
    <w:rsid w:val="00590AD4"/>
    <w:rsid w:val="0059123D"/>
    <w:rsid w:val="00591F1F"/>
    <w:rsid w:val="00597834"/>
    <w:rsid w:val="00597D59"/>
    <w:rsid w:val="005A230D"/>
    <w:rsid w:val="005A459A"/>
    <w:rsid w:val="005A4CCF"/>
    <w:rsid w:val="005A5FE8"/>
    <w:rsid w:val="005A683B"/>
    <w:rsid w:val="005A703C"/>
    <w:rsid w:val="005B2FCB"/>
    <w:rsid w:val="005B3C85"/>
    <w:rsid w:val="005B55AA"/>
    <w:rsid w:val="005B6458"/>
    <w:rsid w:val="005B7A74"/>
    <w:rsid w:val="005C486E"/>
    <w:rsid w:val="005C5885"/>
    <w:rsid w:val="005C61B2"/>
    <w:rsid w:val="005C68B7"/>
    <w:rsid w:val="005C72C1"/>
    <w:rsid w:val="005C756C"/>
    <w:rsid w:val="005D388C"/>
    <w:rsid w:val="005D63F8"/>
    <w:rsid w:val="005D7D1A"/>
    <w:rsid w:val="005D7E0A"/>
    <w:rsid w:val="005E09B3"/>
    <w:rsid w:val="005E1617"/>
    <w:rsid w:val="005E1F5A"/>
    <w:rsid w:val="005E3242"/>
    <w:rsid w:val="005E3477"/>
    <w:rsid w:val="005E3742"/>
    <w:rsid w:val="005E68C1"/>
    <w:rsid w:val="005E7B7B"/>
    <w:rsid w:val="005F3269"/>
    <w:rsid w:val="005F3285"/>
    <w:rsid w:val="005F4A5B"/>
    <w:rsid w:val="005F4F3A"/>
    <w:rsid w:val="005F5E44"/>
    <w:rsid w:val="006009B5"/>
    <w:rsid w:val="00601CD6"/>
    <w:rsid w:val="00604D23"/>
    <w:rsid w:val="00607E4D"/>
    <w:rsid w:val="00607F8E"/>
    <w:rsid w:val="00610933"/>
    <w:rsid w:val="00611E66"/>
    <w:rsid w:val="0061284B"/>
    <w:rsid w:val="0062049A"/>
    <w:rsid w:val="006226D1"/>
    <w:rsid w:val="006233A4"/>
    <w:rsid w:val="00623AE3"/>
    <w:rsid w:val="00623CD5"/>
    <w:rsid w:val="00625486"/>
    <w:rsid w:val="006254D6"/>
    <w:rsid w:val="0062641C"/>
    <w:rsid w:val="00626747"/>
    <w:rsid w:val="00632BD8"/>
    <w:rsid w:val="00634F40"/>
    <w:rsid w:val="0063757E"/>
    <w:rsid w:val="00637DC2"/>
    <w:rsid w:val="006408A7"/>
    <w:rsid w:val="00644660"/>
    <w:rsid w:val="006450AE"/>
    <w:rsid w:val="00646963"/>
    <w:rsid w:val="0064737F"/>
    <w:rsid w:val="006520F6"/>
    <w:rsid w:val="0065289E"/>
    <w:rsid w:val="006535F1"/>
    <w:rsid w:val="00653D6D"/>
    <w:rsid w:val="00654F0F"/>
    <w:rsid w:val="0065557D"/>
    <w:rsid w:val="00655907"/>
    <w:rsid w:val="00656E34"/>
    <w:rsid w:val="00657DDB"/>
    <w:rsid w:val="0066186E"/>
    <w:rsid w:val="00661E76"/>
    <w:rsid w:val="00662984"/>
    <w:rsid w:val="00662ED3"/>
    <w:rsid w:val="00663269"/>
    <w:rsid w:val="006632C7"/>
    <w:rsid w:val="0066586B"/>
    <w:rsid w:val="00670140"/>
    <w:rsid w:val="00670A63"/>
    <w:rsid w:val="006716BB"/>
    <w:rsid w:val="006742B6"/>
    <w:rsid w:val="00674A61"/>
    <w:rsid w:val="00675BA4"/>
    <w:rsid w:val="006821A6"/>
    <w:rsid w:val="0068483A"/>
    <w:rsid w:val="00685568"/>
    <w:rsid w:val="006909A6"/>
    <w:rsid w:val="00691140"/>
    <w:rsid w:val="0069272C"/>
    <w:rsid w:val="00692C85"/>
    <w:rsid w:val="00694DD1"/>
    <w:rsid w:val="006973E2"/>
    <w:rsid w:val="006A29CD"/>
    <w:rsid w:val="006A2A69"/>
    <w:rsid w:val="006A4CA8"/>
    <w:rsid w:val="006A4DA5"/>
    <w:rsid w:val="006A567A"/>
    <w:rsid w:val="006B13EC"/>
    <w:rsid w:val="006B36CA"/>
    <w:rsid w:val="006B5505"/>
    <w:rsid w:val="006B6680"/>
    <w:rsid w:val="006B6DCC"/>
    <w:rsid w:val="006C188C"/>
    <w:rsid w:val="006C1B3B"/>
    <w:rsid w:val="006C1D5A"/>
    <w:rsid w:val="006C404D"/>
    <w:rsid w:val="006C4216"/>
    <w:rsid w:val="006C477D"/>
    <w:rsid w:val="006C6A0C"/>
    <w:rsid w:val="006C6A82"/>
    <w:rsid w:val="006D267B"/>
    <w:rsid w:val="006D293A"/>
    <w:rsid w:val="006D6679"/>
    <w:rsid w:val="006D6E61"/>
    <w:rsid w:val="006E0E84"/>
    <w:rsid w:val="006E3341"/>
    <w:rsid w:val="006E344A"/>
    <w:rsid w:val="006E5A16"/>
    <w:rsid w:val="006E7A49"/>
    <w:rsid w:val="006F3DB8"/>
    <w:rsid w:val="006F5CEC"/>
    <w:rsid w:val="006F66F5"/>
    <w:rsid w:val="006F7EBB"/>
    <w:rsid w:val="007003F1"/>
    <w:rsid w:val="00700FB1"/>
    <w:rsid w:val="00702DEF"/>
    <w:rsid w:val="00705360"/>
    <w:rsid w:val="00706861"/>
    <w:rsid w:val="00707218"/>
    <w:rsid w:val="00707253"/>
    <w:rsid w:val="00707816"/>
    <w:rsid w:val="00712FC5"/>
    <w:rsid w:val="00713D6C"/>
    <w:rsid w:val="00720232"/>
    <w:rsid w:val="00722893"/>
    <w:rsid w:val="00727786"/>
    <w:rsid w:val="00740FE3"/>
    <w:rsid w:val="0074124E"/>
    <w:rsid w:val="00741C11"/>
    <w:rsid w:val="00741D74"/>
    <w:rsid w:val="00742C7A"/>
    <w:rsid w:val="00745B18"/>
    <w:rsid w:val="00746BBA"/>
    <w:rsid w:val="0075051B"/>
    <w:rsid w:val="00754D0A"/>
    <w:rsid w:val="007554E6"/>
    <w:rsid w:val="00755D94"/>
    <w:rsid w:val="0076108E"/>
    <w:rsid w:val="007611B1"/>
    <w:rsid w:val="007623B5"/>
    <w:rsid w:val="00762CA3"/>
    <w:rsid w:val="00767996"/>
    <w:rsid w:val="00770F2D"/>
    <w:rsid w:val="00775805"/>
    <w:rsid w:val="0078004C"/>
    <w:rsid w:val="00780AE9"/>
    <w:rsid w:val="0079313F"/>
    <w:rsid w:val="00793188"/>
    <w:rsid w:val="00794C07"/>
    <w:rsid w:val="00794D34"/>
    <w:rsid w:val="00795EE5"/>
    <w:rsid w:val="007A1421"/>
    <w:rsid w:val="007A5890"/>
    <w:rsid w:val="007A6321"/>
    <w:rsid w:val="007A65D0"/>
    <w:rsid w:val="007B086F"/>
    <w:rsid w:val="007B1CA3"/>
    <w:rsid w:val="007B3D9F"/>
    <w:rsid w:val="007B4A7F"/>
    <w:rsid w:val="007C153D"/>
    <w:rsid w:val="007C5D47"/>
    <w:rsid w:val="007C640B"/>
    <w:rsid w:val="007D19A2"/>
    <w:rsid w:val="007D4C28"/>
    <w:rsid w:val="007D5504"/>
    <w:rsid w:val="007E0955"/>
    <w:rsid w:val="007E49CA"/>
    <w:rsid w:val="007E51F2"/>
    <w:rsid w:val="007E5CC9"/>
    <w:rsid w:val="007E66E9"/>
    <w:rsid w:val="007E69E6"/>
    <w:rsid w:val="007F03D2"/>
    <w:rsid w:val="007F3583"/>
    <w:rsid w:val="007F5AC8"/>
    <w:rsid w:val="007F73CF"/>
    <w:rsid w:val="00810600"/>
    <w:rsid w:val="008120D0"/>
    <w:rsid w:val="0081384A"/>
    <w:rsid w:val="00813E5E"/>
    <w:rsid w:val="008143DF"/>
    <w:rsid w:val="00814758"/>
    <w:rsid w:val="00814C25"/>
    <w:rsid w:val="00815468"/>
    <w:rsid w:val="00815D29"/>
    <w:rsid w:val="00816767"/>
    <w:rsid w:val="00817B42"/>
    <w:rsid w:val="00817CFD"/>
    <w:rsid w:val="00820D5D"/>
    <w:rsid w:val="00821924"/>
    <w:rsid w:val="0082239B"/>
    <w:rsid w:val="0082267F"/>
    <w:rsid w:val="00823E46"/>
    <w:rsid w:val="00825B5D"/>
    <w:rsid w:val="0083581B"/>
    <w:rsid w:val="0083706D"/>
    <w:rsid w:val="008376DC"/>
    <w:rsid w:val="0084041B"/>
    <w:rsid w:val="00845A83"/>
    <w:rsid w:val="00847452"/>
    <w:rsid w:val="0085534C"/>
    <w:rsid w:val="00855455"/>
    <w:rsid w:val="0085615F"/>
    <w:rsid w:val="008561B9"/>
    <w:rsid w:val="00862F8D"/>
    <w:rsid w:val="0086489C"/>
    <w:rsid w:val="00864AFF"/>
    <w:rsid w:val="008722C1"/>
    <w:rsid w:val="00873B9A"/>
    <w:rsid w:val="00873DF7"/>
    <w:rsid w:val="008749D5"/>
    <w:rsid w:val="0088190E"/>
    <w:rsid w:val="00883F3A"/>
    <w:rsid w:val="00884871"/>
    <w:rsid w:val="008861B9"/>
    <w:rsid w:val="00887A3E"/>
    <w:rsid w:val="00890218"/>
    <w:rsid w:val="00892263"/>
    <w:rsid w:val="00893979"/>
    <w:rsid w:val="00894486"/>
    <w:rsid w:val="00894E27"/>
    <w:rsid w:val="00895B7B"/>
    <w:rsid w:val="008A0AA6"/>
    <w:rsid w:val="008A2BD8"/>
    <w:rsid w:val="008A40DC"/>
    <w:rsid w:val="008A5373"/>
    <w:rsid w:val="008A54A9"/>
    <w:rsid w:val="008B0ADE"/>
    <w:rsid w:val="008B0CBD"/>
    <w:rsid w:val="008B2F57"/>
    <w:rsid w:val="008B4A6A"/>
    <w:rsid w:val="008B5D58"/>
    <w:rsid w:val="008B7471"/>
    <w:rsid w:val="008C0733"/>
    <w:rsid w:val="008C1001"/>
    <w:rsid w:val="008C2BED"/>
    <w:rsid w:val="008C7E27"/>
    <w:rsid w:val="008D0794"/>
    <w:rsid w:val="008D18E8"/>
    <w:rsid w:val="008D1926"/>
    <w:rsid w:val="008D3D9F"/>
    <w:rsid w:val="008D4CE9"/>
    <w:rsid w:val="008D5440"/>
    <w:rsid w:val="008D5FB8"/>
    <w:rsid w:val="008E0BB8"/>
    <w:rsid w:val="008E4544"/>
    <w:rsid w:val="008E5B77"/>
    <w:rsid w:val="008E68FB"/>
    <w:rsid w:val="008E6FA6"/>
    <w:rsid w:val="008E7162"/>
    <w:rsid w:val="008E71E4"/>
    <w:rsid w:val="008E78EB"/>
    <w:rsid w:val="008E7AF5"/>
    <w:rsid w:val="008F4257"/>
    <w:rsid w:val="008F6679"/>
    <w:rsid w:val="0090117D"/>
    <w:rsid w:val="00901FC2"/>
    <w:rsid w:val="00903325"/>
    <w:rsid w:val="00912BD3"/>
    <w:rsid w:val="0091377C"/>
    <w:rsid w:val="009157F0"/>
    <w:rsid w:val="00916534"/>
    <w:rsid w:val="009172D3"/>
    <w:rsid w:val="009173EF"/>
    <w:rsid w:val="00931BEF"/>
    <w:rsid w:val="00932906"/>
    <w:rsid w:val="0093401E"/>
    <w:rsid w:val="00934DC0"/>
    <w:rsid w:val="00935030"/>
    <w:rsid w:val="00936E35"/>
    <w:rsid w:val="00940463"/>
    <w:rsid w:val="00943673"/>
    <w:rsid w:val="0094420B"/>
    <w:rsid w:val="00950BBD"/>
    <w:rsid w:val="009511C0"/>
    <w:rsid w:val="0095139F"/>
    <w:rsid w:val="009519FE"/>
    <w:rsid w:val="009548D8"/>
    <w:rsid w:val="00955438"/>
    <w:rsid w:val="00955640"/>
    <w:rsid w:val="00961B0B"/>
    <w:rsid w:val="00963D0A"/>
    <w:rsid w:val="00966772"/>
    <w:rsid w:val="009733D3"/>
    <w:rsid w:val="00974F3E"/>
    <w:rsid w:val="00975BA9"/>
    <w:rsid w:val="00981FDB"/>
    <w:rsid w:val="009833D3"/>
    <w:rsid w:val="00991704"/>
    <w:rsid w:val="00992E2E"/>
    <w:rsid w:val="0099459E"/>
    <w:rsid w:val="009945B5"/>
    <w:rsid w:val="00996241"/>
    <w:rsid w:val="00997322"/>
    <w:rsid w:val="009A069E"/>
    <w:rsid w:val="009A185B"/>
    <w:rsid w:val="009A3863"/>
    <w:rsid w:val="009A3A54"/>
    <w:rsid w:val="009A4560"/>
    <w:rsid w:val="009A4ADA"/>
    <w:rsid w:val="009B1438"/>
    <w:rsid w:val="009B2548"/>
    <w:rsid w:val="009B3788"/>
    <w:rsid w:val="009B38C3"/>
    <w:rsid w:val="009B466E"/>
    <w:rsid w:val="009C021E"/>
    <w:rsid w:val="009C78BA"/>
    <w:rsid w:val="009C7A92"/>
    <w:rsid w:val="009D1802"/>
    <w:rsid w:val="009D3105"/>
    <w:rsid w:val="009D4F2E"/>
    <w:rsid w:val="009D5630"/>
    <w:rsid w:val="009E17BD"/>
    <w:rsid w:val="009E2931"/>
    <w:rsid w:val="009E485A"/>
    <w:rsid w:val="009E55E3"/>
    <w:rsid w:val="009E5CE6"/>
    <w:rsid w:val="009E6702"/>
    <w:rsid w:val="009F084B"/>
    <w:rsid w:val="009F0862"/>
    <w:rsid w:val="009F1589"/>
    <w:rsid w:val="009F1F11"/>
    <w:rsid w:val="009F4305"/>
    <w:rsid w:val="009F66A3"/>
    <w:rsid w:val="00A00F75"/>
    <w:rsid w:val="00A02D19"/>
    <w:rsid w:val="00A030DE"/>
    <w:rsid w:val="00A034B6"/>
    <w:rsid w:val="00A04CEC"/>
    <w:rsid w:val="00A04FF1"/>
    <w:rsid w:val="00A05246"/>
    <w:rsid w:val="00A069F5"/>
    <w:rsid w:val="00A06FC4"/>
    <w:rsid w:val="00A118A2"/>
    <w:rsid w:val="00A13666"/>
    <w:rsid w:val="00A15767"/>
    <w:rsid w:val="00A157BF"/>
    <w:rsid w:val="00A179D5"/>
    <w:rsid w:val="00A20E60"/>
    <w:rsid w:val="00A225B7"/>
    <w:rsid w:val="00A237F1"/>
    <w:rsid w:val="00A25547"/>
    <w:rsid w:val="00A2587A"/>
    <w:rsid w:val="00A27441"/>
    <w:rsid w:val="00A27F92"/>
    <w:rsid w:val="00A30FC3"/>
    <w:rsid w:val="00A32257"/>
    <w:rsid w:val="00A32DFC"/>
    <w:rsid w:val="00A36D20"/>
    <w:rsid w:val="00A416B2"/>
    <w:rsid w:val="00A4346C"/>
    <w:rsid w:val="00A444CA"/>
    <w:rsid w:val="00A459A4"/>
    <w:rsid w:val="00A55622"/>
    <w:rsid w:val="00A66F1A"/>
    <w:rsid w:val="00A67FEF"/>
    <w:rsid w:val="00A71171"/>
    <w:rsid w:val="00A71303"/>
    <w:rsid w:val="00A7380A"/>
    <w:rsid w:val="00A73F95"/>
    <w:rsid w:val="00A82F66"/>
    <w:rsid w:val="00A83502"/>
    <w:rsid w:val="00A8382F"/>
    <w:rsid w:val="00A860BE"/>
    <w:rsid w:val="00A87084"/>
    <w:rsid w:val="00A87D63"/>
    <w:rsid w:val="00A908EB"/>
    <w:rsid w:val="00A91F12"/>
    <w:rsid w:val="00A947F6"/>
    <w:rsid w:val="00A96BE4"/>
    <w:rsid w:val="00A97EAC"/>
    <w:rsid w:val="00AA3F84"/>
    <w:rsid w:val="00AA40CE"/>
    <w:rsid w:val="00AA433B"/>
    <w:rsid w:val="00AA4633"/>
    <w:rsid w:val="00AB0D75"/>
    <w:rsid w:val="00AB13A2"/>
    <w:rsid w:val="00AB2D3B"/>
    <w:rsid w:val="00AB39DE"/>
    <w:rsid w:val="00AB404F"/>
    <w:rsid w:val="00AC475E"/>
    <w:rsid w:val="00AC47C8"/>
    <w:rsid w:val="00AC4E66"/>
    <w:rsid w:val="00AC607B"/>
    <w:rsid w:val="00AD15B3"/>
    <w:rsid w:val="00AD1D2E"/>
    <w:rsid w:val="00AD4C78"/>
    <w:rsid w:val="00AE127A"/>
    <w:rsid w:val="00AE21F4"/>
    <w:rsid w:val="00AE3665"/>
    <w:rsid w:val="00AE479E"/>
    <w:rsid w:val="00AF3E4D"/>
    <w:rsid w:val="00AF5CBC"/>
    <w:rsid w:val="00AF6734"/>
    <w:rsid w:val="00AF6E49"/>
    <w:rsid w:val="00B0142C"/>
    <w:rsid w:val="00B01E19"/>
    <w:rsid w:val="00B0264A"/>
    <w:rsid w:val="00B036C5"/>
    <w:rsid w:val="00B04001"/>
    <w:rsid w:val="00B04447"/>
    <w:rsid w:val="00B04A67"/>
    <w:rsid w:val="00B0583C"/>
    <w:rsid w:val="00B0602A"/>
    <w:rsid w:val="00B1164C"/>
    <w:rsid w:val="00B1327F"/>
    <w:rsid w:val="00B13D7E"/>
    <w:rsid w:val="00B142CC"/>
    <w:rsid w:val="00B14993"/>
    <w:rsid w:val="00B152CB"/>
    <w:rsid w:val="00B211B3"/>
    <w:rsid w:val="00B24A3C"/>
    <w:rsid w:val="00B26884"/>
    <w:rsid w:val="00B26981"/>
    <w:rsid w:val="00B27E3C"/>
    <w:rsid w:val="00B30BA3"/>
    <w:rsid w:val="00B336A3"/>
    <w:rsid w:val="00B40A81"/>
    <w:rsid w:val="00B42DBB"/>
    <w:rsid w:val="00B44910"/>
    <w:rsid w:val="00B51A22"/>
    <w:rsid w:val="00B5232F"/>
    <w:rsid w:val="00B547BA"/>
    <w:rsid w:val="00B54A96"/>
    <w:rsid w:val="00B6097F"/>
    <w:rsid w:val="00B60E9D"/>
    <w:rsid w:val="00B61589"/>
    <w:rsid w:val="00B63555"/>
    <w:rsid w:val="00B647FD"/>
    <w:rsid w:val="00B65187"/>
    <w:rsid w:val="00B66322"/>
    <w:rsid w:val="00B66901"/>
    <w:rsid w:val="00B66906"/>
    <w:rsid w:val="00B66923"/>
    <w:rsid w:val="00B70CC4"/>
    <w:rsid w:val="00B721A5"/>
    <w:rsid w:val="00B72267"/>
    <w:rsid w:val="00B76EB6"/>
    <w:rsid w:val="00B7737B"/>
    <w:rsid w:val="00B8206B"/>
    <w:rsid w:val="00B824C8"/>
    <w:rsid w:val="00B826C8"/>
    <w:rsid w:val="00B8487D"/>
    <w:rsid w:val="00B84915"/>
    <w:rsid w:val="00B90C5D"/>
    <w:rsid w:val="00B952A4"/>
    <w:rsid w:val="00B9580A"/>
    <w:rsid w:val="00B95959"/>
    <w:rsid w:val="00B97B53"/>
    <w:rsid w:val="00B97C3F"/>
    <w:rsid w:val="00BA13DC"/>
    <w:rsid w:val="00BA5229"/>
    <w:rsid w:val="00BB2B72"/>
    <w:rsid w:val="00BC0D90"/>
    <w:rsid w:val="00BC202F"/>
    <w:rsid w:val="00BC251A"/>
    <w:rsid w:val="00BC3DB4"/>
    <w:rsid w:val="00BD032B"/>
    <w:rsid w:val="00BD0C37"/>
    <w:rsid w:val="00BD4B94"/>
    <w:rsid w:val="00BD68AD"/>
    <w:rsid w:val="00BD7B1F"/>
    <w:rsid w:val="00BE08B5"/>
    <w:rsid w:val="00BE1887"/>
    <w:rsid w:val="00BE2640"/>
    <w:rsid w:val="00BE3368"/>
    <w:rsid w:val="00BE56AD"/>
    <w:rsid w:val="00BE6451"/>
    <w:rsid w:val="00BF0721"/>
    <w:rsid w:val="00BF47DD"/>
    <w:rsid w:val="00BF4AEC"/>
    <w:rsid w:val="00BF67CC"/>
    <w:rsid w:val="00BF67E3"/>
    <w:rsid w:val="00BF6AC0"/>
    <w:rsid w:val="00BF79F1"/>
    <w:rsid w:val="00C01189"/>
    <w:rsid w:val="00C109FD"/>
    <w:rsid w:val="00C12F01"/>
    <w:rsid w:val="00C13D61"/>
    <w:rsid w:val="00C149B9"/>
    <w:rsid w:val="00C14CF4"/>
    <w:rsid w:val="00C15060"/>
    <w:rsid w:val="00C1633D"/>
    <w:rsid w:val="00C1740E"/>
    <w:rsid w:val="00C213B0"/>
    <w:rsid w:val="00C213E1"/>
    <w:rsid w:val="00C221C5"/>
    <w:rsid w:val="00C23290"/>
    <w:rsid w:val="00C303D1"/>
    <w:rsid w:val="00C3194B"/>
    <w:rsid w:val="00C374DE"/>
    <w:rsid w:val="00C440C8"/>
    <w:rsid w:val="00C472BF"/>
    <w:rsid w:val="00C47AD4"/>
    <w:rsid w:val="00C50441"/>
    <w:rsid w:val="00C50C0E"/>
    <w:rsid w:val="00C51390"/>
    <w:rsid w:val="00C52D81"/>
    <w:rsid w:val="00C55198"/>
    <w:rsid w:val="00C57A7A"/>
    <w:rsid w:val="00C62428"/>
    <w:rsid w:val="00C638AD"/>
    <w:rsid w:val="00C66237"/>
    <w:rsid w:val="00C7219B"/>
    <w:rsid w:val="00C7311A"/>
    <w:rsid w:val="00C74167"/>
    <w:rsid w:val="00C74B05"/>
    <w:rsid w:val="00C803A9"/>
    <w:rsid w:val="00C81121"/>
    <w:rsid w:val="00C914EC"/>
    <w:rsid w:val="00C92A2A"/>
    <w:rsid w:val="00C9351A"/>
    <w:rsid w:val="00C93C7C"/>
    <w:rsid w:val="00C93E0C"/>
    <w:rsid w:val="00C960CB"/>
    <w:rsid w:val="00C96AC6"/>
    <w:rsid w:val="00C97952"/>
    <w:rsid w:val="00CA0AA3"/>
    <w:rsid w:val="00CA107B"/>
    <w:rsid w:val="00CA6393"/>
    <w:rsid w:val="00CA7181"/>
    <w:rsid w:val="00CA725B"/>
    <w:rsid w:val="00CB0133"/>
    <w:rsid w:val="00CB124E"/>
    <w:rsid w:val="00CB18FF"/>
    <w:rsid w:val="00CB206B"/>
    <w:rsid w:val="00CB733B"/>
    <w:rsid w:val="00CC4263"/>
    <w:rsid w:val="00CD0C08"/>
    <w:rsid w:val="00CD1434"/>
    <w:rsid w:val="00CD539E"/>
    <w:rsid w:val="00CD53D6"/>
    <w:rsid w:val="00CD5C44"/>
    <w:rsid w:val="00CD61B6"/>
    <w:rsid w:val="00CD63DD"/>
    <w:rsid w:val="00CD69E2"/>
    <w:rsid w:val="00CD6AD4"/>
    <w:rsid w:val="00CD6AE0"/>
    <w:rsid w:val="00CD78B3"/>
    <w:rsid w:val="00CE03FB"/>
    <w:rsid w:val="00CE263C"/>
    <w:rsid w:val="00CE433C"/>
    <w:rsid w:val="00CE6012"/>
    <w:rsid w:val="00CE69AF"/>
    <w:rsid w:val="00CF2D4C"/>
    <w:rsid w:val="00CF33F3"/>
    <w:rsid w:val="00CF3573"/>
    <w:rsid w:val="00CF74D2"/>
    <w:rsid w:val="00D023EF"/>
    <w:rsid w:val="00D03361"/>
    <w:rsid w:val="00D0385F"/>
    <w:rsid w:val="00D04BFB"/>
    <w:rsid w:val="00D06183"/>
    <w:rsid w:val="00D06C19"/>
    <w:rsid w:val="00D06F11"/>
    <w:rsid w:val="00D0702A"/>
    <w:rsid w:val="00D10ADE"/>
    <w:rsid w:val="00D13B54"/>
    <w:rsid w:val="00D157EA"/>
    <w:rsid w:val="00D16568"/>
    <w:rsid w:val="00D21EDF"/>
    <w:rsid w:val="00D22C42"/>
    <w:rsid w:val="00D2395E"/>
    <w:rsid w:val="00D23E5B"/>
    <w:rsid w:val="00D24A85"/>
    <w:rsid w:val="00D2514F"/>
    <w:rsid w:val="00D27794"/>
    <w:rsid w:val="00D3103F"/>
    <w:rsid w:val="00D338E0"/>
    <w:rsid w:val="00D33A14"/>
    <w:rsid w:val="00D33C8A"/>
    <w:rsid w:val="00D3563D"/>
    <w:rsid w:val="00D35D92"/>
    <w:rsid w:val="00D406C8"/>
    <w:rsid w:val="00D41C9F"/>
    <w:rsid w:val="00D44ED2"/>
    <w:rsid w:val="00D506D9"/>
    <w:rsid w:val="00D51149"/>
    <w:rsid w:val="00D52209"/>
    <w:rsid w:val="00D52500"/>
    <w:rsid w:val="00D53A16"/>
    <w:rsid w:val="00D54622"/>
    <w:rsid w:val="00D551ED"/>
    <w:rsid w:val="00D57D64"/>
    <w:rsid w:val="00D639B1"/>
    <w:rsid w:val="00D641D8"/>
    <w:rsid w:val="00D64616"/>
    <w:rsid w:val="00D65041"/>
    <w:rsid w:val="00D74641"/>
    <w:rsid w:val="00D7520E"/>
    <w:rsid w:val="00D75BAB"/>
    <w:rsid w:val="00D7765F"/>
    <w:rsid w:val="00D81B7D"/>
    <w:rsid w:val="00D824AE"/>
    <w:rsid w:val="00D83351"/>
    <w:rsid w:val="00D879C2"/>
    <w:rsid w:val="00D90162"/>
    <w:rsid w:val="00D923A1"/>
    <w:rsid w:val="00D93826"/>
    <w:rsid w:val="00D95AC5"/>
    <w:rsid w:val="00DA0194"/>
    <w:rsid w:val="00DA02C8"/>
    <w:rsid w:val="00DA03BE"/>
    <w:rsid w:val="00DA196A"/>
    <w:rsid w:val="00DA38CA"/>
    <w:rsid w:val="00DB384B"/>
    <w:rsid w:val="00DB3ED3"/>
    <w:rsid w:val="00DB4E2C"/>
    <w:rsid w:val="00DB59C8"/>
    <w:rsid w:val="00DC0F78"/>
    <w:rsid w:val="00DC3300"/>
    <w:rsid w:val="00DC66E0"/>
    <w:rsid w:val="00DD513F"/>
    <w:rsid w:val="00DD5686"/>
    <w:rsid w:val="00DD6A55"/>
    <w:rsid w:val="00DE040B"/>
    <w:rsid w:val="00DE124E"/>
    <w:rsid w:val="00DF1A5C"/>
    <w:rsid w:val="00DF4A1E"/>
    <w:rsid w:val="00DF563E"/>
    <w:rsid w:val="00DF70EA"/>
    <w:rsid w:val="00E02A75"/>
    <w:rsid w:val="00E050FD"/>
    <w:rsid w:val="00E07F42"/>
    <w:rsid w:val="00E10E80"/>
    <w:rsid w:val="00E124F0"/>
    <w:rsid w:val="00E171C4"/>
    <w:rsid w:val="00E22EC6"/>
    <w:rsid w:val="00E23F08"/>
    <w:rsid w:val="00E24428"/>
    <w:rsid w:val="00E2536C"/>
    <w:rsid w:val="00E33F2D"/>
    <w:rsid w:val="00E350B1"/>
    <w:rsid w:val="00E36A1F"/>
    <w:rsid w:val="00E37694"/>
    <w:rsid w:val="00E3772D"/>
    <w:rsid w:val="00E40359"/>
    <w:rsid w:val="00E421A3"/>
    <w:rsid w:val="00E4351D"/>
    <w:rsid w:val="00E435B4"/>
    <w:rsid w:val="00E43F7B"/>
    <w:rsid w:val="00E44377"/>
    <w:rsid w:val="00E46200"/>
    <w:rsid w:val="00E52A4F"/>
    <w:rsid w:val="00E52B00"/>
    <w:rsid w:val="00E53309"/>
    <w:rsid w:val="00E56FA0"/>
    <w:rsid w:val="00E56FDE"/>
    <w:rsid w:val="00E60F04"/>
    <w:rsid w:val="00E63A0E"/>
    <w:rsid w:val="00E63C96"/>
    <w:rsid w:val="00E64DE0"/>
    <w:rsid w:val="00E65B13"/>
    <w:rsid w:val="00E666C4"/>
    <w:rsid w:val="00E679C8"/>
    <w:rsid w:val="00E67F0D"/>
    <w:rsid w:val="00E70663"/>
    <w:rsid w:val="00E71086"/>
    <w:rsid w:val="00E71EAC"/>
    <w:rsid w:val="00E7274E"/>
    <w:rsid w:val="00E757AB"/>
    <w:rsid w:val="00E83827"/>
    <w:rsid w:val="00E83D4A"/>
    <w:rsid w:val="00E854E4"/>
    <w:rsid w:val="00E878C9"/>
    <w:rsid w:val="00E909C4"/>
    <w:rsid w:val="00E9379D"/>
    <w:rsid w:val="00E97B19"/>
    <w:rsid w:val="00E97C1F"/>
    <w:rsid w:val="00EA1409"/>
    <w:rsid w:val="00EA1A5E"/>
    <w:rsid w:val="00EA3DC8"/>
    <w:rsid w:val="00EB087C"/>
    <w:rsid w:val="00EB0D6F"/>
    <w:rsid w:val="00EB2232"/>
    <w:rsid w:val="00EB4160"/>
    <w:rsid w:val="00EB79FA"/>
    <w:rsid w:val="00EC1F5F"/>
    <w:rsid w:val="00EC5337"/>
    <w:rsid w:val="00EC5530"/>
    <w:rsid w:val="00EC5B36"/>
    <w:rsid w:val="00EC63CE"/>
    <w:rsid w:val="00ED08CD"/>
    <w:rsid w:val="00ED20B3"/>
    <w:rsid w:val="00ED2364"/>
    <w:rsid w:val="00ED48F4"/>
    <w:rsid w:val="00ED68F7"/>
    <w:rsid w:val="00EE0880"/>
    <w:rsid w:val="00EF2A56"/>
    <w:rsid w:val="00EF2E41"/>
    <w:rsid w:val="00EF38E2"/>
    <w:rsid w:val="00EF3EA0"/>
    <w:rsid w:val="00F006D6"/>
    <w:rsid w:val="00F02EEC"/>
    <w:rsid w:val="00F034CB"/>
    <w:rsid w:val="00F03F2E"/>
    <w:rsid w:val="00F054E2"/>
    <w:rsid w:val="00F05830"/>
    <w:rsid w:val="00F05EF7"/>
    <w:rsid w:val="00F10F17"/>
    <w:rsid w:val="00F118C9"/>
    <w:rsid w:val="00F12301"/>
    <w:rsid w:val="00F12C8C"/>
    <w:rsid w:val="00F15D30"/>
    <w:rsid w:val="00F164B8"/>
    <w:rsid w:val="00F20029"/>
    <w:rsid w:val="00F2150A"/>
    <w:rsid w:val="00F22FD8"/>
    <w:rsid w:val="00F231D8"/>
    <w:rsid w:val="00F23337"/>
    <w:rsid w:val="00F24D6C"/>
    <w:rsid w:val="00F2610E"/>
    <w:rsid w:val="00F314E9"/>
    <w:rsid w:val="00F31F7E"/>
    <w:rsid w:val="00F32054"/>
    <w:rsid w:val="00F3488B"/>
    <w:rsid w:val="00F4214A"/>
    <w:rsid w:val="00F4455D"/>
    <w:rsid w:val="00F45B51"/>
    <w:rsid w:val="00F466BE"/>
    <w:rsid w:val="00F46A62"/>
    <w:rsid w:val="00F46C5F"/>
    <w:rsid w:val="00F47C43"/>
    <w:rsid w:val="00F53A76"/>
    <w:rsid w:val="00F53FD9"/>
    <w:rsid w:val="00F5481C"/>
    <w:rsid w:val="00F551FB"/>
    <w:rsid w:val="00F55E5D"/>
    <w:rsid w:val="00F622BD"/>
    <w:rsid w:val="00F63D9F"/>
    <w:rsid w:val="00F649F0"/>
    <w:rsid w:val="00F7013F"/>
    <w:rsid w:val="00F701C8"/>
    <w:rsid w:val="00F713DF"/>
    <w:rsid w:val="00F74A6C"/>
    <w:rsid w:val="00F75151"/>
    <w:rsid w:val="00F753FE"/>
    <w:rsid w:val="00F761EF"/>
    <w:rsid w:val="00F807D0"/>
    <w:rsid w:val="00F80973"/>
    <w:rsid w:val="00F81A45"/>
    <w:rsid w:val="00F825CB"/>
    <w:rsid w:val="00F82A23"/>
    <w:rsid w:val="00F86F1F"/>
    <w:rsid w:val="00F873E0"/>
    <w:rsid w:val="00F906EC"/>
    <w:rsid w:val="00F92CD7"/>
    <w:rsid w:val="00F9402B"/>
    <w:rsid w:val="00F94A63"/>
    <w:rsid w:val="00FA1ADD"/>
    <w:rsid w:val="00FA1C28"/>
    <w:rsid w:val="00FA25B7"/>
    <w:rsid w:val="00FA45AA"/>
    <w:rsid w:val="00FA6D12"/>
    <w:rsid w:val="00FA74A9"/>
    <w:rsid w:val="00FB05FB"/>
    <w:rsid w:val="00FB113B"/>
    <w:rsid w:val="00FB1279"/>
    <w:rsid w:val="00FB6882"/>
    <w:rsid w:val="00FB6A78"/>
    <w:rsid w:val="00FB7596"/>
    <w:rsid w:val="00FC1EB9"/>
    <w:rsid w:val="00FC5176"/>
    <w:rsid w:val="00FC5252"/>
    <w:rsid w:val="00FD061D"/>
    <w:rsid w:val="00FD0791"/>
    <w:rsid w:val="00FD39B9"/>
    <w:rsid w:val="00FD5459"/>
    <w:rsid w:val="00FD5F07"/>
    <w:rsid w:val="00FD758D"/>
    <w:rsid w:val="00FE0909"/>
    <w:rsid w:val="00FE23E2"/>
    <w:rsid w:val="00FE2613"/>
    <w:rsid w:val="00FE39A1"/>
    <w:rsid w:val="00FE3C8D"/>
    <w:rsid w:val="00FE4077"/>
    <w:rsid w:val="00FE5B10"/>
    <w:rsid w:val="00FE6979"/>
    <w:rsid w:val="00FE77D2"/>
    <w:rsid w:val="00FF1C34"/>
    <w:rsid w:val="00FF4026"/>
    <w:rsid w:val="00FF62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24EAD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titre"/>
    <w:basedOn w:val="Normal"/>
    <w:link w:val="ListParagraphChar"/>
    <w:uiPriority w:val="34"/>
    <w:qFormat/>
    <w:rsid w:val="0086489C"/>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paragraph" w:styleId="Caption">
    <w:name w:val="caption"/>
    <w:basedOn w:val="Normal"/>
    <w:next w:val="Normal"/>
    <w:uiPriority w:val="35"/>
    <w:unhideWhenUsed/>
    <w:qFormat/>
    <w:rsid w:val="00D23E5B"/>
    <w:pPr>
      <w:tabs>
        <w:tab w:val="clear" w:pos="567"/>
        <w:tab w:val="clear" w:pos="1134"/>
        <w:tab w:val="clear" w:pos="1701"/>
        <w:tab w:val="clear" w:pos="2268"/>
        <w:tab w:val="clear" w:pos="2835"/>
      </w:tabs>
      <w:overflowPunct/>
      <w:autoSpaceDE/>
      <w:autoSpaceDN/>
      <w:adjustRightInd/>
      <w:spacing w:before="0" w:after="200"/>
      <w:jc w:val="center"/>
      <w:textAlignment w:val="auto"/>
    </w:pPr>
    <w:rPr>
      <w:rFonts w:asciiTheme="minorHAnsi" w:eastAsiaTheme="minorHAnsi" w:hAnsiTheme="minorHAnsi" w:cstheme="minorBidi"/>
      <w:i/>
      <w:iCs/>
      <w:color w:val="000000" w:themeColor="text1"/>
      <w:sz w:val="18"/>
      <w:szCs w:val="18"/>
    </w:rPr>
  </w:style>
  <w:style w:type="paragraph" w:customStyle="1" w:styleId="B-Square">
    <w:name w:val="B-Square"/>
    <w:basedOn w:val="ListParagraph"/>
    <w:qFormat/>
    <w:rsid w:val="00EF2E41"/>
    <w:pPr>
      <w:numPr>
        <w:numId w:val="32"/>
      </w:numPr>
      <w:spacing w:before="60" w:after="60" w:line="276" w:lineRule="auto"/>
      <w:contextualSpacing/>
      <w:jc w:val="both"/>
    </w:pPr>
    <w:rPr>
      <w:rFonts w:asciiTheme="minorHAnsi" w:eastAsiaTheme="minorHAnsi" w:hAnsiTheme="minorHAnsi" w:cs="Arial"/>
      <w:szCs w:val="22"/>
      <w:lang w:val="en-GB" w:eastAsia="en-US"/>
    </w:rPr>
  </w:style>
  <w:style w:type="character" w:customStyle="1" w:styleId="B-RoundChar">
    <w:name w:val="B-Round Char"/>
    <w:basedOn w:val="DefaultParagraphFont"/>
    <w:link w:val="B-Round"/>
    <w:locked/>
    <w:rsid w:val="00EF2E41"/>
    <w:rPr>
      <w:rFonts w:ascii="Arial" w:hAnsi="Arial" w:cs="Arial"/>
    </w:rPr>
  </w:style>
  <w:style w:type="paragraph" w:customStyle="1" w:styleId="B-Round">
    <w:name w:val="B-Round"/>
    <w:basedOn w:val="B-Square"/>
    <w:link w:val="B-RoundChar"/>
    <w:qFormat/>
    <w:rsid w:val="00EF2E41"/>
    <w:pPr>
      <w:numPr>
        <w:ilvl w:val="1"/>
      </w:numPr>
      <w:tabs>
        <w:tab w:val="num" w:pos="360"/>
      </w:tabs>
      <w:ind w:left="2127" w:hanging="357"/>
    </w:pPr>
    <w:rPr>
      <w:rFonts w:ascii="Arial" w:eastAsia="Times New Roman" w:hAnsi="Arial"/>
      <w:sz w:val="20"/>
      <w:szCs w:val="20"/>
      <w:lang w:val="en-US" w:eastAsia="zh-CN"/>
    </w:rPr>
  </w:style>
  <w:style w:type="character" w:styleId="SubtleEmphasis">
    <w:name w:val="Subtle Emphasis"/>
    <w:aliases w:val="Graphics"/>
    <w:basedOn w:val="DefaultParagraphFont"/>
    <w:uiPriority w:val="19"/>
    <w:qFormat/>
    <w:rsid w:val="00EF2E41"/>
    <w:rPr>
      <w:b/>
      <w:bCs w:val="0"/>
      <w:iCs/>
      <w:sz w:val="18"/>
    </w:rPr>
  </w:style>
  <w:style w:type="paragraph" w:customStyle="1" w:styleId="ocpalertsection">
    <w:name w:val="ocpalertsection"/>
    <w:basedOn w:val="Normal"/>
    <w:rsid w:val="00F86F1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NormalWeb">
    <w:name w:val="Normal (Web)"/>
    <w:basedOn w:val="Normal"/>
    <w:uiPriority w:val="99"/>
    <w:semiHidden/>
    <w:unhideWhenUsed/>
    <w:rsid w:val="00F86F1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Default">
    <w:name w:val="Default"/>
    <w:rsid w:val="0018606C"/>
    <w:pPr>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0A24CC"/>
    <w:rPr>
      <w:sz w:val="16"/>
      <w:szCs w:val="16"/>
    </w:rPr>
  </w:style>
  <w:style w:type="paragraph" w:styleId="CommentText">
    <w:name w:val="annotation text"/>
    <w:basedOn w:val="Normal"/>
    <w:link w:val="CommentTextChar"/>
    <w:uiPriority w:val="99"/>
    <w:semiHidden/>
    <w:unhideWhenUsed/>
    <w:rsid w:val="000A24CC"/>
    <w:rPr>
      <w:sz w:val="20"/>
    </w:rPr>
  </w:style>
  <w:style w:type="character" w:customStyle="1" w:styleId="CommentTextChar">
    <w:name w:val="Comment Text Char"/>
    <w:basedOn w:val="DefaultParagraphFont"/>
    <w:link w:val="CommentText"/>
    <w:uiPriority w:val="99"/>
    <w:semiHidden/>
    <w:rsid w:val="000A24CC"/>
    <w:rPr>
      <w:rFonts w:ascii="Calibri" w:hAnsi="Calibri"/>
      <w:lang w:val="en-GB" w:eastAsia="en-US"/>
    </w:rPr>
  </w:style>
  <w:style w:type="paragraph" w:styleId="CommentSubject">
    <w:name w:val="annotation subject"/>
    <w:basedOn w:val="CommentText"/>
    <w:next w:val="CommentText"/>
    <w:link w:val="CommentSubjectChar"/>
    <w:semiHidden/>
    <w:unhideWhenUsed/>
    <w:rsid w:val="000A24CC"/>
    <w:rPr>
      <w:b/>
      <w:bCs/>
    </w:rPr>
  </w:style>
  <w:style w:type="character" w:customStyle="1" w:styleId="CommentSubjectChar">
    <w:name w:val="Comment Subject Char"/>
    <w:basedOn w:val="CommentTextChar"/>
    <w:link w:val="CommentSubject"/>
    <w:semiHidden/>
    <w:rsid w:val="000A24CC"/>
    <w:rPr>
      <w:rFonts w:ascii="Calibri" w:hAnsi="Calibri"/>
      <w:b/>
      <w:bCs/>
      <w:lang w:val="en-GB" w:eastAsia="en-US"/>
    </w:rPr>
  </w:style>
  <w:style w:type="paragraph" w:styleId="BalloonText">
    <w:name w:val="Balloon Text"/>
    <w:basedOn w:val="Normal"/>
    <w:link w:val="BalloonTextChar"/>
    <w:semiHidden/>
    <w:unhideWhenUsed/>
    <w:rsid w:val="000A24C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A24CC"/>
    <w:rPr>
      <w:rFonts w:ascii="Segoe UI" w:hAnsi="Segoe UI" w:cs="Segoe UI"/>
      <w:sz w:val="18"/>
      <w:szCs w:val="18"/>
      <w:lang w:val="en-GB" w:eastAsia="en-US"/>
    </w:rPr>
  </w:style>
  <w:style w:type="paragraph" w:styleId="HTMLPreformatted">
    <w:name w:val="HTML Preformatted"/>
    <w:basedOn w:val="Normal"/>
    <w:link w:val="HTMLPreformattedChar"/>
    <w:uiPriority w:val="99"/>
    <w:unhideWhenUsed/>
    <w:rsid w:val="009D1802"/>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9D1802"/>
    <w:rPr>
      <w:rFonts w:ascii="Courier New" w:hAnsi="Courier New" w:cs="Courier New"/>
      <w:lang w:val="en-GB" w:eastAsia="en-GB"/>
    </w:rPr>
  </w:style>
  <w:style w:type="character" w:customStyle="1" w:styleId="normaltextrun">
    <w:name w:val="normaltextrun"/>
    <w:basedOn w:val="DefaultParagraphFont"/>
    <w:rsid w:val="00CA0AA3"/>
  </w:style>
  <w:style w:type="table" w:styleId="TableGrid">
    <w:name w:val="Table Grid"/>
    <w:basedOn w:val="TableNormal"/>
    <w:uiPriority w:val="39"/>
    <w:rsid w:val="00CA0A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itre Char"/>
    <w:basedOn w:val="DefaultParagraphFont"/>
    <w:link w:val="ListParagraph"/>
    <w:uiPriority w:val="34"/>
    <w:locked/>
    <w:rsid w:val="00F55E5D"/>
    <w:rPr>
      <w:rFonts w:ascii="Arial" w:eastAsia="SimSun" w:hAnsi="Arial"/>
      <w:sz w:val="22"/>
      <w:szCs w:val="24"/>
    </w:rPr>
  </w:style>
  <w:style w:type="character" w:customStyle="1" w:styleId="FooterChar">
    <w:name w:val="Footer Char"/>
    <w:basedOn w:val="DefaultParagraphFont"/>
    <w:link w:val="Footer"/>
    <w:uiPriority w:val="99"/>
    <w:rsid w:val="00646963"/>
    <w:rPr>
      <w:rFonts w:ascii="Calibri" w:hAnsi="Calibri"/>
      <w:caps/>
      <w:noProof/>
      <w:sz w:val="16"/>
      <w:lang w:val="en-GB" w:eastAsia="en-US"/>
    </w:rPr>
  </w:style>
  <w:style w:type="character" w:styleId="UnresolvedMention">
    <w:name w:val="Unresolved Mention"/>
    <w:basedOn w:val="DefaultParagraphFont"/>
    <w:uiPriority w:val="99"/>
    <w:semiHidden/>
    <w:unhideWhenUsed/>
    <w:rsid w:val="00163C86"/>
    <w:rPr>
      <w:color w:val="605E5C"/>
      <w:shd w:val="clear" w:color="auto" w:fill="E1DFDD"/>
    </w:rPr>
  </w:style>
  <w:style w:type="character" w:customStyle="1" w:styleId="FootnoteTextChar">
    <w:name w:val="Footnote Text Char"/>
    <w:basedOn w:val="DefaultParagraphFont"/>
    <w:link w:val="FootnoteText"/>
    <w:rsid w:val="00C92A2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617">
      <w:bodyDiv w:val="1"/>
      <w:marLeft w:val="0"/>
      <w:marRight w:val="0"/>
      <w:marTop w:val="0"/>
      <w:marBottom w:val="0"/>
      <w:divBdr>
        <w:top w:val="none" w:sz="0" w:space="0" w:color="auto"/>
        <w:left w:val="none" w:sz="0" w:space="0" w:color="auto"/>
        <w:bottom w:val="none" w:sz="0" w:space="0" w:color="auto"/>
        <w:right w:val="none" w:sz="0" w:space="0" w:color="auto"/>
      </w:divBdr>
    </w:div>
    <w:div w:id="24134248">
      <w:bodyDiv w:val="1"/>
      <w:marLeft w:val="0"/>
      <w:marRight w:val="0"/>
      <w:marTop w:val="0"/>
      <w:marBottom w:val="0"/>
      <w:divBdr>
        <w:top w:val="none" w:sz="0" w:space="0" w:color="auto"/>
        <w:left w:val="none" w:sz="0" w:space="0" w:color="auto"/>
        <w:bottom w:val="none" w:sz="0" w:space="0" w:color="auto"/>
        <w:right w:val="none" w:sz="0" w:space="0" w:color="auto"/>
      </w:divBdr>
    </w:div>
    <w:div w:id="54015449">
      <w:bodyDiv w:val="1"/>
      <w:marLeft w:val="0"/>
      <w:marRight w:val="0"/>
      <w:marTop w:val="0"/>
      <w:marBottom w:val="0"/>
      <w:divBdr>
        <w:top w:val="none" w:sz="0" w:space="0" w:color="auto"/>
        <w:left w:val="none" w:sz="0" w:space="0" w:color="auto"/>
        <w:bottom w:val="none" w:sz="0" w:space="0" w:color="auto"/>
        <w:right w:val="none" w:sz="0" w:space="0" w:color="auto"/>
      </w:divBdr>
    </w:div>
    <w:div w:id="74324729">
      <w:bodyDiv w:val="1"/>
      <w:marLeft w:val="0"/>
      <w:marRight w:val="0"/>
      <w:marTop w:val="0"/>
      <w:marBottom w:val="0"/>
      <w:divBdr>
        <w:top w:val="none" w:sz="0" w:space="0" w:color="auto"/>
        <w:left w:val="none" w:sz="0" w:space="0" w:color="auto"/>
        <w:bottom w:val="none" w:sz="0" w:space="0" w:color="auto"/>
        <w:right w:val="none" w:sz="0" w:space="0" w:color="auto"/>
      </w:divBdr>
    </w:div>
    <w:div w:id="115566908">
      <w:bodyDiv w:val="1"/>
      <w:marLeft w:val="0"/>
      <w:marRight w:val="0"/>
      <w:marTop w:val="0"/>
      <w:marBottom w:val="0"/>
      <w:divBdr>
        <w:top w:val="none" w:sz="0" w:space="0" w:color="auto"/>
        <w:left w:val="none" w:sz="0" w:space="0" w:color="auto"/>
        <w:bottom w:val="none" w:sz="0" w:space="0" w:color="auto"/>
        <w:right w:val="none" w:sz="0" w:space="0" w:color="auto"/>
      </w:divBdr>
    </w:div>
    <w:div w:id="127751270">
      <w:bodyDiv w:val="1"/>
      <w:marLeft w:val="0"/>
      <w:marRight w:val="0"/>
      <w:marTop w:val="0"/>
      <w:marBottom w:val="0"/>
      <w:divBdr>
        <w:top w:val="none" w:sz="0" w:space="0" w:color="auto"/>
        <w:left w:val="none" w:sz="0" w:space="0" w:color="auto"/>
        <w:bottom w:val="none" w:sz="0" w:space="0" w:color="auto"/>
        <w:right w:val="none" w:sz="0" w:space="0" w:color="auto"/>
      </w:divBdr>
    </w:div>
    <w:div w:id="133066299">
      <w:bodyDiv w:val="1"/>
      <w:marLeft w:val="0"/>
      <w:marRight w:val="0"/>
      <w:marTop w:val="0"/>
      <w:marBottom w:val="0"/>
      <w:divBdr>
        <w:top w:val="none" w:sz="0" w:space="0" w:color="auto"/>
        <w:left w:val="none" w:sz="0" w:space="0" w:color="auto"/>
        <w:bottom w:val="none" w:sz="0" w:space="0" w:color="auto"/>
        <w:right w:val="none" w:sz="0" w:space="0" w:color="auto"/>
      </w:divBdr>
      <w:divsChild>
        <w:div w:id="1452627250">
          <w:marLeft w:val="0"/>
          <w:marRight w:val="0"/>
          <w:marTop w:val="0"/>
          <w:marBottom w:val="0"/>
          <w:divBdr>
            <w:top w:val="none" w:sz="0" w:space="0" w:color="auto"/>
            <w:left w:val="none" w:sz="0" w:space="0" w:color="auto"/>
            <w:bottom w:val="none" w:sz="0" w:space="0" w:color="auto"/>
            <w:right w:val="none" w:sz="0" w:space="0" w:color="auto"/>
          </w:divBdr>
        </w:div>
      </w:divsChild>
    </w:div>
    <w:div w:id="148058327">
      <w:bodyDiv w:val="1"/>
      <w:marLeft w:val="0"/>
      <w:marRight w:val="0"/>
      <w:marTop w:val="0"/>
      <w:marBottom w:val="0"/>
      <w:divBdr>
        <w:top w:val="none" w:sz="0" w:space="0" w:color="auto"/>
        <w:left w:val="none" w:sz="0" w:space="0" w:color="auto"/>
        <w:bottom w:val="none" w:sz="0" w:space="0" w:color="auto"/>
        <w:right w:val="none" w:sz="0" w:space="0" w:color="auto"/>
      </w:divBdr>
    </w:div>
    <w:div w:id="169879068">
      <w:bodyDiv w:val="1"/>
      <w:marLeft w:val="0"/>
      <w:marRight w:val="0"/>
      <w:marTop w:val="0"/>
      <w:marBottom w:val="0"/>
      <w:divBdr>
        <w:top w:val="none" w:sz="0" w:space="0" w:color="auto"/>
        <w:left w:val="none" w:sz="0" w:space="0" w:color="auto"/>
        <w:bottom w:val="none" w:sz="0" w:space="0" w:color="auto"/>
        <w:right w:val="none" w:sz="0" w:space="0" w:color="auto"/>
      </w:divBdr>
    </w:div>
    <w:div w:id="203520546">
      <w:bodyDiv w:val="1"/>
      <w:marLeft w:val="0"/>
      <w:marRight w:val="0"/>
      <w:marTop w:val="0"/>
      <w:marBottom w:val="0"/>
      <w:divBdr>
        <w:top w:val="none" w:sz="0" w:space="0" w:color="auto"/>
        <w:left w:val="none" w:sz="0" w:space="0" w:color="auto"/>
        <w:bottom w:val="none" w:sz="0" w:space="0" w:color="auto"/>
        <w:right w:val="none" w:sz="0" w:space="0" w:color="auto"/>
      </w:divBdr>
    </w:div>
    <w:div w:id="221604056">
      <w:bodyDiv w:val="1"/>
      <w:marLeft w:val="0"/>
      <w:marRight w:val="0"/>
      <w:marTop w:val="0"/>
      <w:marBottom w:val="0"/>
      <w:divBdr>
        <w:top w:val="none" w:sz="0" w:space="0" w:color="auto"/>
        <w:left w:val="none" w:sz="0" w:space="0" w:color="auto"/>
        <w:bottom w:val="none" w:sz="0" w:space="0" w:color="auto"/>
        <w:right w:val="none" w:sz="0" w:space="0" w:color="auto"/>
      </w:divBdr>
    </w:div>
    <w:div w:id="291598632">
      <w:bodyDiv w:val="1"/>
      <w:marLeft w:val="0"/>
      <w:marRight w:val="0"/>
      <w:marTop w:val="0"/>
      <w:marBottom w:val="0"/>
      <w:divBdr>
        <w:top w:val="none" w:sz="0" w:space="0" w:color="auto"/>
        <w:left w:val="none" w:sz="0" w:space="0" w:color="auto"/>
        <w:bottom w:val="none" w:sz="0" w:space="0" w:color="auto"/>
        <w:right w:val="none" w:sz="0" w:space="0" w:color="auto"/>
      </w:divBdr>
    </w:div>
    <w:div w:id="311522989">
      <w:bodyDiv w:val="1"/>
      <w:marLeft w:val="0"/>
      <w:marRight w:val="0"/>
      <w:marTop w:val="0"/>
      <w:marBottom w:val="0"/>
      <w:divBdr>
        <w:top w:val="none" w:sz="0" w:space="0" w:color="auto"/>
        <w:left w:val="none" w:sz="0" w:space="0" w:color="auto"/>
        <w:bottom w:val="none" w:sz="0" w:space="0" w:color="auto"/>
        <w:right w:val="none" w:sz="0" w:space="0" w:color="auto"/>
      </w:divBdr>
      <w:divsChild>
        <w:div w:id="1828209259">
          <w:marLeft w:val="1166"/>
          <w:marRight w:val="0"/>
          <w:marTop w:val="120"/>
          <w:marBottom w:val="0"/>
          <w:divBdr>
            <w:top w:val="none" w:sz="0" w:space="0" w:color="auto"/>
            <w:left w:val="none" w:sz="0" w:space="0" w:color="auto"/>
            <w:bottom w:val="none" w:sz="0" w:space="0" w:color="auto"/>
            <w:right w:val="none" w:sz="0" w:space="0" w:color="auto"/>
          </w:divBdr>
        </w:div>
        <w:div w:id="1834105889">
          <w:marLeft w:val="1166"/>
          <w:marRight w:val="0"/>
          <w:marTop w:val="120"/>
          <w:marBottom w:val="0"/>
          <w:divBdr>
            <w:top w:val="none" w:sz="0" w:space="0" w:color="auto"/>
            <w:left w:val="none" w:sz="0" w:space="0" w:color="auto"/>
            <w:bottom w:val="none" w:sz="0" w:space="0" w:color="auto"/>
            <w:right w:val="none" w:sz="0" w:space="0" w:color="auto"/>
          </w:divBdr>
        </w:div>
        <w:div w:id="2078745852">
          <w:marLeft w:val="1166"/>
          <w:marRight w:val="0"/>
          <w:marTop w:val="120"/>
          <w:marBottom w:val="0"/>
          <w:divBdr>
            <w:top w:val="none" w:sz="0" w:space="0" w:color="auto"/>
            <w:left w:val="none" w:sz="0" w:space="0" w:color="auto"/>
            <w:bottom w:val="none" w:sz="0" w:space="0" w:color="auto"/>
            <w:right w:val="none" w:sz="0" w:space="0" w:color="auto"/>
          </w:divBdr>
        </w:div>
        <w:div w:id="2045012525">
          <w:marLeft w:val="1166"/>
          <w:marRight w:val="0"/>
          <w:marTop w:val="120"/>
          <w:marBottom w:val="0"/>
          <w:divBdr>
            <w:top w:val="none" w:sz="0" w:space="0" w:color="auto"/>
            <w:left w:val="none" w:sz="0" w:space="0" w:color="auto"/>
            <w:bottom w:val="none" w:sz="0" w:space="0" w:color="auto"/>
            <w:right w:val="none" w:sz="0" w:space="0" w:color="auto"/>
          </w:divBdr>
        </w:div>
        <w:div w:id="1325623714">
          <w:marLeft w:val="1166"/>
          <w:marRight w:val="0"/>
          <w:marTop w:val="120"/>
          <w:marBottom w:val="0"/>
          <w:divBdr>
            <w:top w:val="none" w:sz="0" w:space="0" w:color="auto"/>
            <w:left w:val="none" w:sz="0" w:space="0" w:color="auto"/>
            <w:bottom w:val="none" w:sz="0" w:space="0" w:color="auto"/>
            <w:right w:val="none" w:sz="0" w:space="0" w:color="auto"/>
          </w:divBdr>
        </w:div>
        <w:div w:id="1853033797">
          <w:marLeft w:val="1166"/>
          <w:marRight w:val="0"/>
          <w:marTop w:val="120"/>
          <w:marBottom w:val="0"/>
          <w:divBdr>
            <w:top w:val="none" w:sz="0" w:space="0" w:color="auto"/>
            <w:left w:val="none" w:sz="0" w:space="0" w:color="auto"/>
            <w:bottom w:val="none" w:sz="0" w:space="0" w:color="auto"/>
            <w:right w:val="none" w:sz="0" w:space="0" w:color="auto"/>
          </w:divBdr>
        </w:div>
      </w:divsChild>
    </w:div>
    <w:div w:id="316761045">
      <w:bodyDiv w:val="1"/>
      <w:marLeft w:val="0"/>
      <w:marRight w:val="0"/>
      <w:marTop w:val="0"/>
      <w:marBottom w:val="0"/>
      <w:divBdr>
        <w:top w:val="none" w:sz="0" w:space="0" w:color="auto"/>
        <w:left w:val="none" w:sz="0" w:space="0" w:color="auto"/>
        <w:bottom w:val="none" w:sz="0" w:space="0" w:color="auto"/>
        <w:right w:val="none" w:sz="0" w:space="0" w:color="auto"/>
      </w:divBdr>
    </w:div>
    <w:div w:id="346904988">
      <w:bodyDiv w:val="1"/>
      <w:marLeft w:val="0"/>
      <w:marRight w:val="0"/>
      <w:marTop w:val="0"/>
      <w:marBottom w:val="0"/>
      <w:divBdr>
        <w:top w:val="none" w:sz="0" w:space="0" w:color="auto"/>
        <w:left w:val="none" w:sz="0" w:space="0" w:color="auto"/>
        <w:bottom w:val="none" w:sz="0" w:space="0" w:color="auto"/>
        <w:right w:val="none" w:sz="0" w:space="0" w:color="auto"/>
      </w:divBdr>
    </w:div>
    <w:div w:id="471749182">
      <w:bodyDiv w:val="1"/>
      <w:marLeft w:val="0"/>
      <w:marRight w:val="0"/>
      <w:marTop w:val="0"/>
      <w:marBottom w:val="0"/>
      <w:divBdr>
        <w:top w:val="none" w:sz="0" w:space="0" w:color="auto"/>
        <w:left w:val="none" w:sz="0" w:space="0" w:color="auto"/>
        <w:bottom w:val="none" w:sz="0" w:space="0" w:color="auto"/>
        <w:right w:val="none" w:sz="0" w:space="0" w:color="auto"/>
      </w:divBdr>
    </w:div>
    <w:div w:id="489030850">
      <w:bodyDiv w:val="1"/>
      <w:marLeft w:val="0"/>
      <w:marRight w:val="0"/>
      <w:marTop w:val="0"/>
      <w:marBottom w:val="0"/>
      <w:divBdr>
        <w:top w:val="none" w:sz="0" w:space="0" w:color="auto"/>
        <w:left w:val="none" w:sz="0" w:space="0" w:color="auto"/>
        <w:bottom w:val="none" w:sz="0" w:space="0" w:color="auto"/>
        <w:right w:val="none" w:sz="0" w:space="0" w:color="auto"/>
      </w:divBdr>
    </w:div>
    <w:div w:id="625624424">
      <w:bodyDiv w:val="1"/>
      <w:marLeft w:val="0"/>
      <w:marRight w:val="0"/>
      <w:marTop w:val="0"/>
      <w:marBottom w:val="0"/>
      <w:divBdr>
        <w:top w:val="none" w:sz="0" w:space="0" w:color="auto"/>
        <w:left w:val="none" w:sz="0" w:space="0" w:color="auto"/>
        <w:bottom w:val="none" w:sz="0" w:space="0" w:color="auto"/>
        <w:right w:val="none" w:sz="0" w:space="0" w:color="auto"/>
      </w:divBdr>
    </w:div>
    <w:div w:id="640883590">
      <w:bodyDiv w:val="1"/>
      <w:marLeft w:val="0"/>
      <w:marRight w:val="0"/>
      <w:marTop w:val="0"/>
      <w:marBottom w:val="0"/>
      <w:divBdr>
        <w:top w:val="none" w:sz="0" w:space="0" w:color="auto"/>
        <w:left w:val="none" w:sz="0" w:space="0" w:color="auto"/>
        <w:bottom w:val="none" w:sz="0" w:space="0" w:color="auto"/>
        <w:right w:val="none" w:sz="0" w:space="0" w:color="auto"/>
      </w:divBdr>
    </w:div>
    <w:div w:id="647133367">
      <w:bodyDiv w:val="1"/>
      <w:marLeft w:val="0"/>
      <w:marRight w:val="0"/>
      <w:marTop w:val="0"/>
      <w:marBottom w:val="0"/>
      <w:divBdr>
        <w:top w:val="none" w:sz="0" w:space="0" w:color="auto"/>
        <w:left w:val="none" w:sz="0" w:space="0" w:color="auto"/>
        <w:bottom w:val="none" w:sz="0" w:space="0" w:color="auto"/>
        <w:right w:val="none" w:sz="0" w:space="0" w:color="auto"/>
      </w:divBdr>
    </w:div>
    <w:div w:id="664554886">
      <w:bodyDiv w:val="1"/>
      <w:marLeft w:val="0"/>
      <w:marRight w:val="0"/>
      <w:marTop w:val="0"/>
      <w:marBottom w:val="0"/>
      <w:divBdr>
        <w:top w:val="none" w:sz="0" w:space="0" w:color="auto"/>
        <w:left w:val="none" w:sz="0" w:space="0" w:color="auto"/>
        <w:bottom w:val="none" w:sz="0" w:space="0" w:color="auto"/>
        <w:right w:val="none" w:sz="0" w:space="0" w:color="auto"/>
      </w:divBdr>
    </w:div>
    <w:div w:id="689376980">
      <w:bodyDiv w:val="1"/>
      <w:marLeft w:val="0"/>
      <w:marRight w:val="0"/>
      <w:marTop w:val="0"/>
      <w:marBottom w:val="0"/>
      <w:divBdr>
        <w:top w:val="none" w:sz="0" w:space="0" w:color="auto"/>
        <w:left w:val="none" w:sz="0" w:space="0" w:color="auto"/>
        <w:bottom w:val="none" w:sz="0" w:space="0" w:color="auto"/>
        <w:right w:val="none" w:sz="0" w:space="0" w:color="auto"/>
      </w:divBdr>
    </w:div>
    <w:div w:id="833884485">
      <w:bodyDiv w:val="1"/>
      <w:marLeft w:val="0"/>
      <w:marRight w:val="0"/>
      <w:marTop w:val="0"/>
      <w:marBottom w:val="0"/>
      <w:divBdr>
        <w:top w:val="none" w:sz="0" w:space="0" w:color="auto"/>
        <w:left w:val="none" w:sz="0" w:space="0" w:color="auto"/>
        <w:bottom w:val="none" w:sz="0" w:space="0" w:color="auto"/>
        <w:right w:val="none" w:sz="0" w:space="0" w:color="auto"/>
      </w:divBdr>
    </w:div>
    <w:div w:id="856774278">
      <w:bodyDiv w:val="1"/>
      <w:marLeft w:val="0"/>
      <w:marRight w:val="0"/>
      <w:marTop w:val="0"/>
      <w:marBottom w:val="0"/>
      <w:divBdr>
        <w:top w:val="none" w:sz="0" w:space="0" w:color="auto"/>
        <w:left w:val="none" w:sz="0" w:space="0" w:color="auto"/>
        <w:bottom w:val="none" w:sz="0" w:space="0" w:color="auto"/>
        <w:right w:val="none" w:sz="0" w:space="0" w:color="auto"/>
      </w:divBdr>
    </w:div>
    <w:div w:id="864633895">
      <w:bodyDiv w:val="1"/>
      <w:marLeft w:val="0"/>
      <w:marRight w:val="0"/>
      <w:marTop w:val="0"/>
      <w:marBottom w:val="0"/>
      <w:divBdr>
        <w:top w:val="none" w:sz="0" w:space="0" w:color="auto"/>
        <w:left w:val="none" w:sz="0" w:space="0" w:color="auto"/>
        <w:bottom w:val="none" w:sz="0" w:space="0" w:color="auto"/>
        <w:right w:val="none" w:sz="0" w:space="0" w:color="auto"/>
      </w:divBdr>
    </w:div>
    <w:div w:id="874315782">
      <w:bodyDiv w:val="1"/>
      <w:marLeft w:val="0"/>
      <w:marRight w:val="0"/>
      <w:marTop w:val="0"/>
      <w:marBottom w:val="0"/>
      <w:divBdr>
        <w:top w:val="none" w:sz="0" w:space="0" w:color="auto"/>
        <w:left w:val="none" w:sz="0" w:space="0" w:color="auto"/>
        <w:bottom w:val="none" w:sz="0" w:space="0" w:color="auto"/>
        <w:right w:val="none" w:sz="0" w:space="0" w:color="auto"/>
      </w:divBdr>
    </w:div>
    <w:div w:id="914558970">
      <w:bodyDiv w:val="1"/>
      <w:marLeft w:val="0"/>
      <w:marRight w:val="0"/>
      <w:marTop w:val="0"/>
      <w:marBottom w:val="0"/>
      <w:divBdr>
        <w:top w:val="none" w:sz="0" w:space="0" w:color="auto"/>
        <w:left w:val="none" w:sz="0" w:space="0" w:color="auto"/>
        <w:bottom w:val="none" w:sz="0" w:space="0" w:color="auto"/>
        <w:right w:val="none" w:sz="0" w:space="0" w:color="auto"/>
      </w:divBdr>
    </w:div>
    <w:div w:id="979312006">
      <w:bodyDiv w:val="1"/>
      <w:marLeft w:val="0"/>
      <w:marRight w:val="0"/>
      <w:marTop w:val="0"/>
      <w:marBottom w:val="0"/>
      <w:divBdr>
        <w:top w:val="none" w:sz="0" w:space="0" w:color="auto"/>
        <w:left w:val="none" w:sz="0" w:space="0" w:color="auto"/>
        <w:bottom w:val="none" w:sz="0" w:space="0" w:color="auto"/>
        <w:right w:val="none" w:sz="0" w:space="0" w:color="auto"/>
      </w:divBdr>
    </w:div>
    <w:div w:id="1046636482">
      <w:bodyDiv w:val="1"/>
      <w:marLeft w:val="0"/>
      <w:marRight w:val="0"/>
      <w:marTop w:val="0"/>
      <w:marBottom w:val="0"/>
      <w:divBdr>
        <w:top w:val="none" w:sz="0" w:space="0" w:color="auto"/>
        <w:left w:val="none" w:sz="0" w:space="0" w:color="auto"/>
        <w:bottom w:val="none" w:sz="0" w:space="0" w:color="auto"/>
        <w:right w:val="none" w:sz="0" w:space="0" w:color="auto"/>
      </w:divBdr>
      <w:divsChild>
        <w:div w:id="1632128067">
          <w:marLeft w:val="0"/>
          <w:marRight w:val="0"/>
          <w:marTop w:val="0"/>
          <w:marBottom w:val="0"/>
          <w:divBdr>
            <w:top w:val="none" w:sz="0" w:space="0" w:color="auto"/>
            <w:left w:val="none" w:sz="0" w:space="0" w:color="auto"/>
            <w:bottom w:val="none" w:sz="0" w:space="0" w:color="auto"/>
            <w:right w:val="none" w:sz="0" w:space="0" w:color="auto"/>
          </w:divBdr>
        </w:div>
      </w:divsChild>
    </w:div>
    <w:div w:id="1092821676">
      <w:bodyDiv w:val="1"/>
      <w:marLeft w:val="0"/>
      <w:marRight w:val="0"/>
      <w:marTop w:val="0"/>
      <w:marBottom w:val="0"/>
      <w:divBdr>
        <w:top w:val="none" w:sz="0" w:space="0" w:color="auto"/>
        <w:left w:val="none" w:sz="0" w:space="0" w:color="auto"/>
        <w:bottom w:val="none" w:sz="0" w:space="0" w:color="auto"/>
        <w:right w:val="none" w:sz="0" w:space="0" w:color="auto"/>
      </w:divBdr>
    </w:div>
    <w:div w:id="1237280510">
      <w:bodyDiv w:val="1"/>
      <w:marLeft w:val="0"/>
      <w:marRight w:val="0"/>
      <w:marTop w:val="0"/>
      <w:marBottom w:val="0"/>
      <w:divBdr>
        <w:top w:val="none" w:sz="0" w:space="0" w:color="auto"/>
        <w:left w:val="none" w:sz="0" w:space="0" w:color="auto"/>
        <w:bottom w:val="none" w:sz="0" w:space="0" w:color="auto"/>
        <w:right w:val="none" w:sz="0" w:space="0" w:color="auto"/>
      </w:divBdr>
    </w:div>
    <w:div w:id="1252855267">
      <w:bodyDiv w:val="1"/>
      <w:marLeft w:val="0"/>
      <w:marRight w:val="0"/>
      <w:marTop w:val="0"/>
      <w:marBottom w:val="0"/>
      <w:divBdr>
        <w:top w:val="none" w:sz="0" w:space="0" w:color="auto"/>
        <w:left w:val="none" w:sz="0" w:space="0" w:color="auto"/>
        <w:bottom w:val="none" w:sz="0" w:space="0" w:color="auto"/>
        <w:right w:val="none" w:sz="0" w:space="0" w:color="auto"/>
      </w:divBdr>
      <w:divsChild>
        <w:div w:id="734157812">
          <w:marLeft w:val="0"/>
          <w:marRight w:val="0"/>
          <w:marTop w:val="0"/>
          <w:marBottom w:val="0"/>
          <w:divBdr>
            <w:top w:val="none" w:sz="0" w:space="0" w:color="auto"/>
            <w:left w:val="none" w:sz="0" w:space="0" w:color="auto"/>
            <w:bottom w:val="none" w:sz="0" w:space="0" w:color="auto"/>
            <w:right w:val="none" w:sz="0" w:space="0" w:color="auto"/>
          </w:divBdr>
        </w:div>
      </w:divsChild>
    </w:div>
    <w:div w:id="1295789736">
      <w:bodyDiv w:val="1"/>
      <w:marLeft w:val="0"/>
      <w:marRight w:val="0"/>
      <w:marTop w:val="0"/>
      <w:marBottom w:val="0"/>
      <w:divBdr>
        <w:top w:val="none" w:sz="0" w:space="0" w:color="auto"/>
        <w:left w:val="none" w:sz="0" w:space="0" w:color="auto"/>
        <w:bottom w:val="none" w:sz="0" w:space="0" w:color="auto"/>
        <w:right w:val="none" w:sz="0" w:space="0" w:color="auto"/>
      </w:divBdr>
    </w:div>
    <w:div w:id="1339498061">
      <w:bodyDiv w:val="1"/>
      <w:marLeft w:val="0"/>
      <w:marRight w:val="0"/>
      <w:marTop w:val="0"/>
      <w:marBottom w:val="0"/>
      <w:divBdr>
        <w:top w:val="none" w:sz="0" w:space="0" w:color="auto"/>
        <w:left w:val="none" w:sz="0" w:space="0" w:color="auto"/>
        <w:bottom w:val="none" w:sz="0" w:space="0" w:color="auto"/>
        <w:right w:val="none" w:sz="0" w:space="0" w:color="auto"/>
      </w:divBdr>
    </w:div>
    <w:div w:id="1412313903">
      <w:bodyDiv w:val="1"/>
      <w:marLeft w:val="0"/>
      <w:marRight w:val="0"/>
      <w:marTop w:val="0"/>
      <w:marBottom w:val="0"/>
      <w:divBdr>
        <w:top w:val="none" w:sz="0" w:space="0" w:color="auto"/>
        <w:left w:val="none" w:sz="0" w:space="0" w:color="auto"/>
        <w:bottom w:val="none" w:sz="0" w:space="0" w:color="auto"/>
        <w:right w:val="none" w:sz="0" w:space="0" w:color="auto"/>
      </w:divBdr>
    </w:div>
    <w:div w:id="1433235345">
      <w:bodyDiv w:val="1"/>
      <w:marLeft w:val="0"/>
      <w:marRight w:val="0"/>
      <w:marTop w:val="0"/>
      <w:marBottom w:val="0"/>
      <w:divBdr>
        <w:top w:val="none" w:sz="0" w:space="0" w:color="auto"/>
        <w:left w:val="none" w:sz="0" w:space="0" w:color="auto"/>
        <w:bottom w:val="none" w:sz="0" w:space="0" w:color="auto"/>
        <w:right w:val="none" w:sz="0" w:space="0" w:color="auto"/>
      </w:divBdr>
    </w:div>
    <w:div w:id="1482653434">
      <w:bodyDiv w:val="1"/>
      <w:marLeft w:val="0"/>
      <w:marRight w:val="0"/>
      <w:marTop w:val="0"/>
      <w:marBottom w:val="0"/>
      <w:divBdr>
        <w:top w:val="none" w:sz="0" w:space="0" w:color="auto"/>
        <w:left w:val="none" w:sz="0" w:space="0" w:color="auto"/>
        <w:bottom w:val="none" w:sz="0" w:space="0" w:color="auto"/>
        <w:right w:val="none" w:sz="0" w:space="0" w:color="auto"/>
      </w:divBdr>
    </w:div>
    <w:div w:id="1618684314">
      <w:bodyDiv w:val="1"/>
      <w:marLeft w:val="0"/>
      <w:marRight w:val="0"/>
      <w:marTop w:val="0"/>
      <w:marBottom w:val="0"/>
      <w:divBdr>
        <w:top w:val="none" w:sz="0" w:space="0" w:color="auto"/>
        <w:left w:val="none" w:sz="0" w:space="0" w:color="auto"/>
        <w:bottom w:val="none" w:sz="0" w:space="0" w:color="auto"/>
        <w:right w:val="none" w:sz="0" w:space="0" w:color="auto"/>
      </w:divBdr>
    </w:div>
    <w:div w:id="1622111901">
      <w:bodyDiv w:val="1"/>
      <w:marLeft w:val="0"/>
      <w:marRight w:val="0"/>
      <w:marTop w:val="0"/>
      <w:marBottom w:val="0"/>
      <w:divBdr>
        <w:top w:val="none" w:sz="0" w:space="0" w:color="auto"/>
        <w:left w:val="none" w:sz="0" w:space="0" w:color="auto"/>
        <w:bottom w:val="none" w:sz="0" w:space="0" w:color="auto"/>
        <w:right w:val="none" w:sz="0" w:space="0" w:color="auto"/>
      </w:divBdr>
    </w:div>
    <w:div w:id="1632782313">
      <w:bodyDiv w:val="1"/>
      <w:marLeft w:val="0"/>
      <w:marRight w:val="0"/>
      <w:marTop w:val="0"/>
      <w:marBottom w:val="0"/>
      <w:divBdr>
        <w:top w:val="none" w:sz="0" w:space="0" w:color="auto"/>
        <w:left w:val="none" w:sz="0" w:space="0" w:color="auto"/>
        <w:bottom w:val="none" w:sz="0" w:space="0" w:color="auto"/>
        <w:right w:val="none" w:sz="0" w:space="0" w:color="auto"/>
      </w:divBdr>
    </w:div>
    <w:div w:id="1683358927">
      <w:bodyDiv w:val="1"/>
      <w:marLeft w:val="0"/>
      <w:marRight w:val="0"/>
      <w:marTop w:val="0"/>
      <w:marBottom w:val="0"/>
      <w:divBdr>
        <w:top w:val="none" w:sz="0" w:space="0" w:color="auto"/>
        <w:left w:val="none" w:sz="0" w:space="0" w:color="auto"/>
        <w:bottom w:val="none" w:sz="0" w:space="0" w:color="auto"/>
        <w:right w:val="none" w:sz="0" w:space="0" w:color="auto"/>
      </w:divBdr>
    </w:div>
    <w:div w:id="1705205017">
      <w:bodyDiv w:val="1"/>
      <w:marLeft w:val="0"/>
      <w:marRight w:val="0"/>
      <w:marTop w:val="0"/>
      <w:marBottom w:val="0"/>
      <w:divBdr>
        <w:top w:val="none" w:sz="0" w:space="0" w:color="auto"/>
        <w:left w:val="none" w:sz="0" w:space="0" w:color="auto"/>
        <w:bottom w:val="none" w:sz="0" w:space="0" w:color="auto"/>
        <w:right w:val="none" w:sz="0" w:space="0" w:color="auto"/>
      </w:divBdr>
    </w:div>
    <w:div w:id="1745030414">
      <w:bodyDiv w:val="1"/>
      <w:marLeft w:val="0"/>
      <w:marRight w:val="0"/>
      <w:marTop w:val="0"/>
      <w:marBottom w:val="0"/>
      <w:divBdr>
        <w:top w:val="none" w:sz="0" w:space="0" w:color="auto"/>
        <w:left w:val="none" w:sz="0" w:space="0" w:color="auto"/>
        <w:bottom w:val="none" w:sz="0" w:space="0" w:color="auto"/>
        <w:right w:val="none" w:sz="0" w:space="0" w:color="auto"/>
      </w:divBdr>
      <w:divsChild>
        <w:div w:id="356663420">
          <w:marLeft w:val="0"/>
          <w:marRight w:val="0"/>
          <w:marTop w:val="240"/>
          <w:marBottom w:val="240"/>
          <w:divBdr>
            <w:top w:val="none" w:sz="0" w:space="0" w:color="auto"/>
            <w:left w:val="none" w:sz="0" w:space="0" w:color="auto"/>
            <w:bottom w:val="none" w:sz="0" w:space="0" w:color="auto"/>
            <w:right w:val="none" w:sz="0" w:space="0" w:color="auto"/>
          </w:divBdr>
        </w:div>
      </w:divsChild>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1791123591">
      <w:bodyDiv w:val="1"/>
      <w:marLeft w:val="0"/>
      <w:marRight w:val="0"/>
      <w:marTop w:val="0"/>
      <w:marBottom w:val="0"/>
      <w:divBdr>
        <w:top w:val="none" w:sz="0" w:space="0" w:color="auto"/>
        <w:left w:val="none" w:sz="0" w:space="0" w:color="auto"/>
        <w:bottom w:val="none" w:sz="0" w:space="0" w:color="auto"/>
        <w:right w:val="none" w:sz="0" w:space="0" w:color="auto"/>
      </w:divBdr>
    </w:div>
    <w:div w:id="1881554673">
      <w:bodyDiv w:val="1"/>
      <w:marLeft w:val="0"/>
      <w:marRight w:val="0"/>
      <w:marTop w:val="0"/>
      <w:marBottom w:val="0"/>
      <w:divBdr>
        <w:top w:val="none" w:sz="0" w:space="0" w:color="auto"/>
        <w:left w:val="none" w:sz="0" w:space="0" w:color="auto"/>
        <w:bottom w:val="none" w:sz="0" w:space="0" w:color="auto"/>
        <w:right w:val="none" w:sz="0" w:space="0" w:color="auto"/>
      </w:divBdr>
    </w:div>
    <w:div w:id="1921794415">
      <w:bodyDiv w:val="1"/>
      <w:marLeft w:val="0"/>
      <w:marRight w:val="0"/>
      <w:marTop w:val="0"/>
      <w:marBottom w:val="0"/>
      <w:divBdr>
        <w:top w:val="none" w:sz="0" w:space="0" w:color="auto"/>
        <w:left w:val="none" w:sz="0" w:space="0" w:color="auto"/>
        <w:bottom w:val="none" w:sz="0" w:space="0" w:color="auto"/>
        <w:right w:val="none" w:sz="0" w:space="0" w:color="auto"/>
      </w:divBdr>
    </w:div>
    <w:div w:id="1960338069">
      <w:bodyDiv w:val="1"/>
      <w:marLeft w:val="0"/>
      <w:marRight w:val="0"/>
      <w:marTop w:val="0"/>
      <w:marBottom w:val="0"/>
      <w:divBdr>
        <w:top w:val="none" w:sz="0" w:space="0" w:color="auto"/>
        <w:left w:val="none" w:sz="0" w:space="0" w:color="auto"/>
        <w:bottom w:val="none" w:sz="0" w:space="0" w:color="auto"/>
        <w:right w:val="none" w:sz="0" w:space="0" w:color="auto"/>
      </w:divBdr>
    </w:div>
    <w:div w:id="2009673455">
      <w:bodyDiv w:val="1"/>
      <w:marLeft w:val="0"/>
      <w:marRight w:val="0"/>
      <w:marTop w:val="0"/>
      <w:marBottom w:val="0"/>
      <w:divBdr>
        <w:top w:val="none" w:sz="0" w:space="0" w:color="auto"/>
        <w:left w:val="none" w:sz="0" w:space="0" w:color="auto"/>
        <w:bottom w:val="none" w:sz="0" w:space="0" w:color="auto"/>
        <w:right w:val="none" w:sz="0" w:space="0" w:color="auto"/>
      </w:divBdr>
    </w:div>
    <w:div w:id="2032799784">
      <w:bodyDiv w:val="1"/>
      <w:marLeft w:val="0"/>
      <w:marRight w:val="0"/>
      <w:marTop w:val="0"/>
      <w:marBottom w:val="0"/>
      <w:divBdr>
        <w:top w:val="none" w:sz="0" w:space="0" w:color="auto"/>
        <w:left w:val="none" w:sz="0" w:space="0" w:color="auto"/>
        <w:bottom w:val="none" w:sz="0" w:space="0" w:color="auto"/>
        <w:right w:val="none" w:sz="0" w:space="0" w:color="auto"/>
      </w:divBdr>
    </w:div>
    <w:div w:id="2044482059">
      <w:bodyDiv w:val="1"/>
      <w:marLeft w:val="0"/>
      <w:marRight w:val="0"/>
      <w:marTop w:val="0"/>
      <w:marBottom w:val="0"/>
      <w:divBdr>
        <w:top w:val="none" w:sz="0" w:space="0" w:color="auto"/>
        <w:left w:val="none" w:sz="0" w:space="0" w:color="auto"/>
        <w:bottom w:val="none" w:sz="0" w:space="0" w:color="auto"/>
        <w:right w:val="none" w:sz="0" w:space="0" w:color="auto"/>
      </w:divBdr>
    </w:div>
    <w:div w:id="21461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212-E.pdf" TargetMode="External"/><Relationship Id="rId18" Type="http://schemas.openxmlformats.org/officeDocument/2006/relationships/hyperlink" Target="https://www.itu.int/md/S19-CLADD-C-0005/en" TargetMode="External"/><Relationship Id="rId26" Type="http://schemas.openxmlformats.org/officeDocument/2006/relationships/hyperlink" Target="https://www.itu.int/en/council/2020/Documents/007/007R1e-Schedule-of-expenses.pdf" TargetMode="External"/><Relationship Id="rId39" Type="http://schemas.openxmlformats.org/officeDocument/2006/relationships/footer" Target="footer4.xml"/><Relationship Id="rId21" Type="http://schemas.openxmlformats.org/officeDocument/2006/relationships/hyperlink" Target="https://www.itu.int/md/S20-CL-C-0053/en" TargetMode="External"/><Relationship Id="rId34" Type="http://schemas.openxmlformats.org/officeDocument/2006/relationships/image" Target="media/image3.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6-CL-C-0007/en" TargetMode="External"/><Relationship Id="rId20" Type="http://schemas.openxmlformats.org/officeDocument/2006/relationships/hyperlink" Target="https://www.itu.int/md/S20-CL-C-0029/en" TargetMode="External"/><Relationship Id="rId29" Type="http://schemas.openxmlformats.org/officeDocument/2006/relationships/hyperlink" Target="https://www.itu.int/md/S20-CL-C-0015/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emf"/><Relationship Id="rId32" Type="http://schemas.openxmlformats.org/officeDocument/2006/relationships/header" Target="header2.xml"/><Relationship Id="rId37" Type="http://schemas.openxmlformats.org/officeDocument/2006/relationships/image" Target="media/image4.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19-CL-190610-DL-0012/en" TargetMode="External"/><Relationship Id="rId23" Type="http://schemas.openxmlformats.org/officeDocument/2006/relationships/hyperlink" Target="https://www.itu.int/md/S20-CL-C-0007/en" TargetMode="External"/><Relationship Id="rId28" Type="http://schemas.openxmlformats.org/officeDocument/2006/relationships/hyperlink" Target="https://www.itu.int/md/S20-CL-C-0053/en"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md/S20-CL-C-0037/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CL-C-0123/en" TargetMode="External"/><Relationship Id="rId22" Type="http://schemas.openxmlformats.org/officeDocument/2006/relationships/hyperlink" Target="https://www.itu.int/md/S20-CL-C-0015/en" TargetMode="External"/><Relationship Id="rId27" Type="http://schemas.openxmlformats.org/officeDocument/2006/relationships/hyperlink" Target="https://www.itu.int/en/council/2020/Documents/007/007R1e-Preliminary-Schedule.pdf" TargetMode="External"/><Relationship Id="rId30" Type="http://schemas.openxmlformats.org/officeDocument/2006/relationships/header" Target="header1.xm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16-CL-C-0124/en" TargetMode="External"/><Relationship Id="rId17" Type="http://schemas.openxmlformats.org/officeDocument/2006/relationships/hyperlink" Target="https://www.itu.int/md/S19-CLADD-C-0002/en" TargetMode="External"/><Relationship Id="rId25" Type="http://schemas.openxmlformats.org/officeDocument/2006/relationships/hyperlink" Target="https://www.itu.int/en/council/2020/Documents/007/007R1e-Complete-updated-Risk-Register.pdf" TargetMode="External"/><Relationship Id="rId33" Type="http://schemas.openxmlformats.org/officeDocument/2006/relationships/footer" Target="footer2.xml"/><Relationship Id="rId38"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0-CL-C-004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D50AD-9E49-4307-8379-61E3F26C3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3CB77-73EB-4AA8-AE24-309932946DDE}">
  <ds:schemaRefs>
    <ds:schemaRef ds:uri="http://schemas.microsoft.com/sharepoint/v3/contenttype/forms"/>
  </ds:schemaRefs>
</ds:datastoreItem>
</file>

<file path=customXml/itemProps3.xml><?xml version="1.0" encoding="utf-8"?>
<ds:datastoreItem xmlns:ds="http://schemas.openxmlformats.org/officeDocument/2006/customXml" ds:itemID="{3EA2B593-B315-4204-9B88-9FEA4E0878D8}">
  <ds:schemaRefs>
    <ds:schemaRef ds:uri="http://schemas.openxmlformats.org/officeDocument/2006/bibliography"/>
  </ds:schemaRefs>
</ds:datastoreItem>
</file>

<file path=customXml/itemProps4.xml><?xml version="1.0" encoding="utf-8"?>
<ds:datastoreItem xmlns:ds="http://schemas.openxmlformats.org/officeDocument/2006/customXml" ds:itemID="{DB4B7837-3C2B-4D5B-8796-D7FF9691A9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4266</Words>
  <Characters>24568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Report on HQ</vt:lpstr>
    </vt:vector>
  </TitlesOfParts>
  <Manager>General Secretariat - Pool</Manager>
  <Company>International Telecommunication Union (ITU)</Company>
  <LinksUpToDate>false</LinksUpToDate>
  <CharactersWithSpaces>28777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HQ</dc:title>
  <dc:subject>Council 2018</dc:subject>
  <dc:creator>Brouard, Ricarda</dc:creator>
  <cp:keywords>C2020, C20</cp:keywords>
  <dc:description/>
  <cp:lastModifiedBy>Brouard, Ricarda</cp:lastModifiedBy>
  <cp:revision>3</cp:revision>
  <cp:lastPrinted>2020-03-31T09:59:00Z</cp:lastPrinted>
  <dcterms:created xsi:type="dcterms:W3CDTF">2020-10-05T15:26:00Z</dcterms:created>
  <dcterms:modified xsi:type="dcterms:W3CDTF">2020-10-05T15:28:00Z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