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DC442D" w14:paraId="68387EFB" w14:textId="77777777">
        <w:trPr>
          <w:cantSplit/>
        </w:trPr>
        <w:tc>
          <w:tcPr>
            <w:tcW w:w="6912" w:type="dxa"/>
          </w:tcPr>
          <w:p w14:paraId="7A1D32EC" w14:textId="77777777" w:rsidR="00093EEB" w:rsidRPr="00DC442D" w:rsidRDefault="00093EEB" w:rsidP="00F75511">
            <w:pPr>
              <w:spacing w:before="360"/>
              <w:rPr>
                <w:szCs w:val="24"/>
              </w:rPr>
            </w:pPr>
            <w:bookmarkStart w:id="0" w:name="dc06"/>
            <w:bookmarkStart w:id="1" w:name="dbluepink" w:colFirst="0" w:colLast="0"/>
            <w:bookmarkEnd w:id="0"/>
            <w:r w:rsidRPr="00DC442D">
              <w:rPr>
                <w:b/>
                <w:bCs/>
                <w:sz w:val="30"/>
                <w:szCs w:val="30"/>
              </w:rPr>
              <w:t>Consejo 20</w:t>
            </w:r>
            <w:r w:rsidR="007955DA" w:rsidRPr="00DC442D">
              <w:rPr>
                <w:b/>
                <w:bCs/>
                <w:sz w:val="30"/>
                <w:szCs w:val="30"/>
              </w:rPr>
              <w:t>20</w:t>
            </w:r>
            <w:r w:rsidRPr="00DC442D">
              <w:rPr>
                <w:b/>
                <w:bCs/>
                <w:sz w:val="26"/>
                <w:szCs w:val="26"/>
              </w:rPr>
              <w:br/>
            </w:r>
            <w:r w:rsidRPr="00DC442D">
              <w:rPr>
                <w:b/>
                <w:bCs/>
                <w:szCs w:val="24"/>
              </w:rPr>
              <w:t xml:space="preserve">Ginebra, </w:t>
            </w:r>
            <w:r w:rsidR="007955DA" w:rsidRPr="00DC442D">
              <w:rPr>
                <w:b/>
                <w:bCs/>
                <w:szCs w:val="24"/>
              </w:rPr>
              <w:t>9</w:t>
            </w:r>
            <w:r w:rsidRPr="00DC442D">
              <w:rPr>
                <w:b/>
                <w:bCs/>
                <w:szCs w:val="24"/>
              </w:rPr>
              <w:t>-</w:t>
            </w:r>
            <w:r w:rsidR="007955DA" w:rsidRPr="00DC442D">
              <w:rPr>
                <w:b/>
                <w:bCs/>
                <w:szCs w:val="24"/>
              </w:rPr>
              <w:t>19</w:t>
            </w:r>
            <w:r w:rsidRPr="00DC442D">
              <w:rPr>
                <w:b/>
                <w:bCs/>
                <w:szCs w:val="24"/>
              </w:rPr>
              <w:t xml:space="preserve"> de </w:t>
            </w:r>
            <w:r w:rsidR="00C2727F" w:rsidRPr="00DC442D">
              <w:rPr>
                <w:b/>
                <w:bCs/>
                <w:szCs w:val="24"/>
              </w:rPr>
              <w:t>junio</w:t>
            </w:r>
            <w:r w:rsidRPr="00DC442D">
              <w:rPr>
                <w:b/>
                <w:bCs/>
                <w:szCs w:val="24"/>
              </w:rPr>
              <w:t xml:space="preserve"> de 20</w:t>
            </w:r>
            <w:r w:rsidR="007955DA" w:rsidRPr="00DC442D">
              <w:rPr>
                <w:b/>
                <w:bCs/>
                <w:szCs w:val="24"/>
              </w:rPr>
              <w:t>20</w:t>
            </w:r>
          </w:p>
        </w:tc>
        <w:tc>
          <w:tcPr>
            <w:tcW w:w="3261" w:type="dxa"/>
          </w:tcPr>
          <w:p w14:paraId="4D379413" w14:textId="77777777" w:rsidR="00093EEB" w:rsidRPr="00DC442D" w:rsidRDefault="007955DA" w:rsidP="00F75511">
            <w:pPr>
              <w:spacing w:before="0"/>
              <w:rPr>
                <w:szCs w:val="24"/>
              </w:rPr>
            </w:pPr>
            <w:bookmarkStart w:id="2" w:name="ditulogo"/>
            <w:bookmarkEnd w:id="2"/>
            <w:r w:rsidRPr="00DC442D">
              <w:rPr>
                <w:noProof/>
                <w:lang w:val="en-US"/>
              </w:rPr>
              <w:drawing>
                <wp:inline distT="0" distB="0" distL="0" distR="0" wp14:anchorId="4A2A3939" wp14:editId="50E2146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DC442D" w14:paraId="09D78E08" w14:textId="77777777">
        <w:trPr>
          <w:cantSplit/>
          <w:trHeight w:val="20"/>
        </w:trPr>
        <w:tc>
          <w:tcPr>
            <w:tcW w:w="10173" w:type="dxa"/>
            <w:gridSpan w:val="2"/>
            <w:tcBorders>
              <w:bottom w:val="single" w:sz="12" w:space="0" w:color="auto"/>
            </w:tcBorders>
          </w:tcPr>
          <w:p w14:paraId="5A6C5A78" w14:textId="77777777" w:rsidR="00093EEB" w:rsidRPr="00DC442D" w:rsidRDefault="00093EEB" w:rsidP="00F75511">
            <w:pPr>
              <w:spacing w:before="0"/>
              <w:rPr>
                <w:b/>
                <w:bCs/>
                <w:szCs w:val="24"/>
              </w:rPr>
            </w:pPr>
          </w:p>
        </w:tc>
      </w:tr>
      <w:tr w:rsidR="00093EEB" w:rsidRPr="00DC442D" w14:paraId="5FEA2A9C" w14:textId="77777777">
        <w:trPr>
          <w:cantSplit/>
          <w:trHeight w:val="20"/>
        </w:trPr>
        <w:tc>
          <w:tcPr>
            <w:tcW w:w="6912" w:type="dxa"/>
            <w:tcBorders>
              <w:top w:val="single" w:sz="12" w:space="0" w:color="auto"/>
            </w:tcBorders>
          </w:tcPr>
          <w:p w14:paraId="2D70739E" w14:textId="77777777" w:rsidR="00093EEB" w:rsidRPr="00DC442D" w:rsidRDefault="00093EEB" w:rsidP="00F75511">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14:paraId="4E103C67" w14:textId="77777777" w:rsidR="00093EEB" w:rsidRPr="00DC442D" w:rsidRDefault="00093EEB" w:rsidP="00F75511">
            <w:pPr>
              <w:spacing w:before="0"/>
              <w:rPr>
                <w:b/>
                <w:bCs/>
                <w:szCs w:val="24"/>
              </w:rPr>
            </w:pPr>
          </w:p>
        </w:tc>
      </w:tr>
      <w:tr w:rsidR="00093EEB" w:rsidRPr="00DC442D" w14:paraId="5FB67FAD" w14:textId="77777777">
        <w:trPr>
          <w:cantSplit/>
          <w:trHeight w:val="20"/>
        </w:trPr>
        <w:tc>
          <w:tcPr>
            <w:tcW w:w="6912" w:type="dxa"/>
            <w:shd w:val="clear" w:color="auto" w:fill="auto"/>
          </w:tcPr>
          <w:p w14:paraId="357191CB" w14:textId="77777777" w:rsidR="00093EEB" w:rsidRPr="00DC442D" w:rsidRDefault="006F64AE" w:rsidP="00F75511">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DC442D">
              <w:rPr>
                <w:rFonts w:cs="Times"/>
                <w:b/>
                <w:szCs w:val="24"/>
              </w:rPr>
              <w:t>Punto del orden del día: ADM 20</w:t>
            </w:r>
          </w:p>
        </w:tc>
        <w:tc>
          <w:tcPr>
            <w:tcW w:w="3261" w:type="dxa"/>
          </w:tcPr>
          <w:p w14:paraId="60F2DA88" w14:textId="77777777" w:rsidR="00093EEB" w:rsidRPr="00DC442D" w:rsidRDefault="00093EEB" w:rsidP="00F75511">
            <w:pPr>
              <w:spacing w:before="0"/>
              <w:rPr>
                <w:b/>
                <w:bCs/>
                <w:szCs w:val="24"/>
              </w:rPr>
            </w:pPr>
            <w:r w:rsidRPr="00DC442D">
              <w:rPr>
                <w:b/>
                <w:bCs/>
                <w:szCs w:val="24"/>
              </w:rPr>
              <w:t>Documento C</w:t>
            </w:r>
            <w:r w:rsidR="007955DA" w:rsidRPr="00DC442D">
              <w:rPr>
                <w:b/>
                <w:bCs/>
                <w:szCs w:val="24"/>
              </w:rPr>
              <w:t>20</w:t>
            </w:r>
            <w:r w:rsidRPr="00DC442D">
              <w:rPr>
                <w:b/>
                <w:bCs/>
                <w:szCs w:val="24"/>
              </w:rPr>
              <w:t>/</w:t>
            </w:r>
            <w:r w:rsidR="006F64AE" w:rsidRPr="00DC442D">
              <w:rPr>
                <w:b/>
                <w:bCs/>
                <w:szCs w:val="24"/>
              </w:rPr>
              <w:t>7</w:t>
            </w:r>
            <w:r w:rsidRPr="00DC442D">
              <w:rPr>
                <w:b/>
                <w:bCs/>
                <w:szCs w:val="24"/>
              </w:rPr>
              <w:t>-S</w:t>
            </w:r>
          </w:p>
        </w:tc>
      </w:tr>
      <w:tr w:rsidR="00093EEB" w:rsidRPr="00DC442D" w14:paraId="6458A7C9" w14:textId="77777777">
        <w:trPr>
          <w:cantSplit/>
          <w:trHeight w:val="20"/>
        </w:trPr>
        <w:tc>
          <w:tcPr>
            <w:tcW w:w="6912" w:type="dxa"/>
            <w:shd w:val="clear" w:color="auto" w:fill="auto"/>
          </w:tcPr>
          <w:p w14:paraId="774CFBBE" w14:textId="77777777" w:rsidR="00093EEB" w:rsidRPr="00DC442D" w:rsidRDefault="00093EEB" w:rsidP="00F75511">
            <w:pPr>
              <w:shd w:val="solid" w:color="FFFFFF" w:fill="FFFFFF"/>
              <w:spacing w:before="0"/>
              <w:rPr>
                <w:smallCaps/>
                <w:szCs w:val="24"/>
              </w:rPr>
            </w:pPr>
            <w:bookmarkStart w:id="5" w:name="ddate" w:colFirst="1" w:colLast="1"/>
            <w:bookmarkEnd w:id="3"/>
            <w:bookmarkEnd w:id="4"/>
          </w:p>
        </w:tc>
        <w:tc>
          <w:tcPr>
            <w:tcW w:w="3261" w:type="dxa"/>
          </w:tcPr>
          <w:p w14:paraId="5F629771" w14:textId="77777777" w:rsidR="00093EEB" w:rsidRPr="00DC442D" w:rsidRDefault="006F64AE" w:rsidP="00F75511">
            <w:pPr>
              <w:spacing w:before="0"/>
              <w:rPr>
                <w:b/>
                <w:bCs/>
                <w:szCs w:val="24"/>
              </w:rPr>
            </w:pPr>
            <w:r w:rsidRPr="00DC442D">
              <w:rPr>
                <w:b/>
                <w:bCs/>
                <w:szCs w:val="24"/>
              </w:rPr>
              <w:t>29 de abril</w:t>
            </w:r>
            <w:r w:rsidR="00093EEB" w:rsidRPr="00DC442D">
              <w:rPr>
                <w:b/>
                <w:bCs/>
                <w:szCs w:val="24"/>
              </w:rPr>
              <w:t xml:space="preserve"> de 20</w:t>
            </w:r>
            <w:r w:rsidR="007955DA" w:rsidRPr="00DC442D">
              <w:rPr>
                <w:b/>
                <w:bCs/>
                <w:szCs w:val="24"/>
              </w:rPr>
              <w:t>20</w:t>
            </w:r>
          </w:p>
        </w:tc>
      </w:tr>
      <w:tr w:rsidR="00093EEB" w:rsidRPr="00DC442D" w14:paraId="7C5ED998" w14:textId="77777777">
        <w:trPr>
          <w:cantSplit/>
          <w:trHeight w:val="20"/>
        </w:trPr>
        <w:tc>
          <w:tcPr>
            <w:tcW w:w="6912" w:type="dxa"/>
            <w:shd w:val="clear" w:color="auto" w:fill="auto"/>
          </w:tcPr>
          <w:p w14:paraId="3829ACC7" w14:textId="77777777" w:rsidR="00093EEB" w:rsidRPr="00DC442D" w:rsidRDefault="00093EEB" w:rsidP="00F75511">
            <w:pPr>
              <w:shd w:val="solid" w:color="FFFFFF" w:fill="FFFFFF"/>
              <w:spacing w:before="0"/>
              <w:rPr>
                <w:smallCaps/>
                <w:szCs w:val="24"/>
              </w:rPr>
            </w:pPr>
            <w:bookmarkStart w:id="6" w:name="dorlang" w:colFirst="1" w:colLast="1"/>
            <w:bookmarkEnd w:id="5"/>
          </w:p>
        </w:tc>
        <w:tc>
          <w:tcPr>
            <w:tcW w:w="3261" w:type="dxa"/>
          </w:tcPr>
          <w:p w14:paraId="31D61135" w14:textId="77777777" w:rsidR="00093EEB" w:rsidRPr="00DC442D" w:rsidRDefault="00093EEB" w:rsidP="00F75511">
            <w:pPr>
              <w:spacing w:before="0"/>
              <w:rPr>
                <w:b/>
                <w:bCs/>
                <w:szCs w:val="24"/>
              </w:rPr>
            </w:pPr>
            <w:r w:rsidRPr="00DC442D">
              <w:rPr>
                <w:b/>
                <w:bCs/>
                <w:szCs w:val="24"/>
              </w:rPr>
              <w:t>Original: inglés</w:t>
            </w:r>
          </w:p>
        </w:tc>
      </w:tr>
      <w:tr w:rsidR="00093EEB" w:rsidRPr="00DC442D" w14:paraId="5984B64B" w14:textId="77777777">
        <w:trPr>
          <w:cantSplit/>
        </w:trPr>
        <w:tc>
          <w:tcPr>
            <w:tcW w:w="10173" w:type="dxa"/>
            <w:gridSpan w:val="2"/>
          </w:tcPr>
          <w:p w14:paraId="5DCE9706" w14:textId="77777777" w:rsidR="00093EEB" w:rsidRPr="00DC442D" w:rsidRDefault="006F64AE" w:rsidP="00F75511">
            <w:pPr>
              <w:pStyle w:val="Source"/>
            </w:pPr>
            <w:bookmarkStart w:id="7" w:name="dsource" w:colFirst="0" w:colLast="0"/>
            <w:bookmarkEnd w:id="1"/>
            <w:bookmarkEnd w:id="6"/>
            <w:r w:rsidRPr="00DC442D">
              <w:t>Informe del Secretario General</w:t>
            </w:r>
          </w:p>
        </w:tc>
      </w:tr>
      <w:tr w:rsidR="00093EEB" w:rsidRPr="00DC442D" w14:paraId="133E8501" w14:textId="77777777">
        <w:trPr>
          <w:cantSplit/>
        </w:trPr>
        <w:tc>
          <w:tcPr>
            <w:tcW w:w="10173" w:type="dxa"/>
            <w:gridSpan w:val="2"/>
          </w:tcPr>
          <w:p w14:paraId="5352316A" w14:textId="1F583AA1" w:rsidR="00093EEB" w:rsidRPr="00DC442D" w:rsidRDefault="006F64AE" w:rsidP="00F75511">
            <w:pPr>
              <w:pStyle w:val="Title1"/>
            </w:pPr>
            <w:bookmarkStart w:id="8" w:name="dtitle1" w:colFirst="0" w:colLast="0"/>
            <w:bookmarkEnd w:id="7"/>
            <w:r w:rsidRPr="00DC442D">
              <w:t>Informe s</w:t>
            </w:r>
            <w:r w:rsidR="00F75511" w:rsidRPr="00DC442D">
              <w:t>obre los avances registrados</w:t>
            </w:r>
            <w:r w:rsidR="00F75511" w:rsidRPr="00DC442D">
              <w:br/>
              <w:t xml:space="preserve">en </w:t>
            </w:r>
            <w:r w:rsidRPr="00DC442D">
              <w:t>el proyecto</w:t>
            </w:r>
            <w:r w:rsidR="00F75511" w:rsidRPr="00DC442D">
              <w:t xml:space="preserve"> de la Sede de la Unión</w:t>
            </w:r>
          </w:p>
        </w:tc>
      </w:tr>
      <w:bookmarkEnd w:id="8"/>
    </w:tbl>
    <w:p w14:paraId="60813481" w14:textId="77777777" w:rsidR="00093EEB" w:rsidRPr="00DC442D" w:rsidRDefault="00093EEB" w:rsidP="00F75511"/>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DC442D" w14:paraId="4FFAE98F"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7C81B18" w14:textId="77777777" w:rsidR="00093EEB" w:rsidRPr="00DC442D" w:rsidRDefault="00093EEB" w:rsidP="00F75511">
            <w:pPr>
              <w:pStyle w:val="Headingb"/>
            </w:pPr>
            <w:r w:rsidRPr="00DC442D">
              <w:t>Resumen</w:t>
            </w:r>
          </w:p>
          <w:p w14:paraId="32C44694" w14:textId="025021B8" w:rsidR="00093EEB" w:rsidRPr="00DC442D" w:rsidRDefault="00C74552" w:rsidP="00F75511">
            <w:bookmarkStart w:id="9" w:name="lt_pId014"/>
            <w:r w:rsidRPr="00DC442D">
              <w:t>En este Informe se da cuenta de los avances registrados hasta la fecha en relación con el diseño y la construcción del proyecto de la Sede de la Unión</w:t>
            </w:r>
            <w:r w:rsidR="006F64AE" w:rsidRPr="00DC442D">
              <w:t>.</w:t>
            </w:r>
            <w:bookmarkEnd w:id="9"/>
          </w:p>
          <w:p w14:paraId="2ED473F5" w14:textId="77777777" w:rsidR="00093EEB" w:rsidRPr="00DC442D" w:rsidRDefault="00093EEB" w:rsidP="00F75511">
            <w:pPr>
              <w:pStyle w:val="Headingb"/>
            </w:pPr>
            <w:r w:rsidRPr="00DC442D">
              <w:t>Acción solicitada</w:t>
            </w:r>
          </w:p>
          <w:p w14:paraId="27714FD4" w14:textId="0D16A2D6" w:rsidR="00093EEB" w:rsidRPr="00DC442D" w:rsidRDefault="00C74552" w:rsidP="00F75511">
            <w:bookmarkStart w:id="10" w:name="lt_pId016"/>
            <w:r w:rsidRPr="00DC442D">
              <w:t>Se invita al Consejo a</w:t>
            </w:r>
            <w:r w:rsidR="006F64AE" w:rsidRPr="00DC442D">
              <w:rPr>
                <w:b/>
                <w:bCs/>
              </w:rPr>
              <w:t xml:space="preserve"> consider</w:t>
            </w:r>
            <w:r w:rsidRPr="00DC442D">
              <w:rPr>
                <w:b/>
                <w:bCs/>
              </w:rPr>
              <w:t>ar</w:t>
            </w:r>
            <w:r w:rsidR="006F64AE" w:rsidRPr="00DC442D">
              <w:rPr>
                <w:b/>
                <w:bCs/>
              </w:rPr>
              <w:t xml:space="preserve"> </w:t>
            </w:r>
            <w:r w:rsidRPr="00DC442D">
              <w:t>este Informe</w:t>
            </w:r>
            <w:r w:rsidR="006F64AE" w:rsidRPr="00DC442D">
              <w:t>.</w:t>
            </w:r>
            <w:bookmarkEnd w:id="10"/>
          </w:p>
          <w:p w14:paraId="411038FB" w14:textId="77777777" w:rsidR="00093EEB" w:rsidRPr="00DC442D" w:rsidRDefault="00093EEB" w:rsidP="00F75511">
            <w:pPr>
              <w:pStyle w:val="Table"/>
              <w:keepNext w:val="0"/>
              <w:spacing w:before="0" w:after="0"/>
              <w:rPr>
                <w:caps w:val="0"/>
                <w:sz w:val="22"/>
                <w:lang w:val="es-ES_tradnl"/>
              </w:rPr>
            </w:pPr>
            <w:r w:rsidRPr="00DC442D">
              <w:rPr>
                <w:caps w:val="0"/>
                <w:sz w:val="22"/>
                <w:lang w:val="es-ES_tradnl"/>
              </w:rPr>
              <w:t>____________</w:t>
            </w:r>
          </w:p>
          <w:p w14:paraId="2666BB2B" w14:textId="77777777" w:rsidR="00093EEB" w:rsidRPr="00DC442D" w:rsidRDefault="00093EEB" w:rsidP="00F75511">
            <w:pPr>
              <w:pStyle w:val="Headingb"/>
            </w:pPr>
            <w:r w:rsidRPr="00DC442D">
              <w:t>Referencia</w:t>
            </w:r>
            <w:r w:rsidR="006F64AE" w:rsidRPr="00DC442D">
              <w:t>s</w:t>
            </w:r>
          </w:p>
          <w:bookmarkStart w:id="11" w:name="lt_pId018"/>
          <w:p w14:paraId="4E272D1F" w14:textId="0DF77A4C" w:rsidR="00093EEB" w:rsidRPr="00DC442D" w:rsidRDefault="006F64AE" w:rsidP="00F75511">
            <w:pPr>
              <w:spacing w:after="120"/>
              <w:rPr>
                <w:i/>
                <w:iCs/>
              </w:rPr>
            </w:pPr>
            <w:r w:rsidRPr="00DC442D">
              <w:rPr>
                <w:i/>
                <w:iCs/>
              </w:rPr>
              <w:fldChar w:fldCharType="begin"/>
            </w:r>
            <w:r w:rsidR="00F75511" w:rsidRPr="00DC442D">
              <w:rPr>
                <w:i/>
                <w:iCs/>
              </w:rPr>
              <w:instrText>HYPERLINK "https://www.itu.int/md/S16-CL-C-0124/es"</w:instrText>
            </w:r>
            <w:r w:rsidRPr="00DC442D">
              <w:rPr>
                <w:i/>
                <w:iCs/>
              </w:rPr>
              <w:fldChar w:fldCharType="separate"/>
            </w:r>
            <w:r w:rsidR="00C74552" w:rsidRPr="00DC442D">
              <w:rPr>
                <w:rStyle w:val="Hyperlink"/>
                <w:i/>
                <w:iCs/>
              </w:rPr>
              <w:t>Acuerdo del C</w:t>
            </w:r>
            <w:r w:rsidRPr="00DC442D">
              <w:rPr>
                <w:rStyle w:val="Hyperlink"/>
                <w:i/>
                <w:iCs/>
              </w:rPr>
              <w:t>on</w:t>
            </w:r>
            <w:r w:rsidR="00C74552" w:rsidRPr="00DC442D">
              <w:rPr>
                <w:rStyle w:val="Hyperlink"/>
                <w:i/>
                <w:iCs/>
              </w:rPr>
              <w:t>sejo</w:t>
            </w:r>
            <w:r w:rsidRPr="00DC442D">
              <w:rPr>
                <w:rStyle w:val="Hyperlink"/>
                <w:i/>
                <w:iCs/>
              </w:rPr>
              <w:t xml:space="preserve"> 588</w:t>
            </w:r>
            <w:r w:rsidRPr="00DC442D">
              <w:rPr>
                <w:i/>
                <w:iCs/>
              </w:rPr>
              <w:fldChar w:fldCharType="end"/>
            </w:r>
            <w:r w:rsidRPr="00DC442D">
              <w:rPr>
                <w:i/>
                <w:iCs/>
              </w:rPr>
              <w:t xml:space="preserve">; </w:t>
            </w:r>
            <w:hyperlink r:id="rId12" w:history="1">
              <w:r w:rsidRPr="00DC442D">
                <w:rPr>
                  <w:rStyle w:val="Hyperlink"/>
                  <w:i/>
                  <w:iCs/>
                </w:rPr>
                <w:t>Resolu</w:t>
              </w:r>
              <w:r w:rsidR="00C74552" w:rsidRPr="00DC442D">
                <w:rPr>
                  <w:rStyle w:val="Hyperlink"/>
                  <w:i/>
                  <w:iCs/>
                </w:rPr>
                <w:t>ción</w:t>
              </w:r>
              <w:r w:rsidRPr="00DC442D">
                <w:rPr>
                  <w:rStyle w:val="Hyperlink"/>
                  <w:i/>
                  <w:iCs/>
                </w:rPr>
                <w:t xml:space="preserve"> 212 (Dub</w:t>
              </w:r>
              <w:r w:rsidR="00C74552" w:rsidRPr="00DC442D">
                <w:rPr>
                  <w:rStyle w:val="Hyperlink"/>
                  <w:i/>
                  <w:iCs/>
                </w:rPr>
                <w:t>á</w:t>
              </w:r>
              <w:r w:rsidRPr="00DC442D">
                <w:rPr>
                  <w:rStyle w:val="Hyperlink"/>
                  <w:i/>
                  <w:iCs/>
                </w:rPr>
                <w:t>i, 2018)</w:t>
              </w:r>
            </w:hyperlink>
            <w:r w:rsidRPr="00DC442D">
              <w:rPr>
                <w:i/>
                <w:iCs/>
              </w:rPr>
              <w:t xml:space="preserve">; </w:t>
            </w:r>
            <w:hyperlink r:id="rId13" w:history="1">
              <w:r w:rsidRPr="00DC442D">
                <w:rPr>
                  <w:rStyle w:val="Hyperlink"/>
                  <w:i/>
                  <w:iCs/>
                </w:rPr>
                <w:t>C18/123+Add 1</w:t>
              </w:r>
            </w:hyperlink>
            <w:r w:rsidRPr="00DC442D">
              <w:rPr>
                <w:i/>
                <w:iCs/>
              </w:rPr>
              <w:t xml:space="preserve">; </w:t>
            </w:r>
            <w:hyperlink r:id="rId14" w:history="1">
              <w:r w:rsidRPr="00DC442D">
                <w:rPr>
                  <w:rStyle w:val="Hyperlink"/>
                  <w:i/>
                  <w:iCs/>
                </w:rPr>
                <w:t>DL/12</w:t>
              </w:r>
            </w:hyperlink>
            <w:r w:rsidRPr="00DC442D">
              <w:rPr>
                <w:i/>
                <w:iCs/>
              </w:rPr>
              <w:t xml:space="preserve">, </w:t>
            </w:r>
            <w:hyperlink r:id="rId15" w:history="1">
              <w:r w:rsidRPr="00DC442D">
                <w:rPr>
                  <w:rStyle w:val="Hyperlink"/>
                  <w:i/>
                  <w:iCs/>
                </w:rPr>
                <w:t>C16/7</w:t>
              </w:r>
            </w:hyperlink>
            <w:r w:rsidRPr="00DC442D">
              <w:rPr>
                <w:i/>
                <w:iCs/>
              </w:rPr>
              <w:t xml:space="preserve">; </w:t>
            </w:r>
            <w:hyperlink r:id="rId16" w:history="1">
              <w:r w:rsidRPr="00DC442D">
                <w:rPr>
                  <w:rStyle w:val="Hyperlink"/>
                  <w:i/>
                  <w:iCs/>
                </w:rPr>
                <w:t>C19-ADD/2(Rev.1)</w:t>
              </w:r>
            </w:hyperlink>
            <w:r w:rsidRPr="00DC442D">
              <w:rPr>
                <w:i/>
                <w:iCs/>
              </w:rPr>
              <w:t xml:space="preserve">; </w:t>
            </w:r>
            <w:hyperlink r:id="rId17" w:history="1">
              <w:r w:rsidR="00C74552" w:rsidRPr="00DC442D">
                <w:rPr>
                  <w:rStyle w:val="Hyperlink"/>
                  <w:i/>
                  <w:iCs/>
                </w:rPr>
                <w:t>Acuerdo del Consejo</w:t>
              </w:r>
              <w:r w:rsidRPr="00DC442D">
                <w:rPr>
                  <w:rStyle w:val="Hyperlink"/>
                  <w:i/>
                  <w:iCs/>
                </w:rPr>
                <w:t xml:space="preserve"> 619</w:t>
              </w:r>
            </w:hyperlink>
            <w:r w:rsidRPr="00DC442D">
              <w:rPr>
                <w:i/>
                <w:iCs/>
              </w:rPr>
              <w:t xml:space="preserve">; </w:t>
            </w:r>
            <w:hyperlink r:id="rId18" w:history="1">
              <w:r w:rsidRPr="00DC442D">
                <w:rPr>
                  <w:rStyle w:val="Hyperlink"/>
                  <w:i/>
                  <w:iCs/>
                </w:rPr>
                <w:t>Document</w:t>
              </w:r>
              <w:r w:rsidR="00C74552" w:rsidRPr="00DC442D">
                <w:rPr>
                  <w:rStyle w:val="Hyperlink"/>
                  <w:i/>
                  <w:iCs/>
                </w:rPr>
                <w:t>o</w:t>
              </w:r>
              <w:r w:rsidRPr="00DC442D">
                <w:rPr>
                  <w:rStyle w:val="Hyperlink"/>
                  <w:i/>
                  <w:iCs/>
                </w:rPr>
                <w:t xml:space="preserve"> C20/37</w:t>
              </w:r>
            </w:hyperlink>
            <w:r w:rsidRPr="00DC442D">
              <w:rPr>
                <w:i/>
                <w:iCs/>
              </w:rPr>
              <w:t xml:space="preserve">; </w:t>
            </w:r>
            <w:hyperlink r:id="rId19" w:history="1">
              <w:r w:rsidRPr="00DC442D">
                <w:rPr>
                  <w:rStyle w:val="Hyperlink"/>
                  <w:i/>
                  <w:iCs/>
                </w:rPr>
                <w:t>Document</w:t>
              </w:r>
              <w:r w:rsidR="00C74552" w:rsidRPr="00DC442D">
                <w:rPr>
                  <w:rStyle w:val="Hyperlink"/>
                  <w:i/>
                  <w:iCs/>
                </w:rPr>
                <w:t>o</w:t>
              </w:r>
              <w:r w:rsidRPr="00DC442D">
                <w:rPr>
                  <w:rStyle w:val="Hyperlink"/>
                  <w:i/>
                  <w:iCs/>
                </w:rPr>
                <w:t> C20/29</w:t>
              </w:r>
            </w:hyperlink>
            <w:r w:rsidRPr="00DC442D">
              <w:rPr>
                <w:i/>
                <w:iCs/>
              </w:rPr>
              <w:t xml:space="preserve">; </w:t>
            </w:r>
            <w:hyperlink r:id="rId20" w:history="1">
              <w:r w:rsidRPr="00DC442D">
                <w:rPr>
                  <w:rStyle w:val="Hyperlink"/>
                  <w:i/>
                  <w:iCs/>
                </w:rPr>
                <w:t>Document</w:t>
              </w:r>
              <w:r w:rsidR="00C74552" w:rsidRPr="00DC442D">
                <w:rPr>
                  <w:rStyle w:val="Hyperlink"/>
                  <w:i/>
                  <w:iCs/>
                </w:rPr>
                <w:t>o</w:t>
              </w:r>
              <w:r w:rsidRPr="00DC442D">
                <w:rPr>
                  <w:rStyle w:val="Hyperlink"/>
                  <w:i/>
                  <w:iCs/>
                </w:rPr>
                <w:t xml:space="preserve"> C20/53</w:t>
              </w:r>
            </w:hyperlink>
            <w:r w:rsidRPr="00DC442D">
              <w:rPr>
                <w:i/>
                <w:iCs/>
              </w:rPr>
              <w:t xml:space="preserve">; </w:t>
            </w:r>
            <w:hyperlink r:id="rId21" w:history="1">
              <w:r w:rsidRPr="00DC442D">
                <w:rPr>
                  <w:rStyle w:val="Hyperlink"/>
                  <w:i/>
                  <w:iCs/>
                </w:rPr>
                <w:t>Document</w:t>
              </w:r>
              <w:r w:rsidR="00C74552" w:rsidRPr="00DC442D">
                <w:rPr>
                  <w:rStyle w:val="Hyperlink"/>
                  <w:i/>
                  <w:iCs/>
                </w:rPr>
                <w:t>o</w:t>
              </w:r>
              <w:r w:rsidRPr="00DC442D">
                <w:rPr>
                  <w:rStyle w:val="Hyperlink"/>
                  <w:i/>
                  <w:iCs/>
                </w:rPr>
                <w:t xml:space="preserve"> C20/15</w:t>
              </w:r>
            </w:hyperlink>
            <w:bookmarkEnd w:id="11"/>
          </w:p>
        </w:tc>
      </w:tr>
    </w:tbl>
    <w:p w14:paraId="34CAC35B" w14:textId="77777777" w:rsidR="007955DA" w:rsidRPr="00DC442D" w:rsidRDefault="006F64AE" w:rsidP="00F75511">
      <w:pPr>
        <w:pStyle w:val="Heading1"/>
      </w:pPr>
      <w:r w:rsidRPr="00DC442D">
        <w:t>1</w:t>
      </w:r>
      <w:r w:rsidRPr="00DC442D">
        <w:tab/>
      </w:r>
      <w:proofErr w:type="gramStart"/>
      <w:r w:rsidRPr="00DC442D">
        <w:t>Introducción</w:t>
      </w:r>
      <w:proofErr w:type="gramEnd"/>
    </w:p>
    <w:p w14:paraId="61B536F9" w14:textId="30A93B3D" w:rsidR="006F64AE" w:rsidRPr="00DC442D" w:rsidRDefault="008345D3" w:rsidP="00F75511">
      <w:pPr>
        <w:rPr>
          <w:sz w:val="22"/>
        </w:rPr>
      </w:pPr>
      <w:r w:rsidRPr="00DC442D">
        <w:rPr>
          <w:b/>
        </w:rPr>
        <w:t>1.1</w:t>
      </w:r>
      <w:r w:rsidRPr="00DC442D">
        <w:rPr>
          <w:b/>
        </w:rPr>
        <w:tab/>
      </w:r>
      <w:r w:rsidR="00C74552" w:rsidRPr="00DC442D">
        <w:t xml:space="preserve">En el Acuerdo 619, adoptado por el Consejo en su reunión adicional celebrada en Ginebra el 27 de septiembre de 2019, se </w:t>
      </w:r>
      <w:r w:rsidR="006F64AE" w:rsidRPr="00DC442D">
        <w:t>apr</w:t>
      </w:r>
      <w:r w:rsidR="00C74552" w:rsidRPr="00DC442D">
        <w:t>ue</w:t>
      </w:r>
      <w:r w:rsidR="006F64AE" w:rsidRPr="00DC442D">
        <w:t>ba el coste definitivo directo del proyecto de</w:t>
      </w:r>
      <w:r w:rsidR="00C74552" w:rsidRPr="00DC442D">
        <w:t xml:space="preserve"> nueva Sede de la Unión de</w:t>
      </w:r>
      <w:r w:rsidR="006F64AE" w:rsidRPr="00DC442D">
        <w:t xml:space="preserve"> 170 139 000 CHF, según se describe en el documento C19-ADD/2, financiado íntegramente por el préstamo disponible del país anfitrión de 150 000 000 CHF, más 15 140 000</w:t>
      </w:r>
      <w:r w:rsidRPr="00DC442D">
        <w:t> CHF</w:t>
      </w:r>
      <w:r w:rsidR="006F64AE" w:rsidRPr="00DC442D">
        <w:t xml:space="preserve"> de patrocinios y donaciones y 5 000 000 CHF del fondo del nuevo edificio;</w:t>
      </w:r>
    </w:p>
    <w:p w14:paraId="000AE227" w14:textId="439D1102" w:rsidR="00C2727F" w:rsidRPr="00DC442D" w:rsidRDefault="006F64AE" w:rsidP="00F75511">
      <w:pPr>
        <w:pStyle w:val="Heading1"/>
        <w:rPr>
          <w:bCs/>
        </w:rPr>
      </w:pPr>
      <w:r w:rsidRPr="00DC442D">
        <w:t>2</w:t>
      </w:r>
      <w:r w:rsidRPr="00DC442D">
        <w:tab/>
      </w:r>
      <w:bookmarkStart w:id="12" w:name="lt_pId021"/>
      <w:proofErr w:type="gramStart"/>
      <w:r w:rsidR="00C74552" w:rsidRPr="00DC442D">
        <w:t>Antecedentes</w:t>
      </w:r>
      <w:bookmarkEnd w:id="12"/>
      <w:proofErr w:type="gramEnd"/>
    </w:p>
    <w:p w14:paraId="3C9290AA" w14:textId="1C82D35D" w:rsidR="006F64AE" w:rsidRPr="00DC442D" w:rsidRDefault="006F64AE" w:rsidP="00F75511">
      <w:r w:rsidRPr="00DC442D">
        <w:rPr>
          <w:b/>
          <w:bCs/>
        </w:rPr>
        <w:t>2.1</w:t>
      </w:r>
      <w:r w:rsidRPr="00DC442D">
        <w:tab/>
      </w:r>
      <w:bookmarkStart w:id="13" w:name="lt_pId023"/>
      <w:r w:rsidR="00C74552" w:rsidRPr="00DC442D">
        <w:t>En su reunión extraordinaria el Consejo encargó al Secret</w:t>
      </w:r>
      <w:r w:rsidR="008B6C60" w:rsidRPr="00DC442D">
        <w:t>a</w:t>
      </w:r>
      <w:r w:rsidR="00C74552" w:rsidRPr="00DC442D">
        <w:t xml:space="preserve">rio General </w:t>
      </w:r>
      <w:r w:rsidR="008B6C60" w:rsidRPr="00DC442D">
        <w:t xml:space="preserve">el avance de las actividades previstas y </w:t>
      </w:r>
      <w:r w:rsidR="00C74552" w:rsidRPr="00DC442D">
        <w:t xml:space="preserve">que rindiese informe </w:t>
      </w:r>
      <w:r w:rsidR="008B6C60" w:rsidRPr="00DC442D">
        <w:t>al respecto a la reunión del Consejo de junio de</w:t>
      </w:r>
      <w:r w:rsidRPr="00DC442D">
        <w:t xml:space="preserve"> 2020.</w:t>
      </w:r>
      <w:bookmarkEnd w:id="13"/>
    </w:p>
    <w:p w14:paraId="5DC4A0D3" w14:textId="6B7EA445" w:rsidR="006F64AE" w:rsidRPr="00DC442D" w:rsidRDefault="006F64AE" w:rsidP="00F75511">
      <w:pPr>
        <w:pStyle w:val="Heading1"/>
        <w:rPr>
          <w:bCs/>
        </w:rPr>
      </w:pPr>
      <w:bookmarkStart w:id="14" w:name="lt_pId024"/>
      <w:r w:rsidRPr="00DC442D">
        <w:rPr>
          <w:bCs/>
        </w:rPr>
        <w:lastRenderedPageBreak/>
        <w:t>3</w:t>
      </w:r>
      <w:r w:rsidRPr="00DC442D">
        <w:rPr>
          <w:bCs/>
        </w:rPr>
        <w:tab/>
      </w:r>
      <w:proofErr w:type="gramStart"/>
      <w:r w:rsidR="008B6C60" w:rsidRPr="00DC442D">
        <w:rPr>
          <w:bCs/>
        </w:rPr>
        <w:t>Informe</w:t>
      </w:r>
      <w:proofErr w:type="gramEnd"/>
      <w:r w:rsidR="008B6C60" w:rsidRPr="00DC442D">
        <w:rPr>
          <w:bCs/>
        </w:rPr>
        <w:t xml:space="preserve"> sobre la situación del proyecto</w:t>
      </w:r>
      <w:bookmarkEnd w:id="14"/>
    </w:p>
    <w:p w14:paraId="5B5AA8AD" w14:textId="134413D8" w:rsidR="006F64AE" w:rsidRPr="00DC442D" w:rsidRDefault="006F64AE" w:rsidP="00F75511">
      <w:pPr>
        <w:pStyle w:val="Heading2"/>
      </w:pPr>
      <w:r w:rsidRPr="00DC442D">
        <w:t>3.1</w:t>
      </w:r>
      <w:r w:rsidRPr="00DC442D">
        <w:tab/>
      </w:r>
      <w:bookmarkStart w:id="15" w:name="lt_pId026"/>
      <w:r w:rsidR="008B6C60" w:rsidRPr="00DC442D">
        <w:t>Actualización del diseño</w:t>
      </w:r>
      <w:bookmarkEnd w:id="15"/>
    </w:p>
    <w:p w14:paraId="4005CF83" w14:textId="7787C5DE" w:rsidR="006F64AE" w:rsidRPr="00DC442D" w:rsidRDefault="008B6C60" w:rsidP="00F75511">
      <w:bookmarkStart w:id="16" w:name="lt_pId027"/>
      <w:r w:rsidRPr="00DC442D">
        <w:t>A principios de enero de 2020 la División del Proyecto de Sede</w:t>
      </w:r>
      <w:r w:rsidR="006F64AE" w:rsidRPr="00DC442D">
        <w:t xml:space="preserve"> (BPD) </w:t>
      </w:r>
      <w:proofErr w:type="gramStart"/>
      <w:r w:rsidRPr="00DC442D">
        <w:t>dio inicio a</w:t>
      </w:r>
      <w:proofErr w:type="gramEnd"/>
      <w:r w:rsidRPr="00DC442D">
        <w:t xml:space="preserve"> las sucesivas fases de diseño, de conformidad con las normas de la</w:t>
      </w:r>
      <w:r w:rsidR="006F64AE" w:rsidRPr="00DC442D">
        <w:t xml:space="preserve"> SIA (</w:t>
      </w:r>
      <w:r w:rsidRPr="00DC442D">
        <w:t>Sociedad Suiza de Ingenieros y Arquitectos) y las prácticas locales. Las fases</w:t>
      </w:r>
      <w:bookmarkStart w:id="17" w:name="lt_pId028"/>
      <w:bookmarkEnd w:id="16"/>
      <w:r w:rsidR="006F64AE" w:rsidRPr="00DC442D">
        <w:t xml:space="preserve"> 4.32 </w:t>
      </w:r>
      <w:r w:rsidRPr="00DC442D">
        <w:t>y</w:t>
      </w:r>
      <w:r w:rsidR="006F64AE" w:rsidRPr="00DC442D">
        <w:t xml:space="preserve"> 4.33 </w:t>
      </w:r>
      <w:r w:rsidRPr="00DC442D">
        <w:t>se llevarán a cabo en paralelo a medida que evolucione el proyecto</w:t>
      </w:r>
      <w:r w:rsidR="006F64AE" w:rsidRPr="00DC442D">
        <w:t>.</w:t>
      </w:r>
      <w:bookmarkEnd w:id="17"/>
    </w:p>
    <w:p w14:paraId="39F6A630" w14:textId="5CC095D6" w:rsidR="006F64AE" w:rsidRPr="00DC442D" w:rsidRDefault="008B6C60" w:rsidP="00967210">
      <w:bookmarkStart w:id="18" w:name="lt_pId029"/>
      <w:r w:rsidRPr="00DC442D">
        <w:t>El proyecto de construcción (equivalente al diseño detallado) es la fase en que se perfila el diseño y se preparan los planes, las especificaciones y las estimaciones. Los resultados del proyecto de construcción serán, entre otros, proyecciones</w:t>
      </w:r>
      <w:bookmarkStart w:id="19" w:name="lt_pId030"/>
      <w:bookmarkEnd w:id="18"/>
      <w:r w:rsidR="006F64AE" w:rsidRPr="00DC442D">
        <w:t xml:space="preserve"> 2D </w:t>
      </w:r>
      <w:r w:rsidRPr="00DC442D">
        <w:t>y</w:t>
      </w:r>
      <w:r w:rsidR="006F64AE" w:rsidRPr="00DC442D">
        <w:t xml:space="preserve"> 3D, </w:t>
      </w:r>
      <w:r w:rsidRPr="00DC442D">
        <w:t>estimaciones del costo de construcción, planes de licitación,</w:t>
      </w:r>
      <w:r w:rsidR="006F64AE" w:rsidRPr="00DC442D">
        <w:t xml:space="preserve"> etc.</w:t>
      </w:r>
      <w:bookmarkEnd w:id="19"/>
      <w:r w:rsidR="006F64AE" w:rsidRPr="00DC442D">
        <w:t xml:space="preserve"> </w:t>
      </w:r>
      <w:bookmarkStart w:id="20" w:name="lt_pId031"/>
      <w:r w:rsidRPr="00DC442D">
        <w:t>En esta fase se define el costo total (con un margen de certidumbre del</w:t>
      </w:r>
      <w:r w:rsidR="006F64AE" w:rsidRPr="00DC442D">
        <w:t xml:space="preserve"> 10%</w:t>
      </w:r>
      <w:r w:rsidRPr="00DC442D">
        <w:t>, de conformidad con la norma</w:t>
      </w:r>
      <w:r w:rsidR="006F64AE" w:rsidRPr="00DC442D">
        <w:t xml:space="preserve"> SIA</w:t>
      </w:r>
      <w:r w:rsidRPr="00DC442D">
        <w:t>)</w:t>
      </w:r>
      <w:r w:rsidR="006F64AE" w:rsidRPr="00DC442D">
        <w:t xml:space="preserve"> </w:t>
      </w:r>
      <w:r w:rsidRPr="00DC442D">
        <w:t>del proyecto. En este contexto se están llevando a cabo las actividades siguientes</w:t>
      </w:r>
      <w:bookmarkStart w:id="21" w:name="lt_pId032"/>
      <w:bookmarkEnd w:id="20"/>
      <w:r w:rsidR="006F64AE" w:rsidRPr="00DC442D">
        <w:t>:</w:t>
      </w:r>
      <w:bookmarkEnd w:id="21"/>
    </w:p>
    <w:p w14:paraId="465251DC" w14:textId="0BA9ADDE" w:rsidR="006F64AE" w:rsidRPr="00DC442D" w:rsidRDefault="006F64AE" w:rsidP="00F75511">
      <w:pPr>
        <w:pStyle w:val="Heading3"/>
      </w:pPr>
      <w:r w:rsidRPr="00DC442D">
        <w:t>3.1.1</w:t>
      </w:r>
      <w:r w:rsidRPr="00DC442D">
        <w:tab/>
      </w:r>
      <w:bookmarkStart w:id="22" w:name="lt_pId034"/>
      <w:r w:rsidR="008B6C60" w:rsidRPr="00DC442D">
        <w:t>Fase proyecto de construcción (fase</w:t>
      </w:r>
      <w:r w:rsidRPr="00DC442D">
        <w:t xml:space="preserve"> 4.32)</w:t>
      </w:r>
      <w:bookmarkEnd w:id="22"/>
    </w:p>
    <w:p w14:paraId="5F1B3744" w14:textId="4C64639A" w:rsidR="006F64AE" w:rsidRPr="00DC442D" w:rsidRDefault="008B6C60" w:rsidP="00967210">
      <w:bookmarkStart w:id="23" w:name="lt_pId035"/>
      <w:r w:rsidRPr="00DC442D">
        <w:t xml:space="preserve">En ocasiones el proyecto de construcción se denomina </w:t>
      </w:r>
      <w:r w:rsidR="008345D3" w:rsidRPr="00DC442D">
        <w:t>"</w:t>
      </w:r>
      <w:hyperlink r:id="rId22" w:history="1">
        <w:r w:rsidR="008345D3" w:rsidRPr="00DC442D">
          <w:rPr>
            <w:rStyle w:val="Hyperlink"/>
          </w:rPr>
          <w:t>diseño avanzado</w:t>
        </w:r>
      </w:hyperlink>
      <w:r w:rsidR="008345D3" w:rsidRPr="00DC442D">
        <w:t>" o "</w:t>
      </w:r>
      <w:r w:rsidRPr="00DC442D">
        <w:t>definición</w:t>
      </w:r>
      <w:r w:rsidR="008345D3" w:rsidRPr="00DC442D">
        <w:t>"</w:t>
      </w:r>
      <w:r w:rsidR="006F64AE" w:rsidRPr="00DC442D">
        <w:t>.</w:t>
      </w:r>
      <w:bookmarkEnd w:id="23"/>
      <w:r w:rsidR="006F64AE" w:rsidRPr="00DC442D">
        <w:t xml:space="preserve"> </w:t>
      </w:r>
      <w:bookmarkStart w:id="24" w:name="lt_pId036"/>
      <w:r w:rsidRPr="00DC442D">
        <w:t>Se trata del proceso consistente en desarrollar el diseño conceptual aprobado. Al final de la fase proyecto de construcción, el diseño debe estar adecuadamente dimensionado y coordinado y describir todos los componentes principales del edificio y cómo encajan unos con otros. La fase proyecto de construcción debe ofrecer información suficiente para poder presentar las solicitudes de aprobación estatutaria</w:t>
      </w:r>
      <w:bookmarkStart w:id="25" w:name="lt_pId038"/>
      <w:bookmarkEnd w:id="24"/>
      <w:r w:rsidR="006F64AE" w:rsidRPr="00DC442D">
        <w:t>.</w:t>
      </w:r>
      <w:bookmarkEnd w:id="25"/>
    </w:p>
    <w:p w14:paraId="32241D72" w14:textId="0CC3879D" w:rsidR="006F64AE" w:rsidRPr="00DC442D" w:rsidRDefault="006F64AE" w:rsidP="00F75511">
      <w:pPr>
        <w:rPr>
          <w:lang w:eastAsia="zh-CN"/>
        </w:rPr>
      </w:pPr>
      <w:bookmarkStart w:id="26" w:name="lt_pId039"/>
      <w:r w:rsidRPr="00DC442D">
        <w:rPr>
          <w:lang w:eastAsia="zh-CN"/>
        </w:rPr>
        <w:t>Bas</w:t>
      </w:r>
      <w:r w:rsidR="008B6C60" w:rsidRPr="00DC442D">
        <w:rPr>
          <w:lang w:eastAsia="zh-CN"/>
        </w:rPr>
        <w:t>e</w:t>
      </w:r>
      <w:r w:rsidRPr="00DC442D">
        <w:rPr>
          <w:lang w:eastAsia="zh-CN"/>
        </w:rPr>
        <w:t xml:space="preserve">: </w:t>
      </w:r>
      <w:r w:rsidR="004045CB" w:rsidRPr="00DC442D">
        <w:rPr>
          <w:lang w:eastAsia="zh-CN"/>
        </w:rPr>
        <w:t>Anteproyecto</w:t>
      </w:r>
      <w:r w:rsidR="008B6C60" w:rsidRPr="00DC442D">
        <w:rPr>
          <w:lang w:eastAsia="zh-CN"/>
        </w:rPr>
        <w:t xml:space="preserve"> (traducido del francés</w:t>
      </w:r>
      <w:r w:rsidRPr="00DC442D">
        <w:rPr>
          <w:lang w:eastAsia="zh-CN"/>
        </w:rPr>
        <w:t xml:space="preserve">, </w:t>
      </w:r>
      <w:r w:rsidRPr="00DC442D">
        <w:rPr>
          <w:i/>
          <w:iCs/>
          <w:lang w:eastAsia="zh-CN"/>
        </w:rPr>
        <w:t>Avant-Projet</w:t>
      </w:r>
      <w:r w:rsidRPr="00DC442D">
        <w:rPr>
          <w:lang w:eastAsia="zh-CN"/>
        </w:rPr>
        <w:t xml:space="preserve">), </w:t>
      </w:r>
      <w:r w:rsidR="004045CB" w:rsidRPr="00DC442D">
        <w:rPr>
          <w:lang w:eastAsia="zh-CN"/>
        </w:rPr>
        <w:t>decisiones preliminares de las autoridades que conceden los permisos</w:t>
      </w:r>
      <w:r w:rsidRPr="00DC442D">
        <w:rPr>
          <w:lang w:eastAsia="zh-CN"/>
        </w:rPr>
        <w:t>.</w:t>
      </w:r>
      <w:bookmarkEnd w:id="26"/>
    </w:p>
    <w:p w14:paraId="2E8A6DEA" w14:textId="1D6010CF" w:rsidR="006F64AE" w:rsidRPr="00DC442D" w:rsidRDefault="004045CB" w:rsidP="00F75511">
      <w:pPr>
        <w:rPr>
          <w:color w:val="000000" w:themeColor="text1"/>
        </w:rPr>
      </w:pPr>
      <w:bookmarkStart w:id="27" w:name="lt_pId040"/>
      <w:r w:rsidRPr="00DC442D">
        <w:t>Objetivos</w:t>
      </w:r>
      <w:r w:rsidR="006F64AE" w:rsidRPr="00DC442D">
        <w:t xml:space="preserve">: </w:t>
      </w:r>
      <w:r w:rsidRPr="00DC442D">
        <w:t>Optimización del proyecto de construcción y los costos; definición del calendario</w:t>
      </w:r>
      <w:r w:rsidR="006F64AE" w:rsidRPr="00DC442D">
        <w:t>.</w:t>
      </w:r>
      <w:bookmarkEnd w:id="27"/>
    </w:p>
    <w:p w14:paraId="0FA77923" w14:textId="7FB25DE9" w:rsidR="006F64AE" w:rsidRPr="00DC442D" w:rsidRDefault="006F64AE" w:rsidP="00F75511">
      <w:pPr>
        <w:pStyle w:val="enumlev1"/>
      </w:pPr>
      <w:bookmarkStart w:id="28" w:name="lt_pId041"/>
      <w:r w:rsidRPr="00DC442D">
        <w:t>•</w:t>
      </w:r>
      <w:r w:rsidRPr="00DC442D">
        <w:tab/>
      </w:r>
      <w:proofErr w:type="gramStart"/>
      <w:r w:rsidR="004045CB" w:rsidRPr="00DC442D">
        <w:t>Enero</w:t>
      </w:r>
      <w:proofErr w:type="gramEnd"/>
      <w:r w:rsidR="004045CB" w:rsidRPr="00DC442D">
        <w:t xml:space="preserve"> a julio</w:t>
      </w:r>
      <w:r w:rsidRPr="00DC442D">
        <w:t xml:space="preserve"> </w:t>
      </w:r>
      <w:r w:rsidR="004045CB" w:rsidRPr="00DC442D">
        <w:t>–</w:t>
      </w:r>
      <w:r w:rsidRPr="00DC442D">
        <w:t xml:space="preserve"> </w:t>
      </w:r>
      <w:r w:rsidR="004045CB" w:rsidRPr="00DC442D">
        <w:t>Talleres para confirmar el programa y los requisitos operacionales funcionales para seguir adelante con el diseño</w:t>
      </w:r>
      <w:r w:rsidRPr="00DC442D">
        <w:t>.</w:t>
      </w:r>
      <w:bookmarkEnd w:id="28"/>
    </w:p>
    <w:p w14:paraId="26DEE000" w14:textId="637D5514" w:rsidR="006F64AE" w:rsidRPr="00DC442D" w:rsidRDefault="006F64AE" w:rsidP="00F75511">
      <w:pPr>
        <w:pStyle w:val="enumlev1"/>
        <w:rPr>
          <w:rFonts w:asciiTheme="minorHAnsi" w:hAnsiTheme="minorHAnsi" w:cstheme="minorHAnsi"/>
          <w:color w:val="000000" w:themeColor="text1"/>
        </w:rPr>
      </w:pPr>
      <w:bookmarkStart w:id="29" w:name="lt_pId042"/>
      <w:r w:rsidRPr="00DC442D">
        <w:t>•</w:t>
      </w:r>
      <w:r w:rsidRPr="00DC442D">
        <w:tab/>
      </w:r>
      <w:r w:rsidR="008345D3" w:rsidRPr="00DC442D">
        <w:t>A</w:t>
      </w:r>
      <w:r w:rsidR="004045CB" w:rsidRPr="00DC442D">
        <w:t xml:space="preserve"> partir de julio</w:t>
      </w:r>
      <w:r w:rsidRPr="00DC442D">
        <w:rPr>
          <w:rFonts w:asciiTheme="minorHAnsi" w:hAnsiTheme="minorHAnsi" w:cstheme="minorHAnsi"/>
          <w:color w:val="000000" w:themeColor="text1"/>
        </w:rPr>
        <w:t xml:space="preserve"> </w:t>
      </w:r>
      <w:r w:rsidR="004045CB" w:rsidRPr="00DC442D">
        <w:rPr>
          <w:rFonts w:asciiTheme="minorHAnsi" w:hAnsiTheme="minorHAnsi" w:cstheme="minorHAnsi"/>
          <w:color w:val="000000" w:themeColor="text1"/>
        </w:rPr>
        <w:t>–</w:t>
      </w:r>
      <w:r w:rsidRPr="00DC442D">
        <w:rPr>
          <w:rFonts w:asciiTheme="minorHAnsi" w:hAnsiTheme="minorHAnsi" w:cstheme="minorHAnsi"/>
          <w:color w:val="000000" w:themeColor="text1"/>
        </w:rPr>
        <w:t xml:space="preserve"> </w:t>
      </w:r>
      <w:r w:rsidR="004045CB" w:rsidRPr="00DC442D">
        <w:rPr>
          <w:rFonts w:asciiTheme="minorHAnsi" w:hAnsiTheme="minorHAnsi" w:cstheme="minorHAnsi"/>
          <w:color w:val="000000" w:themeColor="text1"/>
        </w:rPr>
        <w:t>implicación de las partes interesadas en las propuestas de requisitos operacionales y atribución del espacio</w:t>
      </w:r>
      <w:r w:rsidRPr="00DC442D">
        <w:rPr>
          <w:rFonts w:asciiTheme="minorHAnsi" w:hAnsiTheme="minorHAnsi" w:cstheme="minorHAnsi"/>
          <w:color w:val="000000" w:themeColor="text1"/>
        </w:rPr>
        <w:t>.</w:t>
      </w:r>
      <w:bookmarkEnd w:id="29"/>
    </w:p>
    <w:p w14:paraId="4F4420E3" w14:textId="71A4531D" w:rsidR="006F64AE" w:rsidRPr="00DC442D" w:rsidRDefault="006F64AE" w:rsidP="00F75511">
      <w:pPr>
        <w:pStyle w:val="enumlev1"/>
        <w:rPr>
          <w:rFonts w:asciiTheme="minorHAnsi" w:hAnsiTheme="minorHAnsi" w:cstheme="minorHAnsi"/>
          <w:color w:val="000000" w:themeColor="text1"/>
        </w:rPr>
      </w:pPr>
      <w:bookmarkStart w:id="30" w:name="lt_pId043"/>
      <w:r w:rsidRPr="00DC442D">
        <w:t>•</w:t>
      </w:r>
      <w:r w:rsidRPr="00DC442D">
        <w:tab/>
      </w:r>
      <w:proofErr w:type="gramStart"/>
      <w:r w:rsidR="008345D3" w:rsidRPr="00DC442D">
        <w:t>E</w:t>
      </w:r>
      <w:r w:rsidR="004045CB" w:rsidRPr="00DC442D">
        <w:t>nero</w:t>
      </w:r>
      <w:proofErr w:type="gramEnd"/>
      <w:r w:rsidR="004045CB" w:rsidRPr="00DC442D">
        <w:t xml:space="preserve"> a noviembre</w:t>
      </w:r>
      <w:r w:rsidRPr="00DC442D">
        <w:rPr>
          <w:rFonts w:asciiTheme="minorHAnsi" w:hAnsiTheme="minorHAnsi" w:cstheme="minorHAnsi"/>
          <w:color w:val="000000" w:themeColor="text1"/>
        </w:rPr>
        <w:t xml:space="preserve"> </w:t>
      </w:r>
      <w:r w:rsidR="004045CB" w:rsidRPr="00DC442D">
        <w:rPr>
          <w:rFonts w:asciiTheme="minorHAnsi" w:hAnsiTheme="minorHAnsi" w:cstheme="minorHAnsi"/>
          <w:color w:val="000000" w:themeColor="text1"/>
        </w:rPr>
        <w:t>–</w:t>
      </w:r>
      <w:r w:rsidRPr="00DC442D">
        <w:rPr>
          <w:rFonts w:asciiTheme="minorHAnsi" w:hAnsiTheme="minorHAnsi" w:cstheme="minorHAnsi"/>
          <w:color w:val="000000" w:themeColor="text1"/>
        </w:rPr>
        <w:t xml:space="preserve"> </w:t>
      </w:r>
      <w:r w:rsidR="004045CB" w:rsidRPr="00DC442D">
        <w:rPr>
          <w:rFonts w:asciiTheme="minorHAnsi" w:hAnsiTheme="minorHAnsi" w:cstheme="minorHAnsi"/>
          <w:color w:val="000000" w:themeColor="text1"/>
        </w:rPr>
        <w:t>Supervisión de costos e ingeniería de valor</w:t>
      </w:r>
      <w:r w:rsidRPr="00DC442D">
        <w:rPr>
          <w:rStyle w:val="FootnoteReference"/>
          <w:rFonts w:asciiTheme="minorHAnsi" w:hAnsiTheme="minorHAnsi" w:cstheme="minorHAnsi"/>
          <w:color w:val="000000" w:themeColor="text1"/>
        </w:rPr>
        <w:footnoteReference w:id="1"/>
      </w:r>
      <w:r w:rsidRPr="00DC442D">
        <w:rPr>
          <w:rFonts w:asciiTheme="minorHAnsi" w:hAnsiTheme="minorHAnsi" w:cstheme="minorHAnsi"/>
          <w:color w:val="000000" w:themeColor="text1"/>
        </w:rPr>
        <w:t xml:space="preserve"> </w:t>
      </w:r>
      <w:r w:rsidR="004045CB" w:rsidRPr="00DC442D">
        <w:rPr>
          <w:rFonts w:asciiTheme="minorHAnsi" w:hAnsiTheme="minorHAnsi" w:cstheme="minorHAnsi"/>
          <w:color w:val="000000" w:themeColor="text1"/>
        </w:rPr>
        <w:t>para garantizar que el proyecto cumple las funciones necesarias al menor costo posible</w:t>
      </w:r>
      <w:r w:rsidRPr="00DC442D">
        <w:rPr>
          <w:rFonts w:asciiTheme="minorHAnsi" w:hAnsiTheme="minorHAnsi" w:cstheme="minorHAnsi"/>
          <w:color w:val="000000" w:themeColor="text1"/>
        </w:rPr>
        <w:t>.</w:t>
      </w:r>
      <w:bookmarkEnd w:id="30"/>
      <w:r w:rsidRPr="00DC442D">
        <w:rPr>
          <w:rFonts w:asciiTheme="minorHAnsi" w:hAnsiTheme="minorHAnsi" w:cstheme="minorHAnsi"/>
          <w:color w:val="000000" w:themeColor="text1"/>
        </w:rPr>
        <w:t> </w:t>
      </w:r>
    </w:p>
    <w:p w14:paraId="03AE89D9" w14:textId="30CAFD38" w:rsidR="006F64AE" w:rsidRPr="00DC442D" w:rsidRDefault="006F64AE" w:rsidP="00F75511">
      <w:pPr>
        <w:pStyle w:val="Heading3"/>
      </w:pPr>
      <w:r w:rsidRPr="00DC442D">
        <w:t>3.1.2</w:t>
      </w:r>
      <w:r w:rsidRPr="00DC442D">
        <w:tab/>
      </w:r>
      <w:bookmarkStart w:id="32" w:name="lt_pId045"/>
      <w:r w:rsidR="004045CB" w:rsidRPr="00DC442D">
        <w:t>Solicitud del permiso de construcción</w:t>
      </w:r>
      <w:r w:rsidRPr="00DC442D">
        <w:t xml:space="preserve"> (</w:t>
      </w:r>
      <w:r w:rsidR="004045CB" w:rsidRPr="00DC442D">
        <w:t>fase</w:t>
      </w:r>
      <w:r w:rsidRPr="00DC442D">
        <w:t xml:space="preserve"> 4.33)</w:t>
      </w:r>
      <w:bookmarkEnd w:id="32"/>
    </w:p>
    <w:p w14:paraId="59EAF417" w14:textId="16C0DABF" w:rsidR="006F64AE" w:rsidRPr="00DC442D" w:rsidRDefault="004045CB" w:rsidP="00F75511">
      <w:pPr>
        <w:rPr>
          <w:lang w:eastAsia="zh-CN"/>
        </w:rPr>
      </w:pPr>
      <w:bookmarkStart w:id="33" w:name="lt_pId046"/>
      <w:r w:rsidRPr="00DC442D">
        <w:rPr>
          <w:lang w:eastAsia="zh-CN"/>
        </w:rPr>
        <w:t>Procedimiento de obtención de permisos, presentación de la documentación generada en la fase proyecto de construcción</w:t>
      </w:r>
      <w:r w:rsidR="006F64AE" w:rsidRPr="00DC442D">
        <w:rPr>
          <w:lang w:eastAsia="zh-CN"/>
        </w:rPr>
        <w:t>.</w:t>
      </w:r>
      <w:bookmarkEnd w:id="33"/>
    </w:p>
    <w:p w14:paraId="25A30148" w14:textId="0B4CC6D5" w:rsidR="006F64AE" w:rsidRPr="00DC442D" w:rsidRDefault="004045CB" w:rsidP="00F75511">
      <w:pPr>
        <w:rPr>
          <w:lang w:eastAsia="zh-CN"/>
        </w:rPr>
      </w:pPr>
      <w:bookmarkStart w:id="34" w:name="lt_pId047"/>
      <w:r w:rsidRPr="00DC442D">
        <w:rPr>
          <w:lang w:eastAsia="zh-CN"/>
        </w:rPr>
        <w:t>Objetivos</w:t>
      </w:r>
      <w:r w:rsidR="006F64AE" w:rsidRPr="00DC442D">
        <w:rPr>
          <w:lang w:eastAsia="zh-CN"/>
        </w:rPr>
        <w:t>: obt</w:t>
      </w:r>
      <w:r w:rsidRPr="00DC442D">
        <w:rPr>
          <w:lang w:eastAsia="zh-CN"/>
        </w:rPr>
        <w:t>ener el permiso de construcción de las autoridades locales</w:t>
      </w:r>
      <w:r w:rsidR="006F64AE" w:rsidRPr="00DC442D">
        <w:rPr>
          <w:lang w:eastAsia="zh-CN"/>
        </w:rPr>
        <w:t>.</w:t>
      </w:r>
      <w:bookmarkEnd w:id="34"/>
    </w:p>
    <w:p w14:paraId="7974E259" w14:textId="5EF0F13E" w:rsidR="006F64AE" w:rsidRPr="00DC442D" w:rsidRDefault="006F64AE" w:rsidP="00967210">
      <w:pPr>
        <w:pStyle w:val="enumlev1"/>
      </w:pPr>
      <w:bookmarkStart w:id="35" w:name="lt_pId048"/>
      <w:r w:rsidRPr="00DC442D">
        <w:t>•</w:t>
      </w:r>
      <w:r w:rsidRPr="00DC442D">
        <w:tab/>
      </w:r>
      <w:proofErr w:type="gramStart"/>
      <w:r w:rsidRPr="00DC442D">
        <w:t>Mar</w:t>
      </w:r>
      <w:r w:rsidR="004045CB" w:rsidRPr="00DC442D">
        <w:t>zo</w:t>
      </w:r>
      <w:proofErr w:type="gramEnd"/>
      <w:r w:rsidR="004045CB" w:rsidRPr="00DC442D">
        <w:t xml:space="preserve"> a octubre</w:t>
      </w:r>
      <w:r w:rsidRPr="00DC442D">
        <w:t xml:space="preserve"> </w:t>
      </w:r>
      <w:r w:rsidR="004045CB" w:rsidRPr="00DC442D">
        <w:t>–</w:t>
      </w:r>
      <w:r w:rsidRPr="00DC442D">
        <w:t xml:space="preserve"> Consulta</w:t>
      </w:r>
      <w:r w:rsidR="004045CB" w:rsidRPr="00DC442D">
        <w:t xml:space="preserve"> con las autoridades locales, véase el punto</w:t>
      </w:r>
      <w:r w:rsidRPr="00DC442D">
        <w:t xml:space="preserve"> 3.3</w:t>
      </w:r>
      <w:bookmarkEnd w:id="35"/>
      <w:r w:rsidR="008345D3" w:rsidRPr="00DC442D">
        <w:t>.</w:t>
      </w:r>
    </w:p>
    <w:p w14:paraId="141C5D35" w14:textId="41E785FC" w:rsidR="006F64AE" w:rsidRPr="00DC442D" w:rsidRDefault="006F64AE" w:rsidP="00967210">
      <w:pPr>
        <w:pStyle w:val="enumlev1"/>
      </w:pPr>
      <w:bookmarkStart w:id="36" w:name="lt_pId049"/>
      <w:r w:rsidRPr="00DC442D">
        <w:t>•</w:t>
      </w:r>
      <w:r w:rsidRPr="00DC442D">
        <w:tab/>
      </w:r>
      <w:proofErr w:type="gramStart"/>
      <w:r w:rsidRPr="00DC442D">
        <w:t>Oct</w:t>
      </w:r>
      <w:r w:rsidR="004045CB" w:rsidRPr="00DC442D">
        <w:t>ubre</w:t>
      </w:r>
      <w:proofErr w:type="gramEnd"/>
      <w:r w:rsidR="004045CB" w:rsidRPr="00DC442D">
        <w:t xml:space="preserve"> de</w:t>
      </w:r>
      <w:r w:rsidRPr="00DC442D">
        <w:t xml:space="preserve"> 2020 </w:t>
      </w:r>
      <w:r w:rsidR="004045CB" w:rsidRPr="00DC442D">
        <w:t>–</w:t>
      </w:r>
      <w:r w:rsidRPr="00DC442D">
        <w:t xml:space="preserve"> </w:t>
      </w:r>
      <w:r w:rsidR="004045CB" w:rsidRPr="00DC442D">
        <w:t>Presentación del proyecto de solicitud de permiso</w:t>
      </w:r>
      <w:bookmarkEnd w:id="36"/>
      <w:r w:rsidR="008345D3" w:rsidRPr="00DC442D">
        <w:t>.</w:t>
      </w:r>
    </w:p>
    <w:p w14:paraId="1F306AE2" w14:textId="11EC9F2E" w:rsidR="006F64AE" w:rsidRPr="00DC442D" w:rsidRDefault="006F64AE" w:rsidP="00967210">
      <w:pPr>
        <w:pStyle w:val="enumlev1"/>
      </w:pPr>
      <w:bookmarkStart w:id="37" w:name="lt_pId050"/>
      <w:r w:rsidRPr="00DC442D">
        <w:t>•</w:t>
      </w:r>
      <w:r w:rsidRPr="00DC442D">
        <w:tab/>
        <w:t>D</w:t>
      </w:r>
      <w:r w:rsidR="004045CB" w:rsidRPr="00DC442D">
        <w:t>iciembre</w:t>
      </w:r>
      <w:r w:rsidRPr="00DC442D">
        <w:t xml:space="preserve"> </w:t>
      </w:r>
      <w:r w:rsidR="004045CB" w:rsidRPr="00DC442D">
        <w:t>–</w:t>
      </w:r>
      <w:r w:rsidRPr="00DC442D">
        <w:t xml:space="preserve"> </w:t>
      </w:r>
      <w:r w:rsidR="004045CB" w:rsidRPr="00DC442D">
        <w:t>Presentación de la solicitud de permiso a las autoridades locales</w:t>
      </w:r>
      <w:bookmarkEnd w:id="37"/>
      <w:r w:rsidR="008345D3" w:rsidRPr="00DC442D">
        <w:t>.</w:t>
      </w:r>
    </w:p>
    <w:p w14:paraId="1F813586" w14:textId="21C485CA" w:rsidR="006F64AE" w:rsidRPr="00DC442D" w:rsidRDefault="004045CB" w:rsidP="00F75511">
      <w:bookmarkStart w:id="38" w:name="lt_pId051"/>
      <w:r w:rsidRPr="00DC442D">
        <w:lastRenderedPageBreak/>
        <w:t xml:space="preserve">Se estima que el tiempo necesario para la obtención del permiso de </w:t>
      </w:r>
      <w:r w:rsidR="008345D3" w:rsidRPr="00DC442D">
        <w:t xml:space="preserve">construcción oscila entre </w:t>
      </w:r>
      <w:r w:rsidR="00967210" w:rsidRPr="00DC442D">
        <w:t>3 y </w:t>
      </w:r>
      <w:r w:rsidR="008345D3" w:rsidRPr="00DC442D">
        <w:t>6 </w:t>
      </w:r>
      <w:r w:rsidRPr="00DC442D">
        <w:t>meses</w:t>
      </w:r>
      <w:r w:rsidR="006F64AE" w:rsidRPr="00DC442D">
        <w:t>.</w:t>
      </w:r>
      <w:bookmarkEnd w:id="38"/>
    </w:p>
    <w:p w14:paraId="3AEF0BDA" w14:textId="48FAE0EB" w:rsidR="006F64AE" w:rsidRPr="00DC442D" w:rsidRDefault="00DC442D" w:rsidP="00F75511">
      <w:pPr>
        <w:pStyle w:val="Heading2"/>
      </w:pPr>
      <w:r w:rsidRPr="00DC442D">
        <w:t>3.2</w:t>
      </w:r>
      <w:r w:rsidR="006F64AE" w:rsidRPr="00DC442D">
        <w:tab/>
      </w:r>
      <w:bookmarkStart w:id="39" w:name="lt_pId053"/>
      <w:r w:rsidR="006F64AE" w:rsidRPr="00DC442D">
        <w:t>Consulta</w:t>
      </w:r>
      <w:r w:rsidR="004045CB" w:rsidRPr="00DC442D">
        <w:t xml:space="preserve"> con las autoridades locales</w:t>
      </w:r>
      <w:bookmarkEnd w:id="39"/>
    </w:p>
    <w:p w14:paraId="7FA6908B" w14:textId="50751E83" w:rsidR="006F64AE" w:rsidRPr="00DC442D" w:rsidRDefault="004045CB" w:rsidP="00F75511">
      <w:bookmarkStart w:id="40" w:name="lt_pId054"/>
      <w:r w:rsidRPr="00DC442D">
        <w:t>Para facilitar y acelerar el proceso de aprobación se están celebrando consultas con las autoridades locales a fin de anticipar la autorización del permiso de construcción. Por la experiencia con otros proyectos de construcción se s</w:t>
      </w:r>
      <w:r w:rsidR="006D24E9" w:rsidRPr="00DC442D">
        <w:t>a</w:t>
      </w:r>
      <w:r w:rsidRPr="00DC442D">
        <w:t>be que los distintos organismos locales dan su consentimiento si se les ha informado y consultado</w:t>
      </w:r>
      <w:r w:rsidR="006D24E9" w:rsidRPr="00DC442D">
        <w:t xml:space="preserve"> acerca de eventuales problemas graves con antelación y que en colaboración se han encontrado las soluciones antes de la presentación de la documentación para solicitar el permiso. La lista de consultas celebradas puede verse</w:t>
      </w:r>
      <w:bookmarkStart w:id="41" w:name="lt_pId056"/>
      <w:bookmarkEnd w:id="40"/>
      <w:r w:rsidR="006F64AE" w:rsidRPr="00DC442D">
        <w:t xml:space="preserve"> </w:t>
      </w:r>
      <w:hyperlink r:id="rId23" w:history="1">
        <w:r w:rsidR="006D24E9" w:rsidRPr="00DC442D">
          <w:rPr>
            <w:rStyle w:val="Hyperlink"/>
            <w:rFonts w:asciiTheme="minorHAnsi" w:hAnsiTheme="minorHAnsi" w:cstheme="minorHAnsi"/>
          </w:rPr>
          <w:t>aquí</w:t>
        </w:r>
      </w:hyperlink>
      <w:r w:rsidR="006F64AE" w:rsidRPr="00DC442D">
        <w:t>.</w:t>
      </w:r>
      <w:bookmarkEnd w:id="41"/>
    </w:p>
    <w:p w14:paraId="34042958" w14:textId="6E1DFAEC" w:rsidR="006F64AE" w:rsidRPr="00DC442D" w:rsidRDefault="00DC442D" w:rsidP="00967210">
      <w:pPr>
        <w:pStyle w:val="Heading2"/>
      </w:pPr>
      <w:r w:rsidRPr="00DC442D">
        <w:t>3.3</w:t>
      </w:r>
      <w:r w:rsidR="006F64AE" w:rsidRPr="00DC442D">
        <w:tab/>
      </w:r>
      <w:bookmarkStart w:id="42" w:name="lt_pId058"/>
      <w:r w:rsidR="005A39DB" w:rsidRPr="00DC442D">
        <w:t>Aplicación de los requisitos del</w:t>
      </w:r>
      <w:r w:rsidR="006F64AE" w:rsidRPr="00DC442D">
        <w:t xml:space="preserve"> UNDSS </w:t>
      </w:r>
      <w:r w:rsidR="005A39DB" w:rsidRPr="00DC442D">
        <w:t>para el cumplimiento de las MOSS de las Naciones Unidas en el espacio público</w:t>
      </w:r>
      <w:bookmarkEnd w:id="42"/>
    </w:p>
    <w:p w14:paraId="1EB2F0C2" w14:textId="0FC5FEBC" w:rsidR="006F64AE" w:rsidRPr="00DC442D" w:rsidRDefault="005A39DB" w:rsidP="00F75511">
      <w:bookmarkStart w:id="43" w:name="lt_pId059"/>
      <w:r w:rsidRPr="00DC442D">
        <w:t>La necesidad de aplicar los requisitos del</w:t>
      </w:r>
      <w:r w:rsidR="006F64AE" w:rsidRPr="00DC442D">
        <w:t xml:space="preserve"> UNDS</w:t>
      </w:r>
      <w:r w:rsidRPr="00DC442D">
        <w:t>S surge de un proceso independiente iniciado con el País Anfitrión con miras al cumplimiento de las MOSS de las Naciones Unidas en el espacio público</w:t>
      </w:r>
      <w:r w:rsidR="006F64AE" w:rsidRPr="00DC442D">
        <w:t>.</w:t>
      </w:r>
      <w:bookmarkEnd w:id="43"/>
      <w:r w:rsidR="006F64AE" w:rsidRPr="00DC442D">
        <w:t xml:space="preserve"> </w:t>
      </w:r>
    </w:p>
    <w:p w14:paraId="51CB0982" w14:textId="4AC5019E" w:rsidR="006F64AE" w:rsidRPr="00DC442D" w:rsidRDefault="005A39DB" w:rsidP="00F75511">
      <w:bookmarkStart w:id="44" w:name="lt_pId060"/>
      <w:r w:rsidRPr="00DC442D">
        <w:t>En enero de 2020 se celebró una reunión de coordinación sobre la evaluación de los riesgos de seguridad y se dio inicio al estudio de viabilidad dirigido por el País Anfitrión. El calendario previsto a este respecto es el siguiente</w:t>
      </w:r>
      <w:bookmarkStart w:id="45" w:name="lt_pId061"/>
      <w:bookmarkEnd w:id="44"/>
      <w:r w:rsidR="006F64AE" w:rsidRPr="00DC442D">
        <w:t>:</w:t>
      </w:r>
      <w:bookmarkEnd w:id="45"/>
    </w:p>
    <w:p w14:paraId="7538A18E" w14:textId="19C19F33" w:rsidR="006F64AE" w:rsidRPr="00DC442D" w:rsidRDefault="006F64AE" w:rsidP="00967210">
      <w:pPr>
        <w:pStyle w:val="enumlev1"/>
      </w:pPr>
      <w:bookmarkStart w:id="46" w:name="lt_pId062"/>
      <w:r w:rsidRPr="00DC442D">
        <w:t>•</w:t>
      </w:r>
      <w:r w:rsidRPr="00DC442D">
        <w:tab/>
      </w:r>
      <w:r w:rsidR="00B506BD" w:rsidRPr="00DC442D">
        <w:t>E</w:t>
      </w:r>
      <w:r w:rsidR="005A39DB" w:rsidRPr="00DC442D">
        <w:t>nero</w:t>
      </w:r>
      <w:r w:rsidRPr="00DC442D">
        <w:t xml:space="preserve"> – </w:t>
      </w:r>
      <w:r w:rsidR="005A39DB" w:rsidRPr="00DC442D">
        <w:t>marzo de</w:t>
      </w:r>
      <w:r w:rsidRPr="00DC442D">
        <w:t xml:space="preserve"> 2020: </w:t>
      </w:r>
      <w:r w:rsidR="005A39DB" w:rsidRPr="00DC442D">
        <w:t>Definición del alcance de los trabajos, incluidos los requisitos de las partes interesadas (todas las partes implicadas, no sólo la UIT</w:t>
      </w:r>
      <w:r w:rsidRPr="00DC442D">
        <w:t>)</w:t>
      </w:r>
      <w:bookmarkEnd w:id="46"/>
      <w:r w:rsidR="00B506BD" w:rsidRPr="00DC442D">
        <w:t>.</w:t>
      </w:r>
    </w:p>
    <w:p w14:paraId="189AC2EB" w14:textId="16832BE2" w:rsidR="006F64AE" w:rsidRPr="00DC442D" w:rsidRDefault="006F64AE" w:rsidP="00967210">
      <w:pPr>
        <w:pStyle w:val="enumlev1"/>
      </w:pPr>
      <w:bookmarkStart w:id="47" w:name="lt_pId063"/>
      <w:r w:rsidRPr="00DC442D">
        <w:t>•</w:t>
      </w:r>
      <w:r w:rsidRPr="00DC442D">
        <w:tab/>
      </w:r>
      <w:r w:rsidR="00B506BD" w:rsidRPr="00DC442D">
        <w:t>A</w:t>
      </w:r>
      <w:r w:rsidR="005A39DB" w:rsidRPr="00DC442D">
        <w:t>bril</w:t>
      </w:r>
      <w:r w:rsidRPr="00DC442D">
        <w:t xml:space="preserve"> – </w:t>
      </w:r>
      <w:r w:rsidR="005A39DB" w:rsidRPr="00DC442D">
        <w:t>agosto de</w:t>
      </w:r>
      <w:r w:rsidRPr="00DC442D">
        <w:t xml:space="preserve"> 2020: </w:t>
      </w:r>
      <w:r w:rsidR="005A39DB" w:rsidRPr="00DC442D">
        <w:t>Licitación y selección del adjudicatario</w:t>
      </w:r>
      <w:bookmarkEnd w:id="47"/>
      <w:r w:rsidR="00B506BD" w:rsidRPr="00DC442D">
        <w:t>.</w:t>
      </w:r>
    </w:p>
    <w:p w14:paraId="04346E71" w14:textId="3739FB24" w:rsidR="006F64AE" w:rsidRPr="00DC442D" w:rsidRDefault="006F64AE" w:rsidP="00967210">
      <w:pPr>
        <w:pStyle w:val="enumlev1"/>
      </w:pPr>
      <w:bookmarkStart w:id="48" w:name="lt_pId064"/>
      <w:r w:rsidRPr="00DC442D">
        <w:t>•</w:t>
      </w:r>
      <w:r w:rsidRPr="00DC442D">
        <w:tab/>
      </w:r>
      <w:r w:rsidR="00B506BD" w:rsidRPr="00DC442D">
        <w:t>S</w:t>
      </w:r>
      <w:r w:rsidR="005A39DB" w:rsidRPr="00DC442D">
        <w:t>eptiembre</w:t>
      </w:r>
      <w:r w:rsidRPr="00DC442D">
        <w:t xml:space="preserve"> – </w:t>
      </w:r>
      <w:r w:rsidR="005A39DB" w:rsidRPr="00DC442D">
        <w:t>mayo de</w:t>
      </w:r>
      <w:r w:rsidRPr="00DC442D">
        <w:t xml:space="preserve"> 2021: </w:t>
      </w:r>
      <w:r w:rsidR="005A39DB" w:rsidRPr="00DC442D">
        <w:t>estudio de viabilidad</w:t>
      </w:r>
      <w:bookmarkEnd w:id="48"/>
      <w:r w:rsidR="00B506BD" w:rsidRPr="00DC442D">
        <w:t>.</w:t>
      </w:r>
    </w:p>
    <w:p w14:paraId="6A7D99F3" w14:textId="188A3A58" w:rsidR="006F64AE" w:rsidRPr="00DC442D" w:rsidRDefault="005A39DB" w:rsidP="00F75511">
      <w:bookmarkStart w:id="49" w:name="lt_pId065"/>
      <w:r w:rsidRPr="00DC442D">
        <w:t xml:space="preserve">Los resultados del análisis de viabilidad realizado por el País Anfitrión y la estimación de costos se tratarán en reuniones de coordinación </w:t>
      </w:r>
      <w:r w:rsidRPr="00DC442D">
        <w:rPr>
          <w:i/>
          <w:iCs/>
        </w:rPr>
        <w:t>ad hoc</w:t>
      </w:r>
      <w:r w:rsidR="006F64AE" w:rsidRPr="00DC442D">
        <w:t xml:space="preserve"> (</w:t>
      </w:r>
      <w:r w:rsidRPr="00DC442D">
        <w:t>Grupo de Trabajo de Seguridad, formado por la Misión Permanente de Suiza, la Policía Federal suiza y la UIT</w:t>
      </w:r>
      <w:r w:rsidR="006F64AE" w:rsidRPr="00DC442D">
        <w:t>).</w:t>
      </w:r>
      <w:bookmarkEnd w:id="49"/>
      <w:r w:rsidR="006F64AE" w:rsidRPr="00DC442D">
        <w:t xml:space="preserve"> </w:t>
      </w:r>
    </w:p>
    <w:p w14:paraId="6F87E241" w14:textId="1859AF9A" w:rsidR="006F64AE" w:rsidRPr="00DC442D" w:rsidRDefault="005A39DB" w:rsidP="00F75511">
      <w:bookmarkStart w:id="50" w:name="lt_pId066"/>
      <w:r w:rsidRPr="00DC442D">
        <w:t>El País Anfitrión ha dejado claro igualmente que la aplicación de los requisitos de seguridad MOSS de las Naciones Unidas en el espacio público se ha de efectuar</w:t>
      </w:r>
      <w:r w:rsidR="008D5853" w:rsidRPr="00DC442D">
        <w:t xml:space="preserve"> siguiendo un diseño y un proceso de aprobación de permiso aparte. Por consiguiente, se ha encargado a la UIT que siga adelante con su solicitud de permiso de construir para el nuevo inmueble en la parcela de la UIT en un proceso independiente. No obstante, la Misión Suiza ha tranquilizado a la UIT al confirmar que las autoridades suizas competentes se ocuparán de los requisitos MOSS de las Naciones Unidas y que están considerando la mejor manera de lograr los resultados previstos respetando el calendario de construcción y la fecha de inauguración del nuevo edificio prevista</w:t>
      </w:r>
      <w:bookmarkStart w:id="51" w:name="lt_pId068"/>
      <w:bookmarkEnd w:id="50"/>
      <w:r w:rsidR="006F64AE" w:rsidRPr="00DC442D">
        <w:rPr>
          <w:rFonts w:eastAsia="Calibri" w:cs="Arial"/>
          <w:szCs w:val="24"/>
        </w:rPr>
        <w:t>.</w:t>
      </w:r>
      <w:bookmarkEnd w:id="51"/>
    </w:p>
    <w:p w14:paraId="4AFFD5CB" w14:textId="67A2F3F3" w:rsidR="006F64AE" w:rsidRPr="00DC442D" w:rsidRDefault="008D5853" w:rsidP="00F75511">
      <w:bookmarkStart w:id="52" w:name="lt_pId069"/>
      <w:r w:rsidRPr="00DC442D">
        <w:t>Puede consultarse la carta recibida de la Misión Permanente de Suiza ante la Oficina de las Naciones Unidas y otras organizaciones internacionales en Ginebra confirmando su compromiso para con los requisitos de la UIT</w:t>
      </w:r>
      <w:r w:rsidR="006F64AE" w:rsidRPr="00DC442D">
        <w:t xml:space="preserve"> </w:t>
      </w:r>
      <w:hyperlink r:id="rId24" w:history="1">
        <w:r w:rsidRPr="00DC442D">
          <w:rPr>
            <w:rStyle w:val="Hyperlink"/>
          </w:rPr>
          <w:t>aquí</w:t>
        </w:r>
      </w:hyperlink>
      <w:r w:rsidR="006F64AE" w:rsidRPr="00DC442D">
        <w:t>.</w:t>
      </w:r>
      <w:bookmarkEnd w:id="52"/>
    </w:p>
    <w:p w14:paraId="53B9A217" w14:textId="23330EB4" w:rsidR="006F64AE" w:rsidRPr="00DC442D" w:rsidRDefault="00DC442D" w:rsidP="00F75511">
      <w:pPr>
        <w:pStyle w:val="Heading2"/>
      </w:pPr>
      <w:r w:rsidRPr="00DC442D">
        <w:t>3.4</w:t>
      </w:r>
      <w:r w:rsidR="006F64AE" w:rsidRPr="00DC442D">
        <w:tab/>
      </w:r>
      <w:bookmarkStart w:id="53" w:name="lt_pId071"/>
      <w:r w:rsidR="008D5853" w:rsidRPr="00DC442D">
        <w:t>Patrocinio y donaciones</w:t>
      </w:r>
      <w:bookmarkEnd w:id="53"/>
    </w:p>
    <w:p w14:paraId="618CDE82" w14:textId="77777777" w:rsidR="008D5853" w:rsidRPr="00DC442D" w:rsidRDefault="008D5853" w:rsidP="00F75511">
      <w:bookmarkStart w:id="54" w:name="lt_pId072"/>
      <w:r w:rsidRPr="00DC442D">
        <w:t>Desde que se adoptara el Acuerdo</w:t>
      </w:r>
      <w:r w:rsidR="006F64AE" w:rsidRPr="00DC442D">
        <w:t xml:space="preserve"> 619, </w:t>
      </w:r>
      <w:r w:rsidRPr="00DC442D">
        <w:t>la UIT no ha recibido más patrocinios o donaciones.</w:t>
      </w:r>
    </w:p>
    <w:p w14:paraId="138C21ED" w14:textId="24783AB3" w:rsidR="006F64AE" w:rsidRPr="00DC442D" w:rsidRDefault="008D5853" w:rsidP="00F75511">
      <w:pPr>
        <w:rPr>
          <w:rFonts w:asciiTheme="minorHAnsi" w:hAnsiTheme="minorHAnsi" w:cstheme="minorHAnsi"/>
          <w:szCs w:val="24"/>
        </w:rPr>
      </w:pPr>
      <w:r w:rsidRPr="00DC442D">
        <w:t xml:space="preserve">De conformidad con el </w:t>
      </w:r>
      <w:r w:rsidRPr="00DC442D">
        <w:rPr>
          <w:i/>
          <w:iCs/>
        </w:rPr>
        <w:t xml:space="preserve">acuerda </w:t>
      </w:r>
      <w:r w:rsidRPr="00DC442D">
        <w:t>4 del Acuerdo 619</w:t>
      </w:r>
      <w:bookmarkStart w:id="55" w:name="lt_pId074"/>
      <w:bookmarkEnd w:id="54"/>
      <w:r w:rsidR="004E4657" w:rsidRPr="00DC442D">
        <w:t>, cualquier patrocinio o donación futura se utili</w:t>
      </w:r>
      <w:r w:rsidRPr="00DC442D">
        <w:t>zará</w:t>
      </w:r>
      <w:r w:rsidR="004E4657" w:rsidRPr="00DC442D">
        <w:t xml:space="preserve"> exclusivamente para compensar el coste final directo del proyecto sin crear nuevos costes </w:t>
      </w:r>
      <w:r w:rsidR="004E4657" w:rsidRPr="00DC442D">
        <w:lastRenderedPageBreak/>
        <w:t>indirectos o más retrasos en el proyecto, y no aument</w:t>
      </w:r>
      <w:r w:rsidRPr="00DC442D">
        <w:t>ará</w:t>
      </w:r>
      <w:r w:rsidR="004E4657" w:rsidRPr="00DC442D">
        <w:t xml:space="preserve"> el </w:t>
      </w:r>
      <w:r w:rsidRPr="00DC442D">
        <w:t>cost</w:t>
      </w:r>
      <w:r w:rsidR="00B506BD" w:rsidRPr="00DC442D">
        <w:t>e final directo aprobado de 170 139 000 </w:t>
      </w:r>
      <w:r w:rsidRPr="00DC442D">
        <w:t>CHF. Por este motivo es improbable que se reciban más patrocinios</w:t>
      </w:r>
      <w:r w:rsidR="006F64AE" w:rsidRPr="00DC442D">
        <w:rPr>
          <w:rFonts w:asciiTheme="minorHAnsi" w:hAnsiTheme="minorHAnsi" w:cstheme="minorHAnsi"/>
          <w:szCs w:val="24"/>
        </w:rPr>
        <w:t>.</w:t>
      </w:r>
      <w:bookmarkEnd w:id="55"/>
    </w:p>
    <w:p w14:paraId="01FE4536" w14:textId="366271F9" w:rsidR="006F64AE" w:rsidRPr="00DC442D" w:rsidRDefault="008D5853" w:rsidP="00F75511">
      <w:bookmarkStart w:id="56" w:name="lt_pId075"/>
      <w:r w:rsidRPr="00DC442D">
        <w:t>Por ejemplo, un patrocinador puede desear mejorar el edificio ofreciendo un suelo de mármol para la entrada, en lugar del recubrimiento de cemento básico. Esto aumentaría el costo del proyecto, pero no el costo para la UIT</w:t>
      </w:r>
      <w:r w:rsidR="00C51C6F" w:rsidRPr="00DC442D">
        <w:t>, que incluso podría reducirse, pues se deduciría el costo del recubrimiento de cemento del total para la UIT</w:t>
      </w:r>
      <w:bookmarkStart w:id="57" w:name="lt_pId076"/>
      <w:bookmarkEnd w:id="56"/>
      <w:r w:rsidR="006F64AE" w:rsidRPr="00DC442D">
        <w:t>.</w:t>
      </w:r>
      <w:bookmarkEnd w:id="57"/>
    </w:p>
    <w:p w14:paraId="12B1E05E" w14:textId="5F5C4F4B" w:rsidR="006F64AE" w:rsidRPr="00DC442D" w:rsidRDefault="00C51C6F" w:rsidP="00F75511">
      <w:bookmarkStart w:id="58" w:name="lt_pId077"/>
      <w:r w:rsidRPr="00DC442D">
        <w:t xml:space="preserve">Por consiguiente, la Secretaría solicitó al GAEM que examinase este asunto y solicitase al Consejo la reconsideración del </w:t>
      </w:r>
      <w:r w:rsidRPr="00DC442D">
        <w:rPr>
          <w:i/>
          <w:iCs/>
        </w:rPr>
        <w:t>acuerda</w:t>
      </w:r>
      <w:r w:rsidR="006F64AE" w:rsidRPr="00DC442D">
        <w:t xml:space="preserve"> 4 </w:t>
      </w:r>
      <w:r w:rsidRPr="00DC442D">
        <w:t>a fin de poder aceptar futuros patrocinios y donaciones incluso si ello implica un aumento de los costes directos y/o indirectos del proyecto, siempre y cuando no se aumente el costo para la UIT</w:t>
      </w:r>
      <w:r w:rsidR="006F64AE" w:rsidRPr="00DC442D">
        <w:t>.</w:t>
      </w:r>
      <w:bookmarkEnd w:id="58"/>
      <w:r w:rsidR="006F64AE" w:rsidRPr="00DC442D">
        <w:t xml:space="preserve"> </w:t>
      </w:r>
    </w:p>
    <w:p w14:paraId="4CF92F05" w14:textId="6D4FAE04" w:rsidR="006F64AE" w:rsidRPr="00DC442D" w:rsidRDefault="00DC442D" w:rsidP="00F75511">
      <w:pPr>
        <w:pStyle w:val="Heading2"/>
      </w:pPr>
      <w:r w:rsidRPr="00DC442D">
        <w:t>3.5</w:t>
      </w:r>
      <w:r w:rsidR="006F64AE" w:rsidRPr="00DC442D">
        <w:tab/>
      </w:r>
      <w:bookmarkStart w:id="59" w:name="lt_pId079"/>
      <w:r w:rsidR="00C51C6F" w:rsidRPr="00DC442D">
        <w:t>Presentación de la segunda solicitud de préstamo</w:t>
      </w:r>
      <w:bookmarkEnd w:id="59"/>
    </w:p>
    <w:p w14:paraId="0E8DBE7E" w14:textId="0D105598" w:rsidR="006F64AE" w:rsidRPr="00DC442D" w:rsidRDefault="00C51C6F" w:rsidP="00F75511">
      <w:bookmarkStart w:id="60" w:name="lt_pId080"/>
      <w:r w:rsidRPr="00DC442D">
        <w:t>La documentación técnica para solicitar la segunda parte del préstamo de</w:t>
      </w:r>
      <w:r w:rsidR="006F64AE" w:rsidRPr="00DC442D">
        <w:t> 150</w:t>
      </w:r>
      <w:r w:rsidRPr="00DC442D">
        <w:t xml:space="preserve"> </w:t>
      </w:r>
      <w:r w:rsidR="006F64AE" w:rsidRPr="00DC442D">
        <w:t>000</w:t>
      </w:r>
      <w:r w:rsidRPr="00DC442D">
        <w:t xml:space="preserve"> </w:t>
      </w:r>
      <w:r w:rsidR="006F64AE" w:rsidRPr="00DC442D">
        <w:t xml:space="preserve">000 </w:t>
      </w:r>
      <w:r w:rsidRPr="00DC442D">
        <w:t>CHF (</w:t>
      </w:r>
      <w:r w:rsidR="006F64AE" w:rsidRPr="00DC442D">
        <w:t>138</w:t>
      </w:r>
      <w:r w:rsidR="00B506BD" w:rsidRPr="00DC442D">
        <w:t> </w:t>
      </w:r>
      <w:r w:rsidR="006F64AE" w:rsidRPr="00DC442D">
        <w:t>000</w:t>
      </w:r>
      <w:r w:rsidR="00B506BD" w:rsidRPr="00DC442D">
        <w:t> </w:t>
      </w:r>
      <w:r w:rsidR="006F64AE" w:rsidRPr="00DC442D">
        <w:t>000</w:t>
      </w:r>
      <w:r w:rsidR="00B506BD" w:rsidRPr="00DC442D">
        <w:t> </w:t>
      </w:r>
      <w:r w:rsidRPr="00DC442D">
        <w:t>CHF</w:t>
      </w:r>
      <w:r w:rsidR="006F64AE" w:rsidRPr="00DC442D">
        <w:t xml:space="preserve">) </w:t>
      </w:r>
      <w:r w:rsidRPr="00DC442D">
        <w:t>se presentó a las autoridades suizas el 9 de diciembre de 2019</w:t>
      </w:r>
      <w:r w:rsidR="006F64AE" w:rsidRPr="00DC442D">
        <w:t>.</w:t>
      </w:r>
      <w:bookmarkEnd w:id="60"/>
      <w:r w:rsidR="006F64AE" w:rsidRPr="00DC442D">
        <w:t xml:space="preserve"> </w:t>
      </w:r>
    </w:p>
    <w:p w14:paraId="6ED19BEC" w14:textId="3758D167" w:rsidR="006F64AE" w:rsidRPr="00DC442D" w:rsidRDefault="00B52BCF" w:rsidP="00F75511">
      <w:bookmarkStart w:id="61" w:name="lt_pId081"/>
      <w:r w:rsidRPr="00DC442D">
        <w:t xml:space="preserve">El 22 de abril el Consejo Federal aprobó un préstamo de 95 600 000 CHF (porción federal de la segunda parte del préstamo), aportando el Cantón de Ginebra los 42 400 000 CHF restantes, para la financiación del proyecto de demolición y reconstrucción de la Sede de la UIT. La siguiente fase consistirá en la transmisión y tramitación del expediente por la cámara parlamentaria durante sus sesiones de otoño e invierno de </w:t>
      </w:r>
      <w:bookmarkStart w:id="62" w:name="lt_pId082"/>
      <w:bookmarkEnd w:id="61"/>
      <w:r w:rsidR="006F64AE" w:rsidRPr="00DC442D">
        <w:t>2020:</w:t>
      </w:r>
      <w:bookmarkEnd w:id="62"/>
      <w:r w:rsidR="006F64AE" w:rsidRPr="00DC442D">
        <w:t xml:space="preserve"> </w:t>
      </w:r>
    </w:p>
    <w:p w14:paraId="7A5796C1" w14:textId="58444220" w:rsidR="006F64AE" w:rsidRPr="00DC442D" w:rsidRDefault="004E4657" w:rsidP="00F75511">
      <w:pPr>
        <w:pStyle w:val="enumlev1"/>
      </w:pPr>
      <w:bookmarkStart w:id="63" w:name="lt_pId083"/>
      <w:r w:rsidRPr="00DC442D">
        <w:t>–</w:t>
      </w:r>
      <w:r w:rsidRPr="00DC442D">
        <w:tab/>
      </w:r>
      <w:r w:rsidR="00B52BCF" w:rsidRPr="00DC442D">
        <w:t>presentación del Mensaje a los comités parlamentarios competentes</w:t>
      </w:r>
      <w:r w:rsidR="006F64AE" w:rsidRPr="00DC442D">
        <w:t>;</w:t>
      </w:r>
      <w:bookmarkEnd w:id="63"/>
    </w:p>
    <w:p w14:paraId="0D3F6B38" w14:textId="595D2CC3" w:rsidR="006F64AE" w:rsidRPr="00DC442D" w:rsidRDefault="004E4657" w:rsidP="00F75511">
      <w:pPr>
        <w:pStyle w:val="enumlev1"/>
        <w:rPr>
          <w:rFonts w:asciiTheme="minorHAnsi" w:hAnsiTheme="minorHAnsi" w:cstheme="minorHAnsi"/>
          <w:color w:val="000000" w:themeColor="text1"/>
        </w:rPr>
      </w:pPr>
      <w:bookmarkStart w:id="64" w:name="lt_pId084"/>
      <w:r w:rsidRPr="00DC442D">
        <w:t>–</w:t>
      </w:r>
      <w:r w:rsidRPr="00DC442D">
        <w:tab/>
      </w:r>
      <w:r w:rsidR="00B52BCF" w:rsidRPr="00DC442D">
        <w:t>aprobación por la primera Cámara en la sesión de otoño en septiembre de</w:t>
      </w:r>
      <w:r w:rsidR="006F64AE" w:rsidRPr="00DC442D">
        <w:rPr>
          <w:rFonts w:asciiTheme="minorHAnsi" w:hAnsiTheme="minorHAnsi" w:cstheme="minorHAnsi"/>
          <w:color w:val="000000" w:themeColor="text1"/>
        </w:rPr>
        <w:t xml:space="preserve"> 2020;</w:t>
      </w:r>
      <w:bookmarkEnd w:id="64"/>
    </w:p>
    <w:p w14:paraId="5500F59F" w14:textId="76B0CA12" w:rsidR="006F64AE" w:rsidRPr="00DC442D" w:rsidRDefault="004E4657" w:rsidP="00F75511">
      <w:pPr>
        <w:pStyle w:val="enumlev1"/>
        <w:rPr>
          <w:rFonts w:asciiTheme="minorHAnsi" w:hAnsiTheme="minorHAnsi" w:cstheme="minorHAnsi"/>
          <w:color w:val="000000" w:themeColor="text1"/>
        </w:rPr>
      </w:pPr>
      <w:bookmarkStart w:id="65" w:name="lt_pId085"/>
      <w:r w:rsidRPr="00DC442D">
        <w:t>–</w:t>
      </w:r>
      <w:r w:rsidRPr="00DC442D">
        <w:tab/>
      </w:r>
      <w:r w:rsidR="00B52BCF" w:rsidRPr="00DC442D">
        <w:t>aprobación por la segunda Cámara en la sesión de invierno en diciembre de</w:t>
      </w:r>
      <w:r w:rsidR="006F64AE" w:rsidRPr="00DC442D">
        <w:rPr>
          <w:rFonts w:asciiTheme="minorHAnsi" w:hAnsiTheme="minorHAnsi" w:cstheme="minorHAnsi"/>
          <w:color w:val="000000" w:themeColor="text1"/>
        </w:rPr>
        <w:t xml:space="preserve"> 2020;</w:t>
      </w:r>
      <w:bookmarkEnd w:id="65"/>
    </w:p>
    <w:p w14:paraId="20DBAA08" w14:textId="36C107FE" w:rsidR="006F64AE" w:rsidRPr="00DC442D" w:rsidRDefault="00B52BCF" w:rsidP="00F75511">
      <w:bookmarkStart w:id="66" w:name="lt_pId086"/>
      <w:r w:rsidRPr="00DC442D">
        <w:t>Se prevé que los fondos puedan estar disponibles a principios de 2021. Mientras tanto, la primera parte del préstamo del País Anfitrión permanecerá disponible hasta junio de</w:t>
      </w:r>
      <w:bookmarkStart w:id="67" w:name="lt_pId087"/>
      <w:bookmarkEnd w:id="66"/>
      <w:r w:rsidR="006F64AE" w:rsidRPr="00DC442D">
        <w:t xml:space="preserve"> 2021.</w:t>
      </w:r>
      <w:bookmarkEnd w:id="67"/>
      <w:r w:rsidR="006F64AE" w:rsidRPr="00DC442D">
        <w:t xml:space="preserve"> </w:t>
      </w:r>
    </w:p>
    <w:p w14:paraId="2616C382" w14:textId="4D01ED59" w:rsidR="006F64AE" w:rsidRPr="00DC442D" w:rsidRDefault="00DC442D" w:rsidP="00F75511">
      <w:pPr>
        <w:pStyle w:val="Heading2"/>
      </w:pPr>
      <w:r w:rsidRPr="00DC442D">
        <w:t>3.6</w:t>
      </w:r>
      <w:r w:rsidR="006F64AE" w:rsidRPr="00DC442D">
        <w:tab/>
      </w:r>
      <w:bookmarkStart w:id="68" w:name="lt_pId089"/>
      <w:r w:rsidR="006F64AE" w:rsidRPr="00DC442D">
        <w:t>R</w:t>
      </w:r>
      <w:r w:rsidR="00B52BCF" w:rsidRPr="00DC442D">
        <w:t>egistro de riesgo</w:t>
      </w:r>
      <w:bookmarkEnd w:id="68"/>
    </w:p>
    <w:p w14:paraId="52571A75" w14:textId="34509645" w:rsidR="006F64AE" w:rsidRPr="00DC442D" w:rsidRDefault="00F269FF" w:rsidP="00F75511">
      <w:bookmarkStart w:id="69" w:name="lt_pId090"/>
      <w:r w:rsidRPr="00DC442D">
        <w:t>Se preparó un registro de riesgos global para la reunión adicional del Consejo celebrada en septiembre de</w:t>
      </w:r>
      <w:r w:rsidR="006F64AE" w:rsidRPr="00DC442D">
        <w:t xml:space="preserve"> 2019.</w:t>
      </w:r>
      <w:bookmarkEnd w:id="69"/>
      <w:r w:rsidR="006F64AE" w:rsidRPr="00DC442D">
        <w:t xml:space="preserve"> </w:t>
      </w:r>
      <w:bookmarkStart w:id="70" w:name="lt_pId091"/>
      <w:r w:rsidRPr="00DC442D">
        <w:t>Este registro forma parte de la estrategia de gestión de riesgos general vinculada a las actividades de diseño y construcción y que evalúa periódicamente el programa para identificar las posibles consecuencias de su ejecución futura</w:t>
      </w:r>
      <w:r w:rsidR="006F64AE" w:rsidRPr="00DC442D">
        <w:t>.</w:t>
      </w:r>
      <w:bookmarkEnd w:id="70"/>
    </w:p>
    <w:p w14:paraId="729ED83D" w14:textId="34BBB7BA" w:rsidR="006F64AE" w:rsidRPr="00DC442D" w:rsidRDefault="00F269FF" w:rsidP="00F75511">
      <w:bookmarkStart w:id="71" w:name="lt_pId092"/>
      <w:r w:rsidRPr="00DC442D">
        <w:t>Se celebran frecuentemente talleres sobre riesgos para identificar/actualizar los riesgos y sus posibles consecuencias, así como las estrategias para reducirlos. Los resultados de esos talleres se utilizan para formular recomendaciones sobre la atribución efectiva de los fondos de contingencia</w:t>
      </w:r>
      <w:bookmarkStart w:id="72" w:name="lt_pId093"/>
      <w:bookmarkEnd w:id="71"/>
      <w:r w:rsidR="006F64AE" w:rsidRPr="00DC442D">
        <w:t>.</w:t>
      </w:r>
      <w:bookmarkEnd w:id="72"/>
      <w:r w:rsidR="006F64AE" w:rsidRPr="00DC442D">
        <w:t xml:space="preserve"> </w:t>
      </w:r>
    </w:p>
    <w:p w14:paraId="52DA7EEA" w14:textId="7BC8D4D3" w:rsidR="006F64AE" w:rsidRPr="00DC442D" w:rsidRDefault="00F269FF" w:rsidP="00F75511">
      <w:bookmarkStart w:id="73" w:name="lt_pId094"/>
      <w:r w:rsidRPr="00DC442D">
        <w:t>Este enfoque es conforme con la Norma Internacional</w:t>
      </w:r>
      <w:r w:rsidR="006F64AE" w:rsidRPr="00DC442D">
        <w:t xml:space="preserve"> ISO 31000:2009, </w:t>
      </w:r>
      <w:r w:rsidR="006F64AE" w:rsidRPr="00DC442D">
        <w:rPr>
          <w:i/>
          <w:iCs/>
        </w:rPr>
        <w:t>Risk management – Principles and Guidelines</w:t>
      </w:r>
      <w:r w:rsidR="006F64AE" w:rsidRPr="00DC442D">
        <w:t>.</w:t>
      </w:r>
      <w:bookmarkEnd w:id="73"/>
    </w:p>
    <w:p w14:paraId="2343C06F" w14:textId="2F6AE4E4" w:rsidR="006F64AE" w:rsidRPr="00DC442D" w:rsidRDefault="00F269FF" w:rsidP="00F75511">
      <w:bookmarkStart w:id="74" w:name="lt_pId095"/>
      <w:r w:rsidRPr="00DC442D">
        <w:t xml:space="preserve">Los fondos de contingencia representan aproximadamente el </w:t>
      </w:r>
      <w:r w:rsidR="006F64AE" w:rsidRPr="00DC442D">
        <w:t>8% (12</w:t>
      </w:r>
      <w:r w:rsidRPr="00DC442D">
        <w:t>,</w:t>
      </w:r>
      <w:r w:rsidR="006F64AE" w:rsidRPr="00DC442D">
        <w:t xml:space="preserve">6 </w:t>
      </w:r>
      <w:r w:rsidRPr="00DC442D">
        <w:t xml:space="preserve">millones </w:t>
      </w:r>
      <w:r w:rsidR="006F64AE" w:rsidRPr="00DC442D">
        <w:t xml:space="preserve">CHF) </w:t>
      </w:r>
      <w:r w:rsidRPr="00DC442D">
        <w:t>del presupuesto de los CGC</w:t>
      </w:r>
      <w:r w:rsidR="006F64AE" w:rsidRPr="00DC442D">
        <w:t xml:space="preserve"> 1 </w:t>
      </w:r>
      <w:r w:rsidRPr="00DC442D">
        <w:t>a</w:t>
      </w:r>
      <w:r w:rsidR="006F64AE" w:rsidRPr="00DC442D">
        <w:t xml:space="preserve"> 9 </w:t>
      </w:r>
      <w:r w:rsidRPr="00DC442D">
        <w:t xml:space="preserve">y cubrirán los servicios no prestados y/o los gastos imprevistos debidos a emergencias u obras imprevistas durante los periodos de demolición y construcción. </w:t>
      </w:r>
      <w:r w:rsidR="00C54241" w:rsidRPr="00DC442D">
        <w:t xml:space="preserve">Para justificar la necesidad de efectuar intervenciones adicionales, </w:t>
      </w:r>
      <w:r w:rsidR="00B506BD" w:rsidRPr="00DC442D">
        <w:t>Hill</w:t>
      </w:r>
      <w:r w:rsidR="00C54241" w:rsidRPr="00DC442D">
        <w:t xml:space="preserve"> International preparará un análisis operativo y financiero de los servicios imprevistos, en cuyo informe se justificarán la pertinencia y validez de las obras</w:t>
      </w:r>
      <w:bookmarkStart w:id="75" w:name="lt_pId096"/>
      <w:bookmarkEnd w:id="74"/>
      <w:r w:rsidR="006F64AE" w:rsidRPr="00DC442D">
        <w:t>.</w:t>
      </w:r>
      <w:bookmarkEnd w:id="75"/>
    </w:p>
    <w:p w14:paraId="793A2B9A" w14:textId="78A7389A" w:rsidR="006F64AE" w:rsidRPr="00DC442D" w:rsidRDefault="00C54241" w:rsidP="00F75511">
      <w:bookmarkStart w:id="76" w:name="lt_pId097"/>
      <w:r w:rsidRPr="00DC442D">
        <w:lastRenderedPageBreak/>
        <w:t>Para gestionar efectivamente los riesgos se siguen los principios definidos (véase el</w:t>
      </w:r>
      <w:r w:rsidR="006F64AE" w:rsidRPr="00DC442D">
        <w:t xml:space="preserve"> </w:t>
      </w:r>
      <w:hyperlink w:anchor="AnnexA" w:history="1">
        <w:r w:rsidR="006F64AE" w:rsidRPr="00DC442D">
          <w:rPr>
            <w:rStyle w:val="Hyperlink"/>
            <w:rFonts w:asciiTheme="minorHAnsi" w:hAnsiTheme="minorHAnsi" w:cstheme="minorHAnsi"/>
          </w:rPr>
          <w:t>Anex</w:t>
        </w:r>
        <w:r w:rsidRPr="00DC442D">
          <w:rPr>
            <w:rStyle w:val="Hyperlink"/>
            <w:rFonts w:asciiTheme="minorHAnsi" w:hAnsiTheme="minorHAnsi" w:cstheme="minorHAnsi"/>
          </w:rPr>
          <w:t>o</w:t>
        </w:r>
        <w:r w:rsidR="006F64AE" w:rsidRPr="00DC442D">
          <w:rPr>
            <w:rStyle w:val="Hyperlink"/>
            <w:rFonts w:asciiTheme="minorHAnsi" w:hAnsiTheme="minorHAnsi" w:cstheme="minorHAnsi"/>
          </w:rPr>
          <w:t xml:space="preserve"> A</w:t>
        </w:r>
      </w:hyperlink>
      <w:r w:rsidR="006F64AE" w:rsidRPr="00DC442D">
        <w:t>).</w:t>
      </w:r>
      <w:bookmarkEnd w:id="76"/>
      <w:r w:rsidR="006F64AE" w:rsidRPr="00DC442D">
        <w:t xml:space="preserve"> </w:t>
      </w:r>
      <w:r w:rsidRPr="00DC442D">
        <w:t>Se ha creado, aplicado y supervisado un marco cuyo objetivo es integrar el proceso de gestión de riesgos en la gobernanza, la estrategia y la planificación globales de la organización</w:t>
      </w:r>
      <w:bookmarkStart w:id="77" w:name="lt_pId098"/>
      <w:r w:rsidR="006F64AE" w:rsidRPr="00DC442D">
        <w:t>.</w:t>
      </w:r>
      <w:bookmarkEnd w:id="77"/>
      <w:r w:rsidR="006F64AE" w:rsidRPr="00DC442D">
        <w:t xml:space="preserve"> </w:t>
      </w:r>
    </w:p>
    <w:p w14:paraId="47A7A583" w14:textId="449DBC75" w:rsidR="006F64AE" w:rsidRPr="00DC442D" w:rsidRDefault="00C54241" w:rsidP="00F75511">
      <w:bookmarkStart w:id="78" w:name="lt_pId099"/>
      <w:r w:rsidRPr="00DC442D">
        <w:t>El objetivo es garantizar su integración en los procesos y políticas de gestión y rendición de informes de la organización</w:t>
      </w:r>
      <w:bookmarkEnd w:id="78"/>
      <w:r w:rsidRPr="00DC442D">
        <w:t>.</w:t>
      </w:r>
    </w:p>
    <w:p w14:paraId="05856218" w14:textId="3E665532" w:rsidR="006F64AE" w:rsidRPr="00DC442D" w:rsidRDefault="00C54241" w:rsidP="00F75511">
      <w:bookmarkStart w:id="79" w:name="lt_pId100"/>
      <w:r w:rsidRPr="00DC442D">
        <w:t>El GAEM ha señalado que, con la actual atribución de apenas</w:t>
      </w:r>
      <w:r w:rsidR="006F64AE" w:rsidRPr="00DC442D">
        <w:t xml:space="preserve"> 500</w:t>
      </w:r>
      <w:r w:rsidRPr="00DC442D">
        <w:t xml:space="preserve"> </w:t>
      </w:r>
      <w:r w:rsidR="006F64AE" w:rsidRPr="00DC442D">
        <w:t>000</w:t>
      </w:r>
      <w:r w:rsidRPr="00DC442D">
        <w:t xml:space="preserve"> CHF, el fondo no alcanzará los necesarios 12,6 millones</w:t>
      </w:r>
      <w:r w:rsidR="006F64AE" w:rsidRPr="00DC442D">
        <w:t xml:space="preserve"> CHF </w:t>
      </w:r>
      <w:r w:rsidRPr="00DC442D">
        <w:t xml:space="preserve">dentro de un plazo aceptable. El GAEM ha estimado una atribución anual media de 1,8 millones </w:t>
      </w:r>
      <w:bookmarkStart w:id="80" w:name="lt_pId101"/>
      <w:bookmarkEnd w:id="79"/>
      <w:r w:rsidR="006F64AE" w:rsidRPr="00DC442D">
        <w:t xml:space="preserve">CHF </w:t>
      </w:r>
      <w:r w:rsidRPr="00DC442D">
        <w:t>durante los 7 años que durará el proyecto. Por consiguiente, la Secretaría propuso al GAEM que las contribuciones al Fondo</w:t>
      </w:r>
      <w:bookmarkStart w:id="81" w:name="lt_pId102"/>
      <w:bookmarkEnd w:id="80"/>
      <w:r w:rsidR="006F64AE" w:rsidRPr="00DC442D">
        <w:t xml:space="preserve"> ASHI </w:t>
      </w:r>
      <w:r w:rsidRPr="00DC442D">
        <w:t>se dirijan al Fondo del registro de riesgos y que los fondos que queden en esta cuenta una vez finalizada la construcción se transfieran al Fondo</w:t>
      </w:r>
      <w:r w:rsidR="006F64AE" w:rsidRPr="00DC442D">
        <w:t xml:space="preserve"> ASHI </w:t>
      </w:r>
      <w:r w:rsidRPr="00DC442D">
        <w:t>en lugar de a la Cuenta de Provisión. Para ello sería necesario modificar el Acuerdo</w:t>
      </w:r>
      <w:bookmarkStart w:id="82" w:name="lt_pId103"/>
      <w:bookmarkEnd w:id="81"/>
      <w:r w:rsidR="006F64AE" w:rsidRPr="00DC442D">
        <w:t xml:space="preserve"> 619.</w:t>
      </w:r>
      <w:bookmarkEnd w:id="82"/>
      <w:r w:rsidR="004E05B8">
        <w:t xml:space="preserve"> </w:t>
      </w:r>
    </w:p>
    <w:p w14:paraId="6910DB7A" w14:textId="42EAB6F2" w:rsidR="006F64AE" w:rsidRPr="00DC442D" w:rsidRDefault="006F64AE" w:rsidP="00F75511">
      <w:bookmarkStart w:id="83" w:name="lt_pId104"/>
      <w:r w:rsidRPr="00DC442D">
        <w:t xml:space="preserve">A 31 </w:t>
      </w:r>
      <w:r w:rsidR="00C54241" w:rsidRPr="00DC442D">
        <w:t>de diciembre de</w:t>
      </w:r>
      <w:r w:rsidRPr="00DC442D">
        <w:t xml:space="preserve"> 2019</w:t>
      </w:r>
      <w:r w:rsidR="00C54241" w:rsidRPr="00DC442D">
        <w:t xml:space="preserve"> el Fondo del registro de riesgos arrojaba un saldo de </w:t>
      </w:r>
      <w:r w:rsidRPr="00DC442D">
        <w:t>1</w:t>
      </w:r>
      <w:r w:rsidR="00C54241" w:rsidRPr="00DC442D">
        <w:t xml:space="preserve"> </w:t>
      </w:r>
      <w:r w:rsidRPr="00DC442D">
        <w:t>425</w:t>
      </w:r>
      <w:r w:rsidR="00C54241" w:rsidRPr="00DC442D">
        <w:t xml:space="preserve"> </w:t>
      </w:r>
      <w:r w:rsidRPr="00DC442D">
        <w:t>000</w:t>
      </w:r>
      <w:r w:rsidR="00C54241" w:rsidRPr="00DC442D">
        <w:t xml:space="preserve"> CHF</w:t>
      </w:r>
      <w:r w:rsidRPr="00DC442D">
        <w:t>.</w:t>
      </w:r>
      <w:bookmarkEnd w:id="83"/>
      <w:r w:rsidRPr="00DC442D">
        <w:t xml:space="preserve"> </w:t>
      </w:r>
    </w:p>
    <w:p w14:paraId="46C0D054" w14:textId="0A364B44" w:rsidR="006F64AE" w:rsidRPr="00DC442D" w:rsidRDefault="00C54241" w:rsidP="00F75511">
      <w:bookmarkStart w:id="84" w:name="lt_pId105"/>
      <w:r w:rsidRPr="00DC442D">
        <w:t>El Registro de riesgos actualizado puede consultarse</w:t>
      </w:r>
      <w:r w:rsidR="006F64AE" w:rsidRPr="00DC442D">
        <w:t xml:space="preserve"> </w:t>
      </w:r>
      <w:hyperlink r:id="rId25" w:history="1">
        <w:r w:rsidRPr="00DC442D">
          <w:rPr>
            <w:rStyle w:val="Hyperlink"/>
          </w:rPr>
          <w:t>aquí</w:t>
        </w:r>
      </w:hyperlink>
      <w:r w:rsidR="006F64AE" w:rsidRPr="00DC442D">
        <w:t>.</w:t>
      </w:r>
      <w:bookmarkEnd w:id="84"/>
    </w:p>
    <w:p w14:paraId="6E050DC4" w14:textId="44256533" w:rsidR="006F64AE" w:rsidRPr="00DC442D" w:rsidRDefault="00DC442D" w:rsidP="00F75511">
      <w:pPr>
        <w:pStyle w:val="Heading2"/>
      </w:pPr>
      <w:r w:rsidRPr="00DC442D">
        <w:t>3.7</w:t>
      </w:r>
      <w:r w:rsidR="006F64AE" w:rsidRPr="00DC442D">
        <w:tab/>
      </w:r>
      <w:bookmarkStart w:id="85" w:name="lt_pId107"/>
      <w:r w:rsidR="00BF3E8A" w:rsidRPr="00DC442D">
        <w:t>Programa</w:t>
      </w:r>
      <w:r w:rsidR="00C54241" w:rsidRPr="00DC442D">
        <w:t xml:space="preserve"> de gastos o rastreador de costos</w:t>
      </w:r>
      <w:bookmarkEnd w:id="85"/>
    </w:p>
    <w:p w14:paraId="52EDFD95" w14:textId="48939F0C" w:rsidR="006F64AE" w:rsidRPr="00DC442D" w:rsidRDefault="00C54241" w:rsidP="00F75511">
      <w:bookmarkStart w:id="86" w:name="lt_pId108"/>
      <w:r w:rsidRPr="00DC442D">
        <w:t xml:space="preserve">Desde el inicio del proyecto se rastrean y actualizan los avances en las tareas, es decir, </w:t>
      </w:r>
      <w:r w:rsidR="00BF3E8A" w:rsidRPr="00DC442D">
        <w:t>la cantidad de trabajo realizado en cada tarea o el porcentaje de tareas finalizadas</w:t>
      </w:r>
      <w:r w:rsidR="006F64AE" w:rsidRPr="00DC442D">
        <w:t>.</w:t>
      </w:r>
      <w:bookmarkEnd w:id="86"/>
    </w:p>
    <w:p w14:paraId="0F260DD4" w14:textId="1DC3545C" w:rsidR="006F64AE" w:rsidRPr="00DC442D" w:rsidRDefault="00BF3E8A" w:rsidP="00F75511">
      <w:bookmarkStart w:id="87" w:name="lt_pId109"/>
      <w:r w:rsidRPr="00DC442D">
        <w:t xml:space="preserve">Se ha creado un rastreador de costos combinando los costos reales de las tareas realizadas con los costos estimados de las tareas pendientes (costos programados y proyectados). Sobre </w:t>
      </w:r>
      <w:proofErr w:type="gramStart"/>
      <w:r w:rsidRPr="00DC442D">
        <w:t>todo</w:t>
      </w:r>
      <w:proofErr w:type="gramEnd"/>
      <w:r w:rsidRPr="00DC442D">
        <w:t xml:space="preserve"> calcula la diferencia entre los costos programados y los básicos. Esta diferencia, la varianza de costos, determina si el proyecto se ajusta al presupuesto</w:t>
      </w:r>
      <w:bookmarkStart w:id="88" w:name="lt_pId111"/>
      <w:bookmarkEnd w:id="87"/>
      <w:r w:rsidR="006F64AE" w:rsidRPr="00DC442D">
        <w:t>.</w:t>
      </w:r>
      <w:bookmarkEnd w:id="88"/>
    </w:p>
    <w:p w14:paraId="41ED498B" w14:textId="4B336D8E" w:rsidR="006F64AE" w:rsidRPr="00DC442D" w:rsidRDefault="00BF3E8A" w:rsidP="00F75511">
      <w:bookmarkStart w:id="89" w:name="lt_pId112"/>
      <w:r w:rsidRPr="00DC442D">
        <w:t>El programa de gastos puede consultarse</w:t>
      </w:r>
      <w:r w:rsidR="006F64AE" w:rsidRPr="00DC442D">
        <w:t xml:space="preserve"> </w:t>
      </w:r>
      <w:hyperlink r:id="rId26" w:history="1">
        <w:r w:rsidRPr="00DC442D">
          <w:rPr>
            <w:rStyle w:val="Hyperlink"/>
          </w:rPr>
          <w:t>aquí</w:t>
        </w:r>
      </w:hyperlink>
      <w:r w:rsidR="006F64AE" w:rsidRPr="00DC442D">
        <w:t>.</w:t>
      </w:r>
      <w:bookmarkEnd w:id="89"/>
    </w:p>
    <w:p w14:paraId="472B36EE" w14:textId="68FE971E" w:rsidR="006F64AE" w:rsidRPr="00DC442D" w:rsidRDefault="00DC442D" w:rsidP="00F75511">
      <w:pPr>
        <w:pStyle w:val="Heading2"/>
      </w:pPr>
      <w:r w:rsidRPr="00DC442D">
        <w:t>3.8</w:t>
      </w:r>
      <w:r w:rsidR="006F64AE" w:rsidRPr="00DC442D">
        <w:tab/>
      </w:r>
      <w:bookmarkStart w:id="90" w:name="lt_pId114"/>
      <w:r w:rsidR="00BF3E8A" w:rsidRPr="00DC442D">
        <w:t>Calendario preliminar del proyecto</w:t>
      </w:r>
      <w:bookmarkEnd w:id="90"/>
    </w:p>
    <w:p w14:paraId="5FE735B4" w14:textId="6E249E08" w:rsidR="006F64AE" w:rsidRPr="00DC442D" w:rsidRDefault="006F64AE" w:rsidP="00F75511">
      <w:bookmarkStart w:id="91" w:name="lt_pId115"/>
      <w:r w:rsidRPr="00DC442D">
        <w:t xml:space="preserve">Hill International, </w:t>
      </w:r>
      <w:r w:rsidR="00BF3E8A" w:rsidRPr="00DC442D">
        <w:t>con la participación del consorcio de diseño</w:t>
      </w:r>
      <w:r w:rsidRPr="00DC442D">
        <w:t xml:space="preserve"> CDTK </w:t>
      </w:r>
      <w:r w:rsidR="00BF3E8A" w:rsidRPr="00DC442D">
        <w:t>y en coordinación con la División del Proyecto de Sede, se ocupa del seguimiento, el examen y la actualización del calendario de diseño y construcción</w:t>
      </w:r>
      <w:r w:rsidRPr="00DC442D">
        <w:t>.</w:t>
      </w:r>
      <w:bookmarkEnd w:id="91"/>
      <w:r w:rsidRPr="00DC442D">
        <w:t xml:space="preserve"> </w:t>
      </w:r>
    </w:p>
    <w:p w14:paraId="44043426" w14:textId="7DC91869" w:rsidR="006F64AE" w:rsidRPr="00DC442D" w:rsidRDefault="00BF3E8A" w:rsidP="00F75511">
      <w:bookmarkStart w:id="92" w:name="lt_pId116"/>
      <w:r w:rsidRPr="00DC442D">
        <w:t>El calendario preliminar del proyecto puede consultarse</w:t>
      </w:r>
      <w:r w:rsidR="006F64AE" w:rsidRPr="00DC442D">
        <w:t xml:space="preserve"> </w:t>
      </w:r>
      <w:hyperlink r:id="rId27" w:history="1">
        <w:r w:rsidRPr="00DC442D">
          <w:rPr>
            <w:rStyle w:val="Hyperlink"/>
          </w:rPr>
          <w:t>aquí</w:t>
        </w:r>
      </w:hyperlink>
      <w:r w:rsidR="006F64AE" w:rsidRPr="00DC442D">
        <w:t>.</w:t>
      </w:r>
      <w:bookmarkEnd w:id="92"/>
    </w:p>
    <w:p w14:paraId="70517603" w14:textId="2FDA1DA0" w:rsidR="006F64AE" w:rsidRPr="00DC442D" w:rsidRDefault="00DC442D" w:rsidP="00F75511">
      <w:pPr>
        <w:pStyle w:val="Heading2"/>
      </w:pPr>
      <w:r w:rsidRPr="00DC442D">
        <w:t>3.9</w:t>
      </w:r>
      <w:r w:rsidR="006F64AE" w:rsidRPr="00DC442D">
        <w:tab/>
      </w:r>
      <w:bookmarkStart w:id="93" w:name="lt_pId118"/>
      <w:r w:rsidR="004D7071" w:rsidRPr="00DC442D">
        <w:t>C</w:t>
      </w:r>
      <w:r w:rsidR="00D42628" w:rsidRPr="00DC442D">
        <w:t>onsecuencias financieras de la conservación de la sala Popov en el valor de la Torre</w:t>
      </w:r>
      <w:bookmarkEnd w:id="93"/>
    </w:p>
    <w:p w14:paraId="002933A0" w14:textId="305D3ABA" w:rsidR="006F64AE" w:rsidRPr="00DC442D" w:rsidRDefault="00D42628" w:rsidP="00F75511">
      <w:bookmarkStart w:id="94" w:name="lt_pId119"/>
      <w:r w:rsidRPr="00DC442D">
        <w:t>En el marco de una</w:t>
      </w:r>
      <w:r w:rsidR="006F64AE" w:rsidRPr="00DC442D">
        <w:t xml:space="preserve"> RFP</w:t>
      </w:r>
      <w:r w:rsidRPr="00DC442D">
        <w:t xml:space="preserve"> se cerró un contrato con</w:t>
      </w:r>
      <w:r w:rsidR="006F64AE" w:rsidRPr="00DC442D">
        <w:t xml:space="preserve"> SPG Intercity</w:t>
      </w:r>
      <w:r w:rsidRPr="00DC442D">
        <w:t>, experto inmobiliario, para la realización de un análisis financiero/económico de la conservación de la sala tras la venta de la Torre</w:t>
      </w:r>
      <w:r w:rsidR="006F64AE" w:rsidRPr="00DC442D">
        <w:t>.</w:t>
      </w:r>
      <w:bookmarkEnd w:id="94"/>
      <w:r w:rsidR="006F64AE" w:rsidRPr="00DC442D">
        <w:t xml:space="preserve"> </w:t>
      </w:r>
    </w:p>
    <w:p w14:paraId="47AE2F35" w14:textId="65E289E8" w:rsidR="006F64AE" w:rsidRPr="00DC442D" w:rsidRDefault="00D42628" w:rsidP="00F75511">
      <w:bookmarkStart w:id="95" w:name="lt_pId120"/>
      <w:r w:rsidRPr="00DC442D">
        <w:t>El resultado del estudio demuestra que las consecuencias financieras en el valor son relativamente limitadas en el contexto del valor total del edificio</w:t>
      </w:r>
      <w:r w:rsidR="006F64AE" w:rsidRPr="00DC442D">
        <w:t>.</w:t>
      </w:r>
      <w:bookmarkEnd w:id="95"/>
    </w:p>
    <w:p w14:paraId="3ED17B53" w14:textId="6B9FF178" w:rsidR="004D7071" w:rsidRPr="00DC442D" w:rsidRDefault="004D7071">
      <w:pPr>
        <w:tabs>
          <w:tab w:val="clear" w:pos="567"/>
          <w:tab w:val="clear" w:pos="1134"/>
          <w:tab w:val="clear" w:pos="1701"/>
          <w:tab w:val="clear" w:pos="2268"/>
          <w:tab w:val="clear" w:pos="2835"/>
        </w:tabs>
        <w:overflowPunct/>
        <w:autoSpaceDE/>
        <w:autoSpaceDN/>
        <w:adjustRightInd/>
        <w:spacing w:before="0"/>
        <w:textAlignment w:val="auto"/>
      </w:pPr>
      <w:r w:rsidRPr="00DC442D">
        <w:br w:type="page"/>
      </w:r>
    </w:p>
    <w:tbl>
      <w:tblPr>
        <w:tblStyle w:val="TableGrid"/>
        <w:tblW w:w="9265"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36"/>
        <w:gridCol w:w="2994"/>
        <w:gridCol w:w="3235"/>
      </w:tblGrid>
      <w:tr w:rsidR="006F64AE" w:rsidRPr="00DC442D" w14:paraId="648A1D40" w14:textId="77777777" w:rsidTr="00B52BCF">
        <w:trPr>
          <w:cantSplit/>
          <w:jc w:val="center"/>
        </w:trPr>
        <w:tc>
          <w:tcPr>
            <w:tcW w:w="3036" w:type="dxa"/>
            <w:tcBorders>
              <w:top w:val="nil"/>
              <w:bottom w:val="single" w:sz="4" w:space="0" w:color="auto"/>
              <w:right w:val="nil"/>
            </w:tcBorders>
            <w:vAlign w:val="center"/>
          </w:tcPr>
          <w:p w14:paraId="7789D20B" w14:textId="77777777" w:rsidR="006F64AE" w:rsidRPr="00DC442D" w:rsidRDefault="006F64AE" w:rsidP="00F75511">
            <w:pPr>
              <w:spacing w:before="0"/>
              <w:jc w:val="center"/>
              <w:rPr>
                <w:rStyle w:val="normaltextrun"/>
                <w:b/>
                <w:bCs/>
                <w:color w:val="000000"/>
                <w:shd w:val="clear" w:color="auto" w:fill="FFFFFF"/>
              </w:rPr>
            </w:pPr>
          </w:p>
        </w:tc>
        <w:tc>
          <w:tcPr>
            <w:tcW w:w="6229" w:type="dxa"/>
            <w:gridSpan w:val="2"/>
            <w:tcBorders>
              <w:top w:val="nil"/>
              <w:left w:val="nil"/>
              <w:bottom w:val="single" w:sz="4" w:space="0" w:color="auto"/>
            </w:tcBorders>
            <w:vAlign w:val="center"/>
          </w:tcPr>
          <w:p w14:paraId="7D4BEB2D" w14:textId="16A67D27" w:rsidR="006F64AE" w:rsidRPr="00DC442D" w:rsidRDefault="006F64AE" w:rsidP="00F75511">
            <w:pPr>
              <w:pStyle w:val="Tablehead"/>
              <w:rPr>
                <w:rStyle w:val="normaltextrun"/>
                <w:b w:val="0"/>
                <w:bCs/>
                <w:color w:val="000000"/>
                <w:shd w:val="clear" w:color="auto" w:fill="FFFFFF"/>
              </w:rPr>
            </w:pPr>
            <w:bookmarkStart w:id="96" w:name="lt_pId121"/>
            <w:r w:rsidRPr="00DC442D">
              <w:rPr>
                <w:rStyle w:val="normaltextrun"/>
                <w:bCs/>
                <w:color w:val="000000"/>
                <w:shd w:val="clear" w:color="auto" w:fill="FFFFFF"/>
              </w:rPr>
              <w:t>To</w:t>
            </w:r>
            <w:r w:rsidR="00D42628" w:rsidRPr="00DC442D">
              <w:rPr>
                <w:rStyle w:val="normaltextrun"/>
                <w:bCs/>
                <w:color w:val="000000"/>
                <w:shd w:val="clear" w:color="auto" w:fill="FFFFFF"/>
              </w:rPr>
              <w:t>rre v</w:t>
            </w:r>
            <w:r w:rsidR="00DE610B" w:rsidRPr="00DC442D">
              <w:rPr>
                <w:rStyle w:val="normaltextrun"/>
                <w:bCs/>
                <w:color w:val="000000"/>
                <w:shd w:val="clear" w:color="auto" w:fill="FFFFFF"/>
              </w:rPr>
              <w:t>acía</w:t>
            </w:r>
            <w:r w:rsidR="00D42628" w:rsidRPr="00DC442D">
              <w:rPr>
                <w:rStyle w:val="normaltextrun"/>
                <w:bCs/>
                <w:color w:val="000000"/>
                <w:shd w:val="clear" w:color="auto" w:fill="FFFFFF"/>
              </w:rPr>
              <w:t xml:space="preserve"> al</w:t>
            </w:r>
            <w:r w:rsidR="004D7071" w:rsidRPr="00DC442D">
              <w:rPr>
                <w:rStyle w:val="normaltextrun"/>
                <w:bCs/>
                <w:color w:val="000000"/>
                <w:shd w:val="clear" w:color="auto" w:fill="FFFFFF"/>
              </w:rPr>
              <w:t xml:space="preserve"> 100% –</w:t>
            </w:r>
            <w:r w:rsidRPr="00DC442D">
              <w:rPr>
                <w:rStyle w:val="normaltextrun"/>
                <w:bCs/>
                <w:color w:val="000000"/>
                <w:shd w:val="clear" w:color="auto" w:fill="FFFFFF"/>
              </w:rPr>
              <w:t xml:space="preserve"> </w:t>
            </w:r>
            <w:r w:rsidR="00D42628" w:rsidRPr="00DC442D">
              <w:rPr>
                <w:rStyle w:val="normaltextrun"/>
                <w:bCs/>
                <w:color w:val="000000"/>
                <w:shd w:val="clear" w:color="auto" w:fill="FFFFFF"/>
              </w:rPr>
              <w:t>Venta prevista en</w:t>
            </w:r>
            <w:r w:rsidRPr="00DC442D">
              <w:rPr>
                <w:rStyle w:val="normaltextrun"/>
                <w:bCs/>
                <w:color w:val="000000"/>
                <w:shd w:val="clear" w:color="auto" w:fill="FFFFFF"/>
              </w:rPr>
              <w:t xml:space="preserve"> 2027</w:t>
            </w:r>
            <w:bookmarkEnd w:id="96"/>
          </w:p>
        </w:tc>
      </w:tr>
      <w:tr w:rsidR="006F64AE" w:rsidRPr="00DC442D" w14:paraId="26CAA849" w14:textId="77777777" w:rsidTr="00B52BCF">
        <w:trPr>
          <w:jc w:val="center"/>
        </w:trPr>
        <w:tc>
          <w:tcPr>
            <w:tcW w:w="3036" w:type="dxa"/>
            <w:vMerge w:val="restart"/>
            <w:tcBorders>
              <w:top w:val="single" w:sz="4" w:space="0" w:color="auto"/>
              <w:right w:val="nil"/>
            </w:tcBorders>
            <w:vAlign w:val="center"/>
          </w:tcPr>
          <w:p w14:paraId="2190FC7D" w14:textId="7F27DF3D" w:rsidR="006F64AE" w:rsidRPr="00DC442D" w:rsidRDefault="00D42628" w:rsidP="00F75511">
            <w:pPr>
              <w:pStyle w:val="Tabletext"/>
              <w:rPr>
                <w:rStyle w:val="normaltextrun"/>
                <w:rFonts w:cstheme="minorHAnsi"/>
                <w:b/>
                <w:bCs/>
                <w:color w:val="000000"/>
                <w:shd w:val="clear" w:color="auto" w:fill="FFFFFF"/>
              </w:rPr>
            </w:pPr>
            <w:bookmarkStart w:id="97" w:name="lt_pId122"/>
            <w:r w:rsidRPr="00DC442D">
              <w:rPr>
                <w:rStyle w:val="normaltextrun"/>
                <w:rFonts w:cstheme="minorHAnsi"/>
                <w:b/>
                <w:bCs/>
                <w:color w:val="000000"/>
                <w:shd w:val="clear" w:color="auto" w:fill="FFFFFF"/>
              </w:rPr>
              <w:t>Valor de mercado</w:t>
            </w:r>
            <w:bookmarkEnd w:id="97"/>
            <w:r w:rsidR="004E4657" w:rsidRPr="00DC442D">
              <w:rPr>
                <w:rStyle w:val="FootnoteReference"/>
                <w:rFonts w:cstheme="minorHAnsi"/>
                <w:b/>
                <w:bCs/>
                <w:color w:val="000000"/>
                <w:shd w:val="clear" w:color="auto" w:fill="FFFFFF"/>
              </w:rPr>
              <w:footnoteReference w:id="2"/>
            </w:r>
            <w:r w:rsidR="006F64AE" w:rsidRPr="00DC442D">
              <w:rPr>
                <w:rStyle w:val="normaltextrun"/>
                <w:rFonts w:cstheme="minorHAnsi"/>
                <w:b/>
                <w:bCs/>
                <w:color w:val="000000"/>
                <w:shd w:val="clear" w:color="auto" w:fill="FFFFFF"/>
                <w:vertAlign w:val="superscript"/>
              </w:rPr>
              <w:t xml:space="preserve"> </w:t>
            </w:r>
          </w:p>
          <w:p w14:paraId="523311E3" w14:textId="089C2BF6" w:rsidR="006F64AE" w:rsidRPr="00DC442D" w:rsidRDefault="00D42628" w:rsidP="00F75511">
            <w:pPr>
              <w:spacing w:before="0"/>
              <w:jc w:val="both"/>
              <w:rPr>
                <w:rStyle w:val="normaltextrun"/>
                <w:rFonts w:cstheme="minorHAnsi"/>
                <w:bCs/>
                <w:color w:val="000000"/>
                <w:sz w:val="22"/>
                <w:shd w:val="clear" w:color="auto" w:fill="FFFFFF"/>
              </w:rPr>
            </w:pPr>
            <w:bookmarkStart w:id="99" w:name="lt_pId123"/>
            <w:r w:rsidRPr="00DC442D">
              <w:rPr>
                <w:rStyle w:val="normaltextrun"/>
                <w:rFonts w:cstheme="minorHAnsi"/>
                <w:bCs/>
                <w:color w:val="000000"/>
                <w:sz w:val="22"/>
                <w:shd w:val="clear" w:color="auto" w:fill="FFFFFF"/>
              </w:rPr>
              <w:t>Importe estimado</w:t>
            </w:r>
            <w:r w:rsidR="004E4657" w:rsidRPr="00DC442D">
              <w:rPr>
                <w:rStyle w:val="FootnoteReference"/>
                <w:rFonts w:cstheme="minorHAnsi"/>
                <w:bCs/>
                <w:color w:val="000000"/>
                <w:shd w:val="clear" w:color="auto" w:fill="FFFFFF"/>
              </w:rPr>
              <w:footnoteReference w:id="3"/>
            </w:r>
            <w:r w:rsidR="006F64AE" w:rsidRPr="00DC442D">
              <w:rPr>
                <w:rStyle w:val="normaltextrun"/>
                <w:rFonts w:cstheme="minorHAnsi"/>
                <w:bCs/>
                <w:color w:val="000000"/>
                <w:sz w:val="22"/>
                <w:shd w:val="clear" w:color="auto" w:fill="FFFFFF"/>
              </w:rPr>
              <w:t xml:space="preserve"> </w:t>
            </w:r>
            <w:r w:rsidRPr="00DC442D">
              <w:rPr>
                <w:rStyle w:val="normaltextrun"/>
                <w:rFonts w:cstheme="minorHAnsi"/>
                <w:bCs/>
                <w:color w:val="000000"/>
                <w:sz w:val="22"/>
                <w:shd w:val="clear" w:color="auto" w:fill="FFFFFF"/>
              </w:rPr>
              <w:t>e</w:t>
            </w:r>
            <w:r w:rsidR="006F64AE" w:rsidRPr="00DC442D">
              <w:rPr>
                <w:rStyle w:val="normaltextrun"/>
                <w:rFonts w:cstheme="minorHAnsi"/>
                <w:bCs/>
                <w:color w:val="000000"/>
                <w:sz w:val="22"/>
                <w:shd w:val="clear" w:color="auto" w:fill="FFFFFF"/>
              </w:rPr>
              <w:t>n CHF</w:t>
            </w:r>
            <w:bookmarkEnd w:id="99"/>
            <w:r w:rsidR="006F64AE" w:rsidRPr="00DC442D">
              <w:rPr>
                <w:rStyle w:val="normaltextrun"/>
                <w:rFonts w:cstheme="minorHAnsi"/>
                <w:bCs/>
                <w:color w:val="000000"/>
                <w:sz w:val="22"/>
                <w:shd w:val="clear" w:color="auto" w:fill="FFFFFF"/>
              </w:rPr>
              <w:t xml:space="preserve"> </w:t>
            </w:r>
          </w:p>
        </w:tc>
        <w:tc>
          <w:tcPr>
            <w:tcW w:w="2994" w:type="dxa"/>
            <w:tcBorders>
              <w:top w:val="single" w:sz="4" w:space="0" w:color="auto"/>
              <w:left w:val="nil"/>
              <w:bottom w:val="nil"/>
              <w:right w:val="nil"/>
            </w:tcBorders>
            <w:vAlign w:val="center"/>
          </w:tcPr>
          <w:p w14:paraId="0C422070" w14:textId="1A02FCE7" w:rsidR="006F64AE" w:rsidRPr="00DC442D" w:rsidRDefault="00D42628" w:rsidP="00F75511">
            <w:pPr>
              <w:jc w:val="center"/>
              <w:rPr>
                <w:rStyle w:val="normaltextrun"/>
                <w:rFonts w:cstheme="minorHAnsi"/>
                <w:b/>
                <w:bCs/>
                <w:color w:val="000000"/>
                <w:sz w:val="22"/>
                <w:shd w:val="clear" w:color="auto" w:fill="FFFFFF"/>
              </w:rPr>
            </w:pPr>
            <w:bookmarkStart w:id="101" w:name="lt_pId124"/>
            <w:r w:rsidRPr="00DC442D">
              <w:rPr>
                <w:rStyle w:val="normaltextrun"/>
                <w:rFonts w:cstheme="minorHAnsi"/>
                <w:b/>
                <w:bCs/>
                <w:color w:val="000000"/>
                <w:sz w:val="22"/>
                <w:shd w:val="clear" w:color="auto" w:fill="FFFFFF"/>
              </w:rPr>
              <w:t>Sin utilización de</w:t>
            </w:r>
            <w:r w:rsidR="006F64AE" w:rsidRPr="00DC442D">
              <w:rPr>
                <w:rStyle w:val="normaltextrun"/>
                <w:rFonts w:cstheme="minorHAnsi"/>
                <w:b/>
                <w:bCs/>
                <w:color w:val="000000"/>
                <w:sz w:val="22"/>
                <w:shd w:val="clear" w:color="auto" w:fill="FFFFFF"/>
              </w:rPr>
              <w:t xml:space="preserve"> Popov</w:t>
            </w:r>
            <w:bookmarkEnd w:id="101"/>
          </w:p>
        </w:tc>
        <w:tc>
          <w:tcPr>
            <w:tcW w:w="3235" w:type="dxa"/>
            <w:tcBorders>
              <w:top w:val="single" w:sz="4" w:space="0" w:color="auto"/>
              <w:left w:val="nil"/>
              <w:bottom w:val="nil"/>
            </w:tcBorders>
            <w:vAlign w:val="center"/>
          </w:tcPr>
          <w:p w14:paraId="5FE31C89" w14:textId="667833D5" w:rsidR="006F64AE" w:rsidRPr="00DC442D" w:rsidRDefault="00D42628" w:rsidP="00F75511">
            <w:pPr>
              <w:jc w:val="center"/>
              <w:rPr>
                <w:rStyle w:val="normaltextrun"/>
                <w:rFonts w:cstheme="minorHAnsi"/>
                <w:b/>
                <w:bCs/>
                <w:color w:val="000000"/>
                <w:sz w:val="22"/>
                <w:shd w:val="clear" w:color="auto" w:fill="FFFFFF"/>
              </w:rPr>
            </w:pPr>
            <w:bookmarkStart w:id="102" w:name="lt_pId125"/>
            <w:r w:rsidRPr="00DC442D">
              <w:rPr>
                <w:rStyle w:val="normaltextrun"/>
                <w:rFonts w:cstheme="minorHAnsi"/>
                <w:b/>
                <w:bCs/>
                <w:color w:val="000000"/>
                <w:sz w:val="22"/>
                <w:shd w:val="clear" w:color="auto" w:fill="FFFFFF"/>
              </w:rPr>
              <w:t>Con utilización de</w:t>
            </w:r>
            <w:r w:rsidR="006F64AE" w:rsidRPr="00DC442D">
              <w:rPr>
                <w:rStyle w:val="normaltextrun"/>
                <w:rFonts w:cstheme="minorHAnsi"/>
                <w:b/>
                <w:bCs/>
                <w:color w:val="000000"/>
                <w:sz w:val="22"/>
                <w:shd w:val="clear" w:color="auto" w:fill="FFFFFF"/>
              </w:rPr>
              <w:t xml:space="preserve"> Popov</w:t>
            </w:r>
            <w:bookmarkEnd w:id="102"/>
          </w:p>
        </w:tc>
      </w:tr>
      <w:tr w:rsidR="006F64AE" w:rsidRPr="00DC442D" w14:paraId="23D72E6C" w14:textId="77777777" w:rsidTr="00B52BCF">
        <w:trPr>
          <w:jc w:val="center"/>
        </w:trPr>
        <w:tc>
          <w:tcPr>
            <w:tcW w:w="3036" w:type="dxa"/>
            <w:vMerge/>
            <w:tcBorders>
              <w:bottom w:val="single" w:sz="4" w:space="0" w:color="auto"/>
              <w:right w:val="nil"/>
            </w:tcBorders>
            <w:vAlign w:val="center"/>
          </w:tcPr>
          <w:p w14:paraId="47A6BD4E" w14:textId="77777777" w:rsidR="006F64AE" w:rsidRPr="00DC442D" w:rsidRDefault="006F64AE" w:rsidP="00F75511">
            <w:pPr>
              <w:pStyle w:val="Tabletext"/>
              <w:rPr>
                <w:rStyle w:val="normaltextrun"/>
                <w:rFonts w:cstheme="minorHAnsi"/>
                <w:b/>
                <w:bCs/>
                <w:color w:val="000000"/>
                <w:shd w:val="clear" w:color="auto" w:fill="FFFFFF"/>
              </w:rPr>
            </w:pPr>
          </w:p>
        </w:tc>
        <w:tc>
          <w:tcPr>
            <w:tcW w:w="2994" w:type="dxa"/>
            <w:tcBorders>
              <w:top w:val="nil"/>
              <w:left w:val="nil"/>
              <w:bottom w:val="single" w:sz="4" w:space="0" w:color="auto"/>
              <w:right w:val="nil"/>
            </w:tcBorders>
            <w:vAlign w:val="center"/>
          </w:tcPr>
          <w:p w14:paraId="62B9296F" w14:textId="7A5E6B53" w:rsidR="006F64AE" w:rsidRPr="00DC442D" w:rsidRDefault="006F64AE" w:rsidP="00F75511">
            <w:pPr>
              <w:pStyle w:val="Tabletext"/>
              <w:jc w:val="center"/>
              <w:rPr>
                <w:rStyle w:val="normaltextrun"/>
                <w:rFonts w:cstheme="minorHAnsi"/>
                <w:b/>
                <w:bCs/>
                <w:color w:val="000000"/>
                <w:shd w:val="clear" w:color="auto" w:fill="FFFFFF"/>
              </w:rPr>
            </w:pPr>
            <w:r w:rsidRPr="00DC442D">
              <w:rPr>
                <w:rStyle w:val="normaltextrun"/>
                <w:rFonts w:cstheme="minorHAnsi"/>
                <w:b/>
                <w:bCs/>
                <w:color w:val="000000"/>
                <w:shd w:val="clear" w:color="auto" w:fill="FFFFFF"/>
              </w:rPr>
              <w:t>33</w:t>
            </w:r>
            <w:r w:rsidR="00D42628" w:rsidRPr="00DC442D">
              <w:rPr>
                <w:rStyle w:val="normaltextrun"/>
                <w:rFonts w:cstheme="minorHAnsi"/>
                <w:b/>
                <w:bCs/>
                <w:color w:val="000000"/>
                <w:shd w:val="clear" w:color="auto" w:fill="FFFFFF"/>
              </w:rPr>
              <w:t xml:space="preserve"> </w:t>
            </w:r>
            <w:r w:rsidRPr="00DC442D">
              <w:rPr>
                <w:rStyle w:val="normaltextrun"/>
                <w:rFonts w:cstheme="minorHAnsi"/>
                <w:b/>
                <w:bCs/>
                <w:color w:val="000000"/>
                <w:shd w:val="clear" w:color="auto" w:fill="FFFFFF"/>
              </w:rPr>
              <w:t>730</w:t>
            </w:r>
            <w:r w:rsidR="00D42628" w:rsidRPr="00DC442D">
              <w:rPr>
                <w:rStyle w:val="normaltextrun"/>
                <w:rFonts w:cstheme="minorHAnsi"/>
                <w:b/>
                <w:bCs/>
                <w:color w:val="000000"/>
                <w:shd w:val="clear" w:color="auto" w:fill="FFFFFF"/>
              </w:rPr>
              <w:t xml:space="preserve"> </w:t>
            </w:r>
            <w:r w:rsidRPr="00DC442D">
              <w:rPr>
                <w:rStyle w:val="normaltextrun"/>
                <w:rFonts w:cstheme="minorHAnsi"/>
                <w:b/>
                <w:bCs/>
                <w:color w:val="000000"/>
                <w:shd w:val="clear" w:color="auto" w:fill="FFFFFF"/>
              </w:rPr>
              <w:t>000</w:t>
            </w:r>
          </w:p>
        </w:tc>
        <w:tc>
          <w:tcPr>
            <w:tcW w:w="3235" w:type="dxa"/>
            <w:tcBorders>
              <w:top w:val="nil"/>
              <w:left w:val="nil"/>
              <w:bottom w:val="single" w:sz="4" w:space="0" w:color="auto"/>
            </w:tcBorders>
            <w:vAlign w:val="center"/>
          </w:tcPr>
          <w:p w14:paraId="747767D4" w14:textId="21DCBE1F" w:rsidR="006F64AE" w:rsidRPr="00DC442D" w:rsidRDefault="006F64AE" w:rsidP="00F75511">
            <w:pPr>
              <w:pStyle w:val="Tabletext"/>
              <w:jc w:val="center"/>
              <w:rPr>
                <w:rStyle w:val="normaltextrun"/>
                <w:rFonts w:cstheme="minorHAnsi"/>
                <w:b/>
                <w:bCs/>
                <w:color w:val="000000"/>
                <w:shd w:val="clear" w:color="auto" w:fill="FFFFFF"/>
              </w:rPr>
            </w:pPr>
            <w:r w:rsidRPr="00DC442D">
              <w:rPr>
                <w:rStyle w:val="normaltextrun"/>
                <w:rFonts w:cstheme="minorHAnsi"/>
                <w:b/>
                <w:bCs/>
                <w:color w:val="000000"/>
                <w:shd w:val="clear" w:color="auto" w:fill="FFFFFF"/>
              </w:rPr>
              <w:t>33</w:t>
            </w:r>
            <w:r w:rsidR="00D42628" w:rsidRPr="00DC442D">
              <w:rPr>
                <w:rStyle w:val="normaltextrun"/>
                <w:rFonts w:cstheme="minorHAnsi"/>
                <w:b/>
                <w:bCs/>
                <w:color w:val="000000"/>
                <w:shd w:val="clear" w:color="auto" w:fill="FFFFFF"/>
              </w:rPr>
              <w:t xml:space="preserve"> </w:t>
            </w:r>
            <w:r w:rsidRPr="00DC442D">
              <w:rPr>
                <w:rStyle w:val="normaltextrun"/>
                <w:rFonts w:cstheme="minorHAnsi"/>
                <w:b/>
                <w:bCs/>
                <w:color w:val="000000"/>
                <w:shd w:val="clear" w:color="auto" w:fill="FFFFFF"/>
              </w:rPr>
              <w:t>110</w:t>
            </w:r>
            <w:r w:rsidR="00D42628" w:rsidRPr="00DC442D">
              <w:rPr>
                <w:rStyle w:val="normaltextrun"/>
                <w:rFonts w:cstheme="minorHAnsi"/>
                <w:b/>
                <w:bCs/>
                <w:color w:val="000000"/>
                <w:shd w:val="clear" w:color="auto" w:fill="FFFFFF"/>
              </w:rPr>
              <w:t xml:space="preserve"> </w:t>
            </w:r>
            <w:r w:rsidRPr="00DC442D">
              <w:rPr>
                <w:rStyle w:val="normaltextrun"/>
                <w:rFonts w:cstheme="minorHAnsi"/>
                <w:b/>
                <w:bCs/>
                <w:color w:val="000000"/>
                <w:shd w:val="clear" w:color="auto" w:fill="FFFFFF"/>
              </w:rPr>
              <w:t>000</w:t>
            </w:r>
          </w:p>
        </w:tc>
      </w:tr>
    </w:tbl>
    <w:p w14:paraId="111CA933" w14:textId="2E3BA64B" w:rsidR="006F64AE" w:rsidRPr="00DC442D" w:rsidRDefault="00D42628" w:rsidP="00F75511">
      <w:bookmarkStart w:id="103" w:name="lt_pId128"/>
      <w:r w:rsidRPr="00DC442D">
        <w:t>En el estudio se destaca, no obstante, que los inversores pueden considerar la conservación de la Sala Popov como un factor negativo, pues impone una limitación a la explotación del sótano y a toda actividad, distinta de las salas de conferencias, que el propietario quisiera llevar a cabo, aumenta la complejidad de las obras de renovación necesarias e imposibilita la conversión total del inmueble. Por consiguiente, en el estudio se recomienda no conservar la Sala Popov</w:t>
      </w:r>
      <w:bookmarkStart w:id="104" w:name="lt_pId129"/>
      <w:bookmarkEnd w:id="103"/>
      <w:r w:rsidR="006F64AE" w:rsidRPr="00DC442D">
        <w:t>.</w:t>
      </w:r>
      <w:bookmarkEnd w:id="104"/>
    </w:p>
    <w:p w14:paraId="1393B357" w14:textId="65139C36" w:rsidR="006F64AE" w:rsidRPr="00DC442D" w:rsidRDefault="00DE610B" w:rsidP="00F75511">
      <w:bookmarkStart w:id="105" w:name="lt_pId130"/>
      <w:r w:rsidRPr="00DC442D">
        <w:t xml:space="preserve">Al examinar la venta futura, el estudio recomienda la alternativa </w:t>
      </w:r>
      <w:r w:rsidR="004D7071" w:rsidRPr="00DC442D">
        <w:t>"</w:t>
      </w:r>
      <w:r w:rsidRPr="00DC442D">
        <w:t>venta en fi</w:t>
      </w:r>
      <w:r w:rsidR="004D7071" w:rsidRPr="00DC442D">
        <w:t>rme con arrendamiento posterior"</w:t>
      </w:r>
      <w:r w:rsidRPr="00DC442D">
        <w:t xml:space="preserve"> como estrategia cuya consideración sería interesante y que presenta las siguientes ventajas</w:t>
      </w:r>
      <w:bookmarkStart w:id="106" w:name="lt_pId131"/>
      <w:bookmarkEnd w:id="105"/>
      <w:r w:rsidR="006F64AE" w:rsidRPr="00DC442D">
        <w:t>:</w:t>
      </w:r>
      <w:bookmarkEnd w:id="106"/>
    </w:p>
    <w:p w14:paraId="2453D1B8" w14:textId="4BF55ED2" w:rsidR="006F64AE" w:rsidRPr="00DC442D" w:rsidRDefault="004E4657" w:rsidP="00F75511">
      <w:pPr>
        <w:pStyle w:val="enumlev1"/>
      </w:pPr>
      <w:bookmarkStart w:id="107" w:name="lt_pId132"/>
      <w:r w:rsidRPr="00DC442D">
        <w:t>•</w:t>
      </w:r>
      <w:r w:rsidRPr="00DC442D">
        <w:tab/>
      </w:r>
      <w:r w:rsidR="004D7071" w:rsidRPr="00DC442D">
        <w:t>P</w:t>
      </w:r>
      <w:r w:rsidR="00DE610B" w:rsidRPr="00DC442D">
        <w:t>ara un inversor privado este tipo de transacción garantiza unos ingresos por alquiler inmediatos durante un periodo definido de tiempo, lo que minimiza los efectos negativos de los espacios no alquilados en el precio</w:t>
      </w:r>
      <w:r w:rsidR="006F64AE" w:rsidRPr="00DC442D">
        <w:t>.</w:t>
      </w:r>
      <w:bookmarkEnd w:id="107"/>
    </w:p>
    <w:p w14:paraId="3EA153C4" w14:textId="0DEE0AAC" w:rsidR="006F64AE" w:rsidRPr="00DC442D" w:rsidRDefault="004E4657" w:rsidP="00F75511">
      <w:pPr>
        <w:pStyle w:val="enumlev1"/>
        <w:rPr>
          <w:rFonts w:asciiTheme="minorHAnsi" w:hAnsiTheme="minorHAnsi" w:cstheme="minorHAnsi"/>
          <w:color w:val="000000" w:themeColor="text1"/>
        </w:rPr>
      </w:pPr>
      <w:bookmarkStart w:id="108" w:name="lt_pId133"/>
      <w:r w:rsidRPr="00DC442D">
        <w:t>•</w:t>
      </w:r>
      <w:r w:rsidRPr="00DC442D">
        <w:tab/>
      </w:r>
      <w:r w:rsidR="004D7071" w:rsidRPr="00DC442D">
        <w:t>L</w:t>
      </w:r>
      <w:r w:rsidR="00DE610B" w:rsidRPr="00DC442D">
        <w:t>a garantía de alquiler durante un periodo determinado atrae la inversión y a un número mayor de inversores, pudiendo aumentar la competencia entre compradores</w:t>
      </w:r>
      <w:r w:rsidR="006F64AE" w:rsidRPr="00DC442D">
        <w:rPr>
          <w:rFonts w:asciiTheme="minorHAnsi" w:hAnsiTheme="minorHAnsi" w:cstheme="minorHAnsi"/>
          <w:color w:val="000000" w:themeColor="text1"/>
        </w:rPr>
        <w:t>.</w:t>
      </w:r>
      <w:bookmarkEnd w:id="108"/>
    </w:p>
    <w:p w14:paraId="4E174A76" w14:textId="58F830B1" w:rsidR="006F64AE" w:rsidRPr="00DC442D" w:rsidRDefault="004E4657" w:rsidP="00F75511">
      <w:pPr>
        <w:pStyle w:val="enumlev1"/>
        <w:rPr>
          <w:rFonts w:asciiTheme="minorHAnsi" w:hAnsiTheme="minorHAnsi" w:cstheme="minorHAnsi"/>
          <w:color w:val="000000" w:themeColor="text1"/>
        </w:rPr>
      </w:pPr>
      <w:bookmarkStart w:id="109" w:name="lt_pId134"/>
      <w:r w:rsidRPr="00DC442D">
        <w:t>•</w:t>
      </w:r>
      <w:r w:rsidRPr="00DC442D">
        <w:tab/>
      </w:r>
      <w:r w:rsidR="004D7071" w:rsidRPr="00DC442D">
        <w:t>E</w:t>
      </w:r>
      <w:r w:rsidR="00DE610B" w:rsidRPr="00DC442D">
        <w:t>l periodo de arrendamiento posterior permite al comprador prever el futuro del edificio, definir una estrategia de de</w:t>
      </w:r>
      <w:r w:rsidR="004D7071" w:rsidRPr="00DC442D">
        <w:t>sarrollo, preparar las obras de</w:t>
      </w:r>
      <w:r w:rsidR="00DE610B" w:rsidRPr="00DC442D">
        <w:t xml:space="preserve"> renovación y sacar al mercado todas o algunas de las superficies con antelación. Todo ello reduce el periodo de desocupación total en comparación con la adquisición de un edificio vacío</w:t>
      </w:r>
      <w:bookmarkStart w:id="110" w:name="lt_pId135"/>
      <w:bookmarkEnd w:id="109"/>
      <w:r w:rsidR="006F64AE" w:rsidRPr="00DC442D">
        <w:rPr>
          <w:rFonts w:asciiTheme="minorHAnsi" w:hAnsiTheme="minorHAnsi" w:cstheme="minorHAnsi"/>
          <w:color w:val="000000" w:themeColor="text1"/>
        </w:rPr>
        <w:t>.</w:t>
      </w:r>
      <w:bookmarkEnd w:id="110"/>
    </w:p>
    <w:p w14:paraId="6E907CE9" w14:textId="25C3D7F2" w:rsidR="006F64AE" w:rsidRPr="00DC442D" w:rsidRDefault="004E4657" w:rsidP="00F75511">
      <w:pPr>
        <w:pStyle w:val="enumlev1"/>
        <w:spacing w:after="120"/>
        <w:rPr>
          <w:rFonts w:asciiTheme="minorHAnsi" w:hAnsiTheme="minorHAnsi" w:cstheme="minorHAnsi"/>
          <w:color w:val="000000" w:themeColor="text1"/>
        </w:rPr>
      </w:pPr>
      <w:bookmarkStart w:id="111" w:name="lt_pId136"/>
      <w:r w:rsidRPr="00DC442D">
        <w:t>•</w:t>
      </w:r>
      <w:r w:rsidRPr="00DC442D">
        <w:tab/>
      </w:r>
      <w:r w:rsidR="004D7071" w:rsidRPr="00DC442D">
        <w:t>L</w:t>
      </w:r>
      <w:r w:rsidR="00DE610B" w:rsidRPr="00DC442D">
        <w:t>a venta podría efectuarse antes de</w:t>
      </w:r>
      <w:r w:rsidR="006F64AE" w:rsidRPr="00DC442D">
        <w:rPr>
          <w:rFonts w:asciiTheme="minorHAnsi" w:hAnsiTheme="minorHAnsi" w:cstheme="minorHAnsi"/>
          <w:color w:val="000000" w:themeColor="text1"/>
        </w:rPr>
        <w:t xml:space="preserve"> 2027 </w:t>
      </w:r>
      <w:r w:rsidR="00DE610B" w:rsidRPr="00DC442D">
        <w:rPr>
          <w:rFonts w:asciiTheme="minorHAnsi" w:hAnsiTheme="minorHAnsi" w:cstheme="minorHAnsi"/>
          <w:color w:val="000000" w:themeColor="text1"/>
        </w:rPr>
        <w:t>y, dadas las consecuencias de los acontecimientos recientes</w:t>
      </w:r>
      <w:r w:rsidR="006F64AE" w:rsidRPr="00DC442D">
        <w:rPr>
          <w:rFonts w:asciiTheme="minorHAnsi" w:hAnsiTheme="minorHAnsi" w:cstheme="minorHAnsi"/>
          <w:color w:val="000000" w:themeColor="text1"/>
        </w:rPr>
        <w:t xml:space="preserve"> (Covid-19), </w:t>
      </w:r>
      <w:r w:rsidR="00DE610B" w:rsidRPr="00DC442D">
        <w:rPr>
          <w:rFonts w:asciiTheme="minorHAnsi" w:hAnsiTheme="minorHAnsi" w:cstheme="minorHAnsi"/>
          <w:color w:val="000000" w:themeColor="text1"/>
        </w:rPr>
        <w:t>podría beneficiarse de un entorno inmobiliario favorable, sobre todo en el contexto de los actuales precios de mercado</w:t>
      </w:r>
      <w:r w:rsidR="006F64AE" w:rsidRPr="00DC442D">
        <w:rPr>
          <w:rFonts w:asciiTheme="minorHAnsi" w:hAnsiTheme="minorHAnsi" w:cstheme="minorHAnsi"/>
          <w:color w:val="000000" w:themeColor="text1"/>
        </w:rPr>
        <w:t>.</w:t>
      </w:r>
      <w:bookmarkEnd w:id="111"/>
    </w:p>
    <w:tbl>
      <w:tblPr>
        <w:tblStyle w:val="TableGrid"/>
        <w:tblW w:w="9265"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36"/>
        <w:gridCol w:w="2994"/>
        <w:gridCol w:w="3235"/>
      </w:tblGrid>
      <w:tr w:rsidR="004E4657" w:rsidRPr="00DC442D" w14:paraId="62FEBA47" w14:textId="77777777" w:rsidTr="00B52BCF">
        <w:trPr>
          <w:cantSplit/>
          <w:jc w:val="center"/>
        </w:trPr>
        <w:tc>
          <w:tcPr>
            <w:tcW w:w="3036" w:type="dxa"/>
            <w:tcBorders>
              <w:top w:val="nil"/>
              <w:bottom w:val="single" w:sz="4" w:space="0" w:color="auto"/>
              <w:right w:val="nil"/>
            </w:tcBorders>
            <w:vAlign w:val="center"/>
          </w:tcPr>
          <w:p w14:paraId="3814F400" w14:textId="77777777" w:rsidR="004E4657" w:rsidRPr="00DC442D" w:rsidRDefault="004E4657" w:rsidP="00F75511">
            <w:pPr>
              <w:spacing w:before="0"/>
              <w:jc w:val="center"/>
              <w:rPr>
                <w:rStyle w:val="normaltextrun"/>
                <w:b/>
                <w:bCs/>
                <w:color w:val="000000"/>
                <w:shd w:val="clear" w:color="auto" w:fill="FFFFFF"/>
              </w:rPr>
            </w:pPr>
          </w:p>
        </w:tc>
        <w:tc>
          <w:tcPr>
            <w:tcW w:w="6229" w:type="dxa"/>
            <w:gridSpan w:val="2"/>
            <w:tcBorders>
              <w:top w:val="nil"/>
              <w:left w:val="nil"/>
              <w:bottom w:val="single" w:sz="4" w:space="0" w:color="auto"/>
            </w:tcBorders>
            <w:vAlign w:val="center"/>
          </w:tcPr>
          <w:p w14:paraId="16E1797F" w14:textId="3B4E6326" w:rsidR="004E4657" w:rsidRPr="00DC442D" w:rsidRDefault="004D7071" w:rsidP="00DF5725">
            <w:pPr>
              <w:pStyle w:val="Tablehead"/>
            </w:pPr>
            <w:r w:rsidRPr="00DC442D">
              <w:t>"</w:t>
            </w:r>
            <w:r w:rsidR="00DE610B" w:rsidRPr="00DC442D">
              <w:t>Arrendamiento posterior</w:t>
            </w:r>
            <w:r w:rsidRPr="00DC442D">
              <w:t xml:space="preserve">" </w:t>
            </w:r>
            <w:r w:rsidR="004E4657" w:rsidRPr="00DC442D">
              <w:t>dura</w:t>
            </w:r>
            <w:r w:rsidR="00DE610B" w:rsidRPr="00DC442D">
              <w:t>nte 3 años</w:t>
            </w:r>
            <w:r w:rsidR="004E4657" w:rsidRPr="00DC442D">
              <w:t xml:space="preserve"> – </w:t>
            </w:r>
            <w:r w:rsidR="00DE610B" w:rsidRPr="00DC442D">
              <w:t>Venta en</w:t>
            </w:r>
            <w:r w:rsidR="004E4657" w:rsidRPr="00DC442D">
              <w:t xml:space="preserve"> 2023</w:t>
            </w:r>
          </w:p>
        </w:tc>
      </w:tr>
      <w:tr w:rsidR="004E4657" w:rsidRPr="00DC442D" w14:paraId="70195927" w14:textId="77777777" w:rsidTr="00B52BCF">
        <w:trPr>
          <w:jc w:val="center"/>
        </w:trPr>
        <w:tc>
          <w:tcPr>
            <w:tcW w:w="3036" w:type="dxa"/>
            <w:vMerge w:val="restart"/>
            <w:tcBorders>
              <w:top w:val="single" w:sz="4" w:space="0" w:color="auto"/>
              <w:right w:val="nil"/>
            </w:tcBorders>
            <w:vAlign w:val="center"/>
          </w:tcPr>
          <w:p w14:paraId="613D1806" w14:textId="2BDD36D3" w:rsidR="004E4657" w:rsidRPr="00DC442D" w:rsidRDefault="00A8352D" w:rsidP="00DC442D">
            <w:pPr>
              <w:pStyle w:val="Tabletext"/>
              <w:rPr>
                <w:b/>
              </w:rPr>
            </w:pPr>
            <w:r w:rsidRPr="00DC442D">
              <w:rPr>
                <w:b/>
              </w:rPr>
              <w:t>Valor de mercado</w:t>
            </w:r>
            <w:r w:rsidR="00DC442D" w:rsidRPr="00DC442D">
              <w:rPr>
                <w:b/>
                <w:vertAlign w:val="superscript"/>
              </w:rPr>
              <w:t>2</w:t>
            </w:r>
          </w:p>
          <w:p w14:paraId="7FCF7D09" w14:textId="6699DBC0" w:rsidR="004E4657" w:rsidRPr="00DC442D" w:rsidRDefault="00A8352D" w:rsidP="00DC442D">
            <w:pPr>
              <w:pStyle w:val="Tabletext"/>
              <w:rPr>
                <w:rStyle w:val="normaltextrun"/>
                <w:rFonts w:cstheme="minorHAnsi"/>
                <w:bCs/>
                <w:color w:val="000000"/>
                <w:shd w:val="clear" w:color="auto" w:fill="FFFFFF"/>
              </w:rPr>
            </w:pPr>
            <w:r w:rsidRPr="00DC442D">
              <w:t>Importe estimado</w:t>
            </w:r>
            <w:r w:rsidR="004E4657" w:rsidRPr="00DC442D">
              <w:rPr>
                <w:vertAlign w:val="superscript"/>
              </w:rPr>
              <w:t>3</w:t>
            </w:r>
            <w:r w:rsidR="004E4657" w:rsidRPr="00DC442D">
              <w:t xml:space="preserve"> </w:t>
            </w:r>
            <w:r w:rsidRPr="00DC442D">
              <w:t>e</w:t>
            </w:r>
            <w:r w:rsidR="004E4657" w:rsidRPr="00DC442D">
              <w:t>n CHF</w:t>
            </w:r>
            <w:r w:rsidR="004E4657" w:rsidRPr="00DC442D">
              <w:rPr>
                <w:rStyle w:val="normaltextrun"/>
                <w:rFonts w:cstheme="minorHAnsi"/>
                <w:bCs/>
                <w:color w:val="000000"/>
                <w:shd w:val="clear" w:color="auto" w:fill="FFFFFF"/>
              </w:rPr>
              <w:t xml:space="preserve"> </w:t>
            </w:r>
          </w:p>
        </w:tc>
        <w:tc>
          <w:tcPr>
            <w:tcW w:w="2994" w:type="dxa"/>
            <w:tcBorders>
              <w:top w:val="single" w:sz="4" w:space="0" w:color="auto"/>
              <w:left w:val="nil"/>
              <w:bottom w:val="nil"/>
              <w:right w:val="nil"/>
            </w:tcBorders>
            <w:vAlign w:val="center"/>
          </w:tcPr>
          <w:p w14:paraId="55FCC0D3" w14:textId="495CD6FA" w:rsidR="004E4657" w:rsidRPr="00DC442D" w:rsidRDefault="00A8352D" w:rsidP="00DC442D">
            <w:pPr>
              <w:pStyle w:val="Tabletext"/>
              <w:jc w:val="center"/>
              <w:rPr>
                <w:b/>
              </w:rPr>
            </w:pPr>
            <w:r w:rsidRPr="00DC442D">
              <w:rPr>
                <w:b/>
              </w:rPr>
              <w:t>Sin utilización de</w:t>
            </w:r>
            <w:r w:rsidR="004E4657" w:rsidRPr="00DC442D">
              <w:rPr>
                <w:b/>
              </w:rPr>
              <w:t xml:space="preserve"> Popov</w:t>
            </w:r>
          </w:p>
        </w:tc>
        <w:tc>
          <w:tcPr>
            <w:tcW w:w="3235" w:type="dxa"/>
            <w:tcBorders>
              <w:top w:val="single" w:sz="4" w:space="0" w:color="auto"/>
              <w:left w:val="nil"/>
              <w:bottom w:val="nil"/>
            </w:tcBorders>
            <w:vAlign w:val="center"/>
          </w:tcPr>
          <w:p w14:paraId="5C7E308C" w14:textId="6C481385" w:rsidR="004E4657" w:rsidRPr="00DC442D" w:rsidRDefault="00A8352D" w:rsidP="00DC442D">
            <w:pPr>
              <w:pStyle w:val="Tabletext"/>
              <w:jc w:val="center"/>
              <w:rPr>
                <w:b/>
              </w:rPr>
            </w:pPr>
            <w:r w:rsidRPr="00DC442D">
              <w:rPr>
                <w:b/>
              </w:rPr>
              <w:t>Con utilización de</w:t>
            </w:r>
            <w:r w:rsidR="004E4657" w:rsidRPr="00DC442D">
              <w:rPr>
                <w:b/>
              </w:rPr>
              <w:t xml:space="preserve"> Popov</w:t>
            </w:r>
          </w:p>
        </w:tc>
      </w:tr>
      <w:tr w:rsidR="004E4657" w:rsidRPr="00DC442D" w14:paraId="07457F77" w14:textId="77777777" w:rsidTr="00B52BCF">
        <w:trPr>
          <w:jc w:val="center"/>
        </w:trPr>
        <w:tc>
          <w:tcPr>
            <w:tcW w:w="3036" w:type="dxa"/>
            <w:vMerge/>
            <w:tcBorders>
              <w:bottom w:val="single" w:sz="4" w:space="0" w:color="auto"/>
              <w:right w:val="nil"/>
            </w:tcBorders>
            <w:vAlign w:val="center"/>
          </w:tcPr>
          <w:p w14:paraId="177E1565" w14:textId="77777777" w:rsidR="004E4657" w:rsidRPr="00DC442D" w:rsidRDefault="004E4657" w:rsidP="00F75511">
            <w:pPr>
              <w:pStyle w:val="Tabletext"/>
              <w:rPr>
                <w:rStyle w:val="normaltextrun"/>
                <w:rFonts w:cstheme="minorHAnsi"/>
                <w:b/>
                <w:bCs/>
                <w:color w:val="000000"/>
                <w:shd w:val="clear" w:color="auto" w:fill="FFFFFF"/>
              </w:rPr>
            </w:pPr>
          </w:p>
        </w:tc>
        <w:tc>
          <w:tcPr>
            <w:tcW w:w="2994" w:type="dxa"/>
            <w:tcBorders>
              <w:top w:val="nil"/>
              <w:left w:val="nil"/>
              <w:bottom w:val="single" w:sz="4" w:space="0" w:color="auto"/>
              <w:right w:val="nil"/>
            </w:tcBorders>
            <w:vAlign w:val="center"/>
          </w:tcPr>
          <w:p w14:paraId="5B0790A4" w14:textId="3EE64236" w:rsidR="004E4657" w:rsidRPr="00DC442D" w:rsidRDefault="004D7071" w:rsidP="00DC442D">
            <w:pPr>
              <w:pStyle w:val="Tabletext"/>
              <w:jc w:val="center"/>
              <w:rPr>
                <w:b/>
              </w:rPr>
            </w:pPr>
            <w:r w:rsidRPr="00DC442D">
              <w:rPr>
                <w:b/>
              </w:rPr>
              <w:t xml:space="preserve">41 850 </w:t>
            </w:r>
            <w:r w:rsidR="004E4657" w:rsidRPr="00DC442D">
              <w:rPr>
                <w:b/>
              </w:rPr>
              <w:t>000</w:t>
            </w:r>
          </w:p>
        </w:tc>
        <w:tc>
          <w:tcPr>
            <w:tcW w:w="3235" w:type="dxa"/>
            <w:tcBorders>
              <w:top w:val="nil"/>
              <w:left w:val="nil"/>
              <w:bottom w:val="single" w:sz="4" w:space="0" w:color="auto"/>
            </w:tcBorders>
            <w:vAlign w:val="center"/>
          </w:tcPr>
          <w:p w14:paraId="4C44D252" w14:textId="523CE22F" w:rsidR="004E4657" w:rsidRPr="00DC442D" w:rsidRDefault="004D7071" w:rsidP="00DC442D">
            <w:pPr>
              <w:pStyle w:val="Tabletext"/>
              <w:jc w:val="center"/>
              <w:rPr>
                <w:b/>
              </w:rPr>
            </w:pPr>
            <w:r w:rsidRPr="00DC442D">
              <w:rPr>
                <w:b/>
              </w:rPr>
              <w:t xml:space="preserve">41 220 </w:t>
            </w:r>
            <w:r w:rsidR="004E4657" w:rsidRPr="00DC442D">
              <w:rPr>
                <w:b/>
              </w:rPr>
              <w:t>000</w:t>
            </w:r>
          </w:p>
        </w:tc>
      </w:tr>
    </w:tbl>
    <w:p w14:paraId="1037AC62" w14:textId="2AEA48D7" w:rsidR="006F64AE" w:rsidRPr="00DC442D" w:rsidRDefault="00A8352D" w:rsidP="00F75511">
      <w:bookmarkStart w:id="112" w:name="lt_pId144"/>
      <w:r w:rsidRPr="00DC442D">
        <w:t>Sin embargo, esta recomendación tendría un coste para la UIT, costes de alquiler y operativos para el emplazamiento durante un periodo estimado de 3 años. De acuerdo con las estimaciones de arrendamiento posterior y el historial de costes operativos del emplazamiento, el coste global para la UIT rondaría los</w:t>
      </w:r>
      <w:bookmarkStart w:id="113" w:name="lt_pId145"/>
      <w:bookmarkEnd w:id="112"/>
      <w:r w:rsidR="006F64AE" w:rsidRPr="00DC442D">
        <w:t xml:space="preserve"> 3</w:t>
      </w:r>
      <w:r w:rsidRPr="00DC442D">
        <w:t xml:space="preserve"> </w:t>
      </w:r>
      <w:r w:rsidR="006F64AE" w:rsidRPr="00DC442D">
        <w:t>580</w:t>
      </w:r>
      <w:r w:rsidRPr="00DC442D">
        <w:t xml:space="preserve"> </w:t>
      </w:r>
      <w:r w:rsidR="006F64AE" w:rsidRPr="00DC442D">
        <w:t xml:space="preserve">000 </w:t>
      </w:r>
      <w:r w:rsidRPr="00DC442D">
        <w:t>CHF al año</w:t>
      </w:r>
      <w:r w:rsidR="006F64AE" w:rsidRPr="00DC442D">
        <w:t>.</w:t>
      </w:r>
      <w:bookmarkEnd w:id="113"/>
      <w:r w:rsidR="006F64AE" w:rsidRPr="00DC442D">
        <w:t xml:space="preserve"> </w:t>
      </w:r>
    </w:p>
    <w:p w14:paraId="42DCEF43" w14:textId="6849905C" w:rsidR="006F64AE" w:rsidRPr="00DC442D" w:rsidRDefault="00A8352D" w:rsidP="00DC442D">
      <w:bookmarkStart w:id="114" w:name="lt_pId146"/>
      <w:r w:rsidRPr="00DC442D">
        <w:t>La metodología y los parámetros utilizados para el cálculo de las diversas hipótesis pueden consultarse</w:t>
      </w:r>
      <w:r w:rsidR="006F64AE" w:rsidRPr="00DC442D">
        <w:t xml:space="preserve"> </w:t>
      </w:r>
      <w:hyperlink r:id="rId28" w:history="1">
        <w:r w:rsidRPr="00DC442D">
          <w:rPr>
            <w:rStyle w:val="Hyperlink"/>
          </w:rPr>
          <w:t>aquí</w:t>
        </w:r>
      </w:hyperlink>
      <w:r w:rsidR="006F64AE" w:rsidRPr="00DC442D">
        <w:t>.</w:t>
      </w:r>
      <w:bookmarkEnd w:id="114"/>
    </w:p>
    <w:p w14:paraId="30D3B801" w14:textId="62F9AF81" w:rsidR="006F64AE" w:rsidRPr="00DC442D" w:rsidRDefault="00DC442D" w:rsidP="00F75511">
      <w:pPr>
        <w:pStyle w:val="Heading2"/>
      </w:pPr>
      <w:r w:rsidRPr="00DC442D">
        <w:lastRenderedPageBreak/>
        <w:t>3.10</w:t>
      </w:r>
      <w:r w:rsidR="006F64AE" w:rsidRPr="00DC442D">
        <w:tab/>
      </w:r>
      <w:bookmarkStart w:id="115" w:name="lt_pId148"/>
      <w:r w:rsidR="006F64AE" w:rsidRPr="00DC442D">
        <w:t>Combina</w:t>
      </w:r>
      <w:r w:rsidR="00EF2EC8" w:rsidRPr="00DC442D">
        <w:t xml:space="preserve">ción de la División de Gestión de Instalaciones y de </w:t>
      </w:r>
      <w:r w:rsidR="004D7071" w:rsidRPr="00DC442D">
        <w:t>la División del Proyecto del </w:t>
      </w:r>
      <w:r w:rsidR="00EF2EC8" w:rsidRPr="00DC442D">
        <w:t>Edificio</w:t>
      </w:r>
      <w:bookmarkEnd w:id="115"/>
    </w:p>
    <w:p w14:paraId="4546CFF6" w14:textId="6A1E24D5" w:rsidR="006F64AE" w:rsidRPr="00DC442D" w:rsidRDefault="00EF2EC8" w:rsidP="00F75511">
      <w:bookmarkStart w:id="116" w:name="lt_pId149"/>
      <w:r w:rsidRPr="00DC442D">
        <w:t>La División de Gestión de Instalaciones</w:t>
      </w:r>
      <w:r w:rsidR="006F64AE" w:rsidRPr="00DC442D">
        <w:t xml:space="preserve"> (FMD) </w:t>
      </w:r>
      <w:r w:rsidRPr="00DC442D">
        <w:t>y la División del Proyecto del Edificio</w:t>
      </w:r>
      <w:r w:rsidR="006F64AE" w:rsidRPr="00DC442D">
        <w:t xml:space="preserve"> (BPD) </w:t>
      </w:r>
      <w:r w:rsidRPr="00DC442D">
        <w:t>se fusionaron el 1 de abril de 2020 en la División de Gestión de Instalaciones y del Proyecto del Edificio. El objetivo es optimizar los recursos disponibles y proceder a una transición satisfactoria y sin problemas en el contexto de la demolición del edificio</w:t>
      </w:r>
      <w:bookmarkStart w:id="117" w:name="lt_pId150"/>
      <w:bookmarkEnd w:id="116"/>
      <w:r w:rsidR="006F64AE" w:rsidRPr="00DC442D">
        <w:t xml:space="preserve"> Varembé</w:t>
      </w:r>
      <w:r w:rsidRPr="00DC442D">
        <w:t>, la reubicación del personal y la construcción del nuevo edificio. Concretamente, será necesario proceder a una importante gestión de los espacios antes, durante y después de la construcción y algunos de los recursos que pertenecían al FMD participarán en la puesta en práctica de medidas temporales para garantizar la continuidad de los servicios (electricidad, calefacción y ventilación</w:t>
      </w:r>
      <w:bookmarkStart w:id="118" w:name="lt_pId151"/>
      <w:bookmarkEnd w:id="117"/>
      <w:r w:rsidR="006F64AE" w:rsidRPr="00DC442D">
        <w:t>, etc.) dur</w:t>
      </w:r>
      <w:r w:rsidRPr="00DC442D">
        <w:t>ante el periodo de reubicación, y en la puesta en funcionamiento y la entrega del edificio</w:t>
      </w:r>
      <w:r w:rsidR="006F64AE" w:rsidRPr="00DC442D">
        <w:t>.</w:t>
      </w:r>
      <w:bookmarkEnd w:id="118"/>
      <w:r w:rsidR="006F64AE" w:rsidRPr="00DC442D">
        <w:t xml:space="preserve"> </w:t>
      </w:r>
    </w:p>
    <w:p w14:paraId="48A4E2CA" w14:textId="1B9ABC5E" w:rsidR="006F64AE" w:rsidRPr="00DC442D" w:rsidRDefault="00EF2EC8" w:rsidP="00F75511">
      <w:bookmarkStart w:id="119" w:name="lt_pId152"/>
      <w:r w:rsidRPr="00DC442D">
        <w:t xml:space="preserve">La combinación de las Divisiones ha generado ahorros con los que se financiará parcialmente la creación de un puesto temporal (para la duración del proyecto) de un oficial de planificación del espacio. Una vez contratado/a, </w:t>
      </w:r>
      <w:r w:rsidR="007D4F6A" w:rsidRPr="00DC442D">
        <w:t>se ocupará de conocer las necesidades del personal, de la aplicación de disposiciones temporales durante la reubicación y definirá la atribución definitiva del espacio en el nuevo edificio de conformidad con las recomendaciones en materia de espacio laboral</w:t>
      </w:r>
      <w:bookmarkStart w:id="120" w:name="lt_pId153"/>
      <w:bookmarkEnd w:id="119"/>
      <w:r w:rsidR="006F64AE" w:rsidRPr="00DC442D">
        <w:t>.</w:t>
      </w:r>
      <w:bookmarkEnd w:id="120"/>
      <w:r w:rsidR="006F64AE" w:rsidRPr="00DC442D">
        <w:t xml:space="preserve"> </w:t>
      </w:r>
    </w:p>
    <w:p w14:paraId="789D31BA" w14:textId="04627539" w:rsidR="006F64AE" w:rsidRPr="00DC442D" w:rsidRDefault="006F64AE" w:rsidP="00F75511">
      <w:pPr>
        <w:pStyle w:val="Heading1"/>
        <w:tabs>
          <w:tab w:val="left" w:pos="537"/>
        </w:tabs>
        <w:rPr>
          <w:lang w:eastAsia="ja-JP"/>
        </w:rPr>
      </w:pPr>
      <w:r w:rsidRPr="00DC442D">
        <w:rPr>
          <w:lang w:eastAsia="ja-JP"/>
        </w:rPr>
        <w:t>4</w:t>
      </w:r>
      <w:r w:rsidRPr="00DC442D">
        <w:rPr>
          <w:lang w:eastAsia="ja-JP"/>
        </w:rPr>
        <w:tab/>
      </w:r>
      <w:bookmarkStart w:id="121" w:name="lt_pId155"/>
      <w:proofErr w:type="gramStart"/>
      <w:r w:rsidR="007D4F6A" w:rsidRPr="00DC442D">
        <w:rPr>
          <w:lang w:eastAsia="ja-JP"/>
        </w:rPr>
        <w:t>Actualización</w:t>
      </w:r>
      <w:proofErr w:type="gramEnd"/>
      <w:r w:rsidR="007D4F6A" w:rsidRPr="00DC442D">
        <w:rPr>
          <w:lang w:eastAsia="ja-JP"/>
        </w:rPr>
        <w:t xml:space="preserve"> financiera</w:t>
      </w:r>
      <w:bookmarkEnd w:id="121"/>
    </w:p>
    <w:p w14:paraId="41899E50" w14:textId="4F7E1E34" w:rsidR="006F64AE" w:rsidRPr="00DC442D" w:rsidRDefault="006F64AE" w:rsidP="00F75511">
      <w:pPr>
        <w:pStyle w:val="Heading2"/>
      </w:pPr>
      <w:r w:rsidRPr="00DC442D">
        <w:t>4.1</w:t>
      </w:r>
      <w:r w:rsidRPr="00DC442D">
        <w:tab/>
      </w:r>
      <w:bookmarkStart w:id="122" w:name="lt_pId157"/>
      <w:r w:rsidRPr="00DC442D">
        <w:t>Confirma</w:t>
      </w:r>
      <w:r w:rsidR="007D4F6A" w:rsidRPr="00DC442D">
        <w:t>ción del presupuesto disponible</w:t>
      </w:r>
      <w:bookmarkEnd w:id="122"/>
    </w:p>
    <w:p w14:paraId="578B32B6" w14:textId="02BA14E3" w:rsidR="006F64AE" w:rsidRPr="00DC442D" w:rsidRDefault="007D4F6A" w:rsidP="00F75511">
      <w:bookmarkStart w:id="123" w:name="lt_pId158"/>
      <w:r w:rsidRPr="00DC442D">
        <w:t>En el Acuerdo</w:t>
      </w:r>
      <w:r w:rsidR="006F64AE" w:rsidRPr="00DC442D">
        <w:t xml:space="preserve"> 619</w:t>
      </w:r>
      <w:r w:rsidRPr="00DC442D">
        <w:t>, adoptado por el Consejo en su reunión adicional celebrada en Ginebra el 27 de septiembre de 2019, se aprueba el costo directo final del Proyecto de nueva Sede de la Unión de</w:t>
      </w:r>
      <w:r w:rsidR="006F64AE" w:rsidRPr="00DC442D">
        <w:t xml:space="preserve"> 170</w:t>
      </w:r>
      <w:r w:rsidRPr="00DC442D">
        <w:t xml:space="preserve"> </w:t>
      </w:r>
      <w:r w:rsidR="006F64AE" w:rsidRPr="00DC442D">
        <w:t>139</w:t>
      </w:r>
      <w:r w:rsidRPr="00DC442D">
        <w:t xml:space="preserve"> </w:t>
      </w:r>
      <w:r w:rsidR="006F64AE" w:rsidRPr="00DC442D">
        <w:t>000</w:t>
      </w:r>
      <w:r w:rsidRPr="00DC442D">
        <w:t xml:space="preserve"> CHF</w:t>
      </w:r>
      <w:r w:rsidR="006F64AE" w:rsidRPr="00DC442D">
        <w:t xml:space="preserve">, </w:t>
      </w:r>
      <w:r w:rsidRPr="00DC442D">
        <w:t>como se describe en</w:t>
      </w:r>
      <w:r w:rsidR="006F64AE" w:rsidRPr="00DC442D">
        <w:t xml:space="preserve"> C19-ADD/2, </w:t>
      </w:r>
      <w:r w:rsidRPr="00DC442D">
        <w:t>financiado en su integridad de la siguiente manera</w:t>
      </w:r>
      <w:r w:rsidR="006F64AE" w:rsidRPr="00DC442D">
        <w:t>:</w:t>
      </w:r>
      <w:bookmarkEnd w:id="123"/>
      <w:r w:rsidR="006F64AE" w:rsidRPr="00DC442D">
        <w:t xml:space="preserve"> </w:t>
      </w:r>
    </w:p>
    <w:p w14:paraId="12254D2E" w14:textId="1A640D06" w:rsidR="006F64AE" w:rsidRPr="00DC442D" w:rsidRDefault="004E4657" w:rsidP="00F75511">
      <w:pPr>
        <w:pStyle w:val="enumlev1"/>
        <w:rPr>
          <w:lang w:eastAsia="ja-JP"/>
        </w:rPr>
      </w:pPr>
      <w:bookmarkStart w:id="124" w:name="lt_pId159"/>
      <w:r w:rsidRPr="00DC442D">
        <w:t>•</w:t>
      </w:r>
      <w:r w:rsidRPr="00DC442D">
        <w:tab/>
      </w:r>
      <w:r w:rsidR="006F64AE" w:rsidRPr="00DC442D">
        <w:t>15</w:t>
      </w:r>
      <w:r w:rsidR="007D4F6A" w:rsidRPr="00DC442D">
        <w:t xml:space="preserve">0 </w:t>
      </w:r>
      <w:r w:rsidR="006F64AE" w:rsidRPr="00DC442D">
        <w:t>000</w:t>
      </w:r>
      <w:r w:rsidR="007D4F6A" w:rsidRPr="00DC442D">
        <w:t xml:space="preserve"> </w:t>
      </w:r>
      <w:r w:rsidR="006F64AE" w:rsidRPr="00DC442D">
        <w:t xml:space="preserve">000 </w:t>
      </w:r>
      <w:r w:rsidR="007D4F6A" w:rsidRPr="00DC442D">
        <w:t>C</w:t>
      </w:r>
      <w:r w:rsidR="004D7071" w:rsidRPr="00DC442D">
        <w:t>HF del presupuesto del País Anfi</w:t>
      </w:r>
      <w:r w:rsidR="007D4F6A" w:rsidRPr="00DC442D">
        <w:t>trión – como se indica en el</w:t>
      </w:r>
      <w:r w:rsidR="006F64AE" w:rsidRPr="00DC442D">
        <w:rPr>
          <w:lang w:eastAsia="ja-JP"/>
        </w:rPr>
        <w:t xml:space="preserve"> §3.7 </w:t>
      </w:r>
      <w:r w:rsidR="007D4F6A" w:rsidRPr="00DC442D">
        <w:rPr>
          <w:lang w:eastAsia="ja-JP"/>
        </w:rPr>
        <w:t>de este Informe, ya se ha presentado la solicitud para el préstamo de 150 millones CHF</w:t>
      </w:r>
      <w:r w:rsidR="006F64AE" w:rsidRPr="00DC442D">
        <w:rPr>
          <w:lang w:eastAsia="ja-JP"/>
        </w:rPr>
        <w:t>.</w:t>
      </w:r>
      <w:bookmarkEnd w:id="124"/>
    </w:p>
    <w:p w14:paraId="3C0EA81E" w14:textId="20D67C85" w:rsidR="006F64AE" w:rsidRPr="00DC442D" w:rsidRDefault="004E4657" w:rsidP="00F75511">
      <w:pPr>
        <w:pStyle w:val="enumlev1"/>
        <w:rPr>
          <w:rFonts w:asciiTheme="minorHAnsi" w:hAnsiTheme="minorHAnsi" w:cstheme="minorHAnsi"/>
          <w:color w:val="000000" w:themeColor="text1"/>
          <w:lang w:eastAsia="ja-JP"/>
        </w:rPr>
      </w:pPr>
      <w:bookmarkStart w:id="125" w:name="lt_pId160"/>
      <w:r w:rsidRPr="00DC442D">
        <w:t>•</w:t>
      </w:r>
      <w:r w:rsidRPr="00DC442D">
        <w:tab/>
      </w:r>
      <w:r w:rsidR="006F64AE" w:rsidRPr="00DC442D">
        <w:rPr>
          <w:rFonts w:asciiTheme="minorHAnsi" w:hAnsiTheme="minorHAnsi" w:cstheme="minorHAnsi"/>
          <w:color w:val="000000" w:themeColor="text1"/>
        </w:rPr>
        <w:t>5</w:t>
      </w:r>
      <w:r w:rsidR="007D4F6A" w:rsidRPr="00DC442D">
        <w:rPr>
          <w:rFonts w:asciiTheme="minorHAnsi" w:hAnsiTheme="minorHAnsi" w:cstheme="minorHAnsi"/>
          <w:color w:val="000000" w:themeColor="text1"/>
        </w:rPr>
        <w:t xml:space="preserve"> </w:t>
      </w:r>
      <w:r w:rsidR="006F64AE" w:rsidRPr="00DC442D">
        <w:rPr>
          <w:rFonts w:asciiTheme="minorHAnsi" w:hAnsiTheme="minorHAnsi" w:cstheme="minorHAnsi"/>
          <w:color w:val="000000" w:themeColor="text1"/>
        </w:rPr>
        <w:t>000</w:t>
      </w:r>
      <w:r w:rsidR="007D4F6A" w:rsidRPr="00DC442D">
        <w:rPr>
          <w:rFonts w:asciiTheme="minorHAnsi" w:hAnsiTheme="minorHAnsi" w:cstheme="minorHAnsi"/>
          <w:color w:val="000000" w:themeColor="text1"/>
        </w:rPr>
        <w:t xml:space="preserve"> </w:t>
      </w:r>
      <w:r w:rsidR="006F64AE" w:rsidRPr="00DC442D">
        <w:rPr>
          <w:rFonts w:asciiTheme="minorHAnsi" w:hAnsiTheme="minorHAnsi" w:cstheme="minorHAnsi"/>
          <w:color w:val="000000" w:themeColor="text1"/>
        </w:rPr>
        <w:t xml:space="preserve">000 </w:t>
      </w:r>
      <w:r w:rsidR="007D4F6A" w:rsidRPr="00DC442D">
        <w:rPr>
          <w:rFonts w:asciiTheme="minorHAnsi" w:hAnsiTheme="minorHAnsi" w:cstheme="minorHAnsi"/>
          <w:color w:val="000000" w:themeColor="text1"/>
        </w:rPr>
        <w:t>CHF del Fondo del nuevo edificio</w:t>
      </w:r>
      <w:r w:rsidR="006F64AE" w:rsidRPr="00DC442D">
        <w:rPr>
          <w:rFonts w:asciiTheme="minorHAnsi" w:hAnsiTheme="minorHAnsi" w:cstheme="minorHAnsi"/>
          <w:color w:val="000000" w:themeColor="text1"/>
        </w:rPr>
        <w:t>.</w:t>
      </w:r>
      <w:bookmarkEnd w:id="125"/>
    </w:p>
    <w:p w14:paraId="1954488A" w14:textId="4B5C4B29" w:rsidR="006F64AE" w:rsidRPr="00DC442D" w:rsidRDefault="004E4657" w:rsidP="00F75511">
      <w:pPr>
        <w:pStyle w:val="enumlev1"/>
        <w:rPr>
          <w:rFonts w:asciiTheme="minorHAnsi" w:hAnsiTheme="minorHAnsi" w:cstheme="minorHAnsi"/>
          <w:color w:val="000000" w:themeColor="text1"/>
          <w:lang w:eastAsia="ja-JP"/>
        </w:rPr>
      </w:pPr>
      <w:bookmarkStart w:id="126" w:name="lt_pId161"/>
      <w:r w:rsidRPr="00DC442D">
        <w:t>•</w:t>
      </w:r>
      <w:r w:rsidRPr="00DC442D">
        <w:tab/>
      </w:r>
      <w:r w:rsidR="006F64AE" w:rsidRPr="00DC442D">
        <w:rPr>
          <w:rFonts w:asciiTheme="minorHAnsi" w:hAnsiTheme="minorHAnsi" w:cstheme="minorHAnsi"/>
          <w:color w:val="000000" w:themeColor="text1"/>
        </w:rPr>
        <w:t>15</w:t>
      </w:r>
      <w:r w:rsidR="007D4F6A" w:rsidRPr="00DC442D">
        <w:rPr>
          <w:rFonts w:asciiTheme="minorHAnsi" w:hAnsiTheme="minorHAnsi" w:cstheme="minorHAnsi"/>
          <w:color w:val="000000" w:themeColor="text1"/>
        </w:rPr>
        <w:t xml:space="preserve"> </w:t>
      </w:r>
      <w:r w:rsidR="006F64AE" w:rsidRPr="00DC442D">
        <w:rPr>
          <w:rFonts w:asciiTheme="minorHAnsi" w:hAnsiTheme="minorHAnsi" w:cstheme="minorHAnsi"/>
          <w:color w:val="000000" w:themeColor="text1"/>
        </w:rPr>
        <w:t>140</w:t>
      </w:r>
      <w:r w:rsidR="007D4F6A" w:rsidRPr="00DC442D">
        <w:rPr>
          <w:rFonts w:asciiTheme="minorHAnsi" w:hAnsiTheme="minorHAnsi" w:cstheme="minorHAnsi"/>
          <w:color w:val="000000" w:themeColor="text1"/>
        </w:rPr>
        <w:t xml:space="preserve"> </w:t>
      </w:r>
      <w:r w:rsidR="006F64AE" w:rsidRPr="00DC442D">
        <w:rPr>
          <w:rFonts w:asciiTheme="minorHAnsi" w:hAnsiTheme="minorHAnsi" w:cstheme="minorHAnsi"/>
          <w:color w:val="000000" w:themeColor="text1"/>
        </w:rPr>
        <w:t xml:space="preserve">000 </w:t>
      </w:r>
      <w:r w:rsidR="007D4F6A" w:rsidRPr="00DC442D">
        <w:rPr>
          <w:rFonts w:asciiTheme="minorHAnsi" w:hAnsiTheme="minorHAnsi" w:cstheme="minorHAnsi"/>
          <w:color w:val="000000" w:themeColor="text1"/>
        </w:rPr>
        <w:t>CH</w:t>
      </w:r>
      <w:r w:rsidR="004D7071" w:rsidRPr="00DC442D">
        <w:rPr>
          <w:rFonts w:asciiTheme="minorHAnsi" w:hAnsiTheme="minorHAnsi" w:cstheme="minorHAnsi"/>
          <w:color w:val="000000" w:themeColor="text1"/>
        </w:rPr>
        <w:t>F de patrocinios y donaciones –</w:t>
      </w:r>
      <w:r w:rsidR="007D4F6A" w:rsidRPr="00DC442D">
        <w:rPr>
          <w:rFonts w:asciiTheme="minorHAnsi" w:hAnsiTheme="minorHAnsi" w:cstheme="minorHAnsi"/>
          <w:color w:val="000000" w:themeColor="text1"/>
        </w:rPr>
        <w:t xml:space="preserve"> a </w:t>
      </w:r>
      <w:proofErr w:type="gramStart"/>
      <w:r w:rsidR="007D4F6A" w:rsidRPr="00DC442D">
        <w:rPr>
          <w:rFonts w:asciiTheme="minorHAnsi" w:hAnsiTheme="minorHAnsi" w:cstheme="minorHAnsi"/>
          <w:color w:val="000000" w:themeColor="text1"/>
        </w:rPr>
        <w:t>continuación</w:t>
      </w:r>
      <w:proofErr w:type="gramEnd"/>
      <w:r w:rsidR="007D4F6A" w:rsidRPr="00DC442D">
        <w:rPr>
          <w:rFonts w:asciiTheme="minorHAnsi" w:hAnsiTheme="minorHAnsi" w:cstheme="minorHAnsi"/>
          <w:color w:val="000000" w:themeColor="text1"/>
        </w:rPr>
        <w:t xml:space="preserve"> se desglosan los fondos actualmente disponibles y los patrocinios y donaciones efectivamente recibidos</w:t>
      </w:r>
      <w:r w:rsidR="006F64AE" w:rsidRPr="00DC442D">
        <w:rPr>
          <w:rFonts w:asciiTheme="minorHAnsi" w:hAnsiTheme="minorHAnsi" w:cstheme="minorHAnsi"/>
          <w:color w:val="000000" w:themeColor="text1"/>
          <w:lang w:eastAsia="ja-JP"/>
        </w:rPr>
        <w:t>:</w:t>
      </w:r>
      <w:bookmarkEnd w:id="126"/>
    </w:p>
    <w:p w14:paraId="516F8E1A" w14:textId="77777777" w:rsidR="006F64AE" w:rsidRPr="00DC442D" w:rsidRDefault="006F64AE" w:rsidP="00F75511">
      <w:pPr>
        <w:pStyle w:val="ListParagraph"/>
        <w:spacing w:before="120"/>
        <w:ind w:left="1786"/>
        <w:jc w:val="both"/>
        <w:rPr>
          <w:rFonts w:asciiTheme="minorHAnsi" w:hAnsiTheme="minorHAnsi" w:cstheme="minorHAnsi"/>
          <w:color w:val="000000" w:themeColor="text1"/>
          <w:sz w:val="24"/>
          <w:lang w:val="es-ES_tradnl" w:eastAsia="ja-JP"/>
        </w:rPr>
      </w:pPr>
    </w:p>
    <w:tbl>
      <w:tblPr>
        <w:tblW w:w="4280" w:type="dxa"/>
        <w:tblCellMar>
          <w:left w:w="0" w:type="dxa"/>
          <w:right w:w="0" w:type="dxa"/>
        </w:tblCellMar>
        <w:tblLook w:val="04A0" w:firstRow="1" w:lastRow="0" w:firstColumn="1" w:lastColumn="0" w:noHBand="0" w:noVBand="1"/>
      </w:tblPr>
      <w:tblGrid>
        <w:gridCol w:w="9639"/>
      </w:tblGrid>
      <w:tr w:rsidR="006F64AE" w:rsidRPr="00DC442D" w14:paraId="1C9A0699" w14:textId="77777777" w:rsidTr="00B52BCF">
        <w:trPr>
          <w:trHeight w:val="300"/>
        </w:trPr>
        <w:tc>
          <w:tcPr>
            <w:tcW w:w="1400" w:type="dxa"/>
            <w:noWrap/>
            <w:tcMar>
              <w:top w:w="0" w:type="dxa"/>
              <w:left w:w="108" w:type="dxa"/>
              <w:bottom w:w="0" w:type="dxa"/>
              <w:right w:w="108" w:type="dxa"/>
            </w:tcMar>
            <w:vAlign w:val="bottom"/>
            <w:hideMark/>
          </w:tcPr>
          <w:tbl>
            <w:tblPr>
              <w:tblW w:w="7830" w:type="dxa"/>
              <w:tblInd w:w="1680" w:type="dxa"/>
              <w:tblCellMar>
                <w:left w:w="0" w:type="dxa"/>
                <w:right w:w="0" w:type="dxa"/>
              </w:tblCellMar>
              <w:tblLook w:val="04A0" w:firstRow="1" w:lastRow="0" w:firstColumn="1" w:lastColumn="0" w:noHBand="0" w:noVBand="1"/>
            </w:tblPr>
            <w:tblGrid>
              <w:gridCol w:w="1730"/>
              <w:gridCol w:w="4394"/>
              <w:gridCol w:w="1706"/>
            </w:tblGrid>
            <w:tr w:rsidR="006F64AE" w:rsidRPr="00DC442D" w14:paraId="2BF3E533" w14:textId="77777777" w:rsidTr="00B52BCF">
              <w:trPr>
                <w:trHeight w:val="322"/>
              </w:trPr>
              <w:tc>
                <w:tcPr>
                  <w:tcW w:w="17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FAB6F96" w14:textId="10E2B1B5" w:rsidR="006F64AE" w:rsidRPr="00DC442D" w:rsidRDefault="007D4F6A" w:rsidP="00F75511">
                  <w:pPr>
                    <w:pStyle w:val="Tablehead"/>
                    <w:rPr>
                      <w:lang w:eastAsia="en-GB"/>
                    </w:rPr>
                  </w:pPr>
                  <w:bookmarkStart w:id="127" w:name="lt_pId162"/>
                  <w:r w:rsidRPr="00DC442D">
                    <w:rPr>
                      <w:lang w:eastAsia="en-GB"/>
                    </w:rPr>
                    <w:t>Tipo de financiación</w:t>
                  </w:r>
                  <w:bookmarkEnd w:id="127"/>
                </w:p>
              </w:tc>
              <w:tc>
                <w:tcPr>
                  <w:tcW w:w="43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2EE495CD" w14:textId="09A9AAF1" w:rsidR="006F64AE" w:rsidRPr="00DC442D" w:rsidRDefault="007D4F6A" w:rsidP="00F75511">
                  <w:pPr>
                    <w:pStyle w:val="Tablehead"/>
                    <w:rPr>
                      <w:lang w:eastAsia="en-GB"/>
                    </w:rPr>
                  </w:pPr>
                  <w:r w:rsidRPr="00DC442D">
                    <w:rPr>
                      <w:lang w:eastAsia="en-GB"/>
                    </w:rPr>
                    <w:t>País</w:t>
                  </w:r>
                </w:p>
              </w:tc>
              <w:tc>
                <w:tcPr>
                  <w:tcW w:w="1706" w:type="dxa"/>
                  <w:tcBorders>
                    <w:top w:val="single" w:sz="4" w:space="0" w:color="auto"/>
                    <w:left w:val="single" w:sz="4" w:space="0" w:color="auto"/>
                    <w:bottom w:val="single" w:sz="4" w:space="0" w:color="auto"/>
                    <w:right w:val="single" w:sz="4" w:space="0" w:color="auto"/>
                  </w:tcBorders>
                  <w:vAlign w:val="bottom"/>
                </w:tcPr>
                <w:p w14:paraId="125397D1" w14:textId="457A0BC1" w:rsidR="006F64AE" w:rsidRPr="00DC442D" w:rsidRDefault="007D4F6A" w:rsidP="00F75511">
                  <w:pPr>
                    <w:pStyle w:val="Tablehead"/>
                    <w:rPr>
                      <w:lang w:eastAsia="en-GB"/>
                    </w:rPr>
                  </w:pPr>
                  <w:r w:rsidRPr="00DC442D">
                    <w:rPr>
                      <w:lang w:eastAsia="en-GB"/>
                    </w:rPr>
                    <w:t>Importe recibido</w:t>
                  </w:r>
                </w:p>
              </w:tc>
            </w:tr>
            <w:tr w:rsidR="006F64AE" w:rsidRPr="00DC442D" w14:paraId="324DCB68" w14:textId="77777777" w:rsidTr="00B52BCF">
              <w:trPr>
                <w:trHeight w:val="322"/>
              </w:trPr>
              <w:tc>
                <w:tcPr>
                  <w:tcW w:w="1730" w:type="dxa"/>
                  <w:tcBorders>
                    <w:top w:val="single"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46AC98D0" w14:textId="6F191A67" w:rsidR="006F64AE" w:rsidRPr="00DC442D" w:rsidRDefault="007D4F6A" w:rsidP="00F75511">
                  <w:pPr>
                    <w:pStyle w:val="Tabletext"/>
                    <w:rPr>
                      <w:lang w:eastAsia="en-GB"/>
                    </w:rPr>
                  </w:pPr>
                  <w:r w:rsidRPr="00DC442D">
                    <w:rPr>
                      <w:lang w:eastAsia="en-GB"/>
                    </w:rPr>
                    <w:t>Patrocinio</w:t>
                  </w:r>
                </w:p>
              </w:tc>
              <w:tc>
                <w:tcPr>
                  <w:tcW w:w="4394" w:type="dxa"/>
                  <w:tcBorders>
                    <w:top w:val="single"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666F41BF" w14:textId="5A363820" w:rsidR="006F64AE" w:rsidRPr="00DC442D" w:rsidRDefault="007D4F6A" w:rsidP="00F75511">
                  <w:pPr>
                    <w:pStyle w:val="Tabletext"/>
                    <w:rPr>
                      <w:lang w:eastAsia="en-GB"/>
                    </w:rPr>
                  </w:pPr>
                  <w:bookmarkStart w:id="128" w:name="lt_pId166"/>
                  <w:r w:rsidRPr="00DC442D">
                    <w:rPr>
                      <w:lang w:eastAsia="en-GB"/>
                    </w:rPr>
                    <w:t xml:space="preserve">Arabia </w:t>
                  </w:r>
                  <w:r w:rsidR="006F64AE" w:rsidRPr="00DC442D">
                    <w:rPr>
                      <w:lang w:eastAsia="en-GB"/>
                    </w:rPr>
                    <w:t>Saudi</w:t>
                  </w:r>
                  <w:r w:rsidRPr="00DC442D">
                    <w:rPr>
                      <w:lang w:eastAsia="en-GB"/>
                    </w:rPr>
                    <w:t>ta</w:t>
                  </w:r>
                  <w:r w:rsidR="006F64AE" w:rsidRPr="00DC442D">
                    <w:rPr>
                      <w:lang w:eastAsia="en-GB"/>
                    </w:rPr>
                    <w:t xml:space="preserve"> (10</w:t>
                  </w:r>
                  <w:r w:rsidRPr="00DC442D">
                    <w:rPr>
                      <w:lang w:eastAsia="en-GB"/>
                    </w:rPr>
                    <w:t xml:space="preserve"> </w:t>
                  </w:r>
                  <w:r w:rsidR="006F64AE" w:rsidRPr="00DC442D">
                    <w:rPr>
                      <w:lang w:eastAsia="en-GB"/>
                    </w:rPr>
                    <w:t>000</w:t>
                  </w:r>
                  <w:r w:rsidRPr="00DC442D">
                    <w:rPr>
                      <w:lang w:eastAsia="en-GB"/>
                    </w:rPr>
                    <w:t xml:space="preserve"> </w:t>
                  </w:r>
                  <w:r w:rsidR="006F64AE" w:rsidRPr="00DC442D">
                    <w:rPr>
                      <w:lang w:eastAsia="en-GB"/>
                    </w:rPr>
                    <w:t>000</w:t>
                  </w:r>
                  <w:r w:rsidRPr="00DC442D">
                    <w:rPr>
                      <w:lang w:eastAsia="en-GB"/>
                    </w:rPr>
                    <w:t xml:space="preserve"> CHF</w:t>
                  </w:r>
                  <w:r w:rsidR="006F64AE" w:rsidRPr="00DC442D">
                    <w:rPr>
                      <w:lang w:eastAsia="en-GB"/>
                    </w:rPr>
                    <w:t>)</w:t>
                  </w:r>
                  <w:bookmarkEnd w:id="128"/>
                </w:p>
              </w:tc>
              <w:tc>
                <w:tcPr>
                  <w:tcW w:w="1706" w:type="dxa"/>
                  <w:tcBorders>
                    <w:top w:val="single" w:sz="4" w:space="0" w:color="auto"/>
                    <w:left w:val="single" w:sz="4" w:space="0" w:color="auto"/>
                    <w:bottom w:val="dashSmallGap" w:sz="4" w:space="0" w:color="auto"/>
                    <w:right w:val="single" w:sz="4" w:space="0" w:color="auto"/>
                  </w:tcBorders>
                  <w:vAlign w:val="bottom"/>
                </w:tcPr>
                <w:p w14:paraId="553A2297" w14:textId="0C7B3B82" w:rsidR="006F64AE" w:rsidRPr="00DC442D" w:rsidRDefault="006F64AE" w:rsidP="00F75511">
                  <w:pPr>
                    <w:pStyle w:val="Tabletext"/>
                    <w:jc w:val="center"/>
                    <w:rPr>
                      <w:color w:val="000000"/>
                      <w:lang w:eastAsia="en-GB"/>
                    </w:rPr>
                  </w:pPr>
                  <w:r w:rsidRPr="00DC442D">
                    <w:rPr>
                      <w:color w:val="000000"/>
                      <w:lang w:eastAsia="en-GB"/>
                    </w:rPr>
                    <w:t>2</w:t>
                  </w:r>
                  <w:r w:rsidR="007D4F6A" w:rsidRPr="00DC442D">
                    <w:rPr>
                      <w:color w:val="000000"/>
                      <w:lang w:eastAsia="en-GB"/>
                    </w:rPr>
                    <w:t xml:space="preserve"> </w:t>
                  </w:r>
                  <w:r w:rsidRPr="00DC442D">
                    <w:rPr>
                      <w:color w:val="000000"/>
                      <w:lang w:eastAsia="en-GB"/>
                    </w:rPr>
                    <w:t>000</w:t>
                  </w:r>
                  <w:r w:rsidR="007D4F6A" w:rsidRPr="00DC442D">
                    <w:rPr>
                      <w:color w:val="000000"/>
                      <w:lang w:eastAsia="en-GB"/>
                    </w:rPr>
                    <w:t xml:space="preserve"> </w:t>
                  </w:r>
                  <w:r w:rsidRPr="00DC442D">
                    <w:rPr>
                      <w:color w:val="000000"/>
                      <w:lang w:eastAsia="en-GB"/>
                    </w:rPr>
                    <w:t>000</w:t>
                  </w:r>
                  <w:r w:rsidR="007D4F6A" w:rsidRPr="00DC442D">
                    <w:rPr>
                      <w:color w:val="000000"/>
                      <w:lang w:eastAsia="en-GB"/>
                    </w:rPr>
                    <w:t>,</w:t>
                  </w:r>
                  <w:r w:rsidRPr="00DC442D">
                    <w:rPr>
                      <w:color w:val="000000"/>
                      <w:lang w:eastAsia="en-GB"/>
                    </w:rPr>
                    <w:t>00</w:t>
                  </w:r>
                </w:p>
              </w:tc>
            </w:tr>
            <w:tr w:rsidR="006F64AE" w:rsidRPr="00DC442D" w14:paraId="6BCD2022" w14:textId="77777777" w:rsidTr="00B52BCF">
              <w:trPr>
                <w:trHeight w:val="198"/>
              </w:trPr>
              <w:tc>
                <w:tcPr>
                  <w:tcW w:w="1730"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6D81125F" w14:textId="66A3BF33" w:rsidR="006F64AE" w:rsidRPr="00DC442D" w:rsidRDefault="007D4F6A" w:rsidP="00F75511">
                  <w:pPr>
                    <w:pStyle w:val="Tabletext"/>
                    <w:rPr>
                      <w:lang w:eastAsia="en-GB"/>
                    </w:rPr>
                  </w:pPr>
                  <w:r w:rsidRPr="00DC442D">
                    <w:rPr>
                      <w:lang w:eastAsia="en-GB"/>
                    </w:rPr>
                    <w:t>Patrocinio</w:t>
                  </w:r>
                </w:p>
              </w:tc>
              <w:tc>
                <w:tcPr>
                  <w:tcW w:w="4394"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hideMark/>
                </w:tcPr>
                <w:p w14:paraId="0BAAAC31" w14:textId="1410E228" w:rsidR="006F64AE" w:rsidRPr="00DC442D" w:rsidRDefault="007D4F6A" w:rsidP="00F75511">
                  <w:pPr>
                    <w:pStyle w:val="Tabletext"/>
                    <w:rPr>
                      <w:lang w:eastAsia="en-GB"/>
                    </w:rPr>
                  </w:pPr>
                  <w:bookmarkStart w:id="129" w:name="lt_pId169"/>
                  <w:r w:rsidRPr="00DC442D">
                    <w:rPr>
                      <w:lang w:eastAsia="en-GB"/>
                    </w:rPr>
                    <w:t>Emiratos Árabes Unidos</w:t>
                  </w:r>
                  <w:r w:rsidR="006F64AE" w:rsidRPr="00DC442D">
                    <w:rPr>
                      <w:lang w:eastAsia="en-GB"/>
                    </w:rPr>
                    <w:t xml:space="preserve"> (5</w:t>
                  </w:r>
                  <w:r w:rsidRPr="00DC442D">
                    <w:rPr>
                      <w:lang w:eastAsia="en-GB"/>
                    </w:rPr>
                    <w:t xml:space="preserve"> </w:t>
                  </w:r>
                  <w:r w:rsidR="006F64AE" w:rsidRPr="00DC442D">
                    <w:rPr>
                      <w:lang w:eastAsia="en-GB"/>
                    </w:rPr>
                    <w:t>000</w:t>
                  </w:r>
                  <w:r w:rsidRPr="00DC442D">
                    <w:rPr>
                      <w:lang w:eastAsia="en-GB"/>
                    </w:rPr>
                    <w:t xml:space="preserve"> </w:t>
                  </w:r>
                  <w:r w:rsidR="006F64AE" w:rsidRPr="00DC442D">
                    <w:rPr>
                      <w:lang w:eastAsia="en-GB"/>
                    </w:rPr>
                    <w:t>000</w:t>
                  </w:r>
                  <w:r w:rsidRPr="00DC442D">
                    <w:rPr>
                      <w:lang w:eastAsia="en-GB"/>
                    </w:rPr>
                    <w:t xml:space="preserve"> CHF</w:t>
                  </w:r>
                  <w:r w:rsidR="006F64AE" w:rsidRPr="00DC442D">
                    <w:rPr>
                      <w:lang w:eastAsia="en-GB"/>
                    </w:rPr>
                    <w:t>)</w:t>
                  </w:r>
                  <w:bookmarkEnd w:id="129"/>
                </w:p>
              </w:tc>
              <w:tc>
                <w:tcPr>
                  <w:tcW w:w="1706" w:type="dxa"/>
                  <w:tcBorders>
                    <w:top w:val="dashSmallGap" w:sz="4" w:space="0" w:color="auto"/>
                    <w:left w:val="single" w:sz="4" w:space="0" w:color="auto"/>
                    <w:bottom w:val="dashSmallGap" w:sz="4" w:space="0" w:color="auto"/>
                    <w:right w:val="single" w:sz="4" w:space="0" w:color="auto"/>
                  </w:tcBorders>
                  <w:vAlign w:val="bottom"/>
                </w:tcPr>
                <w:p w14:paraId="2D9C9A03" w14:textId="1F5924AB" w:rsidR="006F64AE" w:rsidRPr="00DC442D" w:rsidRDefault="006F64AE" w:rsidP="00F75511">
                  <w:pPr>
                    <w:pStyle w:val="Tabletext"/>
                    <w:jc w:val="center"/>
                    <w:rPr>
                      <w:color w:val="000000"/>
                      <w:lang w:eastAsia="en-GB"/>
                    </w:rPr>
                  </w:pPr>
                  <w:r w:rsidRPr="00DC442D">
                    <w:rPr>
                      <w:color w:val="000000"/>
                      <w:lang w:eastAsia="en-GB"/>
                    </w:rPr>
                    <w:t>1</w:t>
                  </w:r>
                  <w:r w:rsidR="007D4F6A" w:rsidRPr="00DC442D">
                    <w:rPr>
                      <w:color w:val="000000"/>
                      <w:lang w:eastAsia="en-GB"/>
                    </w:rPr>
                    <w:t xml:space="preserve"> </w:t>
                  </w:r>
                  <w:r w:rsidRPr="00DC442D">
                    <w:rPr>
                      <w:color w:val="000000"/>
                      <w:lang w:eastAsia="en-GB"/>
                    </w:rPr>
                    <w:t>000</w:t>
                  </w:r>
                  <w:r w:rsidR="007D4F6A" w:rsidRPr="00DC442D">
                    <w:rPr>
                      <w:color w:val="000000"/>
                      <w:lang w:eastAsia="en-GB"/>
                    </w:rPr>
                    <w:t xml:space="preserve"> </w:t>
                  </w:r>
                  <w:r w:rsidRPr="00DC442D">
                    <w:rPr>
                      <w:color w:val="000000"/>
                      <w:lang w:eastAsia="en-GB"/>
                    </w:rPr>
                    <w:t>000</w:t>
                  </w:r>
                  <w:r w:rsidR="007D4F6A" w:rsidRPr="00DC442D">
                    <w:rPr>
                      <w:color w:val="000000"/>
                      <w:lang w:eastAsia="en-GB"/>
                    </w:rPr>
                    <w:t>,</w:t>
                  </w:r>
                  <w:r w:rsidRPr="00DC442D">
                    <w:rPr>
                      <w:color w:val="000000"/>
                      <w:lang w:eastAsia="en-GB"/>
                    </w:rPr>
                    <w:t>00</w:t>
                  </w:r>
                </w:p>
              </w:tc>
            </w:tr>
            <w:tr w:rsidR="006F64AE" w:rsidRPr="00DC442D" w14:paraId="2603163D" w14:textId="77777777" w:rsidTr="00B52BCF">
              <w:trPr>
                <w:trHeight w:val="300"/>
              </w:trPr>
              <w:tc>
                <w:tcPr>
                  <w:tcW w:w="1730"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37569749" w14:textId="6DF103BA" w:rsidR="006F64AE" w:rsidRPr="00DC442D" w:rsidRDefault="007D4F6A" w:rsidP="00F75511">
                  <w:pPr>
                    <w:pStyle w:val="Tabletext"/>
                    <w:rPr>
                      <w:lang w:eastAsia="en-GB"/>
                    </w:rPr>
                  </w:pPr>
                  <w:r w:rsidRPr="00DC442D">
                    <w:rPr>
                      <w:lang w:eastAsia="en-GB"/>
                    </w:rPr>
                    <w:t>Donación</w:t>
                  </w:r>
                </w:p>
              </w:tc>
              <w:tc>
                <w:tcPr>
                  <w:tcW w:w="4394"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hideMark/>
                </w:tcPr>
                <w:p w14:paraId="0FF6AAC2" w14:textId="589D6B3A" w:rsidR="006F64AE" w:rsidRPr="00DC442D" w:rsidRDefault="007D4F6A" w:rsidP="00F75511">
                  <w:pPr>
                    <w:pStyle w:val="Tabletext"/>
                    <w:rPr>
                      <w:lang w:eastAsia="en-GB"/>
                    </w:rPr>
                  </w:pPr>
                  <w:bookmarkStart w:id="130" w:name="lt_pId172"/>
                  <w:r w:rsidRPr="00DC442D">
                    <w:rPr>
                      <w:lang w:eastAsia="en-GB"/>
                    </w:rPr>
                    <w:t>República Checa</w:t>
                  </w:r>
                  <w:r w:rsidR="006F64AE" w:rsidRPr="00DC442D">
                    <w:rPr>
                      <w:lang w:eastAsia="en-GB"/>
                    </w:rPr>
                    <w:t xml:space="preserve"> (100</w:t>
                  </w:r>
                  <w:r w:rsidRPr="00DC442D">
                    <w:rPr>
                      <w:lang w:eastAsia="en-GB"/>
                    </w:rPr>
                    <w:t xml:space="preserve"> </w:t>
                  </w:r>
                  <w:r w:rsidR="006F64AE" w:rsidRPr="00DC442D">
                    <w:rPr>
                      <w:lang w:eastAsia="en-GB"/>
                    </w:rPr>
                    <w:t>000</w:t>
                  </w:r>
                  <w:r w:rsidRPr="00DC442D">
                    <w:rPr>
                      <w:lang w:eastAsia="en-GB"/>
                    </w:rPr>
                    <w:t xml:space="preserve"> USD</w:t>
                  </w:r>
                  <w:r w:rsidR="006F64AE" w:rsidRPr="00DC442D">
                    <w:rPr>
                      <w:lang w:eastAsia="en-GB"/>
                    </w:rPr>
                    <w:t>)</w:t>
                  </w:r>
                  <w:bookmarkEnd w:id="130"/>
                </w:p>
              </w:tc>
              <w:tc>
                <w:tcPr>
                  <w:tcW w:w="1706" w:type="dxa"/>
                  <w:tcBorders>
                    <w:top w:val="dashSmallGap" w:sz="4" w:space="0" w:color="auto"/>
                    <w:left w:val="single" w:sz="4" w:space="0" w:color="auto"/>
                    <w:bottom w:val="dashSmallGap" w:sz="4" w:space="0" w:color="auto"/>
                    <w:right w:val="single" w:sz="4" w:space="0" w:color="auto"/>
                  </w:tcBorders>
                  <w:vAlign w:val="bottom"/>
                </w:tcPr>
                <w:p w14:paraId="050182C9" w14:textId="6CB19934" w:rsidR="006F64AE" w:rsidRPr="00DC442D" w:rsidRDefault="006F64AE" w:rsidP="00F75511">
                  <w:pPr>
                    <w:pStyle w:val="Tabletext"/>
                    <w:jc w:val="center"/>
                    <w:rPr>
                      <w:color w:val="000000"/>
                      <w:lang w:eastAsia="en-GB"/>
                    </w:rPr>
                  </w:pPr>
                  <w:r w:rsidRPr="00DC442D">
                    <w:rPr>
                      <w:color w:val="000000"/>
                      <w:lang w:eastAsia="en-GB"/>
                    </w:rPr>
                    <w:t>95</w:t>
                  </w:r>
                  <w:r w:rsidR="007D4F6A" w:rsidRPr="00DC442D">
                    <w:rPr>
                      <w:color w:val="000000"/>
                      <w:lang w:eastAsia="en-GB"/>
                    </w:rPr>
                    <w:t xml:space="preserve"> </w:t>
                  </w:r>
                  <w:r w:rsidRPr="00DC442D">
                    <w:rPr>
                      <w:color w:val="000000"/>
                      <w:lang w:eastAsia="en-GB"/>
                    </w:rPr>
                    <w:t>251</w:t>
                  </w:r>
                  <w:r w:rsidR="007D4F6A" w:rsidRPr="00DC442D">
                    <w:rPr>
                      <w:color w:val="000000"/>
                      <w:lang w:eastAsia="en-GB"/>
                    </w:rPr>
                    <w:t>,</w:t>
                  </w:r>
                  <w:r w:rsidRPr="00DC442D">
                    <w:rPr>
                      <w:color w:val="000000"/>
                      <w:lang w:eastAsia="en-GB"/>
                    </w:rPr>
                    <w:t>40</w:t>
                  </w:r>
                </w:p>
              </w:tc>
            </w:tr>
            <w:tr w:rsidR="006F64AE" w:rsidRPr="00DC442D" w14:paraId="77E5F959" w14:textId="77777777" w:rsidTr="00B52BCF">
              <w:trPr>
                <w:trHeight w:val="300"/>
              </w:trPr>
              <w:tc>
                <w:tcPr>
                  <w:tcW w:w="1730"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5F78E4FF" w14:textId="10A6E851" w:rsidR="006F64AE" w:rsidRPr="00DC442D" w:rsidRDefault="007D4F6A" w:rsidP="00F75511">
                  <w:pPr>
                    <w:pStyle w:val="Tabletext"/>
                    <w:rPr>
                      <w:lang w:eastAsia="en-GB"/>
                    </w:rPr>
                  </w:pPr>
                  <w:r w:rsidRPr="00DC442D">
                    <w:rPr>
                      <w:lang w:eastAsia="en-GB"/>
                    </w:rPr>
                    <w:t>Donación</w:t>
                  </w:r>
                </w:p>
              </w:tc>
              <w:tc>
                <w:tcPr>
                  <w:tcW w:w="4394"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hideMark/>
                </w:tcPr>
                <w:p w14:paraId="3BF5E560" w14:textId="208271B3" w:rsidR="006F64AE" w:rsidRPr="00DC442D" w:rsidRDefault="006F64AE" w:rsidP="00F75511">
                  <w:pPr>
                    <w:pStyle w:val="Tabletext"/>
                    <w:rPr>
                      <w:lang w:eastAsia="en-GB"/>
                    </w:rPr>
                  </w:pPr>
                  <w:bookmarkStart w:id="131" w:name="lt_pId175"/>
                  <w:r w:rsidRPr="00DC442D">
                    <w:rPr>
                      <w:lang w:eastAsia="en-GB"/>
                    </w:rPr>
                    <w:t>Ghana (40</w:t>
                  </w:r>
                  <w:r w:rsidR="007D4F6A" w:rsidRPr="00DC442D">
                    <w:rPr>
                      <w:lang w:eastAsia="en-GB"/>
                    </w:rPr>
                    <w:t xml:space="preserve"> </w:t>
                  </w:r>
                  <w:r w:rsidRPr="00DC442D">
                    <w:rPr>
                      <w:lang w:eastAsia="en-GB"/>
                    </w:rPr>
                    <w:t>000</w:t>
                  </w:r>
                  <w:r w:rsidR="007D4F6A" w:rsidRPr="00DC442D">
                    <w:rPr>
                      <w:lang w:eastAsia="en-GB"/>
                    </w:rPr>
                    <w:t xml:space="preserve"> CHF</w:t>
                  </w:r>
                  <w:r w:rsidRPr="00DC442D">
                    <w:rPr>
                      <w:lang w:eastAsia="en-GB"/>
                    </w:rPr>
                    <w:t>)</w:t>
                  </w:r>
                  <w:bookmarkEnd w:id="131"/>
                </w:p>
              </w:tc>
              <w:tc>
                <w:tcPr>
                  <w:tcW w:w="1706" w:type="dxa"/>
                  <w:tcBorders>
                    <w:top w:val="dashSmallGap" w:sz="4" w:space="0" w:color="auto"/>
                    <w:left w:val="single" w:sz="4" w:space="0" w:color="auto"/>
                    <w:bottom w:val="dashSmallGap" w:sz="4" w:space="0" w:color="auto"/>
                    <w:right w:val="single" w:sz="4" w:space="0" w:color="auto"/>
                  </w:tcBorders>
                  <w:vAlign w:val="bottom"/>
                </w:tcPr>
                <w:p w14:paraId="636D6C70" w14:textId="3B3B731D" w:rsidR="006F64AE" w:rsidRPr="00DC442D" w:rsidRDefault="006F64AE" w:rsidP="00F75511">
                  <w:pPr>
                    <w:pStyle w:val="Tabletext"/>
                    <w:jc w:val="center"/>
                    <w:rPr>
                      <w:color w:val="000000"/>
                      <w:lang w:eastAsia="en-GB"/>
                    </w:rPr>
                  </w:pPr>
                  <w:r w:rsidRPr="00DC442D">
                    <w:rPr>
                      <w:lang w:eastAsia="en-GB"/>
                    </w:rPr>
                    <w:t>40</w:t>
                  </w:r>
                  <w:r w:rsidR="007D4F6A" w:rsidRPr="00DC442D">
                    <w:rPr>
                      <w:lang w:eastAsia="en-GB"/>
                    </w:rPr>
                    <w:t xml:space="preserve"> </w:t>
                  </w:r>
                  <w:r w:rsidRPr="00DC442D">
                    <w:rPr>
                      <w:color w:val="000000"/>
                      <w:lang w:eastAsia="en-GB"/>
                    </w:rPr>
                    <w:t>000</w:t>
                  </w:r>
                  <w:r w:rsidR="007D4F6A" w:rsidRPr="00DC442D">
                    <w:rPr>
                      <w:color w:val="000000"/>
                      <w:lang w:eastAsia="en-GB"/>
                    </w:rPr>
                    <w:t>,</w:t>
                  </w:r>
                  <w:r w:rsidRPr="00DC442D">
                    <w:rPr>
                      <w:color w:val="000000"/>
                      <w:lang w:eastAsia="en-GB"/>
                    </w:rPr>
                    <w:t>00</w:t>
                  </w:r>
                </w:p>
              </w:tc>
            </w:tr>
            <w:tr w:rsidR="006F64AE" w:rsidRPr="00DC442D" w14:paraId="00D47A04" w14:textId="77777777" w:rsidTr="00B52BCF">
              <w:trPr>
                <w:trHeight w:val="300"/>
              </w:trPr>
              <w:tc>
                <w:tcPr>
                  <w:tcW w:w="1730" w:type="dxa"/>
                  <w:tcBorders>
                    <w:top w:val="dashSmallGap"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4C9BC46A" w14:textId="3AAA6040" w:rsidR="006F64AE" w:rsidRPr="00DC442D" w:rsidRDefault="007D4F6A" w:rsidP="00F75511">
                  <w:pPr>
                    <w:pStyle w:val="Tabletext"/>
                    <w:rPr>
                      <w:lang w:eastAsia="en-GB"/>
                    </w:rPr>
                  </w:pPr>
                  <w:r w:rsidRPr="00DC442D">
                    <w:rPr>
                      <w:lang w:eastAsia="en-GB"/>
                    </w:rPr>
                    <w:t>Otros</w:t>
                  </w:r>
                </w:p>
              </w:tc>
              <w:tc>
                <w:tcPr>
                  <w:tcW w:w="4394" w:type="dxa"/>
                  <w:tcBorders>
                    <w:top w:val="dashSmallGap"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ECB04BB" w14:textId="7DFA1577" w:rsidR="006F64AE" w:rsidRPr="00DC442D" w:rsidRDefault="007D4F6A" w:rsidP="00F75511">
                  <w:pPr>
                    <w:pStyle w:val="Tabletext"/>
                    <w:rPr>
                      <w:lang w:eastAsia="en-GB"/>
                    </w:rPr>
                  </w:pPr>
                  <w:r w:rsidRPr="00DC442D">
                    <w:rPr>
                      <w:lang w:eastAsia="en-GB"/>
                    </w:rPr>
                    <w:t>Tasas de inscripción concurso de arquitectura</w:t>
                  </w:r>
                </w:p>
              </w:tc>
              <w:tc>
                <w:tcPr>
                  <w:tcW w:w="1706" w:type="dxa"/>
                  <w:tcBorders>
                    <w:top w:val="dashSmallGap" w:sz="4" w:space="0" w:color="auto"/>
                    <w:left w:val="single" w:sz="4" w:space="0" w:color="auto"/>
                    <w:bottom w:val="single" w:sz="4" w:space="0" w:color="auto"/>
                    <w:right w:val="single" w:sz="4" w:space="0" w:color="auto"/>
                  </w:tcBorders>
                  <w:vAlign w:val="bottom"/>
                </w:tcPr>
                <w:p w14:paraId="1D8134D4" w14:textId="5DBC8D43" w:rsidR="006F64AE" w:rsidRPr="00DC442D" w:rsidRDefault="006F64AE" w:rsidP="00F75511">
                  <w:pPr>
                    <w:pStyle w:val="Tabletext"/>
                    <w:jc w:val="center"/>
                    <w:rPr>
                      <w:color w:val="000000"/>
                      <w:lang w:eastAsia="en-GB"/>
                    </w:rPr>
                  </w:pPr>
                  <w:r w:rsidRPr="00DC442D">
                    <w:rPr>
                      <w:color w:val="000000"/>
                      <w:lang w:eastAsia="en-GB"/>
                    </w:rPr>
                    <w:t>46</w:t>
                  </w:r>
                  <w:r w:rsidR="007D4F6A" w:rsidRPr="00DC442D">
                    <w:rPr>
                      <w:color w:val="000000"/>
                      <w:lang w:eastAsia="en-GB"/>
                    </w:rPr>
                    <w:t xml:space="preserve"> </w:t>
                  </w:r>
                  <w:r w:rsidRPr="00DC442D">
                    <w:rPr>
                      <w:color w:val="000000"/>
                      <w:lang w:eastAsia="en-GB"/>
                    </w:rPr>
                    <w:t>935</w:t>
                  </w:r>
                  <w:r w:rsidR="007D4F6A" w:rsidRPr="00DC442D">
                    <w:rPr>
                      <w:color w:val="000000"/>
                      <w:lang w:eastAsia="en-GB"/>
                    </w:rPr>
                    <w:t>,</w:t>
                  </w:r>
                  <w:r w:rsidRPr="00DC442D">
                    <w:rPr>
                      <w:color w:val="000000"/>
                      <w:lang w:eastAsia="en-GB"/>
                    </w:rPr>
                    <w:t>47</w:t>
                  </w:r>
                </w:p>
              </w:tc>
            </w:tr>
            <w:tr w:rsidR="006F64AE" w:rsidRPr="00DC442D" w14:paraId="12F386FB" w14:textId="77777777" w:rsidTr="00B52BCF">
              <w:trPr>
                <w:trHeight w:val="300"/>
              </w:trPr>
              <w:tc>
                <w:tcPr>
                  <w:tcW w:w="1730" w:type="dxa"/>
                  <w:noWrap/>
                  <w:tcMar>
                    <w:top w:w="0" w:type="dxa"/>
                    <w:left w:w="108" w:type="dxa"/>
                    <w:bottom w:w="0" w:type="dxa"/>
                    <w:right w:w="108" w:type="dxa"/>
                  </w:tcMar>
                  <w:vAlign w:val="bottom"/>
                  <w:hideMark/>
                </w:tcPr>
                <w:p w14:paraId="7259AC7D" w14:textId="77777777" w:rsidR="006F64AE" w:rsidRPr="00DC442D" w:rsidRDefault="006F64AE" w:rsidP="00F75511">
                  <w:pPr>
                    <w:rPr>
                      <w:rFonts w:eastAsiaTheme="minorHAnsi"/>
                      <w:color w:val="000000"/>
                      <w:sz w:val="22"/>
                      <w:szCs w:val="22"/>
                      <w:lang w:eastAsia="en-GB"/>
                    </w:rPr>
                  </w:pPr>
                </w:p>
              </w:tc>
              <w:tc>
                <w:tcPr>
                  <w:tcW w:w="4394" w:type="dxa"/>
                  <w:noWrap/>
                  <w:tcMar>
                    <w:top w:w="0" w:type="dxa"/>
                    <w:left w:w="108" w:type="dxa"/>
                    <w:bottom w:w="0" w:type="dxa"/>
                    <w:right w:w="108" w:type="dxa"/>
                  </w:tcMar>
                  <w:vAlign w:val="bottom"/>
                  <w:hideMark/>
                </w:tcPr>
                <w:p w14:paraId="753B2AB9" w14:textId="5A9965C6" w:rsidR="006F64AE" w:rsidRPr="00DC442D" w:rsidRDefault="006F64AE" w:rsidP="00F75511">
                  <w:pPr>
                    <w:pStyle w:val="Tabletext"/>
                    <w:jc w:val="right"/>
                    <w:rPr>
                      <w:b/>
                      <w:bCs/>
                      <w:color w:val="000000"/>
                      <w:lang w:eastAsia="en-GB"/>
                    </w:rPr>
                  </w:pPr>
                  <w:bookmarkStart w:id="132" w:name="lt_pId180"/>
                  <w:proofErr w:type="gramStart"/>
                  <w:r w:rsidRPr="00DC442D">
                    <w:rPr>
                      <w:b/>
                      <w:bCs/>
                      <w:color w:val="000000"/>
                      <w:lang w:eastAsia="en-GB"/>
                    </w:rPr>
                    <w:t>TOTAL</w:t>
                  </w:r>
                  <w:proofErr w:type="gramEnd"/>
                  <w:r w:rsidRPr="00DC442D">
                    <w:rPr>
                      <w:b/>
                      <w:bCs/>
                      <w:color w:val="000000"/>
                      <w:lang w:eastAsia="en-GB"/>
                    </w:rPr>
                    <w:t xml:space="preserve"> </w:t>
                  </w:r>
                  <w:r w:rsidR="007D4F6A" w:rsidRPr="00DC442D">
                    <w:rPr>
                      <w:b/>
                      <w:bCs/>
                      <w:color w:val="000000"/>
                      <w:lang w:eastAsia="en-GB"/>
                    </w:rPr>
                    <w:t>e</w:t>
                  </w:r>
                  <w:r w:rsidRPr="00DC442D">
                    <w:rPr>
                      <w:b/>
                      <w:bCs/>
                      <w:color w:val="000000"/>
                      <w:lang w:eastAsia="en-GB"/>
                    </w:rPr>
                    <w:t>n CHF</w:t>
                  </w:r>
                  <w:bookmarkEnd w:id="132"/>
                </w:p>
              </w:tc>
              <w:tc>
                <w:tcPr>
                  <w:tcW w:w="1706" w:type="dxa"/>
                </w:tcPr>
                <w:p w14:paraId="79E2F590" w14:textId="35E782F4" w:rsidR="006F64AE" w:rsidRPr="00DC442D" w:rsidRDefault="006F64AE" w:rsidP="00F75511">
                  <w:pPr>
                    <w:pStyle w:val="Tabletext"/>
                    <w:jc w:val="center"/>
                    <w:rPr>
                      <w:b/>
                      <w:bCs/>
                      <w:color w:val="000000"/>
                      <w:lang w:eastAsia="en-GB"/>
                    </w:rPr>
                  </w:pPr>
                  <w:r w:rsidRPr="00DC442D">
                    <w:rPr>
                      <w:b/>
                      <w:bCs/>
                      <w:color w:val="000000"/>
                      <w:lang w:eastAsia="en-GB"/>
                    </w:rPr>
                    <w:t>3</w:t>
                  </w:r>
                  <w:r w:rsidR="007D4F6A" w:rsidRPr="00DC442D">
                    <w:rPr>
                      <w:b/>
                      <w:bCs/>
                      <w:color w:val="000000"/>
                      <w:lang w:eastAsia="en-GB"/>
                    </w:rPr>
                    <w:t xml:space="preserve"> </w:t>
                  </w:r>
                  <w:r w:rsidRPr="00DC442D">
                    <w:rPr>
                      <w:b/>
                      <w:bCs/>
                      <w:color w:val="000000"/>
                      <w:lang w:eastAsia="en-GB"/>
                    </w:rPr>
                    <w:t>182</w:t>
                  </w:r>
                  <w:r w:rsidR="007D4F6A" w:rsidRPr="00DC442D">
                    <w:rPr>
                      <w:b/>
                      <w:bCs/>
                      <w:color w:val="000000"/>
                      <w:lang w:eastAsia="en-GB"/>
                    </w:rPr>
                    <w:t xml:space="preserve"> </w:t>
                  </w:r>
                  <w:r w:rsidRPr="00DC442D">
                    <w:rPr>
                      <w:b/>
                      <w:bCs/>
                      <w:color w:val="000000"/>
                      <w:lang w:eastAsia="en-GB"/>
                    </w:rPr>
                    <w:t>186</w:t>
                  </w:r>
                  <w:r w:rsidR="007D4F6A" w:rsidRPr="00DC442D">
                    <w:rPr>
                      <w:b/>
                      <w:bCs/>
                      <w:color w:val="000000"/>
                      <w:lang w:eastAsia="en-GB"/>
                    </w:rPr>
                    <w:t>,</w:t>
                  </w:r>
                  <w:r w:rsidRPr="00DC442D">
                    <w:rPr>
                      <w:b/>
                      <w:bCs/>
                      <w:color w:val="000000"/>
                      <w:lang w:eastAsia="en-GB"/>
                    </w:rPr>
                    <w:t>87</w:t>
                  </w:r>
                </w:p>
              </w:tc>
            </w:tr>
          </w:tbl>
          <w:p w14:paraId="238E13CB" w14:textId="77777777" w:rsidR="006F64AE" w:rsidRPr="00DC442D" w:rsidRDefault="006F64AE" w:rsidP="00F75511">
            <w:pPr>
              <w:rPr>
                <w:rFonts w:ascii="Times New Roman" w:hAnsi="Times New Roman"/>
                <w:sz w:val="20"/>
                <w:lang w:eastAsia="en-GB"/>
              </w:rPr>
            </w:pPr>
          </w:p>
        </w:tc>
      </w:tr>
      <w:tr w:rsidR="006F64AE" w:rsidRPr="00DC442D" w14:paraId="6A429614" w14:textId="77777777" w:rsidTr="00B52BCF">
        <w:trPr>
          <w:trHeight w:val="300"/>
        </w:trPr>
        <w:tc>
          <w:tcPr>
            <w:tcW w:w="1400" w:type="dxa"/>
            <w:noWrap/>
            <w:tcMar>
              <w:top w:w="0" w:type="dxa"/>
              <w:left w:w="108" w:type="dxa"/>
              <w:bottom w:w="0" w:type="dxa"/>
              <w:right w:w="108" w:type="dxa"/>
            </w:tcMar>
            <w:vAlign w:val="bottom"/>
          </w:tcPr>
          <w:p w14:paraId="5BFBE9BB" w14:textId="77777777" w:rsidR="006F64AE" w:rsidRPr="00DC442D" w:rsidRDefault="006F64AE" w:rsidP="00F75511">
            <w:pPr>
              <w:rPr>
                <w:color w:val="000000"/>
                <w:lang w:eastAsia="en-GB"/>
              </w:rPr>
            </w:pPr>
          </w:p>
        </w:tc>
      </w:tr>
    </w:tbl>
    <w:p w14:paraId="178473BB" w14:textId="77FA7A58" w:rsidR="006F64AE" w:rsidRPr="00DC442D" w:rsidRDefault="007D4F6A" w:rsidP="00F75511">
      <w:bookmarkStart w:id="133" w:name="lt_pId182"/>
      <w:r w:rsidRPr="00DC442D">
        <w:rPr>
          <w:lang w:eastAsia="ja-JP"/>
        </w:rPr>
        <w:lastRenderedPageBreak/>
        <w:t>El Consejo decidió en su reunión extraordinaria de septiembre de 2019 crear un Fondo del registro de riesgos adicional (</w:t>
      </w:r>
      <w:r w:rsidRPr="00DC442D">
        <w:rPr>
          <w:i/>
          <w:iCs/>
          <w:lang w:eastAsia="ja-JP"/>
        </w:rPr>
        <w:t>acuerda</w:t>
      </w:r>
      <w:r w:rsidR="006F64AE" w:rsidRPr="00DC442D">
        <w:rPr>
          <w:lang w:eastAsia="ja-JP"/>
        </w:rPr>
        <w:t xml:space="preserve"> 3 </w:t>
      </w:r>
      <w:r w:rsidRPr="00DC442D">
        <w:rPr>
          <w:lang w:eastAsia="ja-JP"/>
        </w:rPr>
        <w:t>del Acuerdo</w:t>
      </w:r>
      <w:r w:rsidR="006F64AE" w:rsidRPr="00DC442D">
        <w:rPr>
          <w:lang w:eastAsia="ja-JP"/>
        </w:rPr>
        <w:t xml:space="preserve"> 619) </w:t>
      </w:r>
      <w:r w:rsidRPr="00DC442D">
        <w:rPr>
          <w:lang w:eastAsia="ja-JP"/>
        </w:rPr>
        <w:t>como provisión financiera adicional para los riesgos no mitigados y que se financiará</w:t>
      </w:r>
      <w:r w:rsidR="00CA75D9" w:rsidRPr="00DC442D">
        <w:rPr>
          <w:lang w:eastAsia="ja-JP"/>
        </w:rPr>
        <w:t xml:space="preserve"> mediante posteriores decisiones del Consejo a partir de 2020. En la actualidad del Fondo del registro de riesgos cuenta con</w:t>
      </w:r>
      <w:bookmarkStart w:id="134" w:name="lt_pId183"/>
      <w:bookmarkEnd w:id="133"/>
      <w:r w:rsidR="006F64AE" w:rsidRPr="00DC442D">
        <w:t xml:space="preserve"> 1</w:t>
      </w:r>
      <w:r w:rsidR="00CA75D9" w:rsidRPr="00DC442D">
        <w:t xml:space="preserve"> </w:t>
      </w:r>
      <w:r w:rsidR="006F64AE" w:rsidRPr="00DC442D">
        <w:t>425</w:t>
      </w:r>
      <w:r w:rsidR="00CA75D9" w:rsidRPr="00DC442D">
        <w:t xml:space="preserve"> </w:t>
      </w:r>
      <w:r w:rsidR="006F64AE" w:rsidRPr="00DC442D">
        <w:t xml:space="preserve">000 </w:t>
      </w:r>
      <w:r w:rsidR="00CA75D9" w:rsidRPr="00DC442D">
        <w:t>CHF</w:t>
      </w:r>
      <w:r w:rsidR="006F64AE" w:rsidRPr="00DC442D">
        <w:t>.</w:t>
      </w:r>
      <w:bookmarkEnd w:id="134"/>
    </w:p>
    <w:p w14:paraId="4F588714" w14:textId="031EC377" w:rsidR="006F64AE" w:rsidRPr="00DC442D" w:rsidRDefault="006F64AE" w:rsidP="00F75511">
      <w:pPr>
        <w:pStyle w:val="Heading2"/>
      </w:pPr>
      <w:r w:rsidRPr="00DC442D">
        <w:t>4.2</w:t>
      </w:r>
      <w:r w:rsidRPr="00DC442D">
        <w:tab/>
      </w:r>
      <w:bookmarkStart w:id="135" w:name="lt_pId185"/>
      <w:r w:rsidR="00CA75D9" w:rsidRPr="00DC442D">
        <w:t>Flujo de caja</w:t>
      </w:r>
      <w:bookmarkEnd w:id="135"/>
    </w:p>
    <w:p w14:paraId="1242E24F" w14:textId="686DB20A" w:rsidR="006F64AE" w:rsidRPr="00DC442D" w:rsidRDefault="00CA75D9" w:rsidP="00F75511">
      <w:pPr>
        <w:rPr>
          <w:lang w:eastAsia="zh-CN"/>
        </w:rPr>
      </w:pPr>
      <w:bookmarkStart w:id="136" w:name="lt_pId186"/>
      <w:r w:rsidRPr="00DC442D">
        <w:rPr>
          <w:lang w:eastAsia="zh-CN"/>
        </w:rPr>
        <w:t>El flujo de caja y su seguimiento efectuado por</w:t>
      </w:r>
      <w:r w:rsidR="006F64AE" w:rsidRPr="00DC442D">
        <w:rPr>
          <w:lang w:eastAsia="zh-CN"/>
        </w:rPr>
        <w:t xml:space="preserve"> Hill </w:t>
      </w:r>
      <w:r w:rsidR="004D7071" w:rsidRPr="00DC442D">
        <w:rPr>
          <w:lang w:eastAsia="zh-CN"/>
        </w:rPr>
        <w:t>International</w:t>
      </w:r>
      <w:r w:rsidR="006F64AE" w:rsidRPr="00DC442D">
        <w:rPr>
          <w:lang w:eastAsia="zh-CN"/>
        </w:rPr>
        <w:t xml:space="preserve"> </w:t>
      </w:r>
      <w:r w:rsidRPr="00DC442D">
        <w:rPr>
          <w:lang w:eastAsia="zh-CN"/>
        </w:rPr>
        <w:t>es una de las actividades más importantes del proyecto. El flujo de caja indica claramente cuándo un proyecto se desvía de su evolución prevista. Para evitar tal desviación se emplea un informe comprobado que ilustra gráficamente las diferencias entre las previsiones y la realidad a fin de poder identificar los problemas con prontitud y tomar las medidas necesarias para ponerles remedio</w:t>
      </w:r>
      <w:bookmarkStart w:id="137" w:name="lt_pId188"/>
      <w:bookmarkEnd w:id="136"/>
      <w:r w:rsidR="006F64AE" w:rsidRPr="00DC442D">
        <w:rPr>
          <w:lang w:eastAsia="zh-CN"/>
        </w:rPr>
        <w:t>.</w:t>
      </w:r>
      <w:bookmarkEnd w:id="137"/>
    </w:p>
    <w:p w14:paraId="2AF0B496" w14:textId="0A1F466E" w:rsidR="006F64AE" w:rsidRPr="00DC442D" w:rsidRDefault="00CA75D9" w:rsidP="00F75511">
      <w:pPr>
        <w:rPr>
          <w:lang w:eastAsia="zh-CN"/>
        </w:rPr>
      </w:pPr>
      <w:bookmarkStart w:id="138" w:name="lt_pId189"/>
      <w:r w:rsidRPr="00DC442D">
        <w:rPr>
          <w:lang w:eastAsia="zh-CN"/>
        </w:rPr>
        <w:t>En la actualidad las actividades del proyecto se financian con el primer préstamo del País Anfitrión de 12 millones CHF. La disponibilidad de los fondos está garantizada hasta junio de</w:t>
      </w:r>
      <w:bookmarkStart w:id="139" w:name="lt_pId190"/>
      <w:bookmarkEnd w:id="138"/>
      <w:r w:rsidR="006F64AE" w:rsidRPr="00DC442D">
        <w:rPr>
          <w:lang w:eastAsia="zh-CN"/>
        </w:rPr>
        <w:t xml:space="preserve"> 2021 </w:t>
      </w:r>
      <w:r w:rsidRPr="00DC442D">
        <w:rPr>
          <w:lang w:eastAsia="zh-CN"/>
        </w:rPr>
        <w:t>a fin de contar con un flujo de caja continuo y permitir la aprobac</w:t>
      </w:r>
      <w:r w:rsidR="004D7071" w:rsidRPr="00DC442D">
        <w:rPr>
          <w:lang w:eastAsia="zh-CN"/>
        </w:rPr>
        <w:t>ión del segundo préstamo de 138 </w:t>
      </w:r>
      <w:r w:rsidRPr="00DC442D">
        <w:rPr>
          <w:lang w:eastAsia="zh-CN"/>
        </w:rPr>
        <w:t>millones CHF y la firma del contrato de préstamo con la</w:t>
      </w:r>
      <w:r w:rsidR="006F64AE" w:rsidRPr="00DC442D">
        <w:rPr>
          <w:lang w:eastAsia="zh-CN"/>
        </w:rPr>
        <w:t xml:space="preserve"> FIPOI.</w:t>
      </w:r>
      <w:bookmarkEnd w:id="139"/>
    </w:p>
    <w:p w14:paraId="6F4CA7B2" w14:textId="53667621" w:rsidR="006F64AE" w:rsidRPr="00DC442D" w:rsidRDefault="00CA75D9" w:rsidP="00F75511">
      <w:pPr>
        <w:rPr>
          <w:lang w:eastAsia="zh-CN"/>
        </w:rPr>
      </w:pPr>
      <w:bookmarkStart w:id="140" w:name="lt_pId191"/>
      <w:r w:rsidRPr="00DC442D">
        <w:rPr>
          <w:lang w:eastAsia="zh-CN"/>
        </w:rPr>
        <w:t>El plan de financiación (véase el</w:t>
      </w:r>
      <w:r w:rsidR="006F64AE" w:rsidRPr="00DC442D">
        <w:rPr>
          <w:lang w:eastAsia="zh-CN"/>
        </w:rPr>
        <w:t xml:space="preserve"> </w:t>
      </w:r>
      <w:hyperlink w:anchor="AnnexB" w:history="1">
        <w:r w:rsidR="006F64AE" w:rsidRPr="00DC442D">
          <w:rPr>
            <w:rStyle w:val="Hyperlink"/>
            <w:rFonts w:asciiTheme="minorHAnsi" w:hAnsiTheme="minorHAnsi" w:cstheme="minorHAnsi"/>
            <w:szCs w:val="22"/>
            <w:lang w:eastAsia="zh-CN"/>
          </w:rPr>
          <w:t>Anex</w:t>
        </w:r>
        <w:r w:rsidRPr="00DC442D">
          <w:rPr>
            <w:rStyle w:val="Hyperlink"/>
            <w:rFonts w:asciiTheme="minorHAnsi" w:hAnsiTheme="minorHAnsi" w:cstheme="minorHAnsi"/>
            <w:szCs w:val="22"/>
            <w:lang w:eastAsia="zh-CN"/>
          </w:rPr>
          <w:t>o</w:t>
        </w:r>
        <w:r w:rsidR="006F64AE" w:rsidRPr="00DC442D">
          <w:rPr>
            <w:rStyle w:val="Hyperlink"/>
            <w:rFonts w:asciiTheme="minorHAnsi" w:hAnsiTheme="minorHAnsi" w:cstheme="minorHAnsi"/>
            <w:szCs w:val="22"/>
            <w:lang w:eastAsia="zh-CN"/>
          </w:rPr>
          <w:t xml:space="preserve"> B</w:t>
        </w:r>
      </w:hyperlink>
      <w:r w:rsidR="006F64AE" w:rsidRPr="00DC442D">
        <w:rPr>
          <w:lang w:eastAsia="zh-CN"/>
        </w:rPr>
        <w:t>) determin</w:t>
      </w:r>
      <w:r w:rsidRPr="00DC442D">
        <w:rPr>
          <w:lang w:eastAsia="zh-CN"/>
        </w:rPr>
        <w:t>a los gastos previstos para la UIT durante todo el periodo de concepción y ejecución de las obras del nuevo edificio, de conformidad con la distribución CGC, como solicitó el País Anfitrión. Algunas de las cifras que aparecen en el cuadro son efectivas (de 2017 hasta ahora), pero la mayoría son estimaciones basadas en la planificación provisional los estudios y obras comunicados por los diseñadores y en el presupuesto aprobado en la reunión adicional del Consejo celebrada en Ginebra el 27 de septiembre de</w:t>
      </w:r>
      <w:bookmarkStart w:id="141" w:name="lt_pId192"/>
      <w:bookmarkEnd w:id="140"/>
      <w:r w:rsidR="006F64AE" w:rsidRPr="00DC442D">
        <w:rPr>
          <w:lang w:eastAsia="zh-CN"/>
        </w:rPr>
        <w:t xml:space="preserve"> 2019.</w:t>
      </w:r>
      <w:bookmarkEnd w:id="141"/>
    </w:p>
    <w:p w14:paraId="6ACA4342" w14:textId="1116604D" w:rsidR="006F64AE" w:rsidRPr="00DC442D" w:rsidRDefault="006F64AE" w:rsidP="00F75511">
      <w:pPr>
        <w:pStyle w:val="Heading2"/>
      </w:pPr>
      <w:r w:rsidRPr="00DC442D">
        <w:t>4.3</w:t>
      </w:r>
      <w:r w:rsidRPr="00DC442D">
        <w:tab/>
      </w:r>
      <w:bookmarkStart w:id="142" w:name="lt_pId194"/>
      <w:r w:rsidR="00CA75D9" w:rsidRPr="00DC442D">
        <w:t>Gastos hasta la fecha</w:t>
      </w:r>
      <w:bookmarkEnd w:id="142"/>
    </w:p>
    <w:p w14:paraId="6C8334E2" w14:textId="43D714A8" w:rsidR="006F64AE" w:rsidRPr="00DC442D" w:rsidRDefault="00CA75D9" w:rsidP="00F75511">
      <w:pPr>
        <w:rPr>
          <w:color w:val="000000" w:themeColor="text1"/>
        </w:rPr>
      </w:pPr>
      <w:bookmarkStart w:id="143" w:name="lt_pId195"/>
      <w:r w:rsidRPr="00DC442D">
        <w:rPr>
          <w:lang w:eastAsia="zh-CN"/>
        </w:rPr>
        <w:t>En la actualidad los gastos (véase el</w:t>
      </w:r>
      <w:r w:rsidR="006F64AE" w:rsidRPr="00DC442D">
        <w:rPr>
          <w:lang w:eastAsia="zh-CN"/>
        </w:rPr>
        <w:t xml:space="preserve"> </w:t>
      </w:r>
      <w:hyperlink w:anchor="AnnexB" w:history="1">
        <w:r w:rsidR="006F64AE" w:rsidRPr="00DC442D">
          <w:rPr>
            <w:rStyle w:val="Hyperlink"/>
            <w:rFonts w:asciiTheme="minorHAnsi" w:hAnsiTheme="minorHAnsi" w:cstheme="minorHAnsi"/>
            <w:szCs w:val="22"/>
            <w:lang w:eastAsia="zh-CN"/>
          </w:rPr>
          <w:t>Anex</w:t>
        </w:r>
        <w:r w:rsidRPr="00DC442D">
          <w:rPr>
            <w:rStyle w:val="Hyperlink"/>
            <w:rFonts w:asciiTheme="minorHAnsi" w:hAnsiTheme="minorHAnsi" w:cstheme="minorHAnsi"/>
            <w:szCs w:val="22"/>
            <w:lang w:eastAsia="zh-CN"/>
          </w:rPr>
          <w:t>o</w:t>
        </w:r>
        <w:r w:rsidR="006F64AE" w:rsidRPr="00DC442D">
          <w:rPr>
            <w:rStyle w:val="Hyperlink"/>
            <w:rFonts w:asciiTheme="minorHAnsi" w:hAnsiTheme="minorHAnsi" w:cstheme="minorHAnsi"/>
            <w:szCs w:val="22"/>
            <w:lang w:eastAsia="zh-CN"/>
          </w:rPr>
          <w:t xml:space="preserve"> B</w:t>
        </w:r>
      </w:hyperlink>
      <w:r w:rsidR="006F64AE" w:rsidRPr="00DC442D">
        <w:rPr>
          <w:lang w:eastAsia="zh-CN"/>
        </w:rPr>
        <w:t xml:space="preserve">) </w:t>
      </w:r>
      <w:r w:rsidRPr="00DC442D">
        <w:rPr>
          <w:lang w:eastAsia="zh-CN"/>
        </w:rPr>
        <w:t>responden únicamente a l</w:t>
      </w:r>
      <w:r w:rsidR="00362692" w:rsidRPr="00DC442D">
        <w:rPr>
          <w:lang w:eastAsia="zh-CN"/>
        </w:rPr>
        <w:t>os honorarios del consorcio de arquitectos</w:t>
      </w:r>
      <w:r w:rsidR="006F64AE" w:rsidRPr="00DC442D">
        <w:rPr>
          <w:lang w:eastAsia="zh-CN"/>
        </w:rPr>
        <w:t xml:space="preserve"> CDTK </w:t>
      </w:r>
      <w:r w:rsidR="00362692" w:rsidRPr="00DC442D">
        <w:rPr>
          <w:lang w:eastAsia="zh-CN"/>
        </w:rPr>
        <w:t>y del gestor de proyectos</w:t>
      </w:r>
      <w:r w:rsidR="006F64AE" w:rsidRPr="00DC442D">
        <w:rPr>
          <w:lang w:eastAsia="zh-CN"/>
        </w:rPr>
        <w:t xml:space="preserve"> Hill </w:t>
      </w:r>
      <w:bookmarkEnd w:id="143"/>
      <w:r w:rsidR="004D7071" w:rsidRPr="00DC442D">
        <w:rPr>
          <w:lang w:eastAsia="zh-CN"/>
        </w:rPr>
        <w:t>International.</w:t>
      </w:r>
      <w:r w:rsidR="006F64AE" w:rsidRPr="00DC442D">
        <w:rPr>
          <w:lang w:eastAsia="zh-CN"/>
        </w:rPr>
        <w:t xml:space="preserve"> </w:t>
      </w:r>
      <w:bookmarkStart w:id="144" w:name="lt_pId196"/>
      <w:r w:rsidR="00362692" w:rsidRPr="00DC442D">
        <w:rPr>
          <w:lang w:eastAsia="zh-CN"/>
        </w:rPr>
        <w:t>Estos gastos son conformes a las previsiones comunicadas trimestralmente al País Anfitrión y cada trimestre se procesan las solicitudes de financiación para cubrir los gastos corrientes del proyecto</w:t>
      </w:r>
      <w:r w:rsidR="006F64AE" w:rsidRPr="00DC442D">
        <w:rPr>
          <w:color w:val="000000" w:themeColor="text1"/>
        </w:rPr>
        <w:t>.</w:t>
      </w:r>
      <w:bookmarkEnd w:id="144"/>
      <w:r w:rsidR="006F64AE" w:rsidRPr="00DC442D">
        <w:rPr>
          <w:color w:val="000000" w:themeColor="text1"/>
        </w:rPr>
        <w:t xml:space="preserve"> </w:t>
      </w:r>
    </w:p>
    <w:p w14:paraId="0090B053" w14:textId="279C79EE" w:rsidR="006F64AE" w:rsidRPr="00DC442D" w:rsidRDefault="00362692" w:rsidP="00F75511">
      <w:pPr>
        <w:rPr>
          <w:lang w:eastAsia="zh-CN"/>
        </w:rPr>
      </w:pPr>
      <w:bookmarkStart w:id="145" w:name="lt_pId197"/>
      <w:r w:rsidRPr="00DC442D">
        <w:rPr>
          <w:lang w:eastAsia="zh-CN"/>
        </w:rPr>
        <w:t>Una vez verificados y validados los importes estimados, el dinero correspondiente se transfiere a la cuenta bancaria de la UIT</w:t>
      </w:r>
      <w:r w:rsidR="006F64AE" w:rsidRPr="00DC442D">
        <w:rPr>
          <w:lang w:eastAsia="zh-CN"/>
        </w:rPr>
        <w:t>.</w:t>
      </w:r>
      <w:bookmarkEnd w:id="145"/>
    </w:p>
    <w:p w14:paraId="49C91B1F" w14:textId="1DB16105" w:rsidR="006F64AE" w:rsidRPr="00DC442D" w:rsidRDefault="00362692" w:rsidP="00F75511">
      <w:pPr>
        <w:rPr>
          <w:lang w:eastAsia="zh-CN"/>
        </w:rPr>
      </w:pPr>
      <w:bookmarkStart w:id="146" w:name="lt_pId198"/>
      <w:r w:rsidRPr="00DC442D">
        <w:rPr>
          <w:lang w:eastAsia="zh-CN"/>
        </w:rPr>
        <w:t>Las solicitudes de financiación del cuadro siguiente se formulan con una periodicidad trimestral, como ya se ha indicado. Estas solicitudes no sólo se formulan de acuerdo con los plazos comunicados por los proveedores de servicios</w:t>
      </w:r>
      <w:bookmarkStart w:id="147" w:name="lt_pId199"/>
      <w:bookmarkEnd w:id="146"/>
      <w:r w:rsidR="006F64AE" w:rsidRPr="00DC442D">
        <w:rPr>
          <w:lang w:eastAsia="zh-CN"/>
        </w:rPr>
        <w:t xml:space="preserve"> (CDTK </w:t>
      </w:r>
      <w:r w:rsidRPr="00DC442D">
        <w:rPr>
          <w:lang w:eastAsia="zh-CN"/>
        </w:rPr>
        <w:t>y</w:t>
      </w:r>
      <w:r w:rsidR="006F64AE" w:rsidRPr="00DC442D">
        <w:rPr>
          <w:lang w:eastAsia="zh-CN"/>
        </w:rPr>
        <w:t xml:space="preserve"> </w:t>
      </w:r>
      <w:r w:rsidR="00A67939" w:rsidRPr="00DC442D">
        <w:rPr>
          <w:lang w:eastAsia="zh-CN"/>
        </w:rPr>
        <w:t>Hill</w:t>
      </w:r>
      <w:r w:rsidR="006F64AE" w:rsidRPr="00DC442D">
        <w:rPr>
          <w:lang w:eastAsia="zh-CN"/>
        </w:rPr>
        <w:t xml:space="preserve"> International)</w:t>
      </w:r>
      <w:r w:rsidRPr="00DC442D">
        <w:rPr>
          <w:lang w:eastAsia="zh-CN"/>
        </w:rPr>
        <w:t>, sino también con los posibles gastos (en concepto de análisis, perforaciones, levantamientos topográficos</w:t>
      </w:r>
      <w:r w:rsidR="006F64AE" w:rsidRPr="00DC442D">
        <w:rPr>
          <w:lang w:eastAsia="zh-CN"/>
        </w:rPr>
        <w:t xml:space="preserve">, etc.) </w:t>
      </w:r>
      <w:r w:rsidRPr="00DC442D">
        <w:rPr>
          <w:lang w:eastAsia="zh-CN"/>
        </w:rPr>
        <w:t>en los que se haya de incurrir durante la fase de diseño que cubre esta primera parte del préstamo</w:t>
      </w:r>
      <w:r w:rsidR="006F64AE" w:rsidRPr="00DC442D">
        <w:rPr>
          <w:lang w:eastAsia="zh-CN"/>
        </w:rPr>
        <w:t>.</w:t>
      </w:r>
      <w:bookmarkEnd w:id="147"/>
    </w:p>
    <w:p w14:paraId="43224C3B" w14:textId="1045F40C" w:rsidR="006F64AE" w:rsidRPr="00DC442D" w:rsidRDefault="006F64AE" w:rsidP="00F75511">
      <w:pPr>
        <w:pStyle w:val="Heading2"/>
      </w:pPr>
      <w:r w:rsidRPr="00DC442D">
        <w:t>4.4</w:t>
      </w:r>
      <w:r w:rsidRPr="00DC442D">
        <w:tab/>
      </w:r>
      <w:bookmarkStart w:id="148" w:name="lt_pId201"/>
      <w:r w:rsidR="00362692" w:rsidRPr="00DC442D">
        <w:t>Gastos previstos y reales</w:t>
      </w:r>
      <w:bookmarkEnd w:id="148"/>
      <w:r w:rsidRPr="00DC442D">
        <w:t xml:space="preserve"> </w:t>
      </w:r>
    </w:p>
    <w:p w14:paraId="15D33BD1" w14:textId="27251CC4" w:rsidR="006F64AE" w:rsidRPr="00DC442D" w:rsidRDefault="00362692" w:rsidP="00F75511">
      <w:pPr>
        <w:rPr>
          <w:b/>
          <w:bCs/>
          <w:color w:val="000000" w:themeColor="text1"/>
        </w:rPr>
      </w:pPr>
      <w:bookmarkStart w:id="149" w:name="lt_pId202"/>
      <w:r w:rsidRPr="00DC442D">
        <w:rPr>
          <w:lang w:eastAsia="zh-CN"/>
        </w:rPr>
        <w:t xml:space="preserve">En el gráfico del </w:t>
      </w:r>
      <w:hyperlink w:anchor="AnnexC" w:history="1">
        <w:r w:rsidR="006F64AE" w:rsidRPr="00DC442D">
          <w:rPr>
            <w:rStyle w:val="Hyperlink"/>
            <w:rFonts w:asciiTheme="minorHAnsi" w:hAnsiTheme="minorHAnsi" w:cstheme="minorHAnsi"/>
            <w:szCs w:val="22"/>
            <w:lang w:eastAsia="zh-CN"/>
          </w:rPr>
          <w:t>Anex</w:t>
        </w:r>
        <w:r w:rsidRPr="00DC442D">
          <w:rPr>
            <w:rStyle w:val="Hyperlink"/>
            <w:rFonts w:asciiTheme="minorHAnsi" w:hAnsiTheme="minorHAnsi" w:cstheme="minorHAnsi"/>
            <w:szCs w:val="22"/>
            <w:lang w:eastAsia="zh-CN"/>
          </w:rPr>
          <w:t>o</w:t>
        </w:r>
        <w:r w:rsidR="006F64AE" w:rsidRPr="00DC442D">
          <w:rPr>
            <w:rStyle w:val="Hyperlink"/>
            <w:rFonts w:asciiTheme="minorHAnsi" w:hAnsiTheme="minorHAnsi" w:cstheme="minorHAnsi"/>
            <w:szCs w:val="22"/>
            <w:lang w:eastAsia="zh-CN"/>
          </w:rPr>
          <w:t xml:space="preserve"> C</w:t>
        </w:r>
      </w:hyperlink>
      <w:r w:rsidR="006F64AE" w:rsidRPr="00DC442D">
        <w:rPr>
          <w:lang w:eastAsia="zh-CN"/>
        </w:rPr>
        <w:t xml:space="preserve"> </w:t>
      </w:r>
      <w:r w:rsidRPr="00DC442D">
        <w:rPr>
          <w:lang w:eastAsia="zh-CN"/>
        </w:rPr>
        <w:t>se muestran los gastos reales (barras rojas) y los gastos previstos (barras azules). Este gráfico permite efectuar un seguimiento mensual y mensurable de los gastos a fin de tomar, de ser necesario, las medidas correctivas necesarias lo antes posible. Además, permite conocer la cuantía vinculada al registro de riesgos (línea negra discontinua) a medida que avanza el proyecto. La contingencia (línea verde) se modificará cuando se recurra, llegado el caso, a los fondos de contingencia en las condiciones especificadas en el apartado</w:t>
      </w:r>
      <w:bookmarkStart w:id="150" w:name="lt_pId205"/>
      <w:bookmarkEnd w:id="149"/>
      <w:r w:rsidR="006F64AE" w:rsidRPr="00DC442D">
        <w:rPr>
          <w:lang w:eastAsia="zh-CN"/>
        </w:rPr>
        <w:t xml:space="preserve"> 3.8.</w:t>
      </w:r>
      <w:bookmarkEnd w:id="150"/>
    </w:p>
    <w:p w14:paraId="63AA863C" w14:textId="0F4C9B54" w:rsidR="006F64AE" w:rsidRPr="00DC442D" w:rsidRDefault="006F64AE" w:rsidP="00F75511">
      <w:pPr>
        <w:pStyle w:val="Heading2"/>
      </w:pPr>
      <w:r w:rsidRPr="00DC442D">
        <w:lastRenderedPageBreak/>
        <w:t>4.5</w:t>
      </w:r>
      <w:r w:rsidRPr="00DC442D">
        <w:tab/>
      </w:r>
      <w:bookmarkStart w:id="151" w:name="lt_pId207"/>
      <w:r w:rsidR="00362692" w:rsidRPr="00DC442D">
        <w:t>Costes indirectos del proyecto</w:t>
      </w:r>
      <w:bookmarkEnd w:id="151"/>
    </w:p>
    <w:p w14:paraId="1FEC8650" w14:textId="7A851679" w:rsidR="006F64AE" w:rsidRPr="00DC442D" w:rsidRDefault="00A67939" w:rsidP="00DF5725">
      <w:pPr>
        <w:rPr>
          <w:rFonts w:asciiTheme="minorHAnsi" w:hAnsiTheme="minorHAnsi" w:cstheme="minorHAnsi"/>
          <w:color w:val="000000"/>
          <w:szCs w:val="22"/>
          <w:lang w:eastAsia="zh-CN"/>
        </w:rPr>
      </w:pPr>
      <w:bookmarkStart w:id="152" w:name="lt_pId208"/>
      <w:r w:rsidRPr="00DC442D">
        <w:rPr>
          <w:lang w:eastAsia="zh-CN"/>
        </w:rPr>
        <w:t xml:space="preserve">De </w:t>
      </w:r>
      <w:r w:rsidRPr="00DF5725">
        <w:t>conformidad</w:t>
      </w:r>
      <w:r w:rsidRPr="00DC442D">
        <w:rPr>
          <w:lang w:eastAsia="zh-CN"/>
        </w:rPr>
        <w:t xml:space="preserve"> </w:t>
      </w:r>
      <w:r w:rsidR="00362692" w:rsidRPr="00DC442D">
        <w:rPr>
          <w:lang w:eastAsia="zh-CN"/>
        </w:rPr>
        <w:t>con el Acuerdo 619 del Consejo y con el cuadro presentado al GTC-RHF en febrero de</w:t>
      </w:r>
      <w:r w:rsidR="006F64AE" w:rsidRPr="00DC442D">
        <w:rPr>
          <w:lang w:eastAsia="zh-CN"/>
        </w:rPr>
        <w:t xml:space="preserve"> 2020, </w:t>
      </w:r>
      <w:r w:rsidR="00362692" w:rsidRPr="00DC442D">
        <w:rPr>
          <w:lang w:eastAsia="zh-CN"/>
        </w:rPr>
        <w:t xml:space="preserve">se atribuirán </w:t>
      </w:r>
      <w:r w:rsidR="006F64AE" w:rsidRPr="00DC442D">
        <w:rPr>
          <w:lang w:eastAsia="zh-CN"/>
        </w:rPr>
        <w:t>935</w:t>
      </w:r>
      <w:r w:rsidR="00607A68" w:rsidRPr="00DC442D">
        <w:rPr>
          <w:lang w:eastAsia="zh-CN"/>
        </w:rPr>
        <w:t> 000 </w:t>
      </w:r>
      <w:r w:rsidR="00362692" w:rsidRPr="00DC442D">
        <w:rPr>
          <w:lang w:eastAsia="zh-CN"/>
        </w:rPr>
        <w:t>CHF a los costes indirectos</w:t>
      </w:r>
      <w:r w:rsidR="006F64AE" w:rsidRPr="00DC442D">
        <w:rPr>
          <w:lang w:eastAsia="zh-CN"/>
        </w:rPr>
        <w:t>.</w:t>
      </w:r>
      <w:bookmarkEnd w:id="152"/>
      <w:r w:rsidR="0036462A" w:rsidRPr="00DC442D">
        <w:rPr>
          <w:lang w:eastAsia="zh-CN"/>
        </w:rPr>
        <w:t xml:space="preserve"> El cuadro de costes indirectos del proyecto se presenta en el</w:t>
      </w:r>
      <w:r w:rsidR="0036462A" w:rsidRPr="00DC442D">
        <w:rPr>
          <w:rFonts w:asciiTheme="minorHAnsi" w:hAnsiTheme="minorHAnsi" w:cstheme="minorHAnsi"/>
          <w:color w:val="000000"/>
          <w:szCs w:val="22"/>
          <w:lang w:eastAsia="zh-CN"/>
        </w:rPr>
        <w:t xml:space="preserve"> </w:t>
      </w:r>
      <w:hyperlink w:anchor="AnnexD" w:history="1">
        <w:r w:rsidR="0036462A" w:rsidRPr="00DC442D">
          <w:rPr>
            <w:rStyle w:val="Hyperlink"/>
            <w:rFonts w:asciiTheme="minorHAnsi" w:hAnsiTheme="minorHAnsi" w:cstheme="minorHAnsi"/>
            <w:szCs w:val="22"/>
            <w:lang w:eastAsia="zh-CN"/>
          </w:rPr>
          <w:t>Anexo D</w:t>
        </w:r>
      </w:hyperlink>
      <w:r w:rsidR="0036462A" w:rsidRPr="00DC442D">
        <w:rPr>
          <w:rFonts w:asciiTheme="minorHAnsi" w:hAnsiTheme="minorHAnsi" w:cstheme="minorHAnsi"/>
          <w:color w:val="000000"/>
          <w:szCs w:val="22"/>
          <w:lang w:eastAsia="zh-CN"/>
        </w:rPr>
        <w:t>.</w:t>
      </w:r>
    </w:p>
    <w:p w14:paraId="4FE96EB9" w14:textId="75F3C56D" w:rsidR="006F64AE" w:rsidRPr="00DC442D" w:rsidRDefault="004B7587" w:rsidP="00F75511">
      <w:pPr>
        <w:rPr>
          <w:lang w:eastAsia="zh-CN"/>
        </w:rPr>
      </w:pPr>
      <w:bookmarkStart w:id="153" w:name="lt_pId209"/>
      <w:r w:rsidRPr="00DC442D">
        <w:rPr>
          <w:lang w:eastAsia="zh-CN"/>
        </w:rPr>
        <w:t>La provisión para costes indirectos se definirá anualmente de acuerdo con las indicaciones del cuadro siguiente y se incluirá en el presupuesto operativo de la UIT durante la ejecución del proyecto</w:t>
      </w:r>
      <w:r w:rsidR="006F64AE" w:rsidRPr="00DC442D">
        <w:rPr>
          <w:lang w:eastAsia="zh-CN"/>
        </w:rPr>
        <w:t>.</w:t>
      </w:r>
      <w:bookmarkEnd w:id="153"/>
    </w:p>
    <w:p w14:paraId="494989DF" w14:textId="2C262738" w:rsidR="006F64AE" w:rsidRPr="00DC442D" w:rsidRDefault="004E4657" w:rsidP="00F75511">
      <w:pPr>
        <w:pStyle w:val="Heading1"/>
        <w:rPr>
          <w:lang w:eastAsia="ja-JP"/>
        </w:rPr>
      </w:pPr>
      <w:bookmarkStart w:id="154" w:name="lt_pId210"/>
      <w:r w:rsidRPr="00DC442D">
        <w:rPr>
          <w:lang w:eastAsia="ja-JP"/>
        </w:rPr>
        <w:t>5</w:t>
      </w:r>
      <w:r w:rsidRPr="00DC442D">
        <w:rPr>
          <w:lang w:eastAsia="ja-JP"/>
        </w:rPr>
        <w:tab/>
      </w:r>
      <w:proofErr w:type="gramStart"/>
      <w:r w:rsidR="006F64AE" w:rsidRPr="00DC442D">
        <w:rPr>
          <w:lang w:eastAsia="ja-JP"/>
        </w:rPr>
        <w:t>Defini</w:t>
      </w:r>
      <w:r w:rsidR="00AC25D9" w:rsidRPr="00DC442D">
        <w:rPr>
          <w:lang w:eastAsia="ja-JP"/>
        </w:rPr>
        <w:t>ción</w:t>
      </w:r>
      <w:proofErr w:type="gramEnd"/>
      <w:r w:rsidR="00AC25D9" w:rsidRPr="00DC442D">
        <w:rPr>
          <w:lang w:eastAsia="ja-JP"/>
        </w:rPr>
        <w:t xml:space="preserve"> de las cuotas de servidumbre antes de la presentación</w:t>
      </w:r>
      <w:r w:rsidR="00727955" w:rsidRPr="00DC442D">
        <w:rPr>
          <w:lang w:eastAsia="ja-JP"/>
        </w:rPr>
        <w:br/>
      </w:r>
      <w:r w:rsidR="00AC25D9" w:rsidRPr="00DC442D">
        <w:rPr>
          <w:lang w:eastAsia="ja-JP"/>
        </w:rPr>
        <w:t>de la solicitud de permiso</w:t>
      </w:r>
      <w:bookmarkEnd w:id="154"/>
    </w:p>
    <w:p w14:paraId="253B019C" w14:textId="030A9502" w:rsidR="006F64AE" w:rsidRPr="00DC442D" w:rsidRDefault="00AC25D9" w:rsidP="00F75511">
      <w:pPr>
        <w:rPr>
          <w:lang w:eastAsia="zh-CN"/>
        </w:rPr>
      </w:pPr>
      <w:bookmarkStart w:id="155" w:name="lt_pId211"/>
      <w:r w:rsidRPr="00DC442D">
        <w:rPr>
          <w:lang w:eastAsia="zh-CN"/>
        </w:rPr>
        <w:t>Antes de presentar la solicitud de permiso de construir se deben identificar y resolver las cuotas de servidumbre nuevas y existentes. La Secretaría está siguiendo el proceso de nombramiento de un notario familiarizado con la historia de los edificios de la UIT, así como del estatus, los privilegios e inmunidades de que goza la Unión. Antes del establecimiento de los actos notariales se celebrarán consultas con los distintos propietarios del suelo y/o beneficiarios para acordar las modalidades de acuerdo escrito que tendrá que incluirse en la solicitud de permiso. El notario certificará el acuerdo y procederá al establecimiento de todas y cada una de las cuotas de servidumbre</w:t>
      </w:r>
      <w:bookmarkStart w:id="156" w:name="lt_pId214"/>
      <w:bookmarkEnd w:id="155"/>
      <w:r w:rsidR="006F64AE" w:rsidRPr="00DC442D">
        <w:rPr>
          <w:lang w:eastAsia="zh-CN"/>
        </w:rPr>
        <w:t>.</w:t>
      </w:r>
      <w:bookmarkEnd w:id="156"/>
    </w:p>
    <w:p w14:paraId="63B99017" w14:textId="720F6D98" w:rsidR="006F64AE" w:rsidRPr="00DC442D" w:rsidRDefault="004E4657" w:rsidP="00DF5725">
      <w:pPr>
        <w:pStyle w:val="Heading1"/>
        <w:rPr>
          <w:lang w:eastAsia="ja-JP"/>
        </w:rPr>
      </w:pPr>
      <w:bookmarkStart w:id="157" w:name="lt_pId215"/>
      <w:r w:rsidRPr="00DC442D">
        <w:rPr>
          <w:lang w:eastAsia="ja-JP"/>
        </w:rPr>
        <w:t>6</w:t>
      </w:r>
      <w:r w:rsidRPr="00DC442D">
        <w:rPr>
          <w:lang w:eastAsia="ja-JP"/>
        </w:rPr>
        <w:tab/>
      </w:r>
      <w:proofErr w:type="gramStart"/>
      <w:r w:rsidR="00AC25D9" w:rsidRPr="00DC442D">
        <w:rPr>
          <w:lang w:eastAsia="ja-JP"/>
        </w:rPr>
        <w:t>Creación</w:t>
      </w:r>
      <w:proofErr w:type="gramEnd"/>
      <w:r w:rsidR="00AC25D9" w:rsidRPr="00DC442D">
        <w:rPr>
          <w:lang w:eastAsia="ja-JP"/>
        </w:rPr>
        <w:t xml:space="preserve"> de un sistema de clasificación de archivos previo a </w:t>
      </w:r>
      <w:r w:rsidR="00727955" w:rsidRPr="00DC442D">
        <w:rPr>
          <w:lang w:eastAsia="ja-JP"/>
        </w:rPr>
        <w:t>la instauración</w:t>
      </w:r>
      <w:r w:rsidR="00727955" w:rsidRPr="00DC442D">
        <w:rPr>
          <w:lang w:eastAsia="ja-JP"/>
        </w:rPr>
        <w:br/>
      </w:r>
      <w:r w:rsidR="00AC25D9" w:rsidRPr="00DC442D">
        <w:rPr>
          <w:lang w:eastAsia="ja-JP"/>
        </w:rPr>
        <w:t>de un entorno sin papel</w:t>
      </w:r>
      <w:bookmarkEnd w:id="157"/>
    </w:p>
    <w:p w14:paraId="60D9BB10" w14:textId="4A4F7D36" w:rsidR="006F64AE" w:rsidRPr="00DC442D" w:rsidRDefault="00D72461" w:rsidP="00F75511">
      <w:r w:rsidRPr="00DC442D">
        <w:t>A medida que la UIT lleva a cabo la transición a su nuevo edificio, la necesidad de contar con procedimientos de trabajo flexibles y sin soporte de papel se torna apremiante y, si bien la Unión lleva años adoptando métodos de trabajo electrónicos, muchos procesos siguen sin ser plenamente digitales, tal y como ha puesto de relieve la crisis actual. El personal, los miembros y otras partes interesadas de la UIT necesitan acceder a información en línea de múltiples fuentes y utilizarla, en tiempo real y en cualquier momento (24 horas al día, 7 días a la semana), y existe una creciente demanda de más herramientas de colaboración.</w:t>
      </w:r>
      <w:r w:rsidR="00AC25D9" w:rsidRPr="00DC442D">
        <w:t xml:space="preserve"> Puede encontrarse más información al respecto en el</w:t>
      </w:r>
      <w:r w:rsidRPr="00DC442D">
        <w:t xml:space="preserve"> </w:t>
      </w:r>
      <w:hyperlink r:id="rId29" w:history="1">
        <w:r w:rsidRPr="00DC442D">
          <w:rPr>
            <w:rStyle w:val="Hyperlink"/>
          </w:rPr>
          <w:t>Document</w:t>
        </w:r>
        <w:r w:rsidR="00AC25D9" w:rsidRPr="00DC442D">
          <w:rPr>
            <w:rStyle w:val="Hyperlink"/>
          </w:rPr>
          <w:t>o</w:t>
        </w:r>
        <w:r w:rsidRPr="00DC442D">
          <w:rPr>
            <w:rStyle w:val="Hyperlink"/>
          </w:rPr>
          <w:t xml:space="preserve"> C20/53</w:t>
        </w:r>
      </w:hyperlink>
      <w:r w:rsidRPr="00DC442D">
        <w:t xml:space="preserve"> </w:t>
      </w:r>
      <w:r w:rsidR="00607A68" w:rsidRPr="00DC442D">
        <w:t>(</w:t>
      </w:r>
      <w:r w:rsidRPr="00DC442D">
        <w:t>Continuidad de las actividades – gestión de la información</w:t>
      </w:r>
      <w:r w:rsidR="00607A68" w:rsidRPr="00DC442D">
        <w:t>)</w:t>
      </w:r>
      <w:r w:rsidRPr="00DC442D">
        <w:t xml:space="preserve"> </w:t>
      </w:r>
      <w:r w:rsidR="00AC25D9" w:rsidRPr="00DC442D">
        <w:t>y el</w:t>
      </w:r>
      <w:r w:rsidRPr="00DC442D">
        <w:t xml:space="preserve"> </w:t>
      </w:r>
      <w:hyperlink r:id="rId30" w:history="1">
        <w:r w:rsidRPr="00DC442D">
          <w:rPr>
            <w:rStyle w:val="Hyperlink"/>
          </w:rPr>
          <w:t>Document</w:t>
        </w:r>
        <w:r w:rsidR="00AC25D9" w:rsidRPr="00DC442D">
          <w:rPr>
            <w:rStyle w:val="Hyperlink"/>
          </w:rPr>
          <w:t>o</w:t>
        </w:r>
        <w:r w:rsidRPr="00DC442D">
          <w:rPr>
            <w:rStyle w:val="Hyperlink"/>
          </w:rPr>
          <w:t xml:space="preserve"> C20/15</w:t>
        </w:r>
      </w:hyperlink>
      <w:r w:rsidRPr="00DC442D">
        <w:t xml:space="preserve"> </w:t>
      </w:r>
      <w:r w:rsidR="00607A68" w:rsidRPr="00DC442D">
        <w:t>(</w:t>
      </w:r>
      <w:r w:rsidR="00AC25D9" w:rsidRPr="00DC442D">
        <w:t>Informe sobre el SGRI</w:t>
      </w:r>
      <w:r w:rsidR="00607A68" w:rsidRPr="00DC442D">
        <w:t>)</w:t>
      </w:r>
      <w:r w:rsidRPr="00DC442D">
        <w:t xml:space="preserve">. </w:t>
      </w:r>
    </w:p>
    <w:p w14:paraId="1BEA468E" w14:textId="6403F97F" w:rsidR="00D72461" w:rsidRPr="00DC442D" w:rsidRDefault="00D72461" w:rsidP="00F75511">
      <w:pPr>
        <w:pStyle w:val="Heading1"/>
        <w:rPr>
          <w:lang w:eastAsia="ja-JP"/>
        </w:rPr>
      </w:pPr>
      <w:bookmarkStart w:id="158" w:name="lt_pId219"/>
      <w:r w:rsidRPr="00DC442D">
        <w:rPr>
          <w:lang w:eastAsia="ja-JP"/>
        </w:rPr>
        <w:t>7</w:t>
      </w:r>
      <w:r w:rsidRPr="00DC442D">
        <w:rPr>
          <w:lang w:eastAsia="ja-JP"/>
        </w:rPr>
        <w:tab/>
      </w:r>
      <w:proofErr w:type="gramStart"/>
      <w:r w:rsidR="00AC25D9" w:rsidRPr="00DC442D">
        <w:rPr>
          <w:lang w:eastAsia="ja-JP"/>
        </w:rPr>
        <w:t>Continuidad</w:t>
      </w:r>
      <w:proofErr w:type="gramEnd"/>
      <w:r w:rsidR="00AC25D9" w:rsidRPr="00DC442D">
        <w:rPr>
          <w:lang w:eastAsia="ja-JP"/>
        </w:rPr>
        <w:t xml:space="preserve"> de las actividades – Conferencias durante la demolición</w:t>
      </w:r>
      <w:r w:rsidR="00727955" w:rsidRPr="00DC442D">
        <w:rPr>
          <w:lang w:eastAsia="ja-JP"/>
        </w:rPr>
        <w:br/>
      </w:r>
      <w:r w:rsidR="00AC25D9" w:rsidRPr="00DC442D">
        <w:rPr>
          <w:lang w:eastAsia="ja-JP"/>
        </w:rPr>
        <w:t xml:space="preserve">de </w:t>
      </w:r>
      <w:r w:rsidRPr="00DC442D">
        <w:rPr>
          <w:lang w:eastAsia="ja-JP"/>
        </w:rPr>
        <w:t xml:space="preserve">Varembé </w:t>
      </w:r>
      <w:r w:rsidR="00AC25D9" w:rsidRPr="00DC442D">
        <w:rPr>
          <w:lang w:eastAsia="ja-JP"/>
        </w:rPr>
        <w:t>y la construcción del nuevo edificio</w:t>
      </w:r>
      <w:bookmarkEnd w:id="158"/>
    </w:p>
    <w:p w14:paraId="05A18517" w14:textId="4F2B491D" w:rsidR="00D72461" w:rsidRPr="00DC442D" w:rsidRDefault="00AC25D9" w:rsidP="00F75511">
      <w:pPr>
        <w:rPr>
          <w:lang w:eastAsia="en-GB"/>
        </w:rPr>
      </w:pPr>
      <w:bookmarkStart w:id="159" w:name="lt_pId220"/>
      <w:r w:rsidRPr="00DC442D">
        <w:rPr>
          <w:lang w:eastAsia="zh-CN"/>
        </w:rPr>
        <w:t>Una vez conocidas las necesidades de salas de todos los Sectores de la UIT desde mediados de 2022 hasta</w:t>
      </w:r>
      <w:r w:rsidR="00D72461" w:rsidRPr="00DC442D">
        <w:rPr>
          <w:lang w:eastAsia="zh-CN"/>
        </w:rPr>
        <w:t xml:space="preserve"> 2025/2026, </w:t>
      </w:r>
      <w:r w:rsidRPr="00DC442D">
        <w:rPr>
          <w:lang w:eastAsia="zh-CN"/>
        </w:rPr>
        <w:t>las sesiones de trabajo se celebrarán entre la UIT y el CIDG/FIPOI a fin de colmar todas las necesidades (a excepción de algunas reuniones de Grupos de Trabajo del UIT-R y Grupos de Trabajo del UIT-T, cuyos lugares de celebración están por decidir). El estudio se ha completado y se presentará a los Sectores de la UIT una recopilación de todas estas propuestas. Cada Sector considerará entonces las salas y fechas propuestas antes de dar su validación a</w:t>
      </w:r>
      <w:bookmarkStart w:id="160" w:name="lt_pId222"/>
      <w:bookmarkEnd w:id="159"/>
      <w:r w:rsidR="00D72461" w:rsidRPr="00DC442D">
        <w:rPr>
          <w:lang w:eastAsia="zh-CN"/>
        </w:rPr>
        <w:t xml:space="preserve"> C&amp;P</w:t>
      </w:r>
      <w:r w:rsidRPr="00DC442D">
        <w:rPr>
          <w:lang w:eastAsia="zh-CN"/>
        </w:rPr>
        <w:t xml:space="preserve"> y, por tanto, al CICG/</w:t>
      </w:r>
      <w:r w:rsidR="00D72461" w:rsidRPr="00DC442D">
        <w:rPr>
          <w:lang w:eastAsia="zh-CN"/>
        </w:rPr>
        <w:t>FIPOI</w:t>
      </w:r>
      <w:r w:rsidRPr="00DC442D">
        <w:rPr>
          <w:lang w:eastAsia="zh-CN"/>
        </w:rPr>
        <w:t>. Una vez las fechas aprobadas, se notificarán en el</w:t>
      </w:r>
      <w:bookmarkStart w:id="161" w:name="lt_pId223"/>
      <w:bookmarkEnd w:id="160"/>
      <w:r w:rsidR="00D72461" w:rsidRPr="00DC442D">
        <w:rPr>
          <w:lang w:eastAsia="zh-CN"/>
        </w:rPr>
        <w:t xml:space="preserve"> </w:t>
      </w:r>
      <w:hyperlink r:id="rId31" w:history="1">
        <w:r w:rsidR="00D72461" w:rsidRPr="00DC442D">
          <w:rPr>
            <w:rStyle w:val="Hyperlink"/>
            <w:rFonts w:asciiTheme="minorHAnsi" w:hAnsiTheme="minorHAnsi" w:cstheme="minorHAnsi"/>
            <w:szCs w:val="22"/>
            <w:lang w:eastAsia="zh-CN"/>
          </w:rPr>
          <w:t>Doc</w:t>
        </w:r>
        <w:r w:rsidRPr="00DC442D">
          <w:rPr>
            <w:rStyle w:val="Hyperlink"/>
            <w:rFonts w:asciiTheme="minorHAnsi" w:hAnsiTheme="minorHAnsi" w:cstheme="minorHAnsi"/>
            <w:szCs w:val="22"/>
            <w:lang w:eastAsia="zh-CN"/>
          </w:rPr>
          <w:t>umento</w:t>
        </w:r>
        <w:r w:rsidR="00D72461" w:rsidRPr="00DC442D">
          <w:rPr>
            <w:rStyle w:val="Hyperlink"/>
            <w:rFonts w:asciiTheme="minorHAnsi" w:hAnsiTheme="minorHAnsi" w:cstheme="minorHAnsi"/>
            <w:szCs w:val="22"/>
            <w:lang w:eastAsia="zh-CN"/>
          </w:rPr>
          <w:t xml:space="preserve"> C20/2</w:t>
        </w:r>
      </w:hyperlink>
      <w:r w:rsidRPr="00DC442D">
        <w:rPr>
          <w:rStyle w:val="Hyperlink"/>
          <w:rFonts w:asciiTheme="minorHAnsi" w:hAnsiTheme="minorHAnsi" w:cstheme="minorHAnsi"/>
          <w:szCs w:val="22"/>
          <w:lang w:eastAsia="zh-CN"/>
        </w:rPr>
        <w:t>,</w:t>
      </w:r>
      <w:r w:rsidR="00D72461" w:rsidRPr="00DC442D">
        <w:rPr>
          <w:lang w:eastAsia="zh-CN"/>
        </w:rPr>
        <w:t xml:space="preserve"> </w:t>
      </w:r>
      <w:r w:rsidR="003C4E9E" w:rsidRPr="00DC442D">
        <w:rPr>
          <w:lang w:eastAsia="zh-CN"/>
        </w:rPr>
        <w:t xml:space="preserve">relativo a las </w:t>
      </w:r>
      <w:r w:rsidR="004000AA" w:rsidRPr="00DC442D">
        <w:rPr>
          <w:lang w:eastAsia="zh-CN"/>
        </w:rPr>
        <w:t>f</w:t>
      </w:r>
      <w:r w:rsidRPr="00DC442D">
        <w:rPr>
          <w:lang w:eastAsia="zh-CN"/>
        </w:rPr>
        <w:t xml:space="preserve">echas y duración propuestas de las reuniones del Consejo </w:t>
      </w:r>
      <w:r w:rsidR="003C4E9E" w:rsidRPr="00DC442D">
        <w:rPr>
          <w:lang w:eastAsia="zh-CN"/>
        </w:rPr>
        <w:t>en</w:t>
      </w:r>
      <w:r w:rsidR="00D72461" w:rsidRPr="00DC442D">
        <w:rPr>
          <w:lang w:eastAsia="zh-CN"/>
        </w:rPr>
        <w:t xml:space="preserve"> 2021, 2022, 2023, 2024, 2025 </w:t>
      </w:r>
      <w:r w:rsidR="003C4E9E" w:rsidRPr="00DC442D">
        <w:rPr>
          <w:lang w:eastAsia="zh-CN"/>
        </w:rPr>
        <w:t>y</w:t>
      </w:r>
      <w:r w:rsidR="00D72461" w:rsidRPr="00DC442D">
        <w:rPr>
          <w:lang w:eastAsia="zh-CN"/>
        </w:rPr>
        <w:t xml:space="preserve"> 2026 </w:t>
      </w:r>
      <w:r w:rsidR="003C4E9E" w:rsidRPr="00DC442D">
        <w:rPr>
          <w:lang w:eastAsia="zh-CN"/>
        </w:rPr>
        <w:t>y de los Grupos de Trabajo del Consejo</w:t>
      </w:r>
      <w:r w:rsidR="00D72461" w:rsidRPr="00DC442D">
        <w:rPr>
          <w:lang w:eastAsia="zh-CN"/>
        </w:rPr>
        <w:t>s</w:t>
      </w:r>
      <w:r w:rsidR="003C4E9E" w:rsidRPr="00DC442D">
        <w:rPr>
          <w:lang w:eastAsia="zh-CN"/>
        </w:rPr>
        <w:t xml:space="preserve"> en</w:t>
      </w:r>
      <w:r w:rsidR="00D72461" w:rsidRPr="00DC442D">
        <w:rPr>
          <w:lang w:eastAsia="zh-CN"/>
        </w:rPr>
        <w:t xml:space="preserve"> 2020 </w:t>
      </w:r>
      <w:r w:rsidR="003C4E9E" w:rsidRPr="00DC442D">
        <w:rPr>
          <w:lang w:eastAsia="zh-CN"/>
        </w:rPr>
        <w:t>y</w:t>
      </w:r>
      <w:r w:rsidR="00D72461" w:rsidRPr="00DC442D">
        <w:rPr>
          <w:lang w:eastAsia="zh-CN"/>
        </w:rPr>
        <w:t xml:space="preserve"> 2021</w:t>
      </w:r>
      <w:r w:rsidR="003C4E9E" w:rsidRPr="00DC442D">
        <w:rPr>
          <w:lang w:eastAsia="zh-CN"/>
        </w:rPr>
        <w:t>, y en el</w:t>
      </w:r>
      <w:r w:rsidR="00D72461" w:rsidRPr="00DC442D">
        <w:rPr>
          <w:lang w:eastAsia="zh-CN"/>
        </w:rPr>
        <w:t xml:space="preserve"> </w:t>
      </w:r>
      <w:hyperlink r:id="rId32" w:history="1">
        <w:r w:rsidR="00D72461" w:rsidRPr="00DC442D">
          <w:rPr>
            <w:rStyle w:val="Hyperlink"/>
            <w:rFonts w:asciiTheme="minorHAnsi" w:hAnsiTheme="minorHAnsi" w:cstheme="minorHAnsi"/>
            <w:szCs w:val="22"/>
            <w:lang w:eastAsia="zh-CN"/>
          </w:rPr>
          <w:t>Doc</w:t>
        </w:r>
        <w:r w:rsidR="003C4E9E" w:rsidRPr="00DC442D">
          <w:rPr>
            <w:rStyle w:val="Hyperlink"/>
            <w:rFonts w:asciiTheme="minorHAnsi" w:hAnsiTheme="minorHAnsi" w:cstheme="minorHAnsi"/>
            <w:szCs w:val="22"/>
            <w:lang w:eastAsia="zh-CN"/>
          </w:rPr>
          <w:t>umento</w:t>
        </w:r>
        <w:r w:rsidR="00D72461" w:rsidRPr="00DC442D">
          <w:rPr>
            <w:rStyle w:val="Hyperlink"/>
            <w:rFonts w:asciiTheme="minorHAnsi" w:hAnsiTheme="minorHAnsi" w:cstheme="minorHAnsi"/>
            <w:szCs w:val="22"/>
            <w:lang w:eastAsia="zh-CN"/>
          </w:rPr>
          <w:t xml:space="preserve"> </w:t>
        </w:r>
        <w:r w:rsidR="00D72461" w:rsidRPr="00DC442D">
          <w:rPr>
            <w:rStyle w:val="Hyperlink"/>
            <w:rFonts w:asciiTheme="minorHAnsi" w:hAnsiTheme="minorHAnsi" w:cstheme="minorHAnsi"/>
            <w:szCs w:val="22"/>
            <w:lang w:eastAsia="zh-CN"/>
          </w:rPr>
          <w:lastRenderedPageBreak/>
          <w:t>C20/37</w:t>
        </w:r>
      </w:hyperlink>
      <w:r w:rsidR="003C4E9E" w:rsidRPr="00DC442D">
        <w:rPr>
          <w:rStyle w:val="Hyperlink"/>
          <w:rFonts w:asciiTheme="minorHAnsi" w:hAnsiTheme="minorHAnsi" w:cstheme="minorHAnsi"/>
          <w:szCs w:val="22"/>
          <w:lang w:eastAsia="zh-CN"/>
        </w:rPr>
        <w:t>,</w:t>
      </w:r>
      <w:r w:rsidR="00D72461" w:rsidRPr="00DC442D">
        <w:rPr>
          <w:lang w:eastAsia="zh-CN"/>
        </w:rPr>
        <w:t xml:space="preserve"> </w:t>
      </w:r>
      <w:r w:rsidR="003C4E9E" w:rsidRPr="00DC442D">
        <w:rPr>
          <w:lang w:eastAsia="zh-CN"/>
        </w:rPr>
        <w:t>relativo al calendario de futuras Conferencias, Asambleas y reuniones de la Unión en</w:t>
      </w:r>
      <w:r w:rsidR="004000AA" w:rsidRPr="00DC442D">
        <w:rPr>
          <w:lang w:eastAsia="en-GB"/>
        </w:rPr>
        <w:t> </w:t>
      </w:r>
      <w:r w:rsidR="00D72461" w:rsidRPr="00DC442D">
        <w:rPr>
          <w:lang w:eastAsia="en-GB"/>
        </w:rPr>
        <w:t>2020-2023.</w:t>
      </w:r>
      <w:bookmarkEnd w:id="161"/>
    </w:p>
    <w:p w14:paraId="207B6C1E" w14:textId="49FC92B2" w:rsidR="00D72461" w:rsidRPr="00DC442D" w:rsidRDefault="00D72461" w:rsidP="00F75511">
      <w:pPr>
        <w:pStyle w:val="Heading1"/>
        <w:rPr>
          <w:lang w:eastAsia="ja-JP"/>
        </w:rPr>
      </w:pPr>
      <w:bookmarkStart w:id="162" w:name="lt_pId224"/>
      <w:r w:rsidRPr="00DC442D">
        <w:rPr>
          <w:lang w:eastAsia="ja-JP"/>
        </w:rPr>
        <w:t>8</w:t>
      </w:r>
      <w:r w:rsidRPr="00DC442D">
        <w:rPr>
          <w:lang w:eastAsia="ja-JP"/>
        </w:rPr>
        <w:tab/>
      </w:r>
      <w:proofErr w:type="gramStart"/>
      <w:r w:rsidR="003C4E9E" w:rsidRPr="00DC442D">
        <w:rPr>
          <w:lang w:eastAsia="ja-JP"/>
        </w:rPr>
        <w:t>Comunicación</w:t>
      </w:r>
      <w:proofErr w:type="gramEnd"/>
      <w:r w:rsidR="003C4E9E" w:rsidRPr="00DC442D">
        <w:rPr>
          <w:lang w:eastAsia="ja-JP"/>
        </w:rPr>
        <w:t xml:space="preserve"> interna y externa en el contexto de la construcción</w:t>
      </w:r>
      <w:r w:rsidR="004000AA" w:rsidRPr="00DC442D">
        <w:rPr>
          <w:lang w:eastAsia="ja-JP"/>
        </w:rPr>
        <w:br/>
      </w:r>
      <w:r w:rsidR="003C4E9E" w:rsidRPr="00DC442D">
        <w:rPr>
          <w:lang w:eastAsia="ja-JP"/>
        </w:rPr>
        <w:t>del nuevo edificio</w:t>
      </w:r>
      <w:bookmarkEnd w:id="162"/>
      <w:r w:rsidRPr="00DC442D">
        <w:rPr>
          <w:lang w:eastAsia="ja-JP"/>
        </w:rPr>
        <w:t xml:space="preserve"> </w:t>
      </w:r>
    </w:p>
    <w:p w14:paraId="39EF8D8C" w14:textId="43AEC3A7" w:rsidR="00D72461" w:rsidRPr="00DC442D" w:rsidRDefault="003C4E9E" w:rsidP="00F75511">
      <w:pPr>
        <w:rPr>
          <w:lang w:eastAsia="zh-CN"/>
        </w:rPr>
      </w:pPr>
      <w:bookmarkStart w:id="163" w:name="lt_pId225"/>
      <w:r w:rsidRPr="00DC442D">
        <w:rPr>
          <w:lang w:eastAsia="zh-CN"/>
        </w:rPr>
        <w:t>La UIT ha preparado una estrategia de comunicación interna y externa acerca de la futura Sede de la UIT y la gestión del cambio conexa en el contexto de la Estrategia sobre las condiciones de trabajo del personal y plan de ejecución. Está en curso el procedimiento de contratación temporal de un funcionario P3, Oficial de comunicaciones internas y externas, para la implementación de esa estrategia</w:t>
      </w:r>
      <w:bookmarkStart w:id="164" w:name="lt_pId226"/>
      <w:bookmarkEnd w:id="163"/>
      <w:r w:rsidR="00D72461" w:rsidRPr="00DC442D">
        <w:rPr>
          <w:lang w:eastAsia="zh-CN"/>
        </w:rPr>
        <w:t>.</w:t>
      </w:r>
      <w:bookmarkEnd w:id="164"/>
      <w:r w:rsidR="00D72461" w:rsidRPr="00DC442D">
        <w:rPr>
          <w:lang w:eastAsia="zh-CN"/>
        </w:rPr>
        <w:t xml:space="preserve"> </w:t>
      </w:r>
    </w:p>
    <w:p w14:paraId="3615F4C0" w14:textId="4FB7C289" w:rsidR="00D72461" w:rsidRPr="00DC442D" w:rsidRDefault="00D72461" w:rsidP="00F75511">
      <w:pPr>
        <w:pStyle w:val="Heading1"/>
        <w:rPr>
          <w:lang w:eastAsia="ja-JP"/>
        </w:rPr>
      </w:pPr>
      <w:r w:rsidRPr="00DC442D">
        <w:rPr>
          <w:lang w:eastAsia="ja-JP"/>
        </w:rPr>
        <w:t>9</w:t>
      </w:r>
      <w:r w:rsidRPr="00DC442D">
        <w:rPr>
          <w:lang w:eastAsia="ja-JP"/>
        </w:rPr>
        <w:tab/>
      </w:r>
      <w:bookmarkStart w:id="165" w:name="lt_pId228"/>
      <w:proofErr w:type="gramStart"/>
      <w:r w:rsidR="003C4E9E" w:rsidRPr="00DC442D">
        <w:rPr>
          <w:lang w:eastAsia="ja-JP"/>
        </w:rPr>
        <w:t>Consecuencias</w:t>
      </w:r>
      <w:proofErr w:type="gramEnd"/>
      <w:r w:rsidR="003C4E9E" w:rsidRPr="00DC442D">
        <w:rPr>
          <w:lang w:eastAsia="ja-JP"/>
        </w:rPr>
        <w:t xml:space="preserve"> de la</w:t>
      </w:r>
      <w:r w:rsidRPr="00DC442D">
        <w:rPr>
          <w:lang w:eastAsia="ja-JP"/>
        </w:rPr>
        <w:t xml:space="preserve"> Covid-19</w:t>
      </w:r>
      <w:bookmarkEnd w:id="165"/>
    </w:p>
    <w:p w14:paraId="035B28C5" w14:textId="71E2C741" w:rsidR="00D72461" w:rsidRPr="00DC442D" w:rsidRDefault="003C4E9E" w:rsidP="00F75511">
      <w:pPr>
        <w:rPr>
          <w:lang w:eastAsia="zh-CN"/>
        </w:rPr>
      </w:pPr>
      <w:bookmarkStart w:id="166" w:name="lt_pId229"/>
      <w:r w:rsidRPr="00DC442D">
        <w:rPr>
          <w:lang w:eastAsia="zh-CN"/>
        </w:rPr>
        <w:t>Al igual que toda la UIT, el equipo</w:t>
      </w:r>
      <w:r w:rsidR="00D72461" w:rsidRPr="00DC442D">
        <w:rPr>
          <w:lang w:eastAsia="zh-CN"/>
        </w:rPr>
        <w:t xml:space="preserve"> BPD </w:t>
      </w:r>
      <w:r w:rsidRPr="00DC442D">
        <w:rPr>
          <w:lang w:eastAsia="zh-CN"/>
        </w:rPr>
        <w:t>ha estado teletrabajando desde mediados de marzo. Todas las actividades relacionadas con el diseño, incluidos los talleres temáticos, las reuniones de coordinación técnica con</w:t>
      </w:r>
      <w:bookmarkStart w:id="167" w:name="lt_pId230"/>
      <w:bookmarkEnd w:id="166"/>
      <w:r w:rsidR="00D72461" w:rsidRPr="00DC442D">
        <w:rPr>
          <w:lang w:eastAsia="zh-CN"/>
        </w:rPr>
        <w:t xml:space="preserve"> CDTK </w:t>
      </w:r>
      <w:r w:rsidRPr="00DC442D">
        <w:rPr>
          <w:lang w:eastAsia="zh-CN"/>
        </w:rPr>
        <w:t xml:space="preserve">y sus </w:t>
      </w:r>
      <w:r w:rsidR="009D64DB" w:rsidRPr="00DC442D">
        <w:rPr>
          <w:lang w:eastAsia="zh-CN"/>
        </w:rPr>
        <w:t>sub</w:t>
      </w:r>
      <w:r w:rsidRPr="00DC442D">
        <w:rPr>
          <w:lang w:eastAsia="zh-CN"/>
        </w:rPr>
        <w:t>contratistas y las consultas con las partes interesadas internas para la confirmación de los requisitos</w:t>
      </w:r>
      <w:r w:rsidR="009D64DB" w:rsidRPr="00DC442D">
        <w:rPr>
          <w:lang w:eastAsia="zh-CN"/>
        </w:rPr>
        <w:t xml:space="preserve"> funcionales específicamente técnicos, se han seguido llevando a cabo a distancia. Varios miembros del equipo del contratista contrajeron la</w:t>
      </w:r>
      <w:bookmarkStart w:id="168" w:name="lt_pId231"/>
      <w:bookmarkEnd w:id="167"/>
      <w:r w:rsidR="00D72461" w:rsidRPr="00DC442D">
        <w:rPr>
          <w:lang w:eastAsia="zh-CN"/>
        </w:rPr>
        <w:t xml:space="preserve"> Covid-19 </w:t>
      </w:r>
      <w:r w:rsidR="009D64DB" w:rsidRPr="00DC442D">
        <w:rPr>
          <w:lang w:eastAsia="zh-CN"/>
        </w:rPr>
        <w:t>y estuvieron de baja por enfermedad, por lo que</w:t>
      </w:r>
      <w:r w:rsidR="00D72461" w:rsidRPr="00DC442D">
        <w:rPr>
          <w:lang w:eastAsia="zh-CN"/>
        </w:rPr>
        <w:t xml:space="preserve"> BPD </w:t>
      </w:r>
      <w:r w:rsidR="009D64DB" w:rsidRPr="00DC442D">
        <w:rPr>
          <w:lang w:eastAsia="zh-CN"/>
        </w:rPr>
        <w:t>se ha mostrado lo más flexible posible adaptando los plazos de entrega del contratista para garantizar la continuidad de las actividades</w:t>
      </w:r>
      <w:r w:rsidR="00D72461" w:rsidRPr="00DC442D">
        <w:rPr>
          <w:lang w:eastAsia="zh-CN"/>
        </w:rPr>
        <w:t>.</w:t>
      </w:r>
      <w:bookmarkEnd w:id="168"/>
    </w:p>
    <w:p w14:paraId="5B37B7D3" w14:textId="584F5103" w:rsidR="00D72461" w:rsidRPr="00DC442D" w:rsidRDefault="009D64DB" w:rsidP="00F75511">
      <w:pPr>
        <w:rPr>
          <w:lang w:eastAsia="zh-CN"/>
        </w:rPr>
      </w:pPr>
      <w:bookmarkStart w:id="169" w:name="lt_pId232"/>
      <w:r w:rsidRPr="00DC442D">
        <w:rPr>
          <w:lang w:eastAsia="zh-CN"/>
        </w:rPr>
        <w:t>Otro de los acontecimientos clave de este año es la presentación del permiso de construir a finales de</w:t>
      </w:r>
      <w:r w:rsidR="00D72461" w:rsidRPr="00DC442D">
        <w:rPr>
          <w:lang w:eastAsia="zh-CN"/>
        </w:rPr>
        <w:t xml:space="preserve"> 2020.</w:t>
      </w:r>
      <w:bookmarkEnd w:id="169"/>
      <w:r w:rsidR="00D72461" w:rsidRPr="00DC442D">
        <w:rPr>
          <w:lang w:eastAsia="zh-CN"/>
        </w:rPr>
        <w:t xml:space="preserve"> </w:t>
      </w:r>
      <w:bookmarkStart w:id="170" w:name="lt_pId233"/>
      <w:r w:rsidRPr="00DC442D">
        <w:rPr>
          <w:lang w:eastAsia="zh-CN"/>
        </w:rPr>
        <w:t>Para ello la UIT ha de celebrar consultas con las autoridades locales, que han cesado sus actividades hasta nuevo aviso. Dependiendo de cuanto dure este periodo de cierre, es posible que</w:t>
      </w:r>
      <w:bookmarkStart w:id="171" w:name="lt_pId234"/>
      <w:bookmarkEnd w:id="170"/>
      <w:r w:rsidR="00D72461" w:rsidRPr="00DC442D">
        <w:rPr>
          <w:lang w:eastAsia="zh-CN"/>
        </w:rPr>
        <w:t xml:space="preserve"> BPD </w:t>
      </w:r>
      <w:r w:rsidRPr="00DC442D">
        <w:rPr>
          <w:lang w:eastAsia="zh-CN"/>
        </w:rPr>
        <w:t>se vea obligada a posponer las consultas y, por ende, también la presentación del permiso de construir</w:t>
      </w:r>
      <w:r w:rsidR="00D72461" w:rsidRPr="00DC442D">
        <w:rPr>
          <w:lang w:eastAsia="zh-CN"/>
        </w:rPr>
        <w:t>.</w:t>
      </w:r>
      <w:bookmarkEnd w:id="171"/>
      <w:r w:rsidR="00D72461" w:rsidRPr="00DC442D">
        <w:rPr>
          <w:lang w:eastAsia="zh-CN"/>
        </w:rPr>
        <w:t xml:space="preserve"> </w:t>
      </w:r>
    </w:p>
    <w:p w14:paraId="03940494" w14:textId="63FC7BA1" w:rsidR="00D72461" w:rsidRPr="00DC442D" w:rsidRDefault="00B10B95" w:rsidP="00F75511">
      <w:pPr>
        <w:rPr>
          <w:color w:val="000000"/>
          <w:szCs w:val="22"/>
          <w:lang w:eastAsia="zh-CN"/>
        </w:rPr>
      </w:pPr>
      <w:bookmarkStart w:id="172" w:name="lt_pId235"/>
      <w:r w:rsidRPr="00DC442D">
        <w:t>Otra de las consecuencias de la crisis de la</w:t>
      </w:r>
      <w:r w:rsidR="00D72461" w:rsidRPr="00DC442D">
        <w:t xml:space="preserve"> Covid</w:t>
      </w:r>
      <w:r w:rsidR="00FB664E" w:rsidRPr="00DC442D">
        <w:t>-</w:t>
      </w:r>
      <w:r w:rsidR="00D72461" w:rsidRPr="00DC442D">
        <w:t xml:space="preserve">19 </w:t>
      </w:r>
      <w:r w:rsidRPr="00DC442D">
        <w:t>ha sido la cancelación de la sesión de primavera del Parlamento. Sin embargo, el País Anfitrión ha confirmado que, por ahora, no hay motivo para preocuparse por la tramitación de la solicitud del préstamo a la UIT. El mensaje debe tratarse en el Parlamento en las sesiones de otoño/invierno y la cancelación de la sesión de primavera no afecta al mensaje de la UIT</w:t>
      </w:r>
      <w:bookmarkStart w:id="173" w:name="lt_pId237"/>
      <w:bookmarkEnd w:id="172"/>
      <w:r w:rsidR="00D72461" w:rsidRPr="00DC442D">
        <w:t>.</w:t>
      </w:r>
      <w:bookmarkEnd w:id="173"/>
    </w:p>
    <w:p w14:paraId="60805CF5" w14:textId="146DF153" w:rsidR="00D72461" w:rsidRPr="00DC442D" w:rsidRDefault="00B10B95" w:rsidP="00F75511">
      <w:bookmarkStart w:id="174" w:name="lt_pId238"/>
      <w:r w:rsidRPr="00DC442D">
        <w:rPr>
          <w:lang w:eastAsia="zh-CN"/>
        </w:rPr>
        <w:t>Los riesgos han cambiado y se está actualizando el registro de riesgos tomando en consideración la crisis actual, reevaluando las probabilidades y consecuencias, así como las medidas paliativas. Por otra parte, también hay efectos positivos, como es la demostración del poder de la tecnología y de que la UIT puede trabajar eficazmente recurriendo al teletrabajo y, en la medida de lo posible, a los medios electrónicos. Los Estados Miembros están haciendo gala de flexibilidad, celebrando reuniones virtuales y tomando las decisiones necesarias. Se está p</w:t>
      </w:r>
      <w:r w:rsidR="00FB664E" w:rsidRPr="00DC442D">
        <w:rPr>
          <w:lang w:eastAsia="zh-CN"/>
        </w:rPr>
        <w:t>robando la resiliencia de la UIT</w:t>
      </w:r>
      <w:r w:rsidRPr="00DC442D">
        <w:rPr>
          <w:lang w:eastAsia="zh-CN"/>
        </w:rPr>
        <w:t xml:space="preserve"> como organización y se informará al Consejo de 2020 de las necesidades y requisitos (véanse el</w:t>
      </w:r>
      <w:bookmarkEnd w:id="174"/>
      <w:r w:rsidR="00D72461" w:rsidRPr="00DC442D">
        <w:t xml:space="preserve"> </w:t>
      </w:r>
      <w:bookmarkStart w:id="175" w:name="lt_pId242"/>
      <w:r w:rsidR="00D72461" w:rsidRPr="00DC442D">
        <w:fldChar w:fldCharType="begin"/>
      </w:r>
      <w:r w:rsidR="00FB664E" w:rsidRPr="00DC442D">
        <w:instrText>HYPERLINK "https://www.itu.int/md/S20-CL-C-0053/es"</w:instrText>
      </w:r>
      <w:r w:rsidR="00D72461" w:rsidRPr="00DC442D">
        <w:fldChar w:fldCharType="separate"/>
      </w:r>
      <w:r w:rsidR="00D72461" w:rsidRPr="00DC442D">
        <w:rPr>
          <w:rStyle w:val="Hyperlink"/>
        </w:rPr>
        <w:t>Document</w:t>
      </w:r>
      <w:r w:rsidRPr="00DC442D">
        <w:rPr>
          <w:rStyle w:val="Hyperlink"/>
        </w:rPr>
        <w:t>o</w:t>
      </w:r>
      <w:r w:rsidR="00D72461" w:rsidRPr="00DC442D">
        <w:rPr>
          <w:rStyle w:val="Hyperlink"/>
        </w:rPr>
        <w:t xml:space="preserve"> C20/53</w:t>
      </w:r>
      <w:r w:rsidR="00D72461" w:rsidRPr="00DC442D">
        <w:rPr>
          <w:rStyle w:val="Hyperlink"/>
        </w:rPr>
        <w:fldChar w:fldCharType="end"/>
      </w:r>
      <w:r w:rsidR="00FB664E" w:rsidRPr="00DC442D">
        <w:rPr>
          <w:rStyle w:val="Hyperlink"/>
          <w:u w:val="none"/>
        </w:rPr>
        <w:t xml:space="preserve"> </w:t>
      </w:r>
      <w:r w:rsidR="00FB664E" w:rsidRPr="00DC442D">
        <w:t>(</w:t>
      </w:r>
      <w:r w:rsidR="00D72461" w:rsidRPr="00DC442D">
        <w:t>Continuidad de las actividades – gestión de la información</w:t>
      </w:r>
      <w:r w:rsidR="00FB664E" w:rsidRPr="00DC442D">
        <w:t>)</w:t>
      </w:r>
      <w:r w:rsidRPr="00DC442D">
        <w:t xml:space="preserve"> y</w:t>
      </w:r>
      <w:r w:rsidR="00C93C05" w:rsidRPr="00DC442D">
        <w:t xml:space="preserve"> el documento </w:t>
      </w:r>
      <w:hyperlink r:id="rId33" w:history="1">
        <w:r w:rsidR="00D72461" w:rsidRPr="00DC442D">
          <w:rPr>
            <w:rStyle w:val="Hyperlink"/>
          </w:rPr>
          <w:t>C20/15</w:t>
        </w:r>
      </w:hyperlink>
      <w:r w:rsidR="00D72461" w:rsidRPr="00DC442D">
        <w:t xml:space="preserve"> </w:t>
      </w:r>
      <w:r w:rsidR="00FB664E" w:rsidRPr="00DC442D">
        <w:t>(</w:t>
      </w:r>
      <w:r w:rsidRPr="00DC442D">
        <w:t>Informe sobre el SGRI)</w:t>
      </w:r>
      <w:r w:rsidR="00FB664E" w:rsidRPr="00DC442D">
        <w:t>)</w:t>
      </w:r>
      <w:r w:rsidRPr="00DC442D">
        <w:t xml:space="preserve"> para aumentar la resiliencia y garantizar la continuidad de las actividades. La dirección de la UIT se reúne periódicamente a distancia, minimizando así las consecuencias sobre el proceso decisorio interno</w:t>
      </w:r>
      <w:bookmarkStart w:id="176" w:name="lt_pId243"/>
      <w:bookmarkEnd w:id="175"/>
      <w:r w:rsidR="00D72461" w:rsidRPr="00DC442D">
        <w:t>.</w:t>
      </w:r>
      <w:bookmarkEnd w:id="176"/>
    </w:p>
    <w:p w14:paraId="377B0FE0" w14:textId="0776E48E" w:rsidR="00D72461" w:rsidRPr="00DC442D" w:rsidRDefault="00B10B95" w:rsidP="00F75511">
      <w:pPr>
        <w:rPr>
          <w:lang w:eastAsia="zh-CN"/>
        </w:rPr>
      </w:pPr>
      <w:bookmarkStart w:id="177" w:name="lt_pId244"/>
      <w:r w:rsidRPr="00DC442D">
        <w:rPr>
          <w:lang w:eastAsia="zh-CN"/>
        </w:rPr>
        <w:t>Las actuales restricciones de acceso al edificio</w:t>
      </w:r>
      <w:r w:rsidR="00D72461" w:rsidRPr="00DC442D">
        <w:rPr>
          <w:lang w:eastAsia="zh-CN"/>
        </w:rPr>
        <w:t xml:space="preserve"> Varembé </w:t>
      </w:r>
      <w:r w:rsidRPr="00DC442D">
        <w:rPr>
          <w:lang w:eastAsia="zh-CN"/>
        </w:rPr>
        <w:t>pueden tener consecuencias para el traslado del archivo de la BR</w:t>
      </w:r>
      <w:r w:rsidR="00D72461" w:rsidRPr="00DC442D">
        <w:rPr>
          <w:lang w:eastAsia="zh-CN"/>
        </w:rPr>
        <w:t>.</w:t>
      </w:r>
      <w:bookmarkEnd w:id="177"/>
    </w:p>
    <w:p w14:paraId="071CDB4C" w14:textId="460DCB7E" w:rsidR="00D72461" w:rsidRPr="00DC442D" w:rsidRDefault="00B10B95" w:rsidP="00F75511">
      <w:pPr>
        <w:rPr>
          <w:lang w:eastAsia="zh-CN"/>
        </w:rPr>
      </w:pPr>
      <w:bookmarkStart w:id="178" w:name="lt_pId245"/>
      <w:r w:rsidRPr="00DC442D">
        <w:rPr>
          <w:lang w:eastAsia="zh-CN"/>
        </w:rPr>
        <w:lastRenderedPageBreak/>
        <w:t>Por desgracia nadie puede prever por ahora los efectos que realmente tendrá la</w:t>
      </w:r>
      <w:r w:rsidR="00D72461" w:rsidRPr="00DC442D">
        <w:rPr>
          <w:lang w:eastAsia="zh-CN"/>
        </w:rPr>
        <w:t xml:space="preserve"> Covid-19 </w:t>
      </w:r>
      <w:r w:rsidRPr="00DC442D">
        <w:rPr>
          <w:lang w:eastAsia="zh-CN"/>
        </w:rPr>
        <w:t>en la duración del proyecto ni sus consecuencias financieras. La UIT hará todo lo posible por minimizar esas consecuencias, reabsorbiendo los eventuales retrasos una vez conocidas las consecuencias de la pandemia</w:t>
      </w:r>
      <w:bookmarkStart w:id="179" w:name="lt_pId246"/>
      <w:bookmarkEnd w:id="178"/>
      <w:r w:rsidR="00D72461" w:rsidRPr="00DC442D">
        <w:rPr>
          <w:lang w:eastAsia="zh-CN"/>
        </w:rPr>
        <w:t>.</w:t>
      </w:r>
      <w:bookmarkEnd w:id="179"/>
    </w:p>
    <w:p w14:paraId="79159AB1" w14:textId="48EEF9A3" w:rsidR="00D72461" w:rsidRPr="00DC442D" w:rsidRDefault="00B10B95" w:rsidP="00F75511">
      <w:pPr>
        <w:rPr>
          <w:lang w:eastAsia="zh-CN"/>
        </w:rPr>
      </w:pPr>
      <w:bookmarkStart w:id="180" w:name="lt_pId247"/>
      <w:r w:rsidRPr="00DC442D">
        <w:rPr>
          <w:lang w:eastAsia="zh-CN"/>
        </w:rPr>
        <w:t>Sin embargo, se ha añadido al registro de riesgos un punto que comprende y prevé los cambios que pudiera ser necesario realizar en el diseño</w:t>
      </w:r>
      <w:r w:rsidR="006832A3" w:rsidRPr="00DC442D">
        <w:rPr>
          <w:lang w:eastAsia="zh-CN"/>
        </w:rPr>
        <w:t xml:space="preserve"> a raíz de los requisitos que para el nuevo edificio impongan los resultados del análisis de consecuencias de la</w:t>
      </w:r>
      <w:r w:rsidR="00D72461" w:rsidRPr="00DC442D">
        <w:rPr>
          <w:lang w:eastAsia="zh-CN"/>
        </w:rPr>
        <w:t xml:space="preserve"> Covid</w:t>
      </w:r>
      <w:r w:rsidR="00FB664E" w:rsidRPr="00DC442D">
        <w:rPr>
          <w:lang w:eastAsia="zh-CN"/>
        </w:rPr>
        <w:t>-</w:t>
      </w:r>
      <w:r w:rsidR="00D72461" w:rsidRPr="00DC442D">
        <w:rPr>
          <w:lang w:eastAsia="zh-CN"/>
        </w:rPr>
        <w:t>19.</w:t>
      </w:r>
      <w:bookmarkEnd w:id="180"/>
    </w:p>
    <w:p w14:paraId="4CDC7F52" w14:textId="77777777" w:rsidR="00D72461" w:rsidRPr="00DC442D" w:rsidRDefault="00D72461" w:rsidP="00F75511"/>
    <w:p w14:paraId="420D52EB" w14:textId="77777777" w:rsidR="007145FB" w:rsidRPr="00DC442D" w:rsidRDefault="007145FB" w:rsidP="00F75511">
      <w:pPr>
        <w:sectPr w:rsidR="007145FB" w:rsidRPr="00DC442D" w:rsidSect="006710F6">
          <w:headerReference w:type="default" r:id="rId34"/>
          <w:footerReference w:type="default" r:id="rId35"/>
          <w:footerReference w:type="first" r:id="rId36"/>
          <w:pgSz w:w="11907" w:h="16834"/>
          <w:pgMar w:top="1418" w:right="1134" w:bottom="1418" w:left="1134" w:header="720" w:footer="720" w:gutter="0"/>
          <w:paperSrc w:first="15" w:other="15"/>
          <w:cols w:space="720"/>
          <w:titlePg/>
        </w:sectPr>
      </w:pPr>
    </w:p>
    <w:p w14:paraId="1432CAF4" w14:textId="77777777" w:rsidR="00D72461" w:rsidRPr="00DC442D" w:rsidRDefault="00D72461" w:rsidP="007F5476">
      <w:pPr>
        <w:pStyle w:val="AnnexNo"/>
        <w:spacing w:before="120" w:after="240"/>
      </w:pPr>
      <w:bookmarkStart w:id="181" w:name="lt_pId249"/>
      <w:r w:rsidRPr="00DC442D">
        <w:lastRenderedPageBreak/>
        <w:t>Anexo A</w:t>
      </w:r>
      <w:bookmarkEnd w:id="181"/>
    </w:p>
    <w:p w14:paraId="7BA0B459" w14:textId="1938766F" w:rsidR="00D72461" w:rsidRPr="00DC442D" w:rsidRDefault="00A812B0" w:rsidP="00F75511">
      <w:pPr>
        <w:jc w:val="center"/>
        <w:rPr>
          <w:rFonts w:asciiTheme="minorHAnsi" w:hAnsiTheme="minorHAnsi" w:cstheme="minorHAnsi"/>
          <w:color w:val="000000"/>
          <w:szCs w:val="22"/>
          <w:lang w:eastAsia="zh-CN"/>
        </w:rPr>
      </w:pPr>
      <w:r w:rsidRPr="002C4A18">
        <w:rPr>
          <w:noProof/>
          <w:lang w:val="en-US"/>
        </w:rPr>
        <mc:AlternateContent>
          <mc:Choice Requires="wps">
            <w:drawing>
              <wp:anchor distT="0" distB="0" distL="114300" distR="114300" simplePos="0" relativeHeight="251671552" behindDoc="0" locked="0" layoutInCell="1" allowOverlap="1" wp14:anchorId="2C49DA27" wp14:editId="2438C685">
                <wp:simplePos x="0" y="0"/>
                <wp:positionH relativeFrom="column">
                  <wp:posOffset>2764790</wp:posOffset>
                </wp:positionH>
                <wp:positionV relativeFrom="paragraph">
                  <wp:posOffset>2513965</wp:posOffset>
                </wp:positionV>
                <wp:extent cx="958850" cy="51816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958850" cy="518160"/>
                        </a:xfrm>
                        <a:prstGeom prst="rect">
                          <a:avLst/>
                        </a:prstGeom>
                        <a:solidFill>
                          <a:srgbClr val="9FD2C5"/>
                        </a:solidFill>
                        <a:ln w="6350">
                          <a:noFill/>
                        </a:ln>
                      </wps:spPr>
                      <wps:txbx>
                        <w:txbxContent>
                          <w:p w14:paraId="63DC9CAF" w14:textId="1D788CDF" w:rsidR="009C6A41" w:rsidRPr="009C6A41" w:rsidRDefault="009C6A41" w:rsidP="007F5476">
                            <w:pPr>
                              <w:jc w:val="center"/>
                              <w:rPr>
                                <w:b/>
                                <w:sz w:val="20"/>
                                <w:lang w:val="es-ES"/>
                              </w:rPr>
                            </w:pPr>
                            <w:r>
                              <w:rPr>
                                <w:b/>
                                <w:bCs/>
                                <w:sz w:val="20"/>
                                <w:lang w:val="es-ES"/>
                              </w:rPr>
                              <w:t>Continua mejora del marco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9DA27" id="_x0000_t202" coordsize="21600,21600" o:spt="202" path="m,l,21600r21600,l21600,xe">
                <v:stroke joinstyle="miter"/>
                <v:path gradientshapeok="t" o:connecttype="rect"/>
              </v:shapetype>
              <v:shape id="Text Box 15" o:spid="_x0000_s1026" type="#_x0000_t202" style="position:absolute;left:0;text-align:left;margin-left:217.7pt;margin-top:197.95pt;width:75.5pt;height:4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6FOgIAAGsEAAAOAAAAZHJzL2Uyb0RvYy54bWysVE1v2zAMvQ/YfxB0X510SJEGdYosRYYB&#10;RTugHXpWZDkxIIsapcTufv2e5Ljdup2GXWSKpPjxHumr67614mg4NORKOT2bSGGcpqpxu1J+e9x8&#10;mEsRonKVsuRMKZ9NkNfL9++uOr8w57QnWxkWCOLCovOl3MfoF0UR9N60KpyRNw7GmrhVEVfeFRWr&#10;DtFbW5xPJhdFR1x5Jm1CgPZmMMpljl/XRsf7ug4mCltK1BbzyfncprNYXqnFjpXfN/pUhvqHKlrV&#10;OCR9CXWjohIHbv4I1TaaKVAdzzS1BdV1o03uAd1MJ2+6edgrb3IvACf4F5jC/wur745fWTQVuJtJ&#10;4VQLjh5NH8Un6gVUwKfzYQG3Bw/H2EMP31EfoExt9zW36YuGBOxA+vkF3RRNQ3k5m89nsGiYZtP5&#10;9CKjX7w+9hziZ0OtSEIpGeRlTNXxNkQUAtfRJeUKZJtq01ibL7zbri2LowLRl5ub83WuHU9+c7NO&#10;dKW8+Ig60itH6f0Q2jpkSL0OPSUp9tv+BMCWqmf0zzRMUPB606DKWxXiV8UYGTSGNYj3OGpLSEIn&#10;SYo98Y+/6ZM/mIRVig4jWMrw/aDYSGG/OHCc5nUUeBS2o+AO7ZrQ7BQL5nUW8YCjHcWaqX3CdqxS&#10;FpiU08hVyjiK6zgsArZLm9UqO2EqvYq37sHrFDqBlDB/7J8U+xMxEYze0TicavGGn8F3gHd1iFQ3&#10;mbwE6IDiCWdMdOb0tH1pZX69Z6/Xf8TyJwAAAP//AwBQSwMEFAAGAAgAAAAhAA+YYSHjAAAACwEA&#10;AA8AAABkcnMvZG93bnJldi54bWxMj8FKw0AQhu+C77CM4CXYjbZJ05hNUaHgQYVWBY+b7DQJzc6G&#10;7LaNb+940uPM//HPN8V6sr044eg7RwpuZzEIpNqZjhoFH++bmwyED5qM7h2hgm/0sC4vLwqdG3em&#10;LZ52oRFcQj7XCtoQhlxKX7dotZ+5AYmzvRutDjyOjTSjPnO57eVdHKfS6o74QqsHfGqxPuyOVsHb&#10;Hpvo1URtlm4/D4/PVfS1eYmUur6aHu5BBJzCHwy/+qwOJTtV7kjGi17BYp4sGFUwXyUrEEwkWcqb&#10;iqPlMgFZFvL/D+UPAAAA//8DAFBLAQItABQABgAIAAAAIQC2gziS/gAAAOEBAAATAAAAAAAAAAAA&#10;AAAAAAAAAABbQ29udGVudF9UeXBlc10ueG1sUEsBAi0AFAAGAAgAAAAhADj9If/WAAAAlAEAAAsA&#10;AAAAAAAAAAAAAAAALwEAAF9yZWxzLy5yZWxzUEsBAi0AFAAGAAgAAAAhAJy7HoU6AgAAawQAAA4A&#10;AAAAAAAAAAAAAAAALgIAAGRycy9lMm9Eb2MueG1sUEsBAi0AFAAGAAgAAAAhAA+YYSHjAAAACwEA&#10;AA8AAAAAAAAAAAAAAAAAlAQAAGRycy9kb3ducmV2LnhtbFBLBQYAAAAABAAEAPMAAACkBQAAAAA=&#10;" fillcolor="#9fd2c5" stroked="f" strokeweight=".5pt">
                <v:textbox inset="0,0,0,0">
                  <w:txbxContent>
                    <w:p w14:paraId="63DC9CAF" w14:textId="1D788CDF" w:rsidR="009C6A41" w:rsidRPr="009C6A41" w:rsidRDefault="009C6A41" w:rsidP="007F5476">
                      <w:pPr>
                        <w:jc w:val="center"/>
                        <w:rPr>
                          <w:b/>
                          <w:sz w:val="20"/>
                          <w:lang w:val="es-ES"/>
                        </w:rPr>
                      </w:pPr>
                      <w:r>
                        <w:rPr>
                          <w:b/>
                          <w:bCs/>
                          <w:sz w:val="20"/>
                          <w:lang w:val="es-ES"/>
                        </w:rPr>
                        <w:t>Continua mejora del marco</w:t>
                      </w:r>
                    </w:p>
                  </w:txbxContent>
                </v:textbox>
              </v:shape>
            </w:pict>
          </mc:Fallback>
        </mc:AlternateContent>
      </w:r>
      <w:r w:rsidRPr="002C4A18">
        <w:rPr>
          <w:noProof/>
          <w:lang w:val="en-US"/>
        </w:rPr>
        <mc:AlternateContent>
          <mc:Choice Requires="wps">
            <w:drawing>
              <wp:anchor distT="0" distB="0" distL="114300" distR="114300" simplePos="0" relativeHeight="251667456" behindDoc="0" locked="0" layoutInCell="1" allowOverlap="1" wp14:anchorId="18B56E9C" wp14:editId="2397274D">
                <wp:simplePos x="0" y="0"/>
                <wp:positionH relativeFrom="column">
                  <wp:posOffset>4212590</wp:posOffset>
                </wp:positionH>
                <wp:positionV relativeFrom="paragraph">
                  <wp:posOffset>2491105</wp:posOffset>
                </wp:positionV>
                <wp:extent cx="958850" cy="5715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958850" cy="571500"/>
                        </a:xfrm>
                        <a:prstGeom prst="rect">
                          <a:avLst/>
                        </a:prstGeom>
                        <a:solidFill>
                          <a:srgbClr val="9FD2C5"/>
                        </a:solidFill>
                        <a:ln w="6350">
                          <a:noFill/>
                        </a:ln>
                      </wps:spPr>
                      <wps:txbx>
                        <w:txbxContent>
                          <w:p w14:paraId="77DD44DB" w14:textId="4F54B727" w:rsidR="009C6A41" w:rsidRPr="009C6A41" w:rsidRDefault="009C6A41" w:rsidP="00A812B0">
                            <w:pPr>
                              <w:jc w:val="center"/>
                              <w:rPr>
                                <w:b/>
                                <w:sz w:val="20"/>
                                <w:lang w:val="es-ES"/>
                              </w:rPr>
                            </w:pPr>
                            <w:r>
                              <w:rPr>
                                <w:b/>
                                <w:bCs/>
                                <w:sz w:val="20"/>
                                <w:lang w:val="es-ES"/>
                              </w:rPr>
                              <w:t>Implementación de la gestión de riesgos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56E9C" id="Text Box 13" o:spid="_x0000_s1027" type="#_x0000_t202" style="position:absolute;left:0;text-align:left;margin-left:331.7pt;margin-top:196.15pt;width:75.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mvPAIAAHIEAAAOAAAAZHJzL2Uyb0RvYy54bWysVMFu2zAMvQ/YPwi6r05apGuDOkWWIsOA&#10;oivQDj0rspwYkEWNUmJ3X78nOW63bqdhF4Umnyi+RzJX131rxcFwaMiVcnoykcI4TVXjtqX89rj+&#10;cCFFiMpVypIzpXw2QV4v3r+76vzcnNKObGVYIIkL886XchejnxdF0DvTqnBC3jgEa+JWRXzytqhY&#10;dcje2uJ0MjkvOuLKM2kTArw3Q1Aucv66Njp+retgorClRG0xn5zPTTqLxZWab1n5XaOPZah/qKJV&#10;jcOjL6luVFRiz80fqdpGMwWq44mmtqC6brTJHMBmOnnD5mGnvMlcIE7wLzKF/5dW3x3uWTQVencm&#10;hVMtevRo+ig+US/ggj6dD3PAHjyAsYcf2NEf4Ey0+5rb9AtCAnEo/fyibsqm4bycXVzMENEIzT5O&#10;Z5OsfvF62XOInw21IhmlZDQva6oOtyGiEEBHSHorkG2qdWNt/uDtZmVZHBQafbm+OV3NUo248hvM&#10;OtGV8vwMdaRbjtL9AWcd4InrwClZsd/0gzYj3w1Vz5CBaRik4PW6QbG3KsR7xZgc8MM2xK84akt4&#10;i46WFDviH3/zJzwaiqgUHSaxlOH7XrGRwn5xaHUa29Hg0diMhtu3KwLnKfbM62ziAkc7mjVT+4Ql&#10;WaZXEFJO461SxtFcxWEfsGTaLJcZhOH0Kt66B69T6qRVkv6xf1Lsj/2JaOwdjTOq5m/aNGAHlZf7&#10;SHWTe5h0HVQ8yo3Bzn06LmHanF+/M+r1r2LxEwAA//8DAFBLAwQUAAYACAAAACEAiMzD6eIAAAAL&#10;AQAADwAAAGRycy9kb3ducmV2LnhtbEyPwUrDQBCG74LvsIzgJdhNmxBizKSoUPCghVYFj5vsNAnN&#10;7obsto1v73jS4/zz8c835Xo2gzjT5HtnEZaLGATZxunetggf75u7HIQPymo1OEsI3+RhXV1flarQ&#10;7mJ3dN6HVnCJ9YVC6EIYCyl905FRfuFGsrw7uMmowOPUSj2pC5ebQa7iOJNG9ZYvdGqk546a4/5k&#10;ELYHaqM3HXV5tvs8Pr3U0dfmNUK8vZkfH0AEmsMfDL/6rA4VO9XuZLUXA0KWJSmjCMn9KgHBRL5M&#10;OakR0pwTWZXy/w/VDwAAAP//AwBQSwECLQAUAAYACAAAACEAtoM4kv4AAADhAQAAEwAAAAAAAAAA&#10;AAAAAAAAAAAAW0NvbnRlbnRfVHlwZXNdLnhtbFBLAQItABQABgAIAAAAIQA4/SH/1gAAAJQBAAAL&#10;AAAAAAAAAAAAAAAAAC8BAABfcmVscy8ucmVsc1BLAQItABQABgAIAAAAIQBQUZmvPAIAAHIEAAAO&#10;AAAAAAAAAAAAAAAAAC4CAABkcnMvZTJvRG9jLnhtbFBLAQItABQABgAIAAAAIQCIzMPp4gAAAAsB&#10;AAAPAAAAAAAAAAAAAAAAAJYEAABkcnMvZG93bnJldi54bWxQSwUGAAAAAAQABADzAAAApQUAAAAA&#10;" fillcolor="#9fd2c5" stroked="f" strokeweight=".5pt">
                <v:textbox inset="0,0,0,0">
                  <w:txbxContent>
                    <w:p w14:paraId="77DD44DB" w14:textId="4F54B727" w:rsidR="009C6A41" w:rsidRPr="009C6A41" w:rsidRDefault="009C6A41" w:rsidP="00A812B0">
                      <w:pPr>
                        <w:jc w:val="center"/>
                        <w:rPr>
                          <w:b/>
                          <w:sz w:val="20"/>
                          <w:lang w:val="es-ES"/>
                        </w:rPr>
                      </w:pPr>
                      <w:r>
                        <w:rPr>
                          <w:b/>
                          <w:bCs/>
                          <w:sz w:val="20"/>
                          <w:lang w:val="es-ES"/>
                        </w:rPr>
                        <w:t>Implementación de la gestión de riesgos</w:t>
                      </w:r>
                    </w:p>
                  </w:txbxContent>
                </v:textbox>
              </v:shape>
            </w:pict>
          </mc:Fallback>
        </mc:AlternateContent>
      </w:r>
      <w:r w:rsidRPr="002C4A18">
        <w:rPr>
          <w:noProof/>
          <w:lang w:val="en-US"/>
        </w:rPr>
        <mc:AlternateContent>
          <mc:Choice Requires="wps">
            <w:drawing>
              <wp:anchor distT="0" distB="0" distL="114300" distR="114300" simplePos="0" relativeHeight="251669504" behindDoc="0" locked="0" layoutInCell="1" allowOverlap="1" wp14:anchorId="1C9CE6D8" wp14:editId="5D64329D">
                <wp:simplePos x="0" y="0"/>
                <wp:positionH relativeFrom="column">
                  <wp:posOffset>3496310</wp:posOffset>
                </wp:positionH>
                <wp:positionV relativeFrom="paragraph">
                  <wp:posOffset>3447415</wp:posOffset>
                </wp:positionV>
                <wp:extent cx="958850" cy="58674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958850" cy="586740"/>
                        </a:xfrm>
                        <a:prstGeom prst="rect">
                          <a:avLst/>
                        </a:prstGeom>
                        <a:solidFill>
                          <a:srgbClr val="9FD2C5"/>
                        </a:solidFill>
                        <a:ln w="6350">
                          <a:noFill/>
                        </a:ln>
                      </wps:spPr>
                      <wps:txbx>
                        <w:txbxContent>
                          <w:p w14:paraId="457E11D3" w14:textId="0E77D462" w:rsidR="009C6A41" w:rsidRPr="009C6A41" w:rsidRDefault="009C6A41" w:rsidP="00A812B0">
                            <w:pPr>
                              <w:jc w:val="center"/>
                              <w:rPr>
                                <w:b/>
                                <w:sz w:val="20"/>
                                <w:lang w:val="es-ES"/>
                              </w:rPr>
                            </w:pPr>
                            <w:r>
                              <w:rPr>
                                <w:b/>
                                <w:bCs/>
                                <w:sz w:val="20"/>
                                <w:lang w:val="es-ES"/>
                              </w:rPr>
                              <w:t>Supervisión y revisión del marco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CE6D8" id="Text Box 14" o:spid="_x0000_s1028" type="#_x0000_t202" style="position:absolute;left:0;text-align:left;margin-left:275.3pt;margin-top:271.45pt;width:75.5pt;height:4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bVFPQIAAHIEAAAOAAAAZHJzL2Uyb0RvYy54bWysVMFuGjEQvVfqP1i+Nws0pASxRBREVQkl&#10;kZIqZ+P1wkpej2sbdunX99nLkjbtqerFzM48j+e9mWF219aaHZXzFZmcD68GnCkjqajMLuffntcf&#10;Jpz5IEwhNBmV85Py/G7+/t2ssVM1oj3pQjmGJMZPG5vzfQh2mmVe7lUt/BVZZRAsydUi4NPtssKJ&#10;BtlrnY0Gg5usIVdYR1J5D++qC/J5yl+WSoaHsvQqMJ1z1BbS6dK5jWc2n4npzgm7r+S5DPEPVdSi&#10;Mnj0kmolgmAHV/2Rqq6kI09luJJUZ1SWlVSJA9gMB2/YPO2FVYkLxPH2IpP/f2nl/fHRsapA7645&#10;M6JGj55VG9hnahlc0KexfgrYkwUwtPAD2/s9nJF2W7o6/oIQQxxKny7qxmwSztvxZDJGRCI0ntx8&#10;uk7qZ6+XrfPhi6KaRSPnDs1LmorjxgcUAmgPiW950lWxrrROH263XWrHjgKNvl2vRstxrBFXfoNp&#10;w5qc33xEHfGWoXi/w2kDeOTacYpWaLdt0mbU891ScYIMjrpB8lauKxS7ET48CofJAT9sQ3jAUWrC&#10;W3S2ONuT+/E3f8SjoYhy1mASc+6/H4RTnOmvBq2OY9sbrje2vWEO9ZLAeYg9szKZuOCC7s3SUf2C&#10;JVnEVxASRuKtnIfeXIZuH7BkUi0WCYThtCJszJOVMXXUKkr/3L4IZ8/9CWjsPfUzKqZv2tRhO5UX&#10;h0BllXoYde1UPMuNwU59Oi9h3JxfvxPq9a9i/hMAAP//AwBQSwMEFAAGAAgAAAAhADmuy4HjAAAA&#10;CwEAAA8AAABkcnMvZG93bnJldi54bWxMj8tOwzAQRfdI/IM1SGyi1m5LQglxKkCqxKIgtQWJpRNP&#10;46ixHcVuG/6eYQW7eRzdOVOsRtuxMw6h9U7CbCqAoau9bl0j4WO/niyBhaicVp13KOEbA6zK66tC&#10;5dpf3BbPu9gwCnEhVxJMjH3OeagNWhWmvkdHu4MfrIrUDg3Xg7pQuO34XIiMW9U6umBUjy8G6+Pu&#10;ZCW8H7BJ3nRiltn28/j8WiVf600i5e3N+PQILOIY/2D41Sd1KMmp8ienA+skpKnICKXibv4AjIh7&#10;MaNJJSFbpAvgZcH//1D+AAAA//8DAFBLAQItABQABgAIAAAAIQC2gziS/gAAAOEBAAATAAAAAAAA&#10;AAAAAAAAAAAAAABbQ29udGVudF9UeXBlc10ueG1sUEsBAi0AFAAGAAgAAAAhADj9If/WAAAAlAEA&#10;AAsAAAAAAAAAAAAAAAAALwEAAF9yZWxzLy5yZWxzUEsBAi0AFAAGAAgAAAAhAD2ttUU9AgAAcgQA&#10;AA4AAAAAAAAAAAAAAAAALgIAAGRycy9lMm9Eb2MueG1sUEsBAi0AFAAGAAgAAAAhADmuy4HjAAAA&#10;CwEAAA8AAAAAAAAAAAAAAAAAlwQAAGRycy9kb3ducmV2LnhtbFBLBQYAAAAABAAEAPMAAACnBQAA&#10;AAA=&#10;" fillcolor="#9fd2c5" stroked="f" strokeweight=".5pt">
                <v:textbox inset="0,0,0,0">
                  <w:txbxContent>
                    <w:p w14:paraId="457E11D3" w14:textId="0E77D462" w:rsidR="009C6A41" w:rsidRPr="009C6A41" w:rsidRDefault="009C6A41" w:rsidP="00A812B0">
                      <w:pPr>
                        <w:jc w:val="center"/>
                        <w:rPr>
                          <w:b/>
                          <w:sz w:val="20"/>
                          <w:lang w:val="es-ES"/>
                        </w:rPr>
                      </w:pPr>
                      <w:r>
                        <w:rPr>
                          <w:b/>
                          <w:bCs/>
                          <w:sz w:val="20"/>
                          <w:lang w:val="es-ES"/>
                        </w:rPr>
                        <w:t>Supervisión y revisión del marco</w:t>
                      </w:r>
                    </w:p>
                  </w:txbxContent>
                </v:textbox>
              </v:shape>
            </w:pict>
          </mc:Fallback>
        </mc:AlternateContent>
      </w:r>
      <w:r w:rsidRPr="002C4A18">
        <w:rPr>
          <w:noProof/>
          <w:lang w:val="en-US"/>
        </w:rPr>
        <mc:AlternateContent>
          <mc:Choice Requires="wps">
            <w:drawing>
              <wp:anchor distT="0" distB="0" distL="114300" distR="114300" simplePos="0" relativeHeight="251659264" behindDoc="0" locked="0" layoutInCell="1" allowOverlap="1" wp14:anchorId="64C1E829" wp14:editId="34EA7DC3">
                <wp:simplePos x="0" y="0"/>
                <wp:positionH relativeFrom="column">
                  <wp:posOffset>402590</wp:posOffset>
                </wp:positionH>
                <wp:positionV relativeFrom="paragraph">
                  <wp:posOffset>441325</wp:posOffset>
                </wp:positionV>
                <wp:extent cx="1816100" cy="37084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816100" cy="3708400"/>
                        </a:xfrm>
                        <a:prstGeom prst="rect">
                          <a:avLst/>
                        </a:prstGeom>
                        <a:solidFill>
                          <a:schemeClr val="lt1"/>
                        </a:solidFill>
                        <a:ln w="6350">
                          <a:noFill/>
                        </a:ln>
                      </wps:spPr>
                      <wps:txbx>
                        <w:txbxContent>
                          <w:p w14:paraId="18C18F3B" w14:textId="5E61CE1F" w:rsidR="00E22741" w:rsidRPr="00A812B0" w:rsidRDefault="00E22741" w:rsidP="00E22741">
                            <w:pPr>
                              <w:rPr>
                                <w:b/>
                                <w:bCs/>
                                <w:sz w:val="20"/>
                              </w:rPr>
                            </w:pPr>
                            <w:r w:rsidRPr="00A812B0">
                              <w:rPr>
                                <w:b/>
                                <w:bCs/>
                                <w:sz w:val="20"/>
                              </w:rPr>
                              <w:t>a)</w:t>
                            </w:r>
                            <w:r w:rsidRPr="00A812B0">
                              <w:rPr>
                                <w:b/>
                                <w:bCs/>
                                <w:sz w:val="20"/>
                              </w:rPr>
                              <w:tab/>
                              <w:t>Aporta valor</w:t>
                            </w:r>
                          </w:p>
                          <w:p w14:paraId="54A08780" w14:textId="2ECDDA05" w:rsidR="00E22741" w:rsidRPr="00A812B0" w:rsidRDefault="00E22741" w:rsidP="00E22741">
                            <w:pPr>
                              <w:ind w:left="567" w:hanging="567"/>
                              <w:rPr>
                                <w:b/>
                                <w:bCs/>
                                <w:sz w:val="20"/>
                              </w:rPr>
                            </w:pPr>
                            <w:r w:rsidRPr="00A812B0">
                              <w:rPr>
                                <w:b/>
                                <w:bCs/>
                                <w:sz w:val="20"/>
                              </w:rPr>
                              <w:t>b)</w:t>
                            </w:r>
                            <w:r w:rsidRPr="00A812B0">
                              <w:rPr>
                                <w:b/>
                                <w:bCs/>
                                <w:sz w:val="20"/>
                              </w:rPr>
                              <w:tab/>
                              <w:t>Parte integrante de los procesos de la organización</w:t>
                            </w:r>
                          </w:p>
                          <w:p w14:paraId="2D7B14C4" w14:textId="536BEAB7" w:rsidR="00E22741" w:rsidRPr="00A812B0" w:rsidRDefault="00E22741" w:rsidP="00E22741">
                            <w:pPr>
                              <w:ind w:left="567" w:hanging="567"/>
                              <w:rPr>
                                <w:b/>
                                <w:bCs/>
                                <w:sz w:val="20"/>
                              </w:rPr>
                            </w:pPr>
                            <w:r w:rsidRPr="00A812B0">
                              <w:rPr>
                                <w:b/>
                                <w:bCs/>
                                <w:sz w:val="20"/>
                              </w:rPr>
                              <w:t>c)</w:t>
                            </w:r>
                            <w:r w:rsidRPr="00A812B0">
                              <w:rPr>
                                <w:b/>
                                <w:bCs/>
                                <w:sz w:val="20"/>
                              </w:rPr>
                              <w:tab/>
                              <w:t>Parte del proceso decisorio</w:t>
                            </w:r>
                          </w:p>
                          <w:p w14:paraId="65D85FD1" w14:textId="75112BFE" w:rsidR="00E22741" w:rsidRPr="00A812B0" w:rsidRDefault="00E22741" w:rsidP="00E22741">
                            <w:pPr>
                              <w:ind w:left="567" w:hanging="567"/>
                              <w:rPr>
                                <w:b/>
                                <w:bCs/>
                                <w:sz w:val="20"/>
                              </w:rPr>
                            </w:pPr>
                            <w:r w:rsidRPr="00A812B0">
                              <w:rPr>
                                <w:b/>
                                <w:bCs/>
                                <w:sz w:val="20"/>
                              </w:rPr>
                              <w:t>d)</w:t>
                            </w:r>
                            <w:r w:rsidRPr="00A812B0">
                              <w:rPr>
                                <w:b/>
                                <w:bCs/>
                                <w:sz w:val="20"/>
                              </w:rPr>
                              <w:tab/>
                              <w:t>Elimina explícitamente la incertidumbre</w:t>
                            </w:r>
                          </w:p>
                          <w:p w14:paraId="38E0D31B" w14:textId="151D9C56" w:rsidR="00E22741" w:rsidRPr="00A812B0" w:rsidRDefault="00E22741" w:rsidP="00E22741">
                            <w:pPr>
                              <w:ind w:left="567" w:hanging="567"/>
                              <w:rPr>
                                <w:b/>
                                <w:bCs/>
                                <w:sz w:val="20"/>
                              </w:rPr>
                            </w:pPr>
                            <w:r w:rsidRPr="00A812B0">
                              <w:rPr>
                                <w:b/>
                                <w:bCs/>
                                <w:sz w:val="20"/>
                              </w:rPr>
                              <w:t>e)</w:t>
                            </w:r>
                            <w:r w:rsidRPr="00A812B0">
                              <w:rPr>
                                <w:b/>
                                <w:bCs/>
                                <w:sz w:val="20"/>
                              </w:rPr>
                              <w:tab/>
                              <w:t>Sistemático, estructurado y oportuno</w:t>
                            </w:r>
                          </w:p>
                          <w:p w14:paraId="240F8827" w14:textId="5A6DEEFB" w:rsidR="00E22741" w:rsidRPr="00A812B0" w:rsidRDefault="00E22741" w:rsidP="00E22741">
                            <w:pPr>
                              <w:ind w:left="567" w:hanging="567"/>
                              <w:rPr>
                                <w:b/>
                                <w:bCs/>
                                <w:sz w:val="20"/>
                              </w:rPr>
                            </w:pPr>
                            <w:r w:rsidRPr="00A812B0">
                              <w:rPr>
                                <w:b/>
                                <w:bCs/>
                                <w:sz w:val="20"/>
                              </w:rPr>
                              <w:t>f)</w:t>
                            </w:r>
                            <w:r w:rsidRPr="00A812B0">
                              <w:rPr>
                                <w:b/>
                                <w:bCs/>
                                <w:sz w:val="20"/>
                              </w:rPr>
                              <w:tab/>
                              <w:t>Basado en la mejor información disponible</w:t>
                            </w:r>
                          </w:p>
                          <w:p w14:paraId="02E715BD" w14:textId="15893BF0" w:rsidR="00E22741" w:rsidRPr="00A812B0" w:rsidRDefault="00E22741" w:rsidP="00E22741">
                            <w:pPr>
                              <w:rPr>
                                <w:b/>
                                <w:bCs/>
                                <w:sz w:val="20"/>
                              </w:rPr>
                            </w:pPr>
                            <w:r w:rsidRPr="00A812B0">
                              <w:rPr>
                                <w:b/>
                                <w:bCs/>
                                <w:sz w:val="20"/>
                              </w:rPr>
                              <w:t>g)</w:t>
                            </w:r>
                            <w:r w:rsidRPr="00A812B0">
                              <w:rPr>
                                <w:b/>
                                <w:bCs/>
                                <w:sz w:val="20"/>
                              </w:rPr>
                              <w:tab/>
                              <w:t>Adaptado</w:t>
                            </w:r>
                          </w:p>
                          <w:p w14:paraId="7639B7C4" w14:textId="4FFEC07E" w:rsidR="00E22741" w:rsidRPr="00A812B0" w:rsidRDefault="00E22741" w:rsidP="00E22741">
                            <w:pPr>
                              <w:ind w:left="567" w:hanging="567"/>
                              <w:rPr>
                                <w:b/>
                                <w:bCs/>
                                <w:sz w:val="20"/>
                              </w:rPr>
                            </w:pPr>
                            <w:r w:rsidRPr="00A812B0">
                              <w:rPr>
                                <w:b/>
                                <w:bCs/>
                                <w:sz w:val="20"/>
                              </w:rPr>
                              <w:t>h)</w:t>
                            </w:r>
                            <w:r w:rsidRPr="00A812B0">
                              <w:rPr>
                                <w:b/>
                                <w:bCs/>
                                <w:sz w:val="20"/>
                              </w:rPr>
                              <w:tab/>
                              <w:t>Tiene en cuenta los factores humanos y culturales</w:t>
                            </w:r>
                          </w:p>
                          <w:p w14:paraId="1F4BDEAE" w14:textId="64C7BD34" w:rsidR="00E22741" w:rsidRPr="00A812B0" w:rsidRDefault="00E22741" w:rsidP="00E22741">
                            <w:pPr>
                              <w:rPr>
                                <w:b/>
                                <w:bCs/>
                                <w:sz w:val="20"/>
                                <w:lang w:val="es-ES"/>
                              </w:rPr>
                            </w:pPr>
                            <w:r w:rsidRPr="00A812B0">
                              <w:rPr>
                                <w:b/>
                                <w:bCs/>
                                <w:sz w:val="20"/>
                                <w:lang w:val="es-ES"/>
                              </w:rPr>
                              <w:t>i)</w:t>
                            </w:r>
                            <w:r w:rsidRPr="00A812B0">
                              <w:rPr>
                                <w:b/>
                                <w:bCs/>
                                <w:sz w:val="20"/>
                                <w:lang w:val="es-ES"/>
                              </w:rPr>
                              <w:tab/>
                            </w:r>
                            <w:r w:rsidRPr="00A812B0">
                              <w:rPr>
                                <w:b/>
                                <w:bCs/>
                                <w:sz w:val="20"/>
                              </w:rPr>
                              <w:t>Transparente e inclusivo</w:t>
                            </w:r>
                          </w:p>
                          <w:p w14:paraId="3CAA8929" w14:textId="43E1AC1C" w:rsidR="00E22741" w:rsidRPr="00E22741" w:rsidRDefault="00E22741" w:rsidP="00E22741">
                            <w:pPr>
                              <w:ind w:left="567" w:hanging="567"/>
                              <w:rPr>
                                <w:lang w:val="es-ES"/>
                              </w:rPr>
                            </w:pPr>
                            <w:r w:rsidRPr="00A812B0">
                              <w:rPr>
                                <w:b/>
                                <w:bCs/>
                                <w:sz w:val="20"/>
                                <w:lang w:val="es-ES"/>
                              </w:rPr>
                              <w:t>j)</w:t>
                            </w:r>
                            <w:r w:rsidRPr="00A812B0">
                              <w:rPr>
                                <w:b/>
                                <w:bCs/>
                                <w:sz w:val="20"/>
                                <w:lang w:val="es-ES"/>
                              </w:rPr>
                              <w:tab/>
                            </w:r>
                            <w:r w:rsidRPr="00A812B0">
                              <w:rPr>
                                <w:b/>
                                <w:bCs/>
                                <w:sz w:val="20"/>
                              </w:rPr>
                              <w:t>Facilita la mejora y el crecimiento continuos de la organizació</w:t>
                            </w:r>
                            <w:r w:rsidR="004E05B8">
                              <w:rPr>
                                <w:b/>
                                <w:bCs/>
                                <w:sz w:val="20"/>
                              </w:rPr>
                              <w:t>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1E829" id="Text Box 1" o:spid="_x0000_s1029" type="#_x0000_t202" style="position:absolute;left:0;text-align:left;margin-left:31.7pt;margin-top:34.75pt;width:143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zOOQIAAHEEAAAOAAAAZHJzL2Uyb0RvYy54bWysVFFv2yAQfp+0/4B4X+w0WxZZcaosVaZJ&#10;VVspmfpMMI6RgGNAYme/fge2067b07QXfHDHx9333Xl522lFzsJ5Caak00lOiTAcKmmOJf2+335Y&#10;UOIDMxVTYERJL8LT29X7d8vWFuIGGlCVcARBjC9aW9ImBFtkmeeN0MxPwAqDzhqcZgG37phVjrWI&#10;rlV2k+fzrAVXWQdceI+nd72TrhJ+XQseHuvai0BUSTG3kFaX1kNcs9WSFUfHbCP5kAb7hyw0kwYf&#10;vULdscDIyck/oLTkDjzUYcJBZ1DXkotUA1Yzzd9Us2uYFakWJMfbK03+/8Hyh/OTI7JC7SgxTKNE&#10;e9EF8gU6Mo3stNYXGLSzGBY6PI6Rw7nHw1h0Vzsdv1gOQT/yfLlyG8F4vLSYzqc5ujj6Zp/zxUfc&#10;IE72ct06H74K0CQaJXUoXuKUne996EPHkPiaByWrrVQqbWLDiI1y5MxQahVSkgj+W5QypC3pfPYp&#10;T8AG4vUeWRnMJRbbFxWt0B26RM1sLPgA1QV5cND3kbd8KzHXe+bDE3PYOFgfDkN4xKVWgG/BYFHS&#10;gPv5t/MYj3qil5IWG7Gk/seJOUGJ+mZQ6di1o+FG4zAa5qQ3gAWjephNMvGCC2o0awf6GWdkHV9B&#10;FzMc3yppGM1N6McBZ4yL9ToFYW9aFu7NzvIIHQmOzO+7Z+bsIE9AZR9gbFFWvFGpj403DaxPAWqZ&#10;JIy89iwOdGNfpyYYZjAOzut9inr5U6x+AQAA//8DAFBLAwQUAAYACAAAACEAgRsLo+EAAAAJAQAA&#10;DwAAAGRycy9kb3ducmV2LnhtbEyPzU7DMBCE70i8g7VIXFDrQH5oQ5wKkDggFaEW1LMbmzjUXofY&#10;bVOenuUEp9XOjGa/rRajs+ygh9B5FHA9TYBpbLzqsBXw/vY0mQELUaKS1qMWcNIBFvX5WSVL5Y+4&#10;0od1bBmVYCilABNjX3IeGqOdDFPfayTvww9ORlqHlqtBHqncWX6TJAV3skO6YGSvH41uduu9EzA7&#10;ZS9Xm+J282lfnx/Md/uFy50U4vJivL8DFvUY/8Lwi0/oUBPT1u9RBWYFFGlGSZrzHBj5aTYnYUtC&#10;nubA64r//6D+AQAA//8DAFBLAQItABQABgAIAAAAIQC2gziS/gAAAOEBAAATAAAAAAAAAAAAAAAA&#10;AAAAAABbQ29udGVudF9UeXBlc10ueG1sUEsBAi0AFAAGAAgAAAAhADj9If/WAAAAlAEAAAsAAAAA&#10;AAAAAAAAAAAALwEAAF9yZWxzLy5yZWxzUEsBAi0AFAAGAAgAAAAhADyj/M45AgAAcQQAAA4AAAAA&#10;AAAAAAAAAAAALgIAAGRycy9lMm9Eb2MueG1sUEsBAi0AFAAGAAgAAAAhAIEbC6PhAAAACQEAAA8A&#10;AAAAAAAAAAAAAAAAkwQAAGRycy9kb3ducmV2LnhtbFBLBQYAAAAABAAEAPMAAAChBQAAAAA=&#10;" fillcolor="white [3201]" stroked="f" strokeweight=".5pt">
                <v:textbox inset="0,0,0,0">
                  <w:txbxContent>
                    <w:p w14:paraId="18C18F3B" w14:textId="5E61CE1F" w:rsidR="00E22741" w:rsidRPr="00A812B0" w:rsidRDefault="00E22741" w:rsidP="00E22741">
                      <w:pPr>
                        <w:rPr>
                          <w:b/>
                          <w:bCs/>
                          <w:sz w:val="20"/>
                        </w:rPr>
                      </w:pPr>
                      <w:r w:rsidRPr="00A812B0">
                        <w:rPr>
                          <w:b/>
                          <w:bCs/>
                          <w:sz w:val="20"/>
                        </w:rPr>
                        <w:t>a)</w:t>
                      </w:r>
                      <w:r w:rsidRPr="00A812B0">
                        <w:rPr>
                          <w:b/>
                          <w:bCs/>
                          <w:sz w:val="20"/>
                        </w:rPr>
                        <w:tab/>
                        <w:t>Aporta valor</w:t>
                      </w:r>
                    </w:p>
                    <w:p w14:paraId="54A08780" w14:textId="2ECDDA05" w:rsidR="00E22741" w:rsidRPr="00A812B0" w:rsidRDefault="00E22741" w:rsidP="00E22741">
                      <w:pPr>
                        <w:ind w:left="567" w:hanging="567"/>
                        <w:rPr>
                          <w:b/>
                          <w:bCs/>
                          <w:sz w:val="20"/>
                        </w:rPr>
                      </w:pPr>
                      <w:r w:rsidRPr="00A812B0">
                        <w:rPr>
                          <w:b/>
                          <w:bCs/>
                          <w:sz w:val="20"/>
                        </w:rPr>
                        <w:t>b)</w:t>
                      </w:r>
                      <w:r w:rsidRPr="00A812B0">
                        <w:rPr>
                          <w:b/>
                          <w:bCs/>
                          <w:sz w:val="20"/>
                        </w:rPr>
                        <w:tab/>
                        <w:t>Parte integrante de los procesos de la organización</w:t>
                      </w:r>
                    </w:p>
                    <w:p w14:paraId="2D7B14C4" w14:textId="536BEAB7" w:rsidR="00E22741" w:rsidRPr="00A812B0" w:rsidRDefault="00E22741" w:rsidP="00E22741">
                      <w:pPr>
                        <w:ind w:left="567" w:hanging="567"/>
                        <w:rPr>
                          <w:b/>
                          <w:bCs/>
                          <w:sz w:val="20"/>
                        </w:rPr>
                      </w:pPr>
                      <w:r w:rsidRPr="00A812B0">
                        <w:rPr>
                          <w:b/>
                          <w:bCs/>
                          <w:sz w:val="20"/>
                        </w:rPr>
                        <w:t>c)</w:t>
                      </w:r>
                      <w:r w:rsidRPr="00A812B0">
                        <w:rPr>
                          <w:b/>
                          <w:bCs/>
                          <w:sz w:val="20"/>
                        </w:rPr>
                        <w:tab/>
                        <w:t>Parte del proceso decisorio</w:t>
                      </w:r>
                    </w:p>
                    <w:p w14:paraId="65D85FD1" w14:textId="75112BFE" w:rsidR="00E22741" w:rsidRPr="00A812B0" w:rsidRDefault="00E22741" w:rsidP="00E22741">
                      <w:pPr>
                        <w:ind w:left="567" w:hanging="567"/>
                        <w:rPr>
                          <w:b/>
                          <w:bCs/>
                          <w:sz w:val="20"/>
                        </w:rPr>
                      </w:pPr>
                      <w:r w:rsidRPr="00A812B0">
                        <w:rPr>
                          <w:b/>
                          <w:bCs/>
                          <w:sz w:val="20"/>
                        </w:rPr>
                        <w:t>d)</w:t>
                      </w:r>
                      <w:r w:rsidRPr="00A812B0">
                        <w:rPr>
                          <w:b/>
                          <w:bCs/>
                          <w:sz w:val="20"/>
                        </w:rPr>
                        <w:tab/>
                        <w:t>Elimina explícitamente la incertidumbre</w:t>
                      </w:r>
                    </w:p>
                    <w:p w14:paraId="38E0D31B" w14:textId="151D9C56" w:rsidR="00E22741" w:rsidRPr="00A812B0" w:rsidRDefault="00E22741" w:rsidP="00E22741">
                      <w:pPr>
                        <w:ind w:left="567" w:hanging="567"/>
                        <w:rPr>
                          <w:b/>
                          <w:bCs/>
                          <w:sz w:val="20"/>
                        </w:rPr>
                      </w:pPr>
                      <w:r w:rsidRPr="00A812B0">
                        <w:rPr>
                          <w:b/>
                          <w:bCs/>
                          <w:sz w:val="20"/>
                        </w:rPr>
                        <w:t>e)</w:t>
                      </w:r>
                      <w:r w:rsidRPr="00A812B0">
                        <w:rPr>
                          <w:b/>
                          <w:bCs/>
                          <w:sz w:val="20"/>
                        </w:rPr>
                        <w:tab/>
                        <w:t>Sistemático, estructurado y oportuno</w:t>
                      </w:r>
                    </w:p>
                    <w:p w14:paraId="240F8827" w14:textId="5A6DEEFB" w:rsidR="00E22741" w:rsidRPr="00A812B0" w:rsidRDefault="00E22741" w:rsidP="00E22741">
                      <w:pPr>
                        <w:ind w:left="567" w:hanging="567"/>
                        <w:rPr>
                          <w:b/>
                          <w:bCs/>
                          <w:sz w:val="20"/>
                        </w:rPr>
                      </w:pPr>
                      <w:r w:rsidRPr="00A812B0">
                        <w:rPr>
                          <w:b/>
                          <w:bCs/>
                          <w:sz w:val="20"/>
                        </w:rPr>
                        <w:t>f)</w:t>
                      </w:r>
                      <w:r w:rsidRPr="00A812B0">
                        <w:rPr>
                          <w:b/>
                          <w:bCs/>
                          <w:sz w:val="20"/>
                        </w:rPr>
                        <w:tab/>
                        <w:t>Basado en la mejor información disponible</w:t>
                      </w:r>
                    </w:p>
                    <w:p w14:paraId="02E715BD" w14:textId="15893BF0" w:rsidR="00E22741" w:rsidRPr="00A812B0" w:rsidRDefault="00E22741" w:rsidP="00E22741">
                      <w:pPr>
                        <w:rPr>
                          <w:b/>
                          <w:bCs/>
                          <w:sz w:val="20"/>
                        </w:rPr>
                      </w:pPr>
                      <w:r w:rsidRPr="00A812B0">
                        <w:rPr>
                          <w:b/>
                          <w:bCs/>
                          <w:sz w:val="20"/>
                        </w:rPr>
                        <w:t>g)</w:t>
                      </w:r>
                      <w:r w:rsidRPr="00A812B0">
                        <w:rPr>
                          <w:b/>
                          <w:bCs/>
                          <w:sz w:val="20"/>
                        </w:rPr>
                        <w:tab/>
                        <w:t>Adaptado</w:t>
                      </w:r>
                    </w:p>
                    <w:p w14:paraId="7639B7C4" w14:textId="4FFEC07E" w:rsidR="00E22741" w:rsidRPr="00A812B0" w:rsidRDefault="00E22741" w:rsidP="00E22741">
                      <w:pPr>
                        <w:ind w:left="567" w:hanging="567"/>
                        <w:rPr>
                          <w:b/>
                          <w:bCs/>
                          <w:sz w:val="20"/>
                        </w:rPr>
                      </w:pPr>
                      <w:r w:rsidRPr="00A812B0">
                        <w:rPr>
                          <w:b/>
                          <w:bCs/>
                          <w:sz w:val="20"/>
                        </w:rPr>
                        <w:t>h)</w:t>
                      </w:r>
                      <w:r w:rsidRPr="00A812B0">
                        <w:rPr>
                          <w:b/>
                          <w:bCs/>
                          <w:sz w:val="20"/>
                        </w:rPr>
                        <w:tab/>
                        <w:t>Tiene en cuenta los factores humanos y culturales</w:t>
                      </w:r>
                    </w:p>
                    <w:p w14:paraId="1F4BDEAE" w14:textId="64C7BD34" w:rsidR="00E22741" w:rsidRPr="00A812B0" w:rsidRDefault="00E22741" w:rsidP="00E22741">
                      <w:pPr>
                        <w:rPr>
                          <w:b/>
                          <w:bCs/>
                          <w:sz w:val="20"/>
                          <w:lang w:val="es-ES"/>
                        </w:rPr>
                      </w:pPr>
                      <w:r w:rsidRPr="00A812B0">
                        <w:rPr>
                          <w:b/>
                          <w:bCs/>
                          <w:sz w:val="20"/>
                          <w:lang w:val="es-ES"/>
                        </w:rPr>
                        <w:t>i)</w:t>
                      </w:r>
                      <w:r w:rsidRPr="00A812B0">
                        <w:rPr>
                          <w:b/>
                          <w:bCs/>
                          <w:sz w:val="20"/>
                          <w:lang w:val="es-ES"/>
                        </w:rPr>
                        <w:tab/>
                      </w:r>
                      <w:r w:rsidRPr="00A812B0">
                        <w:rPr>
                          <w:b/>
                          <w:bCs/>
                          <w:sz w:val="20"/>
                        </w:rPr>
                        <w:t>Transparente e inclusivo</w:t>
                      </w:r>
                    </w:p>
                    <w:p w14:paraId="3CAA8929" w14:textId="43E1AC1C" w:rsidR="00E22741" w:rsidRPr="00E22741" w:rsidRDefault="00E22741" w:rsidP="00E22741">
                      <w:pPr>
                        <w:ind w:left="567" w:hanging="567"/>
                        <w:rPr>
                          <w:lang w:val="es-ES"/>
                        </w:rPr>
                      </w:pPr>
                      <w:r w:rsidRPr="00A812B0">
                        <w:rPr>
                          <w:b/>
                          <w:bCs/>
                          <w:sz w:val="20"/>
                          <w:lang w:val="es-ES"/>
                        </w:rPr>
                        <w:t>j)</w:t>
                      </w:r>
                      <w:r w:rsidRPr="00A812B0">
                        <w:rPr>
                          <w:b/>
                          <w:bCs/>
                          <w:sz w:val="20"/>
                          <w:lang w:val="es-ES"/>
                        </w:rPr>
                        <w:tab/>
                      </w:r>
                      <w:r w:rsidRPr="00A812B0">
                        <w:rPr>
                          <w:b/>
                          <w:bCs/>
                          <w:sz w:val="20"/>
                        </w:rPr>
                        <w:t>Facilita la mejora y el crecimiento continuos de la organizació</w:t>
                      </w:r>
                      <w:r w:rsidR="004E05B8">
                        <w:rPr>
                          <w:b/>
                          <w:bCs/>
                          <w:sz w:val="20"/>
                        </w:rPr>
                        <w:t>n</w:t>
                      </w:r>
                    </w:p>
                  </w:txbxContent>
                </v:textbox>
              </v:shape>
            </w:pict>
          </mc:Fallback>
        </mc:AlternateContent>
      </w:r>
      <w:r w:rsidR="007F5476" w:rsidRPr="002C4A18">
        <w:rPr>
          <w:noProof/>
          <w:lang w:val="en-US"/>
        </w:rPr>
        <mc:AlternateContent>
          <mc:Choice Requires="wps">
            <w:drawing>
              <wp:anchor distT="0" distB="0" distL="114300" distR="114300" simplePos="0" relativeHeight="251692032" behindDoc="0" locked="0" layoutInCell="1" allowOverlap="1" wp14:anchorId="29D73E32" wp14:editId="1923DDE7">
                <wp:simplePos x="0" y="0"/>
                <wp:positionH relativeFrom="column">
                  <wp:posOffset>6445250</wp:posOffset>
                </wp:positionH>
                <wp:positionV relativeFrom="paragraph">
                  <wp:posOffset>3710305</wp:posOffset>
                </wp:positionV>
                <wp:extent cx="1282700" cy="3238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282700" cy="323850"/>
                        </a:xfrm>
                        <a:prstGeom prst="rect">
                          <a:avLst/>
                        </a:prstGeom>
                        <a:solidFill>
                          <a:schemeClr val="bg1"/>
                        </a:solidFill>
                        <a:ln w="6350">
                          <a:noFill/>
                        </a:ln>
                      </wps:spPr>
                      <wps:txbx>
                        <w:txbxContent>
                          <w:p w14:paraId="35B22D5E" w14:textId="138EF290" w:rsidR="0086141E" w:rsidRPr="0086141E" w:rsidRDefault="0086141E" w:rsidP="0086141E">
                            <w:pPr>
                              <w:tabs>
                                <w:tab w:val="clear" w:pos="567"/>
                                <w:tab w:val="left" w:pos="0"/>
                              </w:tabs>
                              <w:jc w:val="center"/>
                              <w:rPr>
                                <w:b/>
                                <w:bCs/>
                                <w:sz w:val="20"/>
                                <w:lang w:val="es-ES"/>
                              </w:rPr>
                            </w:pPr>
                            <w:r>
                              <w:rPr>
                                <w:b/>
                                <w:bCs/>
                                <w:sz w:val="20"/>
                                <w:lang w:val="es-ES"/>
                              </w:rPr>
                              <w:t>Tratamiento de riesgos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73E32" id="Text Box 25" o:spid="_x0000_s1030" type="#_x0000_t202" style="position:absolute;left:0;text-align:left;margin-left:507.5pt;margin-top:292.15pt;width:101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2xOgIAAHIEAAAOAAAAZHJzL2Uyb0RvYy54bWysVE2P2jAQvVfqf7B8L+Gju0WIsKKsqCqt&#10;dleCas/GcSCS43FtQ0J/fZ8dwrbbnqpezGS+570Z5ndtrdlJOV+RyfloMORMGUlFZfY5/7Zdf5hy&#10;5oMwhdBkVM7PyvO7xft388bO1JgOpAvlGJIYP2tszg8h2FmWeXlQtfADssrAWJKrRcCn22eFEw2y&#10;1zobD4e3WUOusI6k8h7a+87IFyl/WSoZnsrSq8B0ztFbSK9L7y6+2WIuZnsn7KGSlzbEP3RRi8qg&#10;6DXVvQiCHV31R6q6ko48lWEgqc6oLCup0gyYZjR8M83mIKxKswAcb68w+f+XVj6enh2ripyPbzgz&#10;ogZHW9UG9plaBhXwaayfwW1j4Rha6MFzr/dQxrHb0tXxFwMx2IH0+YpuzCZj0Hg6/jSEScI2GU+m&#10;Nwn+7DXaOh++KKpZFHLuwF4CVZwefEAncO1dYjFPuirWldbpI26MWmnHTgJc7/apR0T85qUNa3J+&#10;O0HpGGQohneZtUGBOGs3U5RCu2sTNh/7eXdUnAGDo26RvJXrCr0+CB+ehcPmYDxcQ3jCU2pCLbpI&#10;nB3I/fibPvqDUFg5a7CJOfffj8IpzvRXA6rj2vaC64VdL5hjvSIMPMKdWZlEBLige7F0VL/gSJax&#10;CkzCSNTKeejFVejuAUcm1XKZnLCcVoQHs7Eypo5YReS37Ytw9kJPALGP1O+omL1hqfPtUF4eA5VV&#10;ojDi2qF4gRuLnZi9HGG8nF+/k9frX8XiJwAAAP//AwBQSwMEFAAGAAgAAAAhAIB38t7hAAAADQEA&#10;AA8AAABkcnMvZG93bnJldi54bWxMj81OwzAQhO9IvIO1SFwQddKQNgpxKqiEgAOHpn0AJ17igH+i&#10;2G3D27M9wXFmR7PfVJvZGnbCKQzeCUgXCTB0nVeD6wUc9i/3BbAQpVPSeIcCfjDApr6+qmSp/Nnt&#10;8NTEnlGJC6UUoGMcS85Dp9HKsPAjOrp9+snKSHLquZrkmcqt4cskWXErB0cftBxxq7H7bo5WQFGE&#10;7RpD683Xa/N2947P6e5DC3F7Mz89Aos4x78wXPAJHWpiav3RqcAM6STNaUwUkBcPGbBLZJmuyWoF&#10;rLI8A15X/P+K+hcAAP//AwBQSwECLQAUAAYACAAAACEAtoM4kv4AAADhAQAAEwAAAAAAAAAAAAAA&#10;AAAAAAAAW0NvbnRlbnRfVHlwZXNdLnhtbFBLAQItABQABgAIAAAAIQA4/SH/1gAAAJQBAAALAAAA&#10;AAAAAAAAAAAAAC8BAABfcmVscy8ucmVsc1BLAQItABQABgAIAAAAIQD/2j2xOgIAAHIEAAAOAAAA&#10;AAAAAAAAAAAAAC4CAABkcnMvZTJvRG9jLnhtbFBLAQItABQABgAIAAAAIQCAd/Le4QAAAA0BAAAP&#10;AAAAAAAAAAAAAAAAAJQEAABkcnMvZG93bnJldi54bWxQSwUGAAAAAAQABADzAAAAogUAAAAA&#10;" fillcolor="white [3212]" stroked="f" strokeweight=".5pt">
                <v:textbox inset="0,0,0,0">
                  <w:txbxContent>
                    <w:p w14:paraId="35B22D5E" w14:textId="138EF290" w:rsidR="0086141E" w:rsidRPr="0086141E" w:rsidRDefault="0086141E" w:rsidP="0086141E">
                      <w:pPr>
                        <w:tabs>
                          <w:tab w:val="clear" w:pos="567"/>
                          <w:tab w:val="left" w:pos="0"/>
                        </w:tabs>
                        <w:jc w:val="center"/>
                        <w:rPr>
                          <w:b/>
                          <w:bCs/>
                          <w:sz w:val="20"/>
                          <w:lang w:val="es-ES"/>
                        </w:rPr>
                      </w:pPr>
                      <w:r>
                        <w:rPr>
                          <w:b/>
                          <w:bCs/>
                          <w:sz w:val="20"/>
                          <w:lang w:val="es-ES"/>
                        </w:rPr>
                        <w:t>Tratamiento de riesgos</w:t>
                      </w:r>
                    </w:p>
                  </w:txbxContent>
                </v:textbox>
              </v:shape>
            </w:pict>
          </mc:Fallback>
        </mc:AlternateContent>
      </w:r>
      <w:r w:rsidR="007F5476" w:rsidRPr="002C4A18">
        <w:rPr>
          <w:noProof/>
          <w:lang w:val="en-US"/>
        </w:rPr>
        <mc:AlternateContent>
          <mc:Choice Requires="wps">
            <w:drawing>
              <wp:anchor distT="0" distB="0" distL="114300" distR="114300" simplePos="0" relativeHeight="251689984" behindDoc="0" locked="0" layoutInCell="1" allowOverlap="1" wp14:anchorId="4603BEBE" wp14:editId="7C3F8632">
                <wp:simplePos x="0" y="0"/>
                <wp:positionH relativeFrom="column">
                  <wp:posOffset>6559550</wp:posOffset>
                </wp:positionH>
                <wp:positionV relativeFrom="paragraph">
                  <wp:posOffset>2902585</wp:posOffset>
                </wp:positionV>
                <wp:extent cx="1082040" cy="312420"/>
                <wp:effectExtent l="0" t="0" r="3810" b="0"/>
                <wp:wrapNone/>
                <wp:docPr id="24" name="Text Box 24"/>
                <wp:cNvGraphicFramePr/>
                <a:graphic xmlns:a="http://schemas.openxmlformats.org/drawingml/2006/main">
                  <a:graphicData uri="http://schemas.microsoft.com/office/word/2010/wordprocessingShape">
                    <wps:wsp>
                      <wps:cNvSpPr txBox="1"/>
                      <wps:spPr>
                        <a:xfrm>
                          <a:off x="0" y="0"/>
                          <a:ext cx="1082040" cy="312420"/>
                        </a:xfrm>
                        <a:prstGeom prst="rect">
                          <a:avLst/>
                        </a:prstGeom>
                        <a:solidFill>
                          <a:srgbClr val="9FD2C5"/>
                        </a:solidFill>
                        <a:ln w="6350">
                          <a:noFill/>
                        </a:ln>
                      </wps:spPr>
                      <wps:txbx>
                        <w:txbxContent>
                          <w:p w14:paraId="33DFA4DE" w14:textId="2FFD5758" w:rsidR="0086141E" w:rsidRPr="009C6A41" w:rsidRDefault="0086141E" w:rsidP="0086141E">
                            <w:pPr>
                              <w:jc w:val="center"/>
                              <w:rPr>
                                <w:b/>
                                <w:sz w:val="20"/>
                                <w:lang w:val="es-ES"/>
                              </w:rPr>
                            </w:pPr>
                            <w:r>
                              <w:rPr>
                                <w:b/>
                                <w:sz w:val="20"/>
                                <w:lang w:val="es-ES"/>
                              </w:rPr>
                              <w:t>Evaluación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3BEBE" id="Text Box 24" o:spid="_x0000_s1031" type="#_x0000_t202" style="position:absolute;left:0;text-align:left;margin-left:516.5pt;margin-top:228.55pt;width:85.2pt;height:24.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pAPQIAAHMEAAAOAAAAZHJzL2Uyb0RvYy54bWysVN9v2jAQfp+0/8Hy+0hIadVGhIqBmCah&#10;thJMfTaOA5Ecn3c2JOyv39khZev2NO3FOd8v333fXaaPXaPZSaGrwRR8PEo5U0ZCWZt9wb9tV5/u&#10;OXNemFJoMKrgZ+X44+zjh2lrc5XBAXSpkFES4/LWFvzgvc2TxMmDaoQbgVWGjBVgIzxdcZ+UKFrK&#10;3ugkS9O7pAUsLYJUzpF22Rv5LOavKiX9c1U55ZkuONXm44nx3IUzmU1FvkdhD7W8lCH+oYpG1IYe&#10;fUu1FF6wI9Z/pGpqieCg8iMJTQJVVUsVe6Buxum7bjYHYVXshcBx9g0m9//SyqfTC7K6LHg24cyI&#10;hjjaqs6zz9AxUhE+rXU5uW0sOfqO9MTzoHekDG13FTbhSw0xshPS5zd0QzYZgtL7LJ2QSZLtZpxN&#10;sgh/co226PwXBQ0LQsGR2IugitPaeaqEXAeX8JgDXZerWut4wf1uoZGdBDH9sFpmi9tQJIX85qYN&#10;awt+d3ObxswGQnzvpw25h2b7poLku10XwYm5gmYH5ZlwQOgnyVm5qqnYtXD+RSCNDvVH6+Cf6ag0&#10;0FtwkTg7AP74mz74E6Nk5aylUSy4+34UqDjTXw1xHeZ2EHAQdoNgjs0CqOcxLZqVUaQA9HoQK4Tm&#10;lbZkHl4hkzCS3iq4H8SF7xeCtkyq+Tw60XRa4ddmY2VIHRAO0G+7V4H2wo8nZp9gGFKRv6Op9w2R&#10;BuZHD1UdObyieIGbJjvydNnCsDq/3qPX9V8x+wkAAP//AwBQSwMEFAAGAAgAAAAhAGFVtrzkAAAA&#10;DQEAAA8AAABkcnMvZG93bnJldi54bWxMj0FLw0AUhO+C/2F5gpdgd9u0scRsigoFDyq0KnjcZF+z&#10;odm3Ibtt47/v9lSPwwwz3xSr0XbsiINvHUmYTgQwpNrplhoJ31/rhyUwHxRp1TlCCX/oYVXe3hQq&#10;1+5EGzxuQ8NiCflcSTAh9DnnvjZolZ+4Hil6OzdYFaIcGq4HdYrltuMzITJuVUtxwageXw3W++3B&#10;SvjcYZN86MQss83P/uWtSn7X74mU93fj8xOwgGO4huGCH9GhjEyVO5D2rItapGk8EyTMF49TYJfI&#10;TKRzYJWEhchS4GXB/78ozwAAAP//AwBQSwECLQAUAAYACAAAACEAtoM4kv4AAADhAQAAEwAAAAAA&#10;AAAAAAAAAAAAAAAAW0NvbnRlbnRfVHlwZXNdLnhtbFBLAQItABQABgAIAAAAIQA4/SH/1gAAAJQB&#10;AAALAAAAAAAAAAAAAAAAAC8BAABfcmVscy8ucmVsc1BLAQItABQABgAIAAAAIQBnIRpAPQIAAHME&#10;AAAOAAAAAAAAAAAAAAAAAC4CAABkcnMvZTJvRG9jLnhtbFBLAQItABQABgAIAAAAIQBhVba85AAA&#10;AA0BAAAPAAAAAAAAAAAAAAAAAJcEAABkcnMvZG93bnJldi54bWxQSwUGAAAAAAQABADzAAAAqAUA&#10;AAAA&#10;" fillcolor="#9fd2c5" stroked="f" strokeweight=".5pt">
                <v:textbox inset="0,0,0,0">
                  <w:txbxContent>
                    <w:p w14:paraId="33DFA4DE" w14:textId="2FFD5758" w:rsidR="0086141E" w:rsidRPr="009C6A41" w:rsidRDefault="0086141E" w:rsidP="0086141E">
                      <w:pPr>
                        <w:jc w:val="center"/>
                        <w:rPr>
                          <w:b/>
                          <w:sz w:val="20"/>
                          <w:lang w:val="es-ES"/>
                        </w:rPr>
                      </w:pPr>
                      <w:r>
                        <w:rPr>
                          <w:b/>
                          <w:sz w:val="20"/>
                          <w:lang w:val="es-ES"/>
                        </w:rPr>
                        <w:t>Evaluación</w:t>
                      </w:r>
                    </w:p>
                  </w:txbxContent>
                </v:textbox>
              </v:shape>
            </w:pict>
          </mc:Fallback>
        </mc:AlternateContent>
      </w:r>
      <w:r w:rsidR="007F5476" w:rsidRPr="002C4A18">
        <w:rPr>
          <w:noProof/>
          <w:lang w:val="en-US"/>
        </w:rPr>
        <mc:AlternateContent>
          <mc:Choice Requires="wps">
            <w:drawing>
              <wp:anchor distT="0" distB="0" distL="114300" distR="114300" simplePos="0" relativeHeight="251687936" behindDoc="0" locked="0" layoutInCell="1" allowOverlap="1" wp14:anchorId="61B14B86" wp14:editId="4F516D18">
                <wp:simplePos x="0" y="0"/>
                <wp:positionH relativeFrom="column">
                  <wp:posOffset>6551930</wp:posOffset>
                </wp:positionH>
                <wp:positionV relativeFrom="paragraph">
                  <wp:posOffset>2315845</wp:posOffset>
                </wp:positionV>
                <wp:extent cx="1082040" cy="312420"/>
                <wp:effectExtent l="0" t="0" r="3810" b="0"/>
                <wp:wrapNone/>
                <wp:docPr id="17" name="Text Box 17"/>
                <wp:cNvGraphicFramePr/>
                <a:graphic xmlns:a="http://schemas.openxmlformats.org/drawingml/2006/main">
                  <a:graphicData uri="http://schemas.microsoft.com/office/word/2010/wordprocessingShape">
                    <wps:wsp>
                      <wps:cNvSpPr txBox="1"/>
                      <wps:spPr>
                        <a:xfrm>
                          <a:off x="0" y="0"/>
                          <a:ext cx="1082040" cy="312420"/>
                        </a:xfrm>
                        <a:prstGeom prst="rect">
                          <a:avLst/>
                        </a:prstGeom>
                        <a:solidFill>
                          <a:srgbClr val="9FD2C5"/>
                        </a:solidFill>
                        <a:ln w="6350">
                          <a:noFill/>
                        </a:ln>
                      </wps:spPr>
                      <wps:txbx>
                        <w:txbxContent>
                          <w:p w14:paraId="39FC6A7F" w14:textId="2151576B" w:rsidR="0086141E" w:rsidRPr="009C6A41" w:rsidRDefault="0086141E" w:rsidP="0086141E">
                            <w:pPr>
                              <w:jc w:val="center"/>
                              <w:rPr>
                                <w:b/>
                                <w:sz w:val="20"/>
                                <w:lang w:val="es-ES"/>
                              </w:rPr>
                            </w:pPr>
                            <w:r>
                              <w:rPr>
                                <w:b/>
                                <w:sz w:val="20"/>
                                <w:lang w:val="es-ES"/>
                              </w:rPr>
                              <w:t>Análisis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14B86" id="Text Box 17" o:spid="_x0000_s1032" type="#_x0000_t202" style="position:absolute;left:0;text-align:left;margin-left:515.9pt;margin-top:182.35pt;width:85.2pt;height:2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9wPwIAAHMEAAAOAAAAZHJzL2Uyb0RvYy54bWysVE1v2zAMvQ/YfxB0X+2kH+uCOEWWIMOA&#10;oi2QDD0rspwYkEVNUmJ3v35Pcpxu3U7DLjJFPlLkI+npXddodlTO12QKPrrIOVNGUlmbXcG/bVYf&#10;bjnzQZhSaDKq4C/K87vZ+3fT1k7UmPakS+UYghg/aW3B9yHYSZZ5uVeN8BdklYGxIteIgKvbZaUT&#10;LaI3Ohvn+U3WkiutI6m8h3bZG/ksxa8qJcNjVXkVmC44cgvpdOncxjObTcVk54Td1/KUhviHLBpR&#10;Gzx6DrUUQbCDq/8I1dTSkacqXEhqMqqqWqpUA6oZ5W+qWe+FVakWkOPtmSb//8LKh+OTY3WJ3n3k&#10;zIgGPdqoLrDP1DGowE9r/QSwtQUwdNADO+g9lLHsrnJN/KIgBjuYfjmzG6PJ6JTfjvMrmCRsl6Px&#10;1TjRn716W+fDF0UNi0LBHbqXSBXHex+QCaADJD7mSdflqtY6Xdxuu9COHQU6/Wm1HC+uY5Jw+Q2m&#10;DWsLfnN5nafIhqJ/j9MG8FhsX1SUQrftEjk3Q8FbKl/Ag6N+kryVqxrJ3gsfnoTD6KA+rEN4xFFp&#10;wlt0kjjbk/vxN33Eo6OwctZiFAvuvx+EU5zprwa9jnM7CG4QtoNgDs2CUPMIi2ZlEuHggh7EylHz&#10;jC2Zx1dgEkbirYKHQVyEfiGwZVLN5wmE6bQi3Ju1lTF0ZDhSv+mehbOn/gR09oGGIRWTN23qsdHT&#10;0PwQqKpTDyOvPYsnujHZqU+nLYyr8+s9oV7/FbOfAAAA//8DAFBLAwQUAAYACAAAACEANXUrFeQA&#10;AAANAQAADwAAAGRycy9kb3ducmV2LnhtbEyPTUvDQBiE74L/YXkFL8FuPkqsMZuiQsGDFfoheNxk&#10;32ZDs++G7LaN/97tSY/DDDPPlMvJ9OyMo+ssCUhmMTCkxqqOWgH73ephAcx5SUr2llDADzpYVrc3&#10;pSyUvdAGz1vfslBCrpACtPdDwblrNBrpZnZACt7Bjkb6IMeWq1FeQrnpeRrHOTeyo7Cg5YBvGpvj&#10;9mQEfB6wjdYq0ot883V8fa+j79VHJMT93fTyDMzj5P/CcMUP6FAFptqeSDnWBx1nSWD3ArJ8/gjs&#10;GknjNAVWC5gn2RPwquT/X1S/AAAA//8DAFBLAQItABQABgAIAAAAIQC2gziS/gAAAOEBAAATAAAA&#10;AAAAAAAAAAAAAAAAAABbQ29udGVudF9UeXBlc10ueG1sUEsBAi0AFAAGAAgAAAAhADj9If/WAAAA&#10;lAEAAAsAAAAAAAAAAAAAAAAALwEAAF9yZWxzLy5yZWxzUEsBAi0AFAAGAAgAAAAhAPcJD3A/AgAA&#10;cwQAAA4AAAAAAAAAAAAAAAAALgIAAGRycy9lMm9Eb2MueG1sUEsBAi0AFAAGAAgAAAAhADV1KxXk&#10;AAAADQEAAA8AAAAAAAAAAAAAAAAAmQQAAGRycy9kb3ducmV2LnhtbFBLBQYAAAAABAAEAPMAAACq&#10;BQAAAAA=&#10;" fillcolor="#9fd2c5" stroked="f" strokeweight=".5pt">
                <v:textbox inset="0,0,0,0">
                  <w:txbxContent>
                    <w:p w14:paraId="39FC6A7F" w14:textId="2151576B" w:rsidR="0086141E" w:rsidRPr="009C6A41" w:rsidRDefault="0086141E" w:rsidP="0086141E">
                      <w:pPr>
                        <w:jc w:val="center"/>
                        <w:rPr>
                          <w:b/>
                          <w:sz w:val="20"/>
                          <w:lang w:val="es-ES"/>
                        </w:rPr>
                      </w:pPr>
                      <w:r>
                        <w:rPr>
                          <w:b/>
                          <w:sz w:val="20"/>
                          <w:lang w:val="es-ES"/>
                        </w:rPr>
                        <w:t>Análisis</w:t>
                      </w:r>
                    </w:p>
                  </w:txbxContent>
                </v:textbox>
              </v:shape>
            </w:pict>
          </mc:Fallback>
        </mc:AlternateContent>
      </w:r>
      <w:r w:rsidR="007F5476" w:rsidRPr="002C4A18">
        <w:rPr>
          <w:noProof/>
          <w:lang w:val="en-US"/>
        </w:rPr>
        <mc:AlternateContent>
          <mc:Choice Requires="wps">
            <w:drawing>
              <wp:anchor distT="0" distB="0" distL="114300" distR="114300" simplePos="0" relativeHeight="251685888" behindDoc="0" locked="0" layoutInCell="1" allowOverlap="1" wp14:anchorId="37DC4837" wp14:editId="3ED3E4AA">
                <wp:simplePos x="0" y="0"/>
                <wp:positionH relativeFrom="column">
                  <wp:posOffset>6544310</wp:posOffset>
                </wp:positionH>
                <wp:positionV relativeFrom="paragraph">
                  <wp:posOffset>1713865</wp:posOffset>
                </wp:positionV>
                <wp:extent cx="1082040" cy="312420"/>
                <wp:effectExtent l="0" t="0" r="3810" b="0"/>
                <wp:wrapNone/>
                <wp:docPr id="16" name="Text Box 16"/>
                <wp:cNvGraphicFramePr/>
                <a:graphic xmlns:a="http://schemas.openxmlformats.org/drawingml/2006/main">
                  <a:graphicData uri="http://schemas.microsoft.com/office/word/2010/wordprocessingShape">
                    <wps:wsp>
                      <wps:cNvSpPr txBox="1"/>
                      <wps:spPr>
                        <a:xfrm>
                          <a:off x="0" y="0"/>
                          <a:ext cx="1082040" cy="312420"/>
                        </a:xfrm>
                        <a:prstGeom prst="rect">
                          <a:avLst/>
                        </a:prstGeom>
                        <a:solidFill>
                          <a:srgbClr val="9FD2C5"/>
                        </a:solidFill>
                        <a:ln w="6350">
                          <a:noFill/>
                        </a:ln>
                      </wps:spPr>
                      <wps:txbx>
                        <w:txbxContent>
                          <w:p w14:paraId="115EB074" w14:textId="20627ADE" w:rsidR="0086141E" w:rsidRPr="009C6A41" w:rsidRDefault="0086141E" w:rsidP="0086141E">
                            <w:pPr>
                              <w:jc w:val="center"/>
                              <w:rPr>
                                <w:b/>
                                <w:sz w:val="20"/>
                                <w:lang w:val="es-ES"/>
                              </w:rPr>
                            </w:pPr>
                            <w:r>
                              <w:rPr>
                                <w:b/>
                                <w:sz w:val="20"/>
                                <w:lang w:val="es-ES"/>
                              </w:rPr>
                              <w:t>Identificación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C4837" id="Text Box 16" o:spid="_x0000_s1033" type="#_x0000_t202" style="position:absolute;left:0;text-align:left;margin-left:515.3pt;margin-top:134.95pt;width:85.2pt;height:2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pfPwIAAHMEAAAOAAAAZHJzL2Uyb0RvYy54bWysVE1v2zAMvQ/YfxB0X+2kH+uCOEWWIMOA&#10;oi2QDD0rspwYkEVNUmJ3v35Pcpxu3U7DLjJFPlLkI+npXddodlTO12QKPrrIOVNGUlmbXcG/bVYf&#10;bjnzQZhSaDKq4C/K87vZ+3fT1k7UmPakS+UYghg/aW3B9yHYSZZ5uVeN8BdklYGxIteIgKvbZaUT&#10;LaI3Ohvn+U3WkiutI6m8h3bZG/ksxa8qJcNjVXkVmC44cgvpdOncxjObTcVk54Td1/KUhviHLBpR&#10;Gzx6DrUUQbCDq/8I1dTSkacqXEhqMqqqWqpUA6oZ5W+qWe+FVakWkOPtmSb//8LKh+OTY3WJ3t1w&#10;ZkSDHm1UF9hn6hhU4Ke1fgLY2gIYOuiBHfQeylh2V7kmflEQgx1Mv5zZjdFkdMpvx/kVTBK2y9H4&#10;apzoz169rfPhi6KGRaHgDt1LpIrjvQ/IBNABEh/zpOtyVWudLm63XWjHjgKd/rRajhfXMUm4/AbT&#10;hrUFv7m8zlNkQ9G/x2kDeCy2LypKodt2iZyPQ8FbKl/Ag6N+kryVqxrJ3gsfnoTD6KA+rEN4xFFp&#10;wlt0kjjbk/vxN33Eo6OwctZiFAvuvx+EU5zprwa9jnM7CG4QtoNgDs2CUPMIi2ZlEuHggh7EylHz&#10;jC2Zx1dgEkbirYKHQVyEfiGwZVLN5wmE6bQi3Ju1lTF0ZDhSv+mehbOn/gR09oGGIRWTN23qsdHT&#10;0PwQqKpTDyOvPYsnujHZqU+nLYyr8+s9oV7/FbOfAAAA//8DAFBLAwQUAAYACAAAACEAz/94luIA&#10;AAANAQAADwAAAGRycy9kb3ducmV2LnhtbEyPUUvDMBSF3wX/Q7iCL8Ul7aCstelQYeCDCpsKPqbN&#10;XVPW3JQm2+q/N3uaj4f7ce53qvVsB3bCyfeOJKQLAQypdbqnTsLX5+ZhBcwHRVoNjlDCL3pY17c3&#10;lSq1O9MWT7vQsVhCvlQSTAhjyblvDVrlF25Eire9m6wKMU4d15M6x3I78EyInFvVU/xg1IgvBtvD&#10;7mglfOyxS951Ylb59vvw/NokP5u3RMr7u/npEVjAOVxhuOhHdaijU+OOpD0bYhZLkUdWQpYXBbAL&#10;kok07mskLNMiBV5X/P+K+g8AAP//AwBQSwECLQAUAAYACAAAACEAtoM4kv4AAADhAQAAEwAAAAAA&#10;AAAAAAAAAAAAAAAAW0NvbnRlbnRfVHlwZXNdLnhtbFBLAQItABQABgAIAAAAIQA4/SH/1gAAAJQB&#10;AAALAAAAAAAAAAAAAAAAAC8BAABfcmVscy8ucmVsc1BLAQItABQABgAIAAAAIQDvGQpfPwIAAHME&#10;AAAOAAAAAAAAAAAAAAAAAC4CAABkcnMvZTJvRG9jLnhtbFBLAQItABQABgAIAAAAIQDP/3iW4gAA&#10;AA0BAAAPAAAAAAAAAAAAAAAAAJkEAABkcnMvZG93bnJldi54bWxQSwUGAAAAAAQABADzAAAAqAUA&#10;AAAA&#10;" fillcolor="#9fd2c5" stroked="f" strokeweight=".5pt">
                <v:textbox inset="0,0,0,0">
                  <w:txbxContent>
                    <w:p w14:paraId="115EB074" w14:textId="20627ADE" w:rsidR="0086141E" w:rsidRPr="009C6A41" w:rsidRDefault="0086141E" w:rsidP="0086141E">
                      <w:pPr>
                        <w:jc w:val="center"/>
                        <w:rPr>
                          <w:b/>
                          <w:sz w:val="20"/>
                          <w:lang w:val="es-ES"/>
                        </w:rPr>
                      </w:pPr>
                      <w:r>
                        <w:rPr>
                          <w:b/>
                          <w:sz w:val="20"/>
                          <w:lang w:val="es-ES"/>
                        </w:rPr>
                        <w:t>Identificación</w:t>
                      </w:r>
                    </w:p>
                  </w:txbxContent>
                </v:textbox>
              </v:shape>
            </w:pict>
          </mc:Fallback>
        </mc:AlternateContent>
      </w:r>
      <w:r w:rsidR="007F5476" w:rsidRPr="002C4A18">
        <w:rPr>
          <w:noProof/>
          <w:lang w:val="en-US"/>
        </w:rPr>
        <mc:AlternateContent>
          <mc:Choice Requires="wps">
            <w:drawing>
              <wp:anchor distT="0" distB="0" distL="114300" distR="114300" simplePos="0" relativeHeight="251683840" behindDoc="0" locked="0" layoutInCell="1" allowOverlap="1" wp14:anchorId="78B34FE0" wp14:editId="5E60EE53">
                <wp:simplePos x="0" y="0"/>
                <wp:positionH relativeFrom="column">
                  <wp:posOffset>6461760</wp:posOffset>
                </wp:positionH>
                <wp:positionV relativeFrom="paragraph">
                  <wp:posOffset>1249045</wp:posOffset>
                </wp:positionV>
                <wp:extent cx="1282700" cy="3238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282700" cy="323850"/>
                        </a:xfrm>
                        <a:prstGeom prst="rect">
                          <a:avLst/>
                        </a:prstGeom>
                        <a:solidFill>
                          <a:schemeClr val="bg1"/>
                        </a:solidFill>
                        <a:ln w="6350">
                          <a:noFill/>
                        </a:ln>
                      </wps:spPr>
                      <wps:txbx>
                        <w:txbxContent>
                          <w:p w14:paraId="411AEFD9" w14:textId="52356D18" w:rsidR="0086141E" w:rsidRPr="0086141E" w:rsidRDefault="0086141E" w:rsidP="0086141E">
                            <w:pPr>
                              <w:tabs>
                                <w:tab w:val="clear" w:pos="567"/>
                                <w:tab w:val="left" w:pos="0"/>
                              </w:tabs>
                              <w:jc w:val="center"/>
                              <w:rPr>
                                <w:b/>
                                <w:bCs/>
                                <w:sz w:val="20"/>
                                <w:lang w:val="es-ES"/>
                              </w:rPr>
                            </w:pPr>
                            <w:r>
                              <w:rPr>
                                <w:b/>
                                <w:bCs/>
                                <w:sz w:val="20"/>
                                <w:lang w:val="es-ES"/>
                              </w:rPr>
                              <w:t>Tratamiento de riesgos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34FE0" id="Text Box 19" o:spid="_x0000_s1034" type="#_x0000_t202" style="position:absolute;left:0;text-align:left;margin-left:508.8pt;margin-top:98.35pt;width:101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OeOQIAAHIEAAAOAAAAZHJzL2Uyb0RvYy54bWysVE2P2jAQvVfqf7B8L+FD3bKIsKKsqCqt&#10;dleCas/GcSCS43FtQ0J/fZ8dwrbbnqpezGS+570Z5ndtrdlJOV+RyfloMORMGUlFZfY5/7Zdf5hy&#10;5oMwhdBkVM7PyvO7xft388bO1JgOpAvlGJIYP2tszg8h2FmWeXlQtfADssrAWJKrRcCn22eFEw2y&#10;1zobD4c3WUOusI6k8h7a+87IFyl/WSoZnsrSq8B0ztFbSK9L7y6+2WIuZnsn7KGSlzbEP3RRi8qg&#10;6DXVvQiCHV31R6q6ko48lWEgqc6oLCup0gyYZjR8M83mIKxKswAcb68w+f+XVj6enh2rCnB3y5kR&#10;NTjaqjawz9QyqIBPY/0MbhsLx9BCD99e76GMY7elq+MvBmKwA+nzFd2YTcag8XT8aQiThG0ynkw/&#10;Jviz12jrfPiiqGZRyLkDewlUcXrwAZ3AtXeJxTzpqlhXWqePuDFqpR07CXC926ceEfGblzasyfnN&#10;BKVjkKEY3mXWBgXirN1MUQrtrk3YTPt5d1ScAYOjbpG8lesKvT4IH56Fw+ZgPFxDeMJTakItukic&#10;Hcj9+Js++oNQWDlrsIk599+PwinO9FcDquPa9oLrhV0vmGO9Igw8wp1ZmUQEuKB7sXRUv+BIlrEK&#10;TMJI1Mp56MVV6O4BRybVcpmcsJxWhAezsTKmjlhF5Lfti3D2Qk8AsY/U76iYvWGp8+1QXh4DlVWi&#10;MOLaoXiBG4udmL0cYbycX7+T1+tfxeInAAAA//8DAFBLAwQUAAYACAAAACEAPNBNWuAAAAANAQAA&#10;DwAAAGRycy9kb3ducmV2LnhtbEyPzU7DMBCE70i8g7VIXBB1EqEkTeNUUAkBBw4NPIATL3HAP1Hs&#10;tuHt2Z7obUb7aXam3i7WsCPOYfROQLpKgKHrvRrdIODz4/m+BBaidEoa71DALwbYNtdXtayUP7k9&#10;Hts4MApxoZICdIxTxXnoNVoZVn5CR7cvP1sZyc4DV7M8Ubg1PEuSnFs5Ovqg5YQ7jf1Pe7ACyjLs&#10;CgydN98v7evdGz6l+3ctxO3N8rgBFnGJ/zCc61N1aKhT5w9OBWbIJ2mRE0tqnRfAzkhGElgnIHso&#10;CuBNzS9XNH8AAAD//wMAUEsBAi0AFAAGAAgAAAAhALaDOJL+AAAA4QEAABMAAAAAAAAAAAAAAAAA&#10;AAAAAFtDb250ZW50X1R5cGVzXS54bWxQSwECLQAUAAYACAAAACEAOP0h/9YAAACUAQAACwAAAAAA&#10;AAAAAAAAAAAvAQAAX3JlbHMvLnJlbHNQSwECLQAUAAYACAAAACEAEK5DnjkCAAByBAAADgAAAAAA&#10;AAAAAAAAAAAuAgAAZHJzL2Uyb0RvYy54bWxQSwECLQAUAAYACAAAACEAPNBNWuAAAAANAQAADwAA&#10;AAAAAAAAAAAAAACTBAAAZHJzL2Rvd25yZXYueG1sUEsFBgAAAAAEAAQA8wAAAKAFAAAAAA==&#10;" fillcolor="white [3212]" stroked="f" strokeweight=".5pt">
                <v:textbox inset="0,0,0,0">
                  <w:txbxContent>
                    <w:p w14:paraId="411AEFD9" w14:textId="52356D18" w:rsidR="0086141E" w:rsidRPr="0086141E" w:rsidRDefault="0086141E" w:rsidP="0086141E">
                      <w:pPr>
                        <w:tabs>
                          <w:tab w:val="clear" w:pos="567"/>
                          <w:tab w:val="left" w:pos="0"/>
                        </w:tabs>
                        <w:jc w:val="center"/>
                        <w:rPr>
                          <w:b/>
                          <w:bCs/>
                          <w:sz w:val="20"/>
                          <w:lang w:val="es-ES"/>
                        </w:rPr>
                      </w:pPr>
                      <w:r>
                        <w:rPr>
                          <w:b/>
                          <w:bCs/>
                          <w:sz w:val="20"/>
                          <w:lang w:val="es-ES"/>
                        </w:rPr>
                        <w:t>Tratamiento de riesgos</w:t>
                      </w:r>
                    </w:p>
                  </w:txbxContent>
                </v:textbox>
              </v:shape>
            </w:pict>
          </mc:Fallback>
        </mc:AlternateContent>
      </w:r>
      <w:r w:rsidR="007F5476" w:rsidRPr="002C4A18">
        <w:rPr>
          <w:noProof/>
          <w:lang w:val="en-US"/>
        </w:rPr>
        <mc:AlternateContent>
          <mc:Choice Requires="wps">
            <w:drawing>
              <wp:anchor distT="0" distB="0" distL="114300" distR="114300" simplePos="0" relativeHeight="251677696" behindDoc="0" locked="0" layoutInCell="1" allowOverlap="1" wp14:anchorId="5EE48DD1" wp14:editId="740A73EE">
                <wp:simplePos x="0" y="0"/>
                <wp:positionH relativeFrom="column">
                  <wp:posOffset>6452870</wp:posOffset>
                </wp:positionH>
                <wp:positionV relativeFrom="paragraph">
                  <wp:posOffset>586105</wp:posOffset>
                </wp:positionV>
                <wp:extent cx="1282700" cy="3238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282700" cy="323850"/>
                        </a:xfrm>
                        <a:prstGeom prst="rect">
                          <a:avLst/>
                        </a:prstGeom>
                        <a:solidFill>
                          <a:schemeClr val="bg1"/>
                        </a:solidFill>
                        <a:ln w="6350">
                          <a:noFill/>
                        </a:ln>
                      </wps:spPr>
                      <wps:txbx>
                        <w:txbxContent>
                          <w:p w14:paraId="4822AF5F" w14:textId="29757EA3" w:rsidR="0086141E" w:rsidRPr="004678B9" w:rsidRDefault="0086141E" w:rsidP="0086141E">
                            <w:pPr>
                              <w:tabs>
                                <w:tab w:val="clear" w:pos="567"/>
                                <w:tab w:val="left" w:pos="0"/>
                              </w:tabs>
                              <w:jc w:val="center"/>
                              <w:rPr>
                                <w:b/>
                                <w:bCs/>
                                <w:sz w:val="20"/>
                              </w:rPr>
                            </w:pPr>
                            <w:r>
                              <w:rPr>
                                <w:b/>
                                <w:bCs/>
                                <w:sz w:val="20"/>
                              </w:rPr>
                              <w:t>Contexto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48DD1" id="Text Box 18" o:spid="_x0000_s1035" type="#_x0000_t202" style="position:absolute;left:0;text-align:left;margin-left:508.1pt;margin-top:46.15pt;width:101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6aOAIAAHIEAAAOAAAAZHJzL2Uyb0RvYy54bWysVE2P2jAQvVfqf7B8L+FD3e4iwoqyoqqE&#10;dleCas/GcSCS43FtQ0J/fZ8dwrbbnqpezGS+570ZZvdtrdlJOV+RyfloMORMGUlFZfY5/7Zdfbjl&#10;zAdhCqHJqJyflef38/fvZo2dqjEdSBfKMSQxftrYnB9CsNMs8/KgauEHZJWBsSRXi4BPt88KJxpk&#10;r3U2Hg5vsoZcYR1J5T20D52Rz1P+slQyPJWlV4HpnKO3kF6X3l18s/lMTPdO2EMlL22If+iiFpVB&#10;0WuqBxEEO7rqj1R1JR15KsNAUp1RWVZSpRkwzWj4ZprNQViVZgE43l5h8v8vrXw8PTtWFeAOTBlR&#10;g6OtagP7TC2DCvg01k/htrFwDC308O31Hso4dlu6Ov5iIAY7kD5f0Y3ZZAwa344/DWGSsE3Gk9uP&#10;Cf7sNdo6H74oqlkUcu7AXgJVnNY+oBO49i6xmCddFatK6/QRN0YttWMnAa53+9QjIn7z0oY1Ob+Z&#10;oHQMMhTDu8zaoECctZspSqHdtQmbu37eHRVnwOCoWyRv5apCr2vhw7Nw2ByMh2sIT3hKTahFF4mz&#10;A7kff9NHfxAKK2cNNjHn/vtROMWZ/mpAdVzbXnC9sOsFc6yXhIFHuDMrk4gAF3Qvlo7qFxzJIlaB&#10;SRiJWjkPvbgM3T3gyKRaLJITltOKsDYbK2PqiFVEftu+CGcv9AQQ+0j9jorpG5Y63w7lxTFQWSUK&#10;I64dihe4sdiJ2csRxsv59Tt5vf5VzH8CAAD//wMAUEsDBBQABgAIAAAAIQBTskm44AAAAAwBAAAP&#10;AAAAZHJzL2Rvd25yZXYueG1sTI/NTsMwEITvSLyDtUhcEHV+UAkhTgWVEHDg0MADOPESB+J1FLtt&#10;eHu2J7jt7I5mv6k2ixvFAecweFKQrhIQSJ03A/UKPt6frgsQIWoyevSECn4wwKY+P6t0afyRdnho&#10;Yi84hEKpFdgYp1LK0Fl0Oqz8hMS3Tz87HVnOvTSzPnK4G2WWJGvp9ED8weoJtxa772bvFBRF2N5i&#10;aP349dy8XL3iY7p7s0pdXiwP9yAiLvHPDCd8RoeamVq/JxPEyDpJ1xl7FdxlOYiTI0sL3rQ83eQ5&#10;yLqS/0vUvwAAAP//AwBQSwECLQAUAAYACAAAACEAtoM4kv4AAADhAQAAEwAAAAAAAAAAAAAAAAAA&#10;AAAAW0NvbnRlbnRfVHlwZXNdLnhtbFBLAQItABQABgAIAAAAIQA4/SH/1gAAAJQBAAALAAAAAAAA&#10;AAAAAAAAAC8BAABfcmVscy8ucmVsc1BLAQItABQABgAIAAAAIQAft36aOAIAAHIEAAAOAAAAAAAA&#10;AAAAAAAAAC4CAABkcnMvZTJvRG9jLnhtbFBLAQItABQABgAIAAAAIQBTskm44AAAAAwBAAAPAAAA&#10;AAAAAAAAAAAAAJIEAABkcnMvZG93bnJldi54bWxQSwUGAAAAAAQABADzAAAAnwUAAAAA&#10;" fillcolor="white [3212]" stroked="f" strokeweight=".5pt">
                <v:textbox inset="0,0,0,0">
                  <w:txbxContent>
                    <w:p w14:paraId="4822AF5F" w14:textId="29757EA3" w:rsidR="0086141E" w:rsidRPr="004678B9" w:rsidRDefault="0086141E" w:rsidP="0086141E">
                      <w:pPr>
                        <w:tabs>
                          <w:tab w:val="clear" w:pos="567"/>
                          <w:tab w:val="left" w:pos="0"/>
                        </w:tabs>
                        <w:jc w:val="center"/>
                        <w:rPr>
                          <w:b/>
                          <w:bCs/>
                          <w:sz w:val="20"/>
                        </w:rPr>
                      </w:pPr>
                      <w:r>
                        <w:rPr>
                          <w:b/>
                          <w:bCs/>
                          <w:sz w:val="20"/>
                        </w:rPr>
                        <w:t>Contexto</w:t>
                      </w:r>
                    </w:p>
                  </w:txbxContent>
                </v:textbox>
              </v:shape>
            </w:pict>
          </mc:Fallback>
        </mc:AlternateContent>
      </w:r>
      <w:r w:rsidR="007F5476" w:rsidRPr="002C4A18">
        <w:rPr>
          <w:noProof/>
          <w:lang w:val="en-US"/>
        </w:rPr>
        <mc:AlternateContent>
          <mc:Choice Requires="wps">
            <w:drawing>
              <wp:anchor distT="0" distB="0" distL="114300" distR="114300" simplePos="0" relativeHeight="251665408" behindDoc="0" locked="0" layoutInCell="1" allowOverlap="1" wp14:anchorId="26B4A293" wp14:editId="534567FD">
                <wp:simplePos x="0" y="0"/>
                <wp:positionH relativeFrom="column">
                  <wp:posOffset>3503930</wp:posOffset>
                </wp:positionH>
                <wp:positionV relativeFrom="paragraph">
                  <wp:posOffset>1538605</wp:posOffset>
                </wp:positionV>
                <wp:extent cx="958850" cy="5867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958850" cy="586740"/>
                        </a:xfrm>
                        <a:prstGeom prst="rect">
                          <a:avLst/>
                        </a:prstGeom>
                        <a:solidFill>
                          <a:srgbClr val="9FD2C5"/>
                        </a:solidFill>
                        <a:ln w="6350">
                          <a:noFill/>
                        </a:ln>
                      </wps:spPr>
                      <wps:txbx>
                        <w:txbxContent>
                          <w:p w14:paraId="0E0B4D5A" w14:textId="6E52FA43" w:rsidR="009C6A41" w:rsidRPr="009C6A41" w:rsidRDefault="009C6A41" w:rsidP="00A812B0">
                            <w:pPr>
                              <w:jc w:val="center"/>
                              <w:rPr>
                                <w:b/>
                                <w:sz w:val="20"/>
                                <w:lang w:val="es-ES"/>
                              </w:rPr>
                            </w:pPr>
                            <w:r w:rsidRPr="009C6A41">
                              <w:rPr>
                                <w:b/>
                                <w:bCs/>
                                <w:sz w:val="20"/>
                              </w:rPr>
                              <w:t>Diseño del marco para gestionar</w:t>
                            </w:r>
                            <w:r>
                              <w:rPr>
                                <w:b/>
                                <w:bCs/>
                                <w:sz w:val="20"/>
                              </w:rPr>
                              <w:t xml:space="preserve"> riesgos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4A293" id="Text Box 12" o:spid="_x0000_s1036" type="#_x0000_t202" style="position:absolute;left:0;text-align:left;margin-left:275.9pt;margin-top:121.15pt;width:75.5pt;height:4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HyPAIAAHMEAAAOAAAAZHJzL2Uyb0RvYy54bWysVMFuGjEQvVfqP1i+Nwu0UIJYIkpEVSlK&#10;IpEqZ+P1wkpej2sbdunX99nLkjTtqerFzM48j2fem2F+09aaHZXzFZmcD68GnCkjqajMLuffn9Yf&#10;ppz5IEwhNBmV85Py/Gbx/t28sTM1oj3pQjmGJMbPGpvzfQh2lmVe7lUt/BVZZRAsydUi4NPtssKJ&#10;BtlrnY0Gg0nWkCusI6m8h/e2C/JFyl+WSoaHsvQqMJ1z1BbS6dK5jWe2mIvZzgm7r+S5DPEPVdSi&#10;Mnj0kupWBMEOrvojVV1JR57KcCWpzqgsK6lSD+hmOHjTzWYvrEq9gBxvLzT5/5dW3h8fHasKaDfi&#10;zIgaGj2pNrAv1DK4wE9j/QywjQUwtPAD2/s9nLHttnR1/EVDDHEwfbqwG7NJOK/H0+kYEYnQeDr5&#10;/Cmxn71cts6Hr4pqFo2cO4iXOBXHOx9QCKA9JL7lSVfFutI6fbjddqUdOwoIfb2+Ha3GsUZc+Q2m&#10;DWtyPvmIOuItQ/F+h9MG8Nhr11O0QrttO25SqdG1peIEHhx1k+StXFeo9k748CgcRgcNYh3CA45S&#10;Ex6js8XZntzPv/kjHooiylmDUcy5/3EQTnGmvxloHee2N1xvbHvDHOoVoekhFs3KZOKCC7o3S0f1&#10;M7ZkGV9BSBiJt3IeenMVuoXAlkm1XCYQptOKcGc2VsbUkazI/VP7LJw9CxSg7D31Qypmb3TqsB3N&#10;y0OgskoivrB45huTnYQ6b2FcndffCfXyX7H4BQAA//8DAFBLAwQUAAYACAAAACEAlRBP7eMAAAAL&#10;AQAADwAAAGRycy9kb3ducmV2LnhtbEyPT0vDQBDF74LfYRnBS7CbJv1HzKaoUPCgQquCx012moRm&#10;Z0N228Zv3/FUj/Pm8d7v5evRduKEg28dKZhOYhBIlTMt1Qq+PjcPKxA+aDK6c4QKftHDuri9yXVm&#10;3Jm2eNqFWnAI+UwraELoMyl91aDVfuJ6JP7t3WB14HOopRn0mcNtJ5M4XkirW+KGRvf40mB12B2t&#10;go891tG7iZrVYvt9eH4to5/NW6TU/d349Agi4BiuZvjDZ3QomKl0RzJedArm8ymjBwXJLElBsGMZ&#10;J6yUCtJ0tgRZ5PL/huICAAD//wMAUEsBAi0AFAAGAAgAAAAhALaDOJL+AAAA4QEAABMAAAAAAAAA&#10;AAAAAAAAAAAAAFtDb250ZW50X1R5cGVzXS54bWxQSwECLQAUAAYACAAAACEAOP0h/9YAAACUAQAA&#10;CwAAAAAAAAAAAAAAAAAvAQAAX3JlbHMvLnJlbHNQSwECLQAUAAYACAAAACEAVh3B8jwCAABzBAAA&#10;DgAAAAAAAAAAAAAAAAAuAgAAZHJzL2Uyb0RvYy54bWxQSwECLQAUAAYACAAAACEAlRBP7eMAAAAL&#10;AQAADwAAAAAAAAAAAAAAAACWBAAAZHJzL2Rvd25yZXYueG1sUEsFBgAAAAAEAAQA8wAAAKYFAAAA&#10;AA==&#10;" fillcolor="#9fd2c5" stroked="f" strokeweight=".5pt">
                <v:textbox inset="0,0,0,0">
                  <w:txbxContent>
                    <w:p w14:paraId="0E0B4D5A" w14:textId="6E52FA43" w:rsidR="009C6A41" w:rsidRPr="009C6A41" w:rsidRDefault="009C6A41" w:rsidP="00A812B0">
                      <w:pPr>
                        <w:jc w:val="center"/>
                        <w:rPr>
                          <w:b/>
                          <w:sz w:val="20"/>
                          <w:lang w:val="es-ES"/>
                        </w:rPr>
                      </w:pPr>
                      <w:r w:rsidRPr="009C6A41">
                        <w:rPr>
                          <w:b/>
                          <w:bCs/>
                          <w:sz w:val="20"/>
                        </w:rPr>
                        <w:t>Diseño del marco para gestionar</w:t>
                      </w:r>
                      <w:r>
                        <w:rPr>
                          <w:b/>
                          <w:bCs/>
                          <w:sz w:val="20"/>
                        </w:rPr>
                        <w:t xml:space="preserve"> riesgos</w:t>
                      </w:r>
                    </w:p>
                  </w:txbxContent>
                </v:textbox>
              </v:shape>
            </w:pict>
          </mc:Fallback>
        </mc:AlternateContent>
      </w:r>
      <w:r w:rsidR="007F5476" w:rsidRPr="002C4A18">
        <w:rPr>
          <w:noProof/>
          <w:lang w:val="en-US"/>
        </w:rPr>
        <mc:AlternateContent>
          <mc:Choice Requires="wps">
            <w:drawing>
              <wp:anchor distT="0" distB="0" distL="114300" distR="114300" simplePos="0" relativeHeight="251663360" behindDoc="0" locked="0" layoutInCell="1" allowOverlap="1" wp14:anchorId="0707412D" wp14:editId="120FC2AA">
                <wp:simplePos x="0" y="0"/>
                <wp:positionH relativeFrom="column">
                  <wp:posOffset>3496310</wp:posOffset>
                </wp:positionH>
                <wp:positionV relativeFrom="paragraph">
                  <wp:posOffset>669925</wp:posOffset>
                </wp:positionV>
                <wp:extent cx="958850" cy="368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58850" cy="368300"/>
                        </a:xfrm>
                        <a:prstGeom prst="rect">
                          <a:avLst/>
                        </a:prstGeom>
                        <a:solidFill>
                          <a:srgbClr val="9FD2C5"/>
                        </a:solidFill>
                        <a:ln w="6350">
                          <a:noFill/>
                        </a:ln>
                      </wps:spPr>
                      <wps:txbx>
                        <w:txbxContent>
                          <w:p w14:paraId="4236AAED" w14:textId="2B8FF57F" w:rsidR="00E22741" w:rsidRPr="009C6A41" w:rsidRDefault="009C6A41" w:rsidP="009C6A41">
                            <w:pPr>
                              <w:spacing w:before="0"/>
                              <w:jc w:val="center"/>
                              <w:rPr>
                                <w:b/>
                                <w:bCs/>
                                <w:sz w:val="20"/>
                              </w:rPr>
                            </w:pPr>
                            <w:r w:rsidRPr="009C6A41">
                              <w:rPr>
                                <w:b/>
                                <w:bCs/>
                                <w:sz w:val="20"/>
                              </w:rPr>
                              <w:t>Mandato y compromiso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7412D" id="Text Box 10" o:spid="_x0000_s1037" type="#_x0000_t202" style="position:absolute;left:0;text-align:left;margin-left:275.3pt;margin-top:52.75pt;width:75.5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s9PAIAAHMEAAAOAAAAZHJzL2Uyb0RvYy54bWysVMFu2zAMvQ/YPwi6r05btEiDOkWWIsOA&#10;oi3QDj0rspwYkEWNUmJ3X78nOU63bqdhF4Umn57IRzLXN31rxd5waMiV8vRkIoVxmqrGbUr57Xn1&#10;aSpFiMpVypIzpXw1Qd7MP3647vzMnNGWbGVYgMSFWedLuY3Rz4oi6K1pVTghbxyCNXGrIj55U1Ss&#10;OrC3tjibTC6LjrjyTNqEAO/tEJTzzF/XRseHug4mCltK5Bbzyflcp7OYX6vZhpXfNvqQhvqHLFrV&#10;ODx6pLpVUYkdN39QtY1mClTHE01tQXXdaJNrQDWnk3fVPG2VN7kWiBP8Uabw/2j1/f6RRVOhd5DH&#10;qRY9ejZ9FJ+pF3BBn86HGWBPHsDYww/s6A9wprL7mtv0i4IE4qB6Paqb2DScVxfT6QUiGqHzy+n5&#10;JLMXb5c9h/jFUCuSUUpG87Kman8XIhIBdISktwLZplo11uYP3qyXlsVeodFXq9uz5UXKEVd+g1kn&#10;ulJeniOPdMtRuj/grAM81TrUlKzYr/tBm2PBa6peoQPTMEnB61WDbO9UiI+KMTooEOsQH3DUlvAY&#10;HSwptsQ//uZPeHQUUSk6jGIpw/edYiOF/erQa1DG0eDRWI+G27VLQtGnWDSvs4kLHO1o1kztC7Zk&#10;kV5BSDmNt0oZR3MZh4XAlmmzWGQQptOreOeevE7USayk/XP/otgfGhTR2Xsah1TN3vVpwA4yL3aR&#10;6iY3MQk7qHjQG5OdG3XYwrQ6v35n1Nt/xfwnAAAA//8DAFBLAwQUAAYACAAAACEATey35eEAAAAL&#10;AQAADwAAAGRycy9kb3ducmV2LnhtbEyPUUvDMBSF3wX/Q7iCL8UlU1JHbTpUGPigg80NfEybu6as&#10;SUqTbfXfe33Sx3vOx7nnlMvJ9eyMY+yCVzCfCWDom2A63yrYfa7uFsBi0t7oPnhU8I0RltX1VakL&#10;Ey5+g+dtahmF+FhoBTaloeA8NhadjrMwoCfvEEanE51jy82oLxTuen4vRM6d7jx9sHrAV4vNcXty&#10;CtYHbLMPk9lFvtkfX97q7Gv1nil1ezM9PwFLOKU/GH7rU3WoqFMdTt5E1iuQUuSEkiGkBEbEo5iT&#10;UpOSP0jgVcn/b6h+AAAA//8DAFBLAQItABQABgAIAAAAIQC2gziS/gAAAOEBAAATAAAAAAAAAAAA&#10;AAAAAAAAAABbQ29udGVudF9UeXBlc10ueG1sUEsBAi0AFAAGAAgAAAAhADj9If/WAAAAlAEAAAsA&#10;AAAAAAAAAAAAAAAALwEAAF9yZWxzLy5yZWxzUEsBAi0AFAAGAAgAAAAhAFGYyz08AgAAcwQAAA4A&#10;AAAAAAAAAAAAAAAALgIAAGRycy9lMm9Eb2MueG1sUEsBAi0AFAAGAAgAAAAhAE3st+XhAAAACwEA&#10;AA8AAAAAAAAAAAAAAAAAlgQAAGRycy9kb3ducmV2LnhtbFBLBQYAAAAABAAEAPMAAACkBQAAAAA=&#10;" fillcolor="#9fd2c5" stroked="f" strokeweight=".5pt">
                <v:textbox inset="0,0,0,0">
                  <w:txbxContent>
                    <w:p w14:paraId="4236AAED" w14:textId="2B8FF57F" w:rsidR="00E22741" w:rsidRPr="009C6A41" w:rsidRDefault="009C6A41" w:rsidP="009C6A41">
                      <w:pPr>
                        <w:spacing w:before="0"/>
                        <w:jc w:val="center"/>
                        <w:rPr>
                          <w:b/>
                          <w:bCs/>
                          <w:sz w:val="20"/>
                        </w:rPr>
                      </w:pPr>
                      <w:r w:rsidRPr="009C6A41">
                        <w:rPr>
                          <w:b/>
                          <w:bCs/>
                          <w:sz w:val="20"/>
                        </w:rPr>
                        <w:t>Mandato y compromiso</w:t>
                      </w:r>
                    </w:p>
                  </w:txbxContent>
                </v:textbox>
              </v:shape>
            </w:pict>
          </mc:Fallback>
        </mc:AlternateContent>
      </w:r>
      <w:r w:rsidR="007F5476" w:rsidRPr="002C4A18">
        <w:rPr>
          <w:noProof/>
          <w:lang w:val="en-US"/>
        </w:rPr>
        <mc:AlternateContent>
          <mc:Choice Requires="wps">
            <w:drawing>
              <wp:anchor distT="0" distB="0" distL="114300" distR="114300" simplePos="0" relativeHeight="251675648" behindDoc="0" locked="0" layoutInCell="1" allowOverlap="1" wp14:anchorId="61BD0944" wp14:editId="53EDEC23">
                <wp:simplePos x="0" y="0"/>
                <wp:positionH relativeFrom="column">
                  <wp:posOffset>471170</wp:posOffset>
                </wp:positionH>
                <wp:positionV relativeFrom="paragraph">
                  <wp:posOffset>159385</wp:posOffset>
                </wp:positionV>
                <wp:extent cx="1663700" cy="3302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663700" cy="330200"/>
                        </a:xfrm>
                        <a:prstGeom prst="rect">
                          <a:avLst/>
                        </a:prstGeom>
                        <a:solidFill>
                          <a:schemeClr val="lt1"/>
                        </a:solidFill>
                        <a:ln w="6350">
                          <a:noFill/>
                        </a:ln>
                      </wps:spPr>
                      <wps:txbx>
                        <w:txbxContent>
                          <w:p w14:paraId="1FCA4FB6" w14:textId="69ED9803" w:rsidR="0086141E" w:rsidRPr="0086141E" w:rsidRDefault="0086141E" w:rsidP="004E05B8">
                            <w:pPr>
                              <w:jc w:val="center"/>
                              <w:rPr>
                                <w:lang w:val="en-US"/>
                              </w:rPr>
                            </w:pPr>
                            <w:r>
                              <w:rPr>
                                <w:b/>
                                <w:bCs/>
                                <w:szCs w:val="24"/>
                              </w:rPr>
                              <w:t>Principios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D0944" id="Text Box 23" o:spid="_x0000_s1038" type="#_x0000_t202" style="position:absolute;left:0;text-align:left;margin-left:37.1pt;margin-top:12.55pt;width:131pt;height: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x4OgIAAHMEAAAOAAAAZHJzL2Uyb0RvYy54bWysVMGO2jAQvVfqP1i+lwRQaRURVpQVVSW0&#10;uxJUezaODZZsj2sbEvr1HTuE3W57qnoxk5nx87w3M8zvOqPJWfigwNZ0PCopEZZDo+yhpt936w+f&#10;KQmR2YZpsKKmFxHo3eL9u3nrKjGBI+hGeIIgNlStq+kxRlcVReBHYVgYgRMWgxK8YRE//aFoPGsR&#10;3ehiUpazogXfOA9chIDe+z5IFxlfSsHjo5RBRKJrirXFfPp87tNZLOasOnjmjopfy2D/UIVhyuKj&#10;N6h7Fhk5efUHlFHcQwAZRxxMAVIqLjIHZDMu37DZHpkTmQuKE9xNpvD/YPnD+ckT1dR0MqXEMoM9&#10;2okuki/QEXShPq0LFaZtHSbGDv3Y58Ef0Jlod9Kb9IuECMZR6ctN3YTG06XZbPqpxBDH2HRaYvsS&#10;TPFy2/kQvwowJBk19di9LCo7b0LsU4eU9FgArZq10jp/pIkRK+3JmWGvdcw1IvhvWdqStqaz6ccy&#10;A1tI13tkbbGWxLXnlKzY7buszXgyEN5Dc0EdPPSTFBxfKyx2w0J8Yh5HB/nhOsRHPKQGfAyuFiVH&#10;8D//5k/52FGMUtLiKNY0/DgxLyjR3yz2Os3tYPjB2A+GPZkVIOMxLprj2cQLPurBlB7MM27JMr2C&#10;IWY5vlXTOJir2C8EbhkXy2VOwul0LG7s1vEEnRRO0u+6Z+bdtT8RO/sAw5Cy6k2b+tx008LyFEGq&#10;3MMkbK/iVW+c7DwF1y1Mq/P6O2e9/FcsfgEAAP//AwBQSwMEFAAGAAgAAAAhANRcQVPgAAAACAEA&#10;AA8AAABkcnMvZG93bnJldi54bWxMj8FOwzAMhu9IvENkJC5oS9uNdipNJ0DigMSE2NDOWROassQp&#10;TbZ1PD3mBEf7+/X7c7UcnWVHPYTOo4B0mgDT2HjVYSvgffM0WQALUaKS1qMWcNYBlvXlRSVL5U/4&#10;po/r2DIqwVBKASbGvuQ8NEY7Gaa+10jsww9ORhqHlqtBnqjcWZ4lSc6d7JAuGNnrR6Ob/frgBCzO&#10;89XNNi+2n/b1+cF8t1/4spdCXF+N93fAoh7jXxh+9UkdanLa+QOqwKyAYp5RUkB2mwIjPpvltNgR&#10;KFLgdcX/P1D/AAAA//8DAFBLAQItABQABgAIAAAAIQC2gziS/gAAAOEBAAATAAAAAAAAAAAAAAAA&#10;AAAAAABbQ29udGVudF9UeXBlc10ueG1sUEsBAi0AFAAGAAgAAAAhADj9If/WAAAAlAEAAAsAAAAA&#10;AAAAAAAAAAAALwEAAF9yZWxzLy5yZWxzUEsBAi0AFAAGAAgAAAAhAGGp/Hg6AgAAcwQAAA4AAAAA&#10;AAAAAAAAAAAALgIAAGRycy9lMm9Eb2MueG1sUEsBAi0AFAAGAAgAAAAhANRcQVPgAAAACAEAAA8A&#10;AAAAAAAAAAAAAAAAlAQAAGRycy9kb3ducmV2LnhtbFBLBQYAAAAABAAEAPMAAAChBQAAAAA=&#10;" fillcolor="white [3201]" stroked="f" strokeweight=".5pt">
                <v:textbox inset="0,0,0,0">
                  <w:txbxContent>
                    <w:p w14:paraId="1FCA4FB6" w14:textId="69ED9803" w:rsidR="0086141E" w:rsidRPr="0086141E" w:rsidRDefault="0086141E" w:rsidP="004E05B8">
                      <w:pPr>
                        <w:jc w:val="center"/>
                        <w:rPr>
                          <w:lang w:val="en-US"/>
                        </w:rPr>
                      </w:pPr>
                      <w:r>
                        <w:rPr>
                          <w:b/>
                          <w:bCs/>
                          <w:szCs w:val="24"/>
                        </w:rPr>
                        <w:t>Principios</w:t>
                      </w:r>
                    </w:p>
                  </w:txbxContent>
                </v:textbox>
              </v:shape>
            </w:pict>
          </mc:Fallback>
        </mc:AlternateContent>
      </w:r>
      <w:r w:rsidR="0086141E" w:rsidRPr="002C4A18">
        <w:rPr>
          <w:noProof/>
          <w:lang w:val="en-US"/>
        </w:rPr>
        <mc:AlternateContent>
          <mc:Choice Requires="wps">
            <w:drawing>
              <wp:anchor distT="0" distB="0" distL="114300" distR="114300" simplePos="0" relativeHeight="251681792" behindDoc="0" locked="0" layoutInCell="1" allowOverlap="1" wp14:anchorId="7A5B18CC" wp14:editId="3320DDF0">
                <wp:simplePos x="0" y="0"/>
                <wp:positionH relativeFrom="column">
                  <wp:posOffset>4838700</wp:posOffset>
                </wp:positionH>
                <wp:positionV relativeFrom="paragraph">
                  <wp:posOffset>2200910</wp:posOffset>
                </wp:positionV>
                <wp:extent cx="2298700" cy="323850"/>
                <wp:effectExtent l="0" t="3175" r="3175" b="3175"/>
                <wp:wrapNone/>
                <wp:docPr id="20" name="Text Box 20"/>
                <wp:cNvGraphicFramePr/>
                <a:graphic xmlns:a="http://schemas.openxmlformats.org/drawingml/2006/main">
                  <a:graphicData uri="http://schemas.microsoft.com/office/word/2010/wordprocessingShape">
                    <wps:wsp>
                      <wps:cNvSpPr txBox="1"/>
                      <wps:spPr>
                        <a:xfrm rot="16200000">
                          <a:off x="0" y="0"/>
                          <a:ext cx="2298700" cy="323850"/>
                        </a:xfrm>
                        <a:prstGeom prst="rect">
                          <a:avLst/>
                        </a:prstGeom>
                        <a:solidFill>
                          <a:schemeClr val="bg1"/>
                        </a:solidFill>
                        <a:ln w="6350">
                          <a:noFill/>
                        </a:ln>
                      </wps:spPr>
                      <wps:txbx>
                        <w:txbxContent>
                          <w:p w14:paraId="2E487002" w14:textId="6ABEFC13" w:rsidR="0086141E" w:rsidRPr="0086141E" w:rsidRDefault="0086141E" w:rsidP="0086141E">
                            <w:pPr>
                              <w:tabs>
                                <w:tab w:val="clear" w:pos="567"/>
                                <w:tab w:val="left" w:pos="0"/>
                              </w:tabs>
                              <w:jc w:val="center"/>
                              <w:rPr>
                                <w:b/>
                                <w:bCs/>
                                <w:sz w:val="20"/>
                                <w:lang w:val="es-ES"/>
                              </w:rPr>
                            </w:pPr>
                            <w:r>
                              <w:rPr>
                                <w:b/>
                                <w:bCs/>
                                <w:sz w:val="20"/>
                                <w:lang w:val="es-ES"/>
                              </w:rPr>
                              <w:t>Comunicación y consulta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B18CC" id="Text Box 20" o:spid="_x0000_s1039" type="#_x0000_t202" style="position:absolute;left:0;text-align:left;margin-left:381pt;margin-top:173.3pt;width:181pt;height:25.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UsQgIAAIIEAAAOAAAAZHJzL2Uyb0RvYy54bWysVE2P2jAQvVfqf7B8L+FDpVtEWFFWVJXQ&#10;7kpQ7dk4DkRyPK5tSOiv77NDaLvtqSoHazIev5l5b4b5fVtrdlbOV2RyPhoMOVNGUlGZQ86/7tbv&#10;7jjzQZhCaDIq5xfl+f3i7Zt5Y2dqTEfShXIMIMbPGpvzYwh2lmVeHlUt/ICsMrgsydUi4NMdssKJ&#10;Bui1zsbD4TRryBXWkVTew/vQXfJFwi9LJcNTWXoVmM45agvpdOncxzNbzMXs4IQ9VvJahviHKmpR&#10;GSS9QT2IINjJVX9A1ZV05KkMA0l1RmVZSZV6QDej4atutkdhVeoF5Hh7o8n/P1j5eH52rCpyPgY9&#10;RtTQaKfawD5Ry+ACP431M4RtLQJDCz907v0ezth2W7qaOQK9oylkwS+xgf4YwoF8uZEdwSWc4/HH&#10;uw+IYxJ3k/Hk7n3KlnVgEdQ6Hz4rqlk0cu4gZkIV540PKAyhfUgM96SrYl1pnT7iAKmVduwsIP3+&#10;kErGi9+itGFNzqcTpI6PDMXnHbI2SBBb71qMVmj3baJqNOn731NxAS2pc7TirVxXKHYjfHgWDpME&#10;J7YjPOEoNSEZXS3OjuS+/80f4yEwbjlrMJk5999OwinO9BcD6QEZesP1xr43zKleEToepWqSiQcu&#10;6N4sHdUvWJplzIIrYSRy5Tz05ip0+4Glk2q5TEEYVivCxmytjNC9Orv2RTh71SdA2UfqZ1bMXsnU&#10;xXY0L0+ByippGIntWLzyjUFP0l6XMm7Sr98p6udfx+IHAAAA//8DAFBLAwQUAAYACAAAACEArPgj&#10;Jd4AAAALAQAADwAAAGRycy9kb3ducmV2LnhtbEyPwU7DMAyG70i8Q2QkbixNoWMtTSeEBCcOMBDi&#10;mDWmrWicKkm38vaYEzva/6ffn+vt4kZxwBAHTxrUKgOB1Ho7UKfh/e3xagMiJkPWjJ5Qww9G2Dbn&#10;Z7WprD/SKx52qRNcQrEyGvqUpkrK2PboTFz5CYmzLx+cSTyGTtpgjlzuRpln2Vo6MxBf6M2EDz22&#10;37vZafh86rrgb1qXnqeZlFX5R3jJtb68WO7vQCRc0j8Mf/qsDg077f1MNopRQ6luC0Y5KJUCwUS5&#10;3vBmr6EorhXIppanPzS/AAAA//8DAFBLAQItABQABgAIAAAAIQC2gziS/gAAAOEBAAATAAAAAAAA&#10;AAAAAAAAAAAAAABbQ29udGVudF9UeXBlc10ueG1sUEsBAi0AFAAGAAgAAAAhADj9If/WAAAAlAEA&#10;AAsAAAAAAAAAAAAAAAAALwEAAF9yZWxzLy5yZWxzUEsBAi0AFAAGAAgAAAAhACRsdSxCAgAAggQA&#10;AA4AAAAAAAAAAAAAAAAALgIAAGRycy9lMm9Eb2MueG1sUEsBAi0AFAAGAAgAAAAhAKz4IyXeAAAA&#10;CwEAAA8AAAAAAAAAAAAAAAAAnAQAAGRycy9kb3ducmV2LnhtbFBLBQYAAAAABAAEAPMAAACnBQAA&#10;AAA=&#10;" fillcolor="white [3212]" stroked="f" strokeweight=".5pt">
                <v:textbox inset="0,0,0,0">
                  <w:txbxContent>
                    <w:p w14:paraId="2E487002" w14:textId="6ABEFC13" w:rsidR="0086141E" w:rsidRPr="0086141E" w:rsidRDefault="0086141E" w:rsidP="0086141E">
                      <w:pPr>
                        <w:tabs>
                          <w:tab w:val="clear" w:pos="567"/>
                          <w:tab w:val="left" w:pos="0"/>
                        </w:tabs>
                        <w:jc w:val="center"/>
                        <w:rPr>
                          <w:b/>
                          <w:bCs/>
                          <w:sz w:val="20"/>
                          <w:lang w:val="es-ES"/>
                        </w:rPr>
                      </w:pPr>
                      <w:r>
                        <w:rPr>
                          <w:b/>
                          <w:bCs/>
                          <w:sz w:val="20"/>
                          <w:lang w:val="es-ES"/>
                        </w:rPr>
                        <w:t>Comunicación y consulta</w:t>
                      </w:r>
                    </w:p>
                  </w:txbxContent>
                </v:textbox>
              </v:shape>
            </w:pict>
          </mc:Fallback>
        </mc:AlternateContent>
      </w:r>
      <w:r w:rsidR="0086141E" w:rsidRPr="002C4A18">
        <w:rPr>
          <w:noProof/>
          <w:lang w:val="en-US"/>
        </w:rPr>
        <mc:AlternateContent>
          <mc:Choice Requires="wps">
            <w:drawing>
              <wp:anchor distT="0" distB="0" distL="114300" distR="114300" simplePos="0" relativeHeight="251679744" behindDoc="0" locked="0" layoutInCell="1" allowOverlap="1" wp14:anchorId="5FCF827A" wp14:editId="5D07A02F">
                <wp:simplePos x="0" y="0"/>
                <wp:positionH relativeFrom="column">
                  <wp:posOffset>7086600</wp:posOffset>
                </wp:positionH>
                <wp:positionV relativeFrom="paragraph">
                  <wp:posOffset>2208530</wp:posOffset>
                </wp:positionV>
                <wp:extent cx="2298700" cy="323850"/>
                <wp:effectExtent l="0" t="3175" r="3175" b="3175"/>
                <wp:wrapNone/>
                <wp:docPr id="21" name="Text Box 21"/>
                <wp:cNvGraphicFramePr/>
                <a:graphic xmlns:a="http://schemas.openxmlformats.org/drawingml/2006/main">
                  <a:graphicData uri="http://schemas.microsoft.com/office/word/2010/wordprocessingShape">
                    <wps:wsp>
                      <wps:cNvSpPr txBox="1"/>
                      <wps:spPr>
                        <a:xfrm rot="16200000">
                          <a:off x="0" y="0"/>
                          <a:ext cx="2298700" cy="323850"/>
                        </a:xfrm>
                        <a:prstGeom prst="rect">
                          <a:avLst/>
                        </a:prstGeom>
                        <a:solidFill>
                          <a:schemeClr val="bg1"/>
                        </a:solidFill>
                        <a:ln w="6350">
                          <a:noFill/>
                        </a:ln>
                      </wps:spPr>
                      <wps:txbx>
                        <w:txbxContent>
                          <w:p w14:paraId="584B7978" w14:textId="2C749560" w:rsidR="0086141E" w:rsidRPr="0086141E" w:rsidRDefault="0086141E" w:rsidP="0086141E">
                            <w:pPr>
                              <w:tabs>
                                <w:tab w:val="clear" w:pos="567"/>
                                <w:tab w:val="left" w:pos="0"/>
                              </w:tabs>
                              <w:jc w:val="center"/>
                              <w:rPr>
                                <w:b/>
                                <w:bCs/>
                                <w:sz w:val="20"/>
                                <w:lang w:val="es-ES"/>
                              </w:rPr>
                            </w:pPr>
                            <w:r>
                              <w:rPr>
                                <w:b/>
                                <w:bCs/>
                                <w:sz w:val="20"/>
                                <w:lang w:val="es-ES"/>
                              </w:rPr>
                              <w:t>Supervisión y revisión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F827A" id="Text Box 21" o:spid="_x0000_s1040" type="#_x0000_t202" style="position:absolute;left:0;text-align:left;margin-left:558pt;margin-top:173.9pt;width:181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iRAIAAIIEAAAOAAAAZHJzL2Uyb0RvYy54bWysVMFu2zAMvQ/YPwi6r06crcuMOEXWosOA&#10;oi2QDj0rshwbkEVNUmJ3X78nOW63bqdhOQg0RT2S75FZXQydZkflfEum5POzGWfKSKpasy/5t4fr&#10;d0vOfBCmEpqMKvmT8vxi/fbNqreFyqkhXSnHAGJ80duSNyHYIsu8bFQn/BlZZXBZk+tEwKfbZ5UT&#10;PdA7neWz2XnWk6usI6m8h/dqvOTrhF/XSoa7uvYqMF1y1BbS6dK5i2e2Xoli74RtWnkqQ/xDFZ1o&#10;DZI+Q12JINjBtX9Ada105KkOZ5K6jOq6lSr1gG7ms1fdbBthVeoF5Hj7TJP/f7Dy9njvWFuVPJ9z&#10;ZkQHjR7UENhnGhhc4Ke3vkDY1iIwDPBD58nv4YxtD7XrmCPQOz+HLPglNtAfQziIf3omO4JLOPP8&#10;0/Ij4pjE3SJfLD8kNbIRLIJa58MXRR2LRskdxEyo4njjAwpD6BQSwz3ptrputU4fcYDUpXbsKCD9&#10;bp9KxovforRhfcnPF0gdHxmKz0dkbZAgtj62GK0w7IZE1fz91P+OqifQkjpHK97K6xbF3ggf7oXD&#10;JMGJ7Qh3OGpNSEYni7OG3I+/+WM8BMYtZz0ms+T++0E4xZn+aiA9IMNkuMnYTYY5dJeEjqEmqkkm&#10;HrigJ7N21D1iaTYxC66EkchV8jCZl2HcDyydVJtNCsKwWhFuzNbKCD2p8zA8CmdP+gQoe0vTzIri&#10;lUxj7Ejz5hCobpOGkdiRxRPfGPQk7Wkp4yb9+p2iXv461j8BAAD//wMAUEsDBBQABgAIAAAAIQBW&#10;oxNp3wAAAA0BAAAPAAAAZHJzL2Rvd25yZXYueG1sTI/NTsMwEITvSLyDtUjcqBOn4SfEqRASnDjQ&#10;ghBHN16SiHgd2U4b3p7tCW47u6PZb+rN4kZxwBAHTxryVQYCqfV2oE7D+9vT1S2ImAxZM3pCDT8Y&#10;YdOcn9Wmsv5IWzzsUic4hGJlNPQpTZWUse3RmbjyExLfvnxwJrEMnbTBHDncjVJl2bV0ZiD+0JsJ&#10;H3tsv3ez0/D53HXBr1uXXqaZcpurj/CqtL68WB7uQSRc0p8ZTviMDg0z7f1MNoqRtbrJS/bydKcK&#10;ECdLoRSv9hrKcl2AbGr5v0XzCwAA//8DAFBLAQItABQABgAIAAAAIQC2gziS/gAAAOEBAAATAAAA&#10;AAAAAAAAAAAAAAAAAABbQ29udGVudF9UeXBlc10ueG1sUEsBAi0AFAAGAAgAAAAhADj9If/WAAAA&#10;lAEAAAsAAAAAAAAAAAAAAAAALwEAAF9yZWxzLy5yZWxzUEsBAi0AFAAGAAgAAAAhAL8ZqmJEAgAA&#10;ggQAAA4AAAAAAAAAAAAAAAAALgIAAGRycy9lMm9Eb2MueG1sUEsBAi0AFAAGAAgAAAAhAFajE2nf&#10;AAAADQEAAA8AAAAAAAAAAAAAAAAAngQAAGRycy9kb3ducmV2LnhtbFBLBQYAAAAABAAEAPMAAACq&#10;BQAAAAA=&#10;" fillcolor="white [3212]" stroked="f" strokeweight=".5pt">
                <v:textbox inset="0,0,0,0">
                  <w:txbxContent>
                    <w:p w14:paraId="584B7978" w14:textId="2C749560" w:rsidR="0086141E" w:rsidRPr="0086141E" w:rsidRDefault="0086141E" w:rsidP="0086141E">
                      <w:pPr>
                        <w:tabs>
                          <w:tab w:val="clear" w:pos="567"/>
                          <w:tab w:val="left" w:pos="0"/>
                        </w:tabs>
                        <w:jc w:val="center"/>
                        <w:rPr>
                          <w:b/>
                          <w:bCs/>
                          <w:sz w:val="20"/>
                          <w:lang w:val="es-ES"/>
                        </w:rPr>
                      </w:pPr>
                      <w:r>
                        <w:rPr>
                          <w:b/>
                          <w:bCs/>
                          <w:sz w:val="20"/>
                          <w:lang w:val="es-ES"/>
                        </w:rPr>
                        <w:t>Supervisión y revisión</w:t>
                      </w:r>
                    </w:p>
                  </w:txbxContent>
                </v:textbox>
              </v:shape>
            </w:pict>
          </mc:Fallback>
        </mc:AlternateContent>
      </w:r>
      <w:r w:rsidR="0086141E" w:rsidRPr="002C4A18">
        <w:rPr>
          <w:noProof/>
          <w:lang w:val="en-US"/>
        </w:rPr>
        <mc:AlternateContent>
          <mc:Choice Requires="wps">
            <w:drawing>
              <wp:anchor distT="0" distB="0" distL="114300" distR="114300" simplePos="0" relativeHeight="251673600" behindDoc="0" locked="0" layoutInCell="1" allowOverlap="1" wp14:anchorId="50B09407" wp14:editId="1B6C1123">
                <wp:simplePos x="0" y="0"/>
                <wp:positionH relativeFrom="column">
                  <wp:posOffset>6193790</wp:posOffset>
                </wp:positionH>
                <wp:positionV relativeFrom="paragraph">
                  <wp:posOffset>167005</wp:posOffset>
                </wp:positionV>
                <wp:extent cx="1816100" cy="3302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816100" cy="330200"/>
                        </a:xfrm>
                        <a:prstGeom prst="rect">
                          <a:avLst/>
                        </a:prstGeom>
                        <a:solidFill>
                          <a:schemeClr val="lt1"/>
                        </a:solidFill>
                        <a:ln w="6350">
                          <a:noFill/>
                        </a:ln>
                      </wps:spPr>
                      <wps:txbx>
                        <w:txbxContent>
                          <w:p w14:paraId="58036F1E" w14:textId="782DD5FE" w:rsidR="004E05B8" w:rsidRPr="0086141E" w:rsidRDefault="0086141E" w:rsidP="004E05B8">
                            <w:pPr>
                              <w:jc w:val="center"/>
                              <w:rPr>
                                <w:lang w:val="en-US"/>
                              </w:rPr>
                            </w:pPr>
                            <w:r>
                              <w:rPr>
                                <w:b/>
                                <w:bCs/>
                                <w:szCs w:val="24"/>
                              </w:rPr>
                              <w:t>Proceso</w:t>
                            </w:r>
                          </w:p>
                          <w:p w14:paraId="02FDCA23" w14:textId="48ECB0AA" w:rsidR="0086141E" w:rsidRPr="0086141E" w:rsidRDefault="0086141E" w:rsidP="0086141E">
                            <w:pPr>
                              <w:ind w:left="567" w:hanging="567"/>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9407" id="Text Box 22" o:spid="_x0000_s1041" type="#_x0000_t202" style="position:absolute;left:0;text-align:left;margin-left:487.7pt;margin-top:13.15pt;width:143pt;height: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o+NOgIAAHMEAAAOAAAAZHJzL2Uyb0RvYy54bWysVMGO2jAQvVfqP1i+lySgRauIsKKsqCqh&#10;3ZWg2rNxbBLJ9ri2IaFf37FD2HbbU9WLmcyMn+e9mWHx0GtFzsL5FkxFi0lOiTAc6tYcK/ptv/l0&#10;T4kPzNRMgREVvQhPH5YfPyw6W4opNKBq4QiCGF92tqJNCLbMMs8boZmfgBUGgxKcZgE/3TGrHesQ&#10;XatsmufzrANXWwdceI/exyFIlwlfSsHDs5ReBKIqirWFdLp0HuKZLResPDpmm5Zfy2D/UIVmrcFH&#10;b1CPLDBycu0fULrlDjzIMOGgM5Cy5SJxQDZF/o7NrmFWJC4ojrc3mfz/g+VP5xdH2rqi0yklhmns&#10;0V70gXyGnqAL9emsLzFtZzEx9OjHPo9+j85Iu5dOx18kRDCOSl9u6kY0Hi/dF/MixxDH2GyWY/si&#10;TPZ22zofvgjQJBoVddi9JCo7b30YUseU+JgH1dabVqn0ESdGrJUjZ4a9ViHViOC/ZSlDuorOZ3d5&#10;AjYQrw/IymAtkevAKVqhP/RJm+JuJHyA+oI6OBgmyVu+abHYLfPhhTkcHeSH6xCe8ZAK8DG4WpQ0&#10;4H78zR/zsaMYpaTDUayo/35iTlCivhrsdZzb0XCjcRgNc9JrQMYFLprlycQLLqjRlA70K27JKr6C&#10;IWY4vlXRMJrrMCwEbhkXq1VKwum0LGzNzvIIHRWO0u/7V+bstT8BO/sE45Cy8l2bhtx408DqFEC2&#10;qYdR2EHFq9442WkKrlsYV+fX75T19l+x/AkAAP//AwBQSwMEFAAGAAgAAAAhAJdCZRXiAAAACgEA&#10;AA8AAABkcnMvZG93bnJldi54bWxMj8FOwzAMhu9IvENkJC6IpetGW0rTCZA4IA0hBto5a0xTljil&#10;ybaOpyc7wdH2p9/fXy1Ga9geB985EjCdJMCQGqc6agV8vD9dF8B8kKSkcYQCjuhhUZ+fVbJU7kBv&#10;uF+FlsUQ8qUUoEPoS859o9FKP3E9Urx9usHKEMeh5WqQhxhuDU+TJONWdhQ/aNnjo8Zmu9pZAcVx&#10;/nK1zvL1l3l9ftA/7Tctt1KIy4vx/g5YwDH8wXDSj+pQR6eN25HyzAi4zW/mERWQZjNgJyDNpnGz&#10;EZAXM+B1xf9XqH8BAAD//wMAUEsBAi0AFAAGAAgAAAAhALaDOJL+AAAA4QEAABMAAAAAAAAAAAAA&#10;AAAAAAAAAFtDb250ZW50X1R5cGVzXS54bWxQSwECLQAUAAYACAAAACEAOP0h/9YAAACUAQAACwAA&#10;AAAAAAAAAAAAAAAvAQAAX3JlbHMvLnJlbHNQSwECLQAUAAYACAAAACEAA9KPjToCAABzBAAADgAA&#10;AAAAAAAAAAAAAAAuAgAAZHJzL2Uyb0RvYy54bWxQSwECLQAUAAYACAAAACEAl0JlFeIAAAAKAQAA&#10;DwAAAAAAAAAAAAAAAACUBAAAZHJzL2Rvd25yZXYueG1sUEsFBgAAAAAEAAQA8wAAAKMFAAAAAA==&#10;" fillcolor="white [3201]" stroked="f" strokeweight=".5pt">
                <v:textbox inset="0,0,0,0">
                  <w:txbxContent>
                    <w:p w14:paraId="58036F1E" w14:textId="782DD5FE" w:rsidR="004E05B8" w:rsidRPr="0086141E" w:rsidRDefault="0086141E" w:rsidP="004E05B8">
                      <w:pPr>
                        <w:jc w:val="center"/>
                        <w:rPr>
                          <w:lang w:val="en-US"/>
                        </w:rPr>
                      </w:pPr>
                      <w:r>
                        <w:rPr>
                          <w:b/>
                          <w:bCs/>
                          <w:szCs w:val="24"/>
                        </w:rPr>
                        <w:t>Proceso</w:t>
                      </w:r>
                    </w:p>
                    <w:p w14:paraId="02FDCA23" w14:textId="48ECB0AA" w:rsidR="0086141E" w:rsidRPr="0086141E" w:rsidRDefault="0086141E" w:rsidP="0086141E">
                      <w:pPr>
                        <w:ind w:left="567" w:hanging="567"/>
                        <w:rPr>
                          <w:lang w:val="en-US"/>
                        </w:rPr>
                      </w:pPr>
                    </w:p>
                  </w:txbxContent>
                </v:textbox>
              </v:shape>
            </w:pict>
          </mc:Fallback>
        </mc:AlternateContent>
      </w:r>
      <w:r w:rsidR="00E22741" w:rsidRPr="002C4A18">
        <w:rPr>
          <w:noProof/>
          <w:lang w:val="en-US"/>
        </w:rPr>
        <mc:AlternateContent>
          <mc:Choice Requires="wps">
            <w:drawing>
              <wp:anchor distT="0" distB="0" distL="114300" distR="114300" simplePos="0" relativeHeight="251661312" behindDoc="0" locked="0" layoutInCell="1" allowOverlap="1" wp14:anchorId="64270AAD" wp14:editId="29A2FD87">
                <wp:simplePos x="0" y="0"/>
                <wp:positionH relativeFrom="column">
                  <wp:posOffset>3063240</wp:posOffset>
                </wp:positionH>
                <wp:positionV relativeFrom="paragraph">
                  <wp:posOffset>167640</wp:posOffset>
                </wp:positionV>
                <wp:extent cx="1816100" cy="330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16100" cy="330200"/>
                        </a:xfrm>
                        <a:prstGeom prst="rect">
                          <a:avLst/>
                        </a:prstGeom>
                        <a:solidFill>
                          <a:schemeClr val="lt1"/>
                        </a:solidFill>
                        <a:ln w="6350">
                          <a:noFill/>
                        </a:ln>
                      </wps:spPr>
                      <wps:txbx>
                        <w:txbxContent>
                          <w:p w14:paraId="4601FB02" w14:textId="20BD43BC" w:rsidR="004E05B8" w:rsidRPr="00E22741" w:rsidRDefault="00E22741" w:rsidP="004E05B8">
                            <w:pPr>
                              <w:jc w:val="center"/>
                              <w:rPr>
                                <w:lang w:val="en-US"/>
                              </w:rPr>
                            </w:pPr>
                            <w:r>
                              <w:rPr>
                                <w:b/>
                                <w:bCs/>
                                <w:szCs w:val="24"/>
                              </w:rPr>
                              <w:t>Marco</w:t>
                            </w:r>
                          </w:p>
                          <w:p w14:paraId="13D23FB7" w14:textId="0CF77AAD" w:rsidR="00E22741" w:rsidRPr="00E22741" w:rsidRDefault="00E22741" w:rsidP="00E22741">
                            <w:pPr>
                              <w:ind w:left="567" w:hanging="567"/>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70AAD" id="Text Box 4" o:spid="_x0000_s1042" type="#_x0000_t202" style="position:absolute;left:0;text-align:left;margin-left:241.2pt;margin-top:13.2pt;width:143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O9gOQIAAHEEAAAOAAAAZHJzL2Uyb0RvYy54bWysVFFv2yAQfp+0/4B4X2w3XVRZcaosVaZJ&#10;UVspmfpMMMRImGNAYme/fgeO067b07QXfHDHx33f3Xl+37eanITzCkxFi0lOiTAcamUOFf2+W3+6&#10;o8QHZmqmwYiKnoWn94uPH+adLcUNNKBr4QiCGF92tqJNCLbMMs8b0TI/ASsMOiW4lgXcukNWO9Yh&#10;equzmzyfZR242jrgwns8fRicdJHwpRQ8PEnpRSC6ophbSKtL6z6u2WLOyoNjtlH8kgb7hyxapgw+&#10;eoV6YIGRo1N/QLWKO/Agw4RDm4GUiovEAdkU+Ts224ZZkbigON5eZfL/D5Y/np4dUXVFbykxrMUS&#10;7UQfyBfoyW1Up7O+xKCtxbDQ4zFWeTz3eBhJ99K18Yt0CPpR5/NV2wjG46W7Ylbk6OLom05zLF6E&#10;yV5vW+fDVwEtiUZFHdYuScpOGx+G0DEkPuZBq3qttE6b2C9ipR05May0DilHBP8tShvSVXQ2/Zwn&#10;YAPx+oCsDeYSuQ6cohX6fZ+UKWYj4T3UZ9TBwdBH3vK1wmQ3zIdn5rBxkB8OQ3jCRWrAx+BiUdKA&#10;+/m38xiP9UQvJR02YkX9jyNzghL9zWClY9eOhhuN/WiYY7sCZFzgmFmeTLzggh5N6aB9wRlZxlfQ&#10;xQzHtyoaRnMVhnHAGeNiuUxB2JuWhY3ZWh6ho8JR+l3/wpy91CdgZR9hbFFWvivTEBtvGlgeA0iV&#10;ahiFHVS86I19nbrgMoNxcN7uU9Trn2LxCwAA//8DAFBLAwQUAAYACAAAACEASKgyRd8AAAAJAQAA&#10;DwAAAGRycy9kb3ducmV2LnhtbEyPQUvDQBCF74L/YRnBi7QbQ0hDmk1RwYOgSKv0vM2OSezubMxu&#10;29Rf73jS03vDPN58U60mZ8URx9B7UnA7T0AgNd701Cp4f3ucFSBC1GS09YQKzhhgVV9eVLo0/kRr&#10;PG5iK7iEQqkVdDEOpZSh6dDpMPcDEu8+/Oh05HFspRn1icudlWmS5NLpnvhCpwd86LDZbw5OQXHO&#10;Xm62+WL7aV+f7rvv9oue91qp66vpbgki4hT/wvCLz+hQM9POH8gEYRVkRZpxVEGas3JgkRdsdmxY&#10;ZV3J/x/UPwAAAP//AwBQSwECLQAUAAYACAAAACEAtoM4kv4AAADhAQAAEwAAAAAAAAAAAAAAAAAA&#10;AAAAW0NvbnRlbnRfVHlwZXNdLnhtbFBLAQItABQABgAIAAAAIQA4/SH/1gAAAJQBAAALAAAAAAAA&#10;AAAAAAAAAC8BAABfcmVscy8ucmVsc1BLAQItABQABgAIAAAAIQA6lO9gOQIAAHEEAAAOAAAAAAAA&#10;AAAAAAAAAC4CAABkcnMvZTJvRG9jLnhtbFBLAQItABQABgAIAAAAIQBIqDJF3wAAAAkBAAAPAAAA&#10;AAAAAAAAAAAAAJMEAABkcnMvZG93bnJldi54bWxQSwUGAAAAAAQABADzAAAAnwUAAAAA&#10;" fillcolor="white [3201]" stroked="f" strokeweight=".5pt">
                <v:textbox inset="0,0,0,0">
                  <w:txbxContent>
                    <w:p w14:paraId="4601FB02" w14:textId="20BD43BC" w:rsidR="004E05B8" w:rsidRPr="00E22741" w:rsidRDefault="00E22741" w:rsidP="004E05B8">
                      <w:pPr>
                        <w:jc w:val="center"/>
                        <w:rPr>
                          <w:lang w:val="en-US"/>
                        </w:rPr>
                      </w:pPr>
                      <w:r>
                        <w:rPr>
                          <w:b/>
                          <w:bCs/>
                          <w:szCs w:val="24"/>
                        </w:rPr>
                        <w:t>Marco</w:t>
                      </w:r>
                    </w:p>
                    <w:p w14:paraId="13D23FB7" w14:textId="0CF77AAD" w:rsidR="00E22741" w:rsidRPr="00E22741" w:rsidRDefault="00E22741" w:rsidP="00E22741">
                      <w:pPr>
                        <w:ind w:left="567" w:hanging="567"/>
                        <w:rPr>
                          <w:lang w:val="en-US"/>
                        </w:rPr>
                      </w:pPr>
                    </w:p>
                  </w:txbxContent>
                </v:textbox>
              </v:shape>
            </w:pict>
          </mc:Fallback>
        </mc:AlternateContent>
      </w:r>
      <w:r w:rsidR="00D72461" w:rsidRPr="00DC442D">
        <w:rPr>
          <w:rFonts w:asciiTheme="minorHAnsi" w:hAnsiTheme="minorHAnsi" w:cstheme="minorHAnsi"/>
          <w:noProof/>
          <w:color w:val="000000"/>
          <w:szCs w:val="22"/>
          <w:lang w:val="en-US"/>
        </w:rPr>
        <w:drawing>
          <wp:inline distT="0" distB="0" distL="0" distR="0" wp14:anchorId="0C348A75" wp14:editId="56B06D57">
            <wp:extent cx="8289925" cy="430103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29815" name="Picture 2"/>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8311527" cy="4312239"/>
                    </a:xfrm>
                    <a:prstGeom prst="rect">
                      <a:avLst/>
                    </a:prstGeom>
                    <a:noFill/>
                  </pic:spPr>
                </pic:pic>
              </a:graphicData>
            </a:graphic>
          </wp:inline>
        </w:drawing>
      </w:r>
    </w:p>
    <w:p w14:paraId="1287DD4A" w14:textId="7A46B558" w:rsidR="006832A3" w:rsidRPr="00DC442D" w:rsidRDefault="00D72461" w:rsidP="0086141E">
      <w:pPr>
        <w:pStyle w:val="Figuretitle"/>
        <w:rPr>
          <w:lang w:eastAsia="zh-CN"/>
        </w:rPr>
      </w:pPr>
      <w:bookmarkStart w:id="182" w:name="lt_pId250"/>
      <w:r w:rsidRPr="00DC442D">
        <w:rPr>
          <w:lang w:eastAsia="zh-CN"/>
        </w:rPr>
        <w:t>Figur</w:t>
      </w:r>
      <w:r w:rsidR="006832A3" w:rsidRPr="00DC442D">
        <w:rPr>
          <w:lang w:eastAsia="zh-CN"/>
        </w:rPr>
        <w:t>a</w:t>
      </w:r>
      <w:r w:rsidRPr="00DC442D">
        <w:rPr>
          <w:lang w:eastAsia="zh-CN"/>
        </w:rPr>
        <w:t xml:space="preserve"> A. Rela</w:t>
      </w:r>
      <w:r w:rsidR="006832A3" w:rsidRPr="00DC442D">
        <w:rPr>
          <w:lang w:eastAsia="zh-CN"/>
        </w:rPr>
        <w:t>ciones entre los principios, el marco y el proceso de riesgos</w:t>
      </w:r>
      <w:r w:rsidRPr="00DC442D">
        <w:rPr>
          <w:lang w:eastAsia="zh-CN"/>
        </w:rPr>
        <w:t>.</w:t>
      </w:r>
      <w:bookmarkEnd w:id="182"/>
      <w:r w:rsidR="00E22741" w:rsidRPr="007F5476">
        <w:rPr>
          <w:noProof/>
          <w:lang w:val="es-ES"/>
        </w:rPr>
        <w:t xml:space="preserve"> </w:t>
      </w:r>
    </w:p>
    <w:p w14:paraId="603FB7A7" w14:textId="4EC273A7" w:rsidR="00D72461" w:rsidRPr="00DC442D" w:rsidRDefault="00D72461" w:rsidP="00F75511">
      <w:r w:rsidRPr="00DC442D">
        <w:br w:type="page"/>
      </w:r>
    </w:p>
    <w:p w14:paraId="077570B7" w14:textId="341081E7" w:rsidR="00D72461" w:rsidRPr="00DC442D" w:rsidRDefault="00D72461" w:rsidP="007F5476">
      <w:pPr>
        <w:pStyle w:val="AnnexNo"/>
        <w:spacing w:before="120"/>
        <w:rPr>
          <w:lang w:eastAsia="zh-CN"/>
        </w:rPr>
      </w:pPr>
      <w:bookmarkStart w:id="183" w:name="AnnexB"/>
      <w:bookmarkStart w:id="184" w:name="lt_pId251"/>
      <w:bookmarkEnd w:id="183"/>
      <w:r w:rsidRPr="00DC442D">
        <w:rPr>
          <w:lang w:eastAsia="zh-CN"/>
        </w:rPr>
        <w:lastRenderedPageBreak/>
        <w:t>Anexo B</w:t>
      </w:r>
      <w:bookmarkEnd w:id="184"/>
    </w:p>
    <w:p w14:paraId="3F71D74D" w14:textId="0D308363" w:rsidR="00D72461" w:rsidRPr="00DC442D" w:rsidRDefault="00D72461" w:rsidP="00A3292B">
      <w:pPr>
        <w:pStyle w:val="Figuretitle"/>
        <w:spacing w:after="240"/>
        <w:rPr>
          <w:lang w:eastAsia="zh-CN"/>
        </w:rPr>
      </w:pPr>
      <w:bookmarkStart w:id="185" w:name="lt_pId252"/>
      <w:r w:rsidRPr="00DC442D">
        <w:rPr>
          <w:lang w:eastAsia="zh-CN"/>
        </w:rPr>
        <w:t>Figur</w:t>
      </w:r>
      <w:r w:rsidR="00DD2A77" w:rsidRPr="00DC442D">
        <w:rPr>
          <w:lang w:eastAsia="zh-CN"/>
        </w:rPr>
        <w:t>a</w:t>
      </w:r>
      <w:r w:rsidRPr="00DC442D">
        <w:rPr>
          <w:lang w:eastAsia="zh-CN"/>
        </w:rPr>
        <w:t xml:space="preserve"> B </w:t>
      </w:r>
      <w:r w:rsidR="00DD2A77" w:rsidRPr="00DC442D">
        <w:rPr>
          <w:lang w:eastAsia="zh-CN"/>
        </w:rPr>
        <w:t>–</w:t>
      </w:r>
      <w:r w:rsidRPr="00DC442D">
        <w:rPr>
          <w:lang w:eastAsia="zh-CN"/>
        </w:rPr>
        <w:t xml:space="preserve"> </w:t>
      </w:r>
      <w:r w:rsidR="00DD2A77" w:rsidRPr="00DC442D">
        <w:rPr>
          <w:lang w:eastAsia="zh-CN"/>
        </w:rPr>
        <w:t>Flujo de caja en</w:t>
      </w:r>
      <w:r w:rsidRPr="00DC442D">
        <w:rPr>
          <w:lang w:eastAsia="zh-CN"/>
        </w:rPr>
        <w:t xml:space="preserve"> CHF (</w:t>
      </w:r>
      <w:r w:rsidR="00DD2A77" w:rsidRPr="00DC442D">
        <w:rPr>
          <w:lang w:eastAsia="zh-CN"/>
        </w:rPr>
        <w:t>marzo de</w:t>
      </w:r>
      <w:r w:rsidRPr="00DC442D">
        <w:rPr>
          <w:lang w:eastAsia="zh-CN"/>
        </w:rPr>
        <w:t xml:space="preserve"> 2020)</w:t>
      </w:r>
      <w:bookmarkEnd w:id="185"/>
    </w:p>
    <w:p w14:paraId="0D5D6F01" w14:textId="617A1B75" w:rsidR="00D72461" w:rsidRPr="00DC442D" w:rsidRDefault="00BF2CD1" w:rsidP="00F75511">
      <w:pPr>
        <w:spacing w:before="240" w:after="120"/>
        <w:rPr>
          <w:rFonts w:asciiTheme="minorHAnsi" w:hAnsiTheme="minorHAnsi" w:cstheme="minorHAnsi"/>
          <w:b/>
          <w:bCs/>
          <w:color w:val="000000"/>
          <w:szCs w:val="24"/>
          <w:lang w:eastAsia="zh-CN"/>
        </w:rPr>
      </w:pPr>
      <w:r w:rsidRPr="00BF2CD1">
        <w:rPr>
          <w:rFonts w:asciiTheme="minorHAnsi" w:hAnsiTheme="minorHAnsi" w:cstheme="minorHAnsi"/>
          <w:b/>
          <w:bCs/>
          <w:noProof/>
          <w:color w:val="000000"/>
          <w:szCs w:val="24"/>
          <w:lang w:val="en-US"/>
        </w:rPr>
        <w:drawing>
          <wp:inline distT="0" distB="0" distL="0" distR="0" wp14:anchorId="2E990C8C" wp14:editId="241E1C7F">
            <wp:extent cx="8888730" cy="1773285"/>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888730" cy="1773285"/>
                    </a:xfrm>
                    <a:prstGeom prst="rect">
                      <a:avLst/>
                    </a:prstGeom>
                    <a:noFill/>
                    <a:ln>
                      <a:noFill/>
                    </a:ln>
                  </pic:spPr>
                </pic:pic>
              </a:graphicData>
            </a:graphic>
          </wp:inline>
        </w:drawing>
      </w:r>
    </w:p>
    <w:p w14:paraId="54783E85" w14:textId="665F0069" w:rsidR="00D72461" w:rsidRPr="00DC442D" w:rsidRDefault="00D72461" w:rsidP="005A4E08">
      <w:pPr>
        <w:pStyle w:val="Figuretitle"/>
        <w:spacing w:after="240"/>
        <w:rPr>
          <w:lang w:eastAsia="zh-CN"/>
        </w:rPr>
      </w:pPr>
      <w:bookmarkStart w:id="186" w:name="lt_pId253"/>
      <w:r w:rsidRPr="00DC442D">
        <w:rPr>
          <w:lang w:eastAsia="zh-CN"/>
        </w:rPr>
        <w:t>Figur</w:t>
      </w:r>
      <w:r w:rsidR="00DD2A77" w:rsidRPr="00DC442D">
        <w:rPr>
          <w:lang w:eastAsia="zh-CN"/>
        </w:rPr>
        <w:t>a</w:t>
      </w:r>
      <w:r w:rsidRPr="00DC442D">
        <w:rPr>
          <w:lang w:eastAsia="zh-CN"/>
        </w:rPr>
        <w:t xml:space="preserve"> C </w:t>
      </w:r>
      <w:r w:rsidR="00DD2A77" w:rsidRPr="00DC442D">
        <w:rPr>
          <w:lang w:eastAsia="zh-CN"/>
        </w:rPr>
        <w:t>–</w:t>
      </w:r>
      <w:r w:rsidRPr="00DC442D">
        <w:rPr>
          <w:lang w:eastAsia="zh-CN"/>
        </w:rPr>
        <w:t xml:space="preserve"> </w:t>
      </w:r>
      <w:r w:rsidR="00DD2A77" w:rsidRPr="00DC442D">
        <w:rPr>
          <w:lang w:eastAsia="zh-CN"/>
        </w:rPr>
        <w:t>Planificación financiera del primer préstamo (marzo de</w:t>
      </w:r>
      <w:r w:rsidRPr="00DC442D">
        <w:rPr>
          <w:lang w:eastAsia="zh-CN"/>
        </w:rPr>
        <w:t xml:space="preserve"> 2020)</w:t>
      </w:r>
      <w:bookmarkEnd w:id="186"/>
    </w:p>
    <w:p w14:paraId="692B31A1" w14:textId="2F277E79" w:rsidR="00983488" w:rsidRDefault="005A4E08" w:rsidP="00A3292B">
      <w:pPr>
        <w:spacing w:before="240" w:after="120"/>
        <w:jc w:val="both"/>
      </w:pPr>
      <w:bookmarkStart w:id="187" w:name="AnnexC"/>
      <w:bookmarkStart w:id="188" w:name="lt_pId254"/>
      <w:bookmarkEnd w:id="187"/>
      <w:r w:rsidRPr="005A4E08">
        <w:rPr>
          <w:noProof/>
          <w:lang w:val="en-US"/>
        </w:rPr>
        <w:drawing>
          <wp:inline distT="0" distB="0" distL="0" distR="0" wp14:anchorId="4C69B7CE" wp14:editId="43D55EB6">
            <wp:extent cx="8884265" cy="29802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913606" cy="2990109"/>
                    </a:xfrm>
                    <a:prstGeom prst="rect">
                      <a:avLst/>
                    </a:prstGeom>
                    <a:noFill/>
                    <a:ln>
                      <a:noFill/>
                    </a:ln>
                  </pic:spPr>
                </pic:pic>
              </a:graphicData>
            </a:graphic>
          </wp:inline>
        </w:drawing>
      </w:r>
    </w:p>
    <w:p w14:paraId="319D1AE1" w14:textId="777887B5" w:rsidR="00D72461" w:rsidRPr="00DC442D" w:rsidRDefault="00D72461" w:rsidP="007F5476">
      <w:pPr>
        <w:pStyle w:val="AnnexNo"/>
        <w:spacing w:before="120"/>
      </w:pPr>
      <w:r w:rsidRPr="00DC442D">
        <w:lastRenderedPageBreak/>
        <w:t>Anexo C</w:t>
      </w:r>
      <w:bookmarkEnd w:id="188"/>
    </w:p>
    <w:p w14:paraId="2CE55531" w14:textId="3262E42A" w:rsidR="009137DC" w:rsidRPr="009137DC" w:rsidRDefault="00983488" w:rsidP="009137DC">
      <w:pPr>
        <w:jc w:val="center"/>
        <w:rPr>
          <w:rFonts w:asciiTheme="minorHAnsi" w:hAnsiTheme="minorHAnsi" w:cstheme="minorHAnsi"/>
          <w:b/>
          <w:bCs/>
          <w:color w:val="000000" w:themeColor="text1"/>
          <w:szCs w:val="24"/>
        </w:rPr>
      </w:pPr>
      <w:r w:rsidRPr="00983488">
        <w:rPr>
          <w:rFonts w:asciiTheme="minorHAnsi" w:hAnsiTheme="minorHAnsi" w:cstheme="minorHAnsi"/>
          <w:b/>
          <w:bCs/>
          <w:noProof/>
          <w:color w:val="000000" w:themeColor="text1"/>
          <w:szCs w:val="24"/>
          <w:lang w:val="en-US"/>
        </w:rPr>
        <w:drawing>
          <wp:inline distT="0" distB="0" distL="0" distR="0" wp14:anchorId="4ED9E63F" wp14:editId="34F266D2">
            <wp:extent cx="8675915" cy="5664200"/>
            <wp:effectExtent l="0" t="0" r="11430" b="12700"/>
            <wp:docPr id="35" name="Chart 35">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bookmarkStart w:id="189" w:name="AnnexD"/>
      <w:bookmarkStart w:id="190" w:name="lt_pId255"/>
      <w:bookmarkEnd w:id="189"/>
    </w:p>
    <w:p w14:paraId="3B21F64F" w14:textId="7B55FD5A" w:rsidR="00D72461" w:rsidRPr="00DC442D" w:rsidRDefault="00D72461" w:rsidP="007F5476">
      <w:pPr>
        <w:pStyle w:val="AnnexNo"/>
        <w:spacing w:before="120"/>
        <w:rPr>
          <w:lang w:eastAsia="zh-CN"/>
        </w:rPr>
      </w:pPr>
      <w:r w:rsidRPr="00DC442D">
        <w:rPr>
          <w:lang w:eastAsia="zh-CN"/>
        </w:rPr>
        <w:lastRenderedPageBreak/>
        <w:t>Anexo D</w:t>
      </w:r>
      <w:bookmarkEnd w:id="190"/>
    </w:p>
    <w:p w14:paraId="20F30A0B" w14:textId="066A6A8A" w:rsidR="00D72461" w:rsidRPr="00DC442D" w:rsidRDefault="00DF2C1C" w:rsidP="00F75511">
      <w:pPr>
        <w:pStyle w:val="Annextitle"/>
        <w:rPr>
          <w:lang w:eastAsia="zh-CN"/>
        </w:rPr>
      </w:pPr>
      <w:bookmarkStart w:id="191" w:name="lt_pId256"/>
      <w:r w:rsidRPr="00DC442D">
        <w:rPr>
          <w:lang w:eastAsia="zh-CN"/>
        </w:rPr>
        <w:t>Cuadro de los costes indirectos previstos para</w:t>
      </w:r>
      <w:r w:rsidR="00D72461" w:rsidRPr="00DC442D">
        <w:rPr>
          <w:lang w:eastAsia="zh-CN"/>
        </w:rPr>
        <w:t xml:space="preserve"> 2020</w:t>
      </w:r>
      <w:bookmarkEnd w:id="191"/>
    </w:p>
    <w:p w14:paraId="58DC07C9" w14:textId="226F8274" w:rsidR="00D72461" w:rsidRPr="007F5476" w:rsidRDefault="005C701B" w:rsidP="007F5476">
      <w:pPr>
        <w:spacing w:before="240" w:after="120"/>
        <w:jc w:val="center"/>
        <w:rPr>
          <w:rFonts w:asciiTheme="minorHAnsi" w:hAnsiTheme="minorHAnsi" w:cstheme="minorHAnsi"/>
          <w:b/>
          <w:bCs/>
          <w:color w:val="000000" w:themeColor="text1"/>
          <w:sz w:val="28"/>
          <w:szCs w:val="28"/>
          <w:lang w:eastAsia="ja-JP"/>
        </w:rPr>
      </w:pPr>
      <w:r w:rsidRPr="005C701B">
        <w:rPr>
          <w:rFonts w:asciiTheme="minorHAnsi" w:hAnsiTheme="minorHAnsi" w:cstheme="minorHAnsi"/>
          <w:b/>
          <w:bCs/>
          <w:noProof/>
          <w:color w:val="000000" w:themeColor="text1"/>
          <w:sz w:val="28"/>
          <w:szCs w:val="28"/>
          <w:lang w:val="en-US"/>
        </w:rPr>
        <w:drawing>
          <wp:inline distT="0" distB="0" distL="0" distR="0" wp14:anchorId="2402ED58" wp14:editId="03F26445">
            <wp:extent cx="8888730" cy="4543710"/>
            <wp:effectExtent l="0" t="0" r="762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888730" cy="4543710"/>
                    </a:xfrm>
                    <a:prstGeom prst="rect">
                      <a:avLst/>
                    </a:prstGeom>
                    <a:noFill/>
                    <a:ln>
                      <a:noFill/>
                    </a:ln>
                  </pic:spPr>
                </pic:pic>
              </a:graphicData>
            </a:graphic>
          </wp:inline>
        </w:drawing>
      </w:r>
    </w:p>
    <w:p w14:paraId="0C238822" w14:textId="77777777" w:rsidR="00D72461" w:rsidRPr="00DC442D" w:rsidRDefault="00D72461" w:rsidP="00F75511">
      <w:pPr>
        <w:jc w:val="center"/>
      </w:pPr>
      <w:r w:rsidRPr="00DC442D">
        <w:t>______________</w:t>
      </w:r>
    </w:p>
    <w:sectPr w:rsidR="00D72461" w:rsidRPr="00DC442D" w:rsidSect="00D72461">
      <w:footerReference w:type="default" r:id="rId42"/>
      <w:headerReference w:type="first" r:id="rId43"/>
      <w:footerReference w:type="first" r:id="rId44"/>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4BE17" w14:textId="77777777" w:rsidR="00AC25D9" w:rsidRDefault="00AC25D9">
      <w:r>
        <w:separator/>
      </w:r>
    </w:p>
  </w:endnote>
  <w:endnote w:type="continuationSeparator" w:id="0">
    <w:p w14:paraId="7D6837F3" w14:textId="77777777" w:rsidR="00AC25D9" w:rsidRDefault="00AC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12ABB" w14:textId="789B1C4A" w:rsidR="00AC25D9" w:rsidRPr="00383C92" w:rsidRDefault="00F75511" w:rsidP="00F75511">
    <w:pPr>
      <w:pStyle w:val="Footer"/>
      <w:rPr>
        <w:color w:val="D9D9D9" w:themeColor="background1" w:themeShade="D9"/>
        <w:lang w:val="fr-CH"/>
      </w:rPr>
    </w:pPr>
    <w:r w:rsidRPr="00383C92">
      <w:rPr>
        <w:color w:val="D9D9D9" w:themeColor="background1" w:themeShade="D9"/>
      </w:rPr>
      <w:fldChar w:fldCharType="begin"/>
    </w:r>
    <w:r w:rsidRPr="00383C92">
      <w:rPr>
        <w:color w:val="D9D9D9" w:themeColor="background1" w:themeShade="D9"/>
        <w:lang w:val="fr-CH"/>
      </w:rPr>
      <w:instrText xml:space="preserve"> FILENAME \p  \* MERGEFORMAT </w:instrText>
    </w:r>
    <w:r w:rsidRPr="00383C92">
      <w:rPr>
        <w:color w:val="D9D9D9" w:themeColor="background1" w:themeShade="D9"/>
      </w:rPr>
      <w:fldChar w:fldCharType="separate"/>
    </w:r>
    <w:r w:rsidRPr="00383C92">
      <w:rPr>
        <w:color w:val="D9D9D9" w:themeColor="background1" w:themeShade="D9"/>
        <w:lang w:val="fr-CH"/>
      </w:rPr>
      <w:t>P:\ESP\SG\CONSEIL\C20\000\007S.docx</w:t>
    </w:r>
    <w:r w:rsidRPr="00383C92">
      <w:rPr>
        <w:color w:val="D9D9D9" w:themeColor="background1" w:themeShade="D9"/>
      </w:rPr>
      <w:fldChar w:fldCharType="end"/>
    </w:r>
    <w:r w:rsidRPr="00383C92">
      <w:rPr>
        <w:color w:val="D9D9D9" w:themeColor="background1" w:themeShade="D9"/>
        <w:lang w:val="fr-CH"/>
      </w:rPr>
      <w:t xml:space="preserve"> (467312)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B2BCD" w14:textId="04BC33C9" w:rsidR="00AC25D9" w:rsidRDefault="00AC25D9">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2136D" w14:textId="6E14E57D" w:rsidR="00AC25D9" w:rsidRPr="00383C92" w:rsidRDefault="00AC25D9" w:rsidP="00D72461">
    <w:pPr>
      <w:pStyle w:val="Footer"/>
      <w:rPr>
        <w:color w:val="D9D9D9" w:themeColor="background1" w:themeShade="D9"/>
        <w:lang w:val="fr-CH"/>
      </w:rPr>
    </w:pPr>
    <w:r w:rsidRPr="00383C92">
      <w:rPr>
        <w:color w:val="D9D9D9" w:themeColor="background1" w:themeShade="D9"/>
      </w:rPr>
      <w:fldChar w:fldCharType="begin"/>
    </w:r>
    <w:r w:rsidRPr="00383C92">
      <w:rPr>
        <w:color w:val="D9D9D9" w:themeColor="background1" w:themeShade="D9"/>
        <w:lang w:val="fr-CH"/>
      </w:rPr>
      <w:instrText xml:space="preserve"> FILENAME \p  \* MERGEFORMAT </w:instrText>
    </w:r>
    <w:r w:rsidRPr="00383C92">
      <w:rPr>
        <w:color w:val="D9D9D9" w:themeColor="background1" w:themeShade="D9"/>
      </w:rPr>
      <w:fldChar w:fldCharType="separate"/>
    </w:r>
    <w:r w:rsidR="00F75511" w:rsidRPr="00383C92">
      <w:rPr>
        <w:color w:val="D9D9D9" w:themeColor="background1" w:themeShade="D9"/>
        <w:lang w:val="fr-CH"/>
      </w:rPr>
      <w:t>P:\ESP\SG\CONSEIL\C20\000\007S.docx</w:t>
    </w:r>
    <w:r w:rsidRPr="00383C92">
      <w:rPr>
        <w:color w:val="D9D9D9" w:themeColor="background1" w:themeShade="D9"/>
      </w:rPr>
      <w:fldChar w:fldCharType="end"/>
    </w:r>
    <w:r w:rsidRPr="00383C92">
      <w:rPr>
        <w:color w:val="D9D9D9" w:themeColor="background1" w:themeShade="D9"/>
        <w:lang w:val="fr-CH"/>
      </w:rPr>
      <w:t xml:space="preserve"> (467312)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BC4BB" w14:textId="0EF01766" w:rsidR="00AC25D9" w:rsidRPr="00383C92" w:rsidRDefault="00F75511" w:rsidP="00F75511">
    <w:pPr>
      <w:pStyle w:val="Footer"/>
      <w:rPr>
        <w:color w:val="D9D9D9" w:themeColor="background1" w:themeShade="D9"/>
        <w:lang w:val="fr-CH"/>
      </w:rPr>
    </w:pPr>
    <w:r w:rsidRPr="00383C92">
      <w:rPr>
        <w:color w:val="D9D9D9" w:themeColor="background1" w:themeShade="D9"/>
      </w:rPr>
      <w:fldChar w:fldCharType="begin"/>
    </w:r>
    <w:r w:rsidRPr="00383C92">
      <w:rPr>
        <w:color w:val="D9D9D9" w:themeColor="background1" w:themeShade="D9"/>
        <w:lang w:val="fr-CH"/>
      </w:rPr>
      <w:instrText xml:space="preserve"> FILENAME \p  \* MERGEFORMAT </w:instrText>
    </w:r>
    <w:r w:rsidRPr="00383C92">
      <w:rPr>
        <w:color w:val="D9D9D9" w:themeColor="background1" w:themeShade="D9"/>
      </w:rPr>
      <w:fldChar w:fldCharType="separate"/>
    </w:r>
    <w:r w:rsidRPr="00383C92">
      <w:rPr>
        <w:color w:val="D9D9D9" w:themeColor="background1" w:themeShade="D9"/>
        <w:lang w:val="fr-CH"/>
      </w:rPr>
      <w:t>P:\ESP\SG\CONSEIL\C20\000\007S.docx</w:t>
    </w:r>
    <w:r w:rsidRPr="00383C92">
      <w:rPr>
        <w:color w:val="D9D9D9" w:themeColor="background1" w:themeShade="D9"/>
      </w:rPr>
      <w:fldChar w:fldCharType="end"/>
    </w:r>
    <w:r w:rsidRPr="00383C92">
      <w:rPr>
        <w:color w:val="D9D9D9" w:themeColor="background1" w:themeShade="D9"/>
        <w:lang w:val="fr-CH"/>
      </w:rPr>
      <w:t xml:space="preserve"> (467312)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B409A" w14:textId="77777777" w:rsidR="00AC25D9" w:rsidRDefault="00AC25D9">
      <w:r>
        <w:t>____________________</w:t>
      </w:r>
    </w:p>
  </w:footnote>
  <w:footnote w:type="continuationSeparator" w:id="0">
    <w:p w14:paraId="1B156498" w14:textId="77777777" w:rsidR="00AC25D9" w:rsidRDefault="00AC25D9">
      <w:r>
        <w:continuationSeparator/>
      </w:r>
    </w:p>
  </w:footnote>
  <w:footnote w:id="1">
    <w:p w14:paraId="66307DE3" w14:textId="399FE235" w:rsidR="00AC25D9" w:rsidRPr="004045CB" w:rsidRDefault="00AC25D9">
      <w:pPr>
        <w:pStyle w:val="FootnoteText"/>
        <w:rPr>
          <w:lang w:val="es-ES"/>
        </w:rPr>
      </w:pPr>
      <w:r>
        <w:rPr>
          <w:rStyle w:val="FootnoteReference"/>
        </w:rPr>
        <w:footnoteRef/>
      </w:r>
      <w:r w:rsidRPr="004045CB">
        <w:rPr>
          <w:lang w:val="es-ES"/>
        </w:rPr>
        <w:tab/>
      </w:r>
      <w:bookmarkStart w:id="31" w:name="lt_pId257"/>
      <w:r w:rsidRPr="004045CB">
        <w:rPr>
          <w:lang w:val="es-ES"/>
        </w:rPr>
        <w:t>La ingeniería de valor fomenta la sustitución de materiales y métodos por alternativas menos onerosas sin sacrificar la funcionalidad.</w:t>
      </w:r>
      <w:bookmarkEnd w:id="31"/>
    </w:p>
  </w:footnote>
  <w:footnote w:id="2">
    <w:p w14:paraId="6D5A6858" w14:textId="06315568" w:rsidR="00AC25D9" w:rsidRPr="00A8352D" w:rsidRDefault="00AC25D9">
      <w:pPr>
        <w:pStyle w:val="FootnoteText"/>
        <w:rPr>
          <w:lang w:val="es-ES"/>
        </w:rPr>
      </w:pPr>
      <w:r>
        <w:rPr>
          <w:rStyle w:val="FootnoteReference"/>
        </w:rPr>
        <w:footnoteRef/>
      </w:r>
      <w:r w:rsidRPr="00A8352D">
        <w:rPr>
          <w:lang w:val="es-ES"/>
        </w:rPr>
        <w:tab/>
      </w:r>
      <w:bookmarkStart w:id="98" w:name="lt_pId258"/>
      <w:r w:rsidRPr="00A8352D">
        <w:rPr>
          <w:szCs w:val="24"/>
          <w:lang w:val="es-ES"/>
        </w:rPr>
        <w:t>Valor calculado a partir d</w:t>
      </w:r>
      <w:r>
        <w:rPr>
          <w:szCs w:val="24"/>
          <w:lang w:val="es-ES"/>
        </w:rPr>
        <w:t>e los datos de diciembre de</w:t>
      </w:r>
      <w:r w:rsidRPr="00A8352D">
        <w:rPr>
          <w:szCs w:val="24"/>
          <w:lang w:val="es-ES"/>
        </w:rPr>
        <w:t xml:space="preserve"> 2019.</w:t>
      </w:r>
      <w:bookmarkEnd w:id="98"/>
    </w:p>
  </w:footnote>
  <w:footnote w:id="3">
    <w:p w14:paraId="4061F3FA" w14:textId="6325C0AF" w:rsidR="00AC25D9" w:rsidRPr="00A8352D" w:rsidRDefault="00AC25D9">
      <w:pPr>
        <w:pStyle w:val="FootnoteText"/>
        <w:rPr>
          <w:lang w:val="es-ES"/>
        </w:rPr>
      </w:pPr>
      <w:r>
        <w:rPr>
          <w:rStyle w:val="FootnoteReference"/>
        </w:rPr>
        <w:footnoteRef/>
      </w:r>
      <w:r w:rsidRPr="00A8352D">
        <w:rPr>
          <w:lang w:val="es-ES"/>
        </w:rPr>
        <w:tab/>
      </w:r>
      <w:bookmarkStart w:id="100" w:name="lt_pId259"/>
      <w:r w:rsidRPr="00A8352D">
        <w:rPr>
          <w:lang w:val="es-ES"/>
        </w:rPr>
        <w:t xml:space="preserve">Cálculo para un periodo de 10 años, entre el 1 de </w:t>
      </w:r>
      <w:r>
        <w:rPr>
          <w:lang w:val="es-ES"/>
        </w:rPr>
        <w:t>abril de 2020 y el 31 de marzo de</w:t>
      </w:r>
      <w:r w:rsidRPr="00A8352D">
        <w:rPr>
          <w:rFonts w:asciiTheme="minorHAnsi" w:hAnsiTheme="minorHAnsi" w:cstheme="minorHAnsi"/>
          <w:color w:val="222222"/>
          <w:lang w:val="es-ES"/>
        </w:rPr>
        <w:t xml:space="preserve"> 2030.</w:t>
      </w:r>
      <w:bookmarkEnd w:id="10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6FBC7" w14:textId="7437360D" w:rsidR="00AC25D9" w:rsidRDefault="00AC25D9" w:rsidP="007657F0">
    <w:pPr>
      <w:pStyle w:val="Header"/>
    </w:pPr>
    <w:r>
      <w:fldChar w:fldCharType="begin"/>
    </w:r>
    <w:r>
      <w:instrText>PAGE</w:instrText>
    </w:r>
    <w:r>
      <w:fldChar w:fldCharType="separate"/>
    </w:r>
    <w:r w:rsidR="00E410E3">
      <w:rPr>
        <w:noProof/>
      </w:rPr>
      <w:t>15</w:t>
    </w:r>
    <w:r>
      <w:rPr>
        <w:noProof/>
      </w:rPr>
      <w:fldChar w:fldCharType="end"/>
    </w:r>
  </w:p>
  <w:p w14:paraId="4105D211" w14:textId="77777777" w:rsidR="00AC25D9" w:rsidRDefault="00AC25D9" w:rsidP="00C2727F">
    <w:pPr>
      <w:pStyle w:val="Header"/>
    </w:pPr>
    <w:r>
      <w:t>C20/7-S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E4858" w14:textId="1EB10C38" w:rsidR="005C701B" w:rsidRDefault="005C701B" w:rsidP="005C701B">
    <w:pPr>
      <w:pStyle w:val="Header"/>
    </w:pPr>
    <w:r>
      <w:fldChar w:fldCharType="begin"/>
    </w:r>
    <w:r>
      <w:instrText>PAGE</w:instrText>
    </w:r>
    <w:r>
      <w:fldChar w:fldCharType="separate"/>
    </w:r>
    <w:r w:rsidR="00E410E3">
      <w:rPr>
        <w:noProof/>
      </w:rPr>
      <w:t>12</w:t>
    </w:r>
    <w:r>
      <w:rPr>
        <w:noProof/>
      </w:rPr>
      <w:fldChar w:fldCharType="end"/>
    </w:r>
  </w:p>
  <w:p w14:paraId="5C3AD951" w14:textId="558CB971" w:rsidR="005C701B" w:rsidRDefault="005C701B">
    <w:pPr>
      <w:pStyle w:val="Header"/>
    </w:pPr>
    <w:r>
      <w:t>C20/7-S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34FEA67"/>
    <w:multiLevelType w:val="hybridMultilevel"/>
    <w:tmpl w:val="2242687A"/>
    <w:lvl w:ilvl="0" w:tplc="DF068A14">
      <w:start w:val="1"/>
      <w:numFmt w:val="ideographDigital"/>
      <w:lvlText w:val=""/>
      <w:lvlJc w:val="left"/>
    </w:lvl>
    <w:lvl w:ilvl="1" w:tplc="9B72F88A">
      <w:numFmt w:val="decimal"/>
      <w:lvlText w:val=""/>
      <w:lvlJc w:val="left"/>
    </w:lvl>
    <w:lvl w:ilvl="2" w:tplc="5656991C">
      <w:numFmt w:val="decimal"/>
      <w:lvlText w:val=""/>
      <w:lvlJc w:val="left"/>
    </w:lvl>
    <w:lvl w:ilvl="3" w:tplc="486E131C">
      <w:numFmt w:val="decimal"/>
      <w:lvlText w:val=""/>
      <w:lvlJc w:val="left"/>
    </w:lvl>
    <w:lvl w:ilvl="4" w:tplc="5936FC94">
      <w:numFmt w:val="decimal"/>
      <w:lvlText w:val=""/>
      <w:lvlJc w:val="left"/>
    </w:lvl>
    <w:lvl w:ilvl="5" w:tplc="7624C19A">
      <w:numFmt w:val="decimal"/>
      <w:lvlText w:val=""/>
      <w:lvlJc w:val="left"/>
    </w:lvl>
    <w:lvl w:ilvl="6" w:tplc="E7B479C6">
      <w:numFmt w:val="decimal"/>
      <w:lvlText w:val=""/>
      <w:lvlJc w:val="left"/>
    </w:lvl>
    <w:lvl w:ilvl="7" w:tplc="1C58E3C4">
      <w:numFmt w:val="decimal"/>
      <w:lvlText w:val=""/>
      <w:lvlJc w:val="left"/>
    </w:lvl>
    <w:lvl w:ilvl="8" w:tplc="7EF60D4C">
      <w:numFmt w:val="decimal"/>
      <w:lvlText w:val=""/>
      <w:lvlJc w:val="left"/>
    </w:lvl>
  </w:abstractNum>
  <w:abstractNum w:abstractNumId="1" w15:restartNumberingAfterBreak="0">
    <w:nsid w:val="FFFFFF7C"/>
    <w:multiLevelType w:val="singleLevel"/>
    <w:tmpl w:val="7312D9A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9AC1F1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E8E7F3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802B0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2AEA7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47E6F8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954C43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A10B02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88ED19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E103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536C60"/>
    <w:multiLevelType w:val="hybridMultilevel"/>
    <w:tmpl w:val="5A387F8E"/>
    <w:lvl w:ilvl="0" w:tplc="1C36C4D8">
      <w:numFmt w:val="bullet"/>
      <w:lvlText w:val="-"/>
      <w:lvlJc w:val="left"/>
      <w:pPr>
        <w:ind w:left="1069" w:hanging="360"/>
      </w:pPr>
      <w:rPr>
        <w:rFonts w:ascii="Calibri" w:eastAsia="SimSun" w:hAnsi="Calibri" w:cs="Calibri" w:hint="default"/>
      </w:rPr>
    </w:lvl>
    <w:lvl w:ilvl="1" w:tplc="42308486">
      <w:start w:val="1"/>
      <w:numFmt w:val="bullet"/>
      <w:lvlText w:val=""/>
      <w:lvlJc w:val="left"/>
      <w:pPr>
        <w:ind w:left="1789" w:hanging="360"/>
      </w:pPr>
      <w:rPr>
        <w:rFonts w:ascii="Symbol" w:hAnsi="Symbol" w:hint="default"/>
      </w:rPr>
    </w:lvl>
    <w:lvl w:ilvl="2" w:tplc="6F3E218A" w:tentative="1">
      <w:start w:val="1"/>
      <w:numFmt w:val="bullet"/>
      <w:lvlText w:val=""/>
      <w:lvlJc w:val="left"/>
      <w:pPr>
        <w:ind w:left="2509" w:hanging="360"/>
      </w:pPr>
      <w:rPr>
        <w:rFonts w:ascii="Wingdings" w:hAnsi="Wingdings" w:hint="default"/>
      </w:rPr>
    </w:lvl>
    <w:lvl w:ilvl="3" w:tplc="120A5F78" w:tentative="1">
      <w:start w:val="1"/>
      <w:numFmt w:val="bullet"/>
      <w:lvlText w:val=""/>
      <w:lvlJc w:val="left"/>
      <w:pPr>
        <w:ind w:left="3229" w:hanging="360"/>
      </w:pPr>
      <w:rPr>
        <w:rFonts w:ascii="Symbol" w:hAnsi="Symbol" w:hint="default"/>
      </w:rPr>
    </w:lvl>
    <w:lvl w:ilvl="4" w:tplc="D99AA854" w:tentative="1">
      <w:start w:val="1"/>
      <w:numFmt w:val="bullet"/>
      <w:lvlText w:val="o"/>
      <w:lvlJc w:val="left"/>
      <w:pPr>
        <w:ind w:left="3949" w:hanging="360"/>
      </w:pPr>
      <w:rPr>
        <w:rFonts w:ascii="Courier New" w:hAnsi="Courier New" w:cs="Courier New" w:hint="default"/>
      </w:rPr>
    </w:lvl>
    <w:lvl w:ilvl="5" w:tplc="4B5A1858" w:tentative="1">
      <w:start w:val="1"/>
      <w:numFmt w:val="bullet"/>
      <w:lvlText w:val=""/>
      <w:lvlJc w:val="left"/>
      <w:pPr>
        <w:ind w:left="4669" w:hanging="360"/>
      </w:pPr>
      <w:rPr>
        <w:rFonts w:ascii="Wingdings" w:hAnsi="Wingdings" w:hint="default"/>
      </w:rPr>
    </w:lvl>
    <w:lvl w:ilvl="6" w:tplc="368878C2" w:tentative="1">
      <w:start w:val="1"/>
      <w:numFmt w:val="bullet"/>
      <w:lvlText w:val=""/>
      <w:lvlJc w:val="left"/>
      <w:pPr>
        <w:ind w:left="5389" w:hanging="360"/>
      </w:pPr>
      <w:rPr>
        <w:rFonts w:ascii="Symbol" w:hAnsi="Symbol" w:hint="default"/>
      </w:rPr>
    </w:lvl>
    <w:lvl w:ilvl="7" w:tplc="2DF47664" w:tentative="1">
      <w:start w:val="1"/>
      <w:numFmt w:val="bullet"/>
      <w:lvlText w:val="o"/>
      <w:lvlJc w:val="left"/>
      <w:pPr>
        <w:ind w:left="6109" w:hanging="360"/>
      </w:pPr>
      <w:rPr>
        <w:rFonts w:ascii="Courier New" w:hAnsi="Courier New" w:cs="Courier New" w:hint="default"/>
      </w:rPr>
    </w:lvl>
    <w:lvl w:ilvl="8" w:tplc="691CD85C" w:tentative="1">
      <w:start w:val="1"/>
      <w:numFmt w:val="bullet"/>
      <w:lvlText w:val=""/>
      <w:lvlJc w:val="left"/>
      <w:pPr>
        <w:ind w:left="6829" w:hanging="360"/>
      </w:pPr>
      <w:rPr>
        <w:rFonts w:ascii="Wingdings" w:hAnsi="Wingdings" w:hint="default"/>
      </w:rPr>
    </w:lvl>
  </w:abstractNum>
  <w:abstractNum w:abstractNumId="12" w15:restartNumberingAfterBreak="0">
    <w:nsid w:val="327C7A03"/>
    <w:multiLevelType w:val="hybridMultilevel"/>
    <w:tmpl w:val="30D48D94"/>
    <w:lvl w:ilvl="0" w:tplc="E9109EB4">
      <w:start w:val="1"/>
      <w:numFmt w:val="bullet"/>
      <w:lvlText w:val=""/>
      <w:lvlJc w:val="left"/>
      <w:pPr>
        <w:ind w:left="720" w:hanging="360"/>
      </w:pPr>
      <w:rPr>
        <w:rFonts w:ascii="Symbol" w:hAnsi="Symbol" w:hint="default"/>
      </w:rPr>
    </w:lvl>
    <w:lvl w:ilvl="1" w:tplc="F7228D36" w:tentative="1">
      <w:start w:val="1"/>
      <w:numFmt w:val="bullet"/>
      <w:lvlText w:val="o"/>
      <w:lvlJc w:val="left"/>
      <w:pPr>
        <w:ind w:left="1440" w:hanging="360"/>
      </w:pPr>
      <w:rPr>
        <w:rFonts w:ascii="Courier New" w:hAnsi="Courier New" w:cs="Courier New" w:hint="default"/>
      </w:rPr>
    </w:lvl>
    <w:lvl w:ilvl="2" w:tplc="DFA8CBE8" w:tentative="1">
      <w:start w:val="1"/>
      <w:numFmt w:val="bullet"/>
      <w:lvlText w:val=""/>
      <w:lvlJc w:val="left"/>
      <w:pPr>
        <w:ind w:left="2160" w:hanging="360"/>
      </w:pPr>
      <w:rPr>
        <w:rFonts w:ascii="Wingdings" w:hAnsi="Wingdings" w:hint="default"/>
      </w:rPr>
    </w:lvl>
    <w:lvl w:ilvl="3" w:tplc="0D361EA2" w:tentative="1">
      <w:start w:val="1"/>
      <w:numFmt w:val="bullet"/>
      <w:lvlText w:val=""/>
      <w:lvlJc w:val="left"/>
      <w:pPr>
        <w:ind w:left="2880" w:hanging="360"/>
      </w:pPr>
      <w:rPr>
        <w:rFonts w:ascii="Symbol" w:hAnsi="Symbol" w:hint="default"/>
      </w:rPr>
    </w:lvl>
    <w:lvl w:ilvl="4" w:tplc="6E16AEFE" w:tentative="1">
      <w:start w:val="1"/>
      <w:numFmt w:val="bullet"/>
      <w:lvlText w:val="o"/>
      <w:lvlJc w:val="left"/>
      <w:pPr>
        <w:ind w:left="3600" w:hanging="360"/>
      </w:pPr>
      <w:rPr>
        <w:rFonts w:ascii="Courier New" w:hAnsi="Courier New" w:cs="Courier New" w:hint="default"/>
      </w:rPr>
    </w:lvl>
    <w:lvl w:ilvl="5" w:tplc="F5EC1610" w:tentative="1">
      <w:start w:val="1"/>
      <w:numFmt w:val="bullet"/>
      <w:lvlText w:val=""/>
      <w:lvlJc w:val="left"/>
      <w:pPr>
        <w:ind w:left="4320" w:hanging="360"/>
      </w:pPr>
      <w:rPr>
        <w:rFonts w:ascii="Wingdings" w:hAnsi="Wingdings" w:hint="default"/>
      </w:rPr>
    </w:lvl>
    <w:lvl w:ilvl="6" w:tplc="A70267C6" w:tentative="1">
      <w:start w:val="1"/>
      <w:numFmt w:val="bullet"/>
      <w:lvlText w:val=""/>
      <w:lvlJc w:val="left"/>
      <w:pPr>
        <w:ind w:left="5040" w:hanging="360"/>
      </w:pPr>
      <w:rPr>
        <w:rFonts w:ascii="Symbol" w:hAnsi="Symbol" w:hint="default"/>
      </w:rPr>
    </w:lvl>
    <w:lvl w:ilvl="7" w:tplc="768C3CBC" w:tentative="1">
      <w:start w:val="1"/>
      <w:numFmt w:val="bullet"/>
      <w:lvlText w:val="o"/>
      <w:lvlJc w:val="left"/>
      <w:pPr>
        <w:ind w:left="5760" w:hanging="360"/>
      </w:pPr>
      <w:rPr>
        <w:rFonts w:ascii="Courier New" w:hAnsi="Courier New" w:cs="Courier New" w:hint="default"/>
      </w:rPr>
    </w:lvl>
    <w:lvl w:ilvl="8" w:tplc="4CA00208" w:tentative="1">
      <w:start w:val="1"/>
      <w:numFmt w:val="bullet"/>
      <w:lvlText w:val=""/>
      <w:lvlJc w:val="left"/>
      <w:pPr>
        <w:ind w:left="6480" w:hanging="360"/>
      </w:pPr>
      <w:rPr>
        <w:rFonts w:ascii="Wingdings" w:hAnsi="Wingdings" w:hint="default"/>
      </w:rPr>
    </w:lvl>
  </w:abstractNum>
  <w:abstractNum w:abstractNumId="13" w15:restartNumberingAfterBreak="0">
    <w:nsid w:val="337C6677"/>
    <w:multiLevelType w:val="hybridMultilevel"/>
    <w:tmpl w:val="84C059B8"/>
    <w:lvl w:ilvl="0" w:tplc="9E720FD2">
      <w:start w:val="1"/>
      <w:numFmt w:val="bullet"/>
      <w:lvlText w:val=""/>
      <w:lvlJc w:val="left"/>
      <w:pPr>
        <w:ind w:left="720" w:hanging="360"/>
      </w:pPr>
      <w:rPr>
        <w:rFonts w:ascii="Symbol" w:hAnsi="Symbol" w:hint="default"/>
      </w:rPr>
    </w:lvl>
    <w:lvl w:ilvl="1" w:tplc="5B8C6B50" w:tentative="1">
      <w:start w:val="1"/>
      <w:numFmt w:val="bullet"/>
      <w:lvlText w:val="o"/>
      <w:lvlJc w:val="left"/>
      <w:pPr>
        <w:ind w:left="1440" w:hanging="360"/>
      </w:pPr>
      <w:rPr>
        <w:rFonts w:ascii="Courier New" w:hAnsi="Courier New" w:cs="Courier New" w:hint="default"/>
      </w:rPr>
    </w:lvl>
    <w:lvl w:ilvl="2" w:tplc="4822915C" w:tentative="1">
      <w:start w:val="1"/>
      <w:numFmt w:val="bullet"/>
      <w:lvlText w:val=""/>
      <w:lvlJc w:val="left"/>
      <w:pPr>
        <w:ind w:left="2160" w:hanging="360"/>
      </w:pPr>
      <w:rPr>
        <w:rFonts w:ascii="Wingdings" w:hAnsi="Wingdings" w:hint="default"/>
      </w:rPr>
    </w:lvl>
    <w:lvl w:ilvl="3" w:tplc="F5EC255A" w:tentative="1">
      <w:start w:val="1"/>
      <w:numFmt w:val="bullet"/>
      <w:lvlText w:val=""/>
      <w:lvlJc w:val="left"/>
      <w:pPr>
        <w:ind w:left="2880" w:hanging="360"/>
      </w:pPr>
      <w:rPr>
        <w:rFonts w:ascii="Symbol" w:hAnsi="Symbol" w:hint="default"/>
      </w:rPr>
    </w:lvl>
    <w:lvl w:ilvl="4" w:tplc="4AFC3D18" w:tentative="1">
      <w:start w:val="1"/>
      <w:numFmt w:val="bullet"/>
      <w:lvlText w:val="o"/>
      <w:lvlJc w:val="left"/>
      <w:pPr>
        <w:ind w:left="3600" w:hanging="360"/>
      </w:pPr>
      <w:rPr>
        <w:rFonts w:ascii="Courier New" w:hAnsi="Courier New" w:cs="Courier New" w:hint="default"/>
      </w:rPr>
    </w:lvl>
    <w:lvl w:ilvl="5" w:tplc="1100A2E8" w:tentative="1">
      <w:start w:val="1"/>
      <w:numFmt w:val="bullet"/>
      <w:lvlText w:val=""/>
      <w:lvlJc w:val="left"/>
      <w:pPr>
        <w:ind w:left="4320" w:hanging="360"/>
      </w:pPr>
      <w:rPr>
        <w:rFonts w:ascii="Wingdings" w:hAnsi="Wingdings" w:hint="default"/>
      </w:rPr>
    </w:lvl>
    <w:lvl w:ilvl="6" w:tplc="4AE0D8EC" w:tentative="1">
      <w:start w:val="1"/>
      <w:numFmt w:val="bullet"/>
      <w:lvlText w:val=""/>
      <w:lvlJc w:val="left"/>
      <w:pPr>
        <w:ind w:left="5040" w:hanging="360"/>
      </w:pPr>
      <w:rPr>
        <w:rFonts w:ascii="Symbol" w:hAnsi="Symbol" w:hint="default"/>
      </w:rPr>
    </w:lvl>
    <w:lvl w:ilvl="7" w:tplc="7548C602" w:tentative="1">
      <w:start w:val="1"/>
      <w:numFmt w:val="bullet"/>
      <w:lvlText w:val="o"/>
      <w:lvlJc w:val="left"/>
      <w:pPr>
        <w:ind w:left="5760" w:hanging="360"/>
      </w:pPr>
      <w:rPr>
        <w:rFonts w:ascii="Courier New" w:hAnsi="Courier New" w:cs="Courier New" w:hint="default"/>
      </w:rPr>
    </w:lvl>
    <w:lvl w:ilvl="8" w:tplc="C1F8DF4A" w:tentative="1">
      <w:start w:val="1"/>
      <w:numFmt w:val="bullet"/>
      <w:lvlText w:val=""/>
      <w:lvlJc w:val="left"/>
      <w:pPr>
        <w:ind w:left="6480" w:hanging="360"/>
      </w:pPr>
      <w:rPr>
        <w:rFonts w:ascii="Wingdings" w:hAnsi="Wingdings" w:hint="default"/>
      </w:rPr>
    </w:lvl>
  </w:abstractNum>
  <w:abstractNum w:abstractNumId="14" w15:restartNumberingAfterBreak="0">
    <w:nsid w:val="35D456B4"/>
    <w:multiLevelType w:val="hybridMultilevel"/>
    <w:tmpl w:val="DDACB454"/>
    <w:lvl w:ilvl="0" w:tplc="9588F23A">
      <w:start w:val="1"/>
      <w:numFmt w:val="bullet"/>
      <w:lvlText w:val=""/>
      <w:lvlJc w:val="left"/>
      <w:pPr>
        <w:ind w:left="720" w:hanging="360"/>
      </w:pPr>
      <w:rPr>
        <w:rFonts w:ascii="Symbol" w:hAnsi="Symbol" w:cs="Symbol" w:hint="default"/>
      </w:rPr>
    </w:lvl>
    <w:lvl w:ilvl="1" w:tplc="60563206" w:tentative="1">
      <w:start w:val="1"/>
      <w:numFmt w:val="bullet"/>
      <w:lvlText w:val="o"/>
      <w:lvlJc w:val="left"/>
      <w:pPr>
        <w:ind w:left="1440" w:hanging="360"/>
      </w:pPr>
      <w:rPr>
        <w:rFonts w:ascii="Courier New" w:hAnsi="Courier New" w:cs="Courier New" w:hint="default"/>
      </w:rPr>
    </w:lvl>
    <w:lvl w:ilvl="2" w:tplc="9A9A91F6" w:tentative="1">
      <w:start w:val="1"/>
      <w:numFmt w:val="bullet"/>
      <w:lvlText w:val=""/>
      <w:lvlJc w:val="left"/>
      <w:pPr>
        <w:ind w:left="2160" w:hanging="360"/>
      </w:pPr>
      <w:rPr>
        <w:rFonts w:ascii="Wingdings" w:hAnsi="Wingdings" w:cs="Wingdings" w:hint="default"/>
      </w:rPr>
    </w:lvl>
    <w:lvl w:ilvl="3" w:tplc="17C060BE" w:tentative="1">
      <w:start w:val="1"/>
      <w:numFmt w:val="bullet"/>
      <w:lvlText w:val=""/>
      <w:lvlJc w:val="left"/>
      <w:pPr>
        <w:ind w:left="2880" w:hanging="360"/>
      </w:pPr>
      <w:rPr>
        <w:rFonts w:ascii="Symbol" w:hAnsi="Symbol" w:cs="Symbol" w:hint="default"/>
      </w:rPr>
    </w:lvl>
    <w:lvl w:ilvl="4" w:tplc="B150B872" w:tentative="1">
      <w:start w:val="1"/>
      <w:numFmt w:val="bullet"/>
      <w:lvlText w:val="o"/>
      <w:lvlJc w:val="left"/>
      <w:pPr>
        <w:ind w:left="3600" w:hanging="360"/>
      </w:pPr>
      <w:rPr>
        <w:rFonts w:ascii="Courier New" w:hAnsi="Courier New" w:cs="Courier New" w:hint="default"/>
      </w:rPr>
    </w:lvl>
    <w:lvl w:ilvl="5" w:tplc="717AB4C0" w:tentative="1">
      <w:start w:val="1"/>
      <w:numFmt w:val="bullet"/>
      <w:lvlText w:val=""/>
      <w:lvlJc w:val="left"/>
      <w:pPr>
        <w:ind w:left="4320" w:hanging="360"/>
      </w:pPr>
      <w:rPr>
        <w:rFonts w:ascii="Wingdings" w:hAnsi="Wingdings" w:cs="Wingdings" w:hint="default"/>
      </w:rPr>
    </w:lvl>
    <w:lvl w:ilvl="6" w:tplc="C77A2A94" w:tentative="1">
      <w:start w:val="1"/>
      <w:numFmt w:val="bullet"/>
      <w:lvlText w:val=""/>
      <w:lvlJc w:val="left"/>
      <w:pPr>
        <w:ind w:left="5040" w:hanging="360"/>
      </w:pPr>
      <w:rPr>
        <w:rFonts w:ascii="Symbol" w:hAnsi="Symbol" w:cs="Symbol" w:hint="default"/>
      </w:rPr>
    </w:lvl>
    <w:lvl w:ilvl="7" w:tplc="EEC4912E" w:tentative="1">
      <w:start w:val="1"/>
      <w:numFmt w:val="bullet"/>
      <w:lvlText w:val="o"/>
      <w:lvlJc w:val="left"/>
      <w:pPr>
        <w:ind w:left="5760" w:hanging="360"/>
      </w:pPr>
      <w:rPr>
        <w:rFonts w:ascii="Courier New" w:hAnsi="Courier New" w:cs="Courier New" w:hint="default"/>
      </w:rPr>
    </w:lvl>
    <w:lvl w:ilvl="8" w:tplc="24F08374" w:tentative="1">
      <w:start w:val="1"/>
      <w:numFmt w:val="bullet"/>
      <w:lvlText w:val=""/>
      <w:lvlJc w:val="left"/>
      <w:pPr>
        <w:ind w:left="6480" w:hanging="360"/>
      </w:pPr>
      <w:rPr>
        <w:rFonts w:ascii="Wingdings" w:hAnsi="Wingdings" w:cs="Wingdings" w:hint="default"/>
      </w:rPr>
    </w:lvl>
  </w:abstractNum>
  <w:abstractNum w:abstractNumId="15" w15:restartNumberingAfterBreak="0">
    <w:nsid w:val="44E07B96"/>
    <w:multiLevelType w:val="hybridMultilevel"/>
    <w:tmpl w:val="55BEDDCA"/>
    <w:lvl w:ilvl="0" w:tplc="6784939C">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86E4A73"/>
    <w:multiLevelType w:val="hybridMultilevel"/>
    <w:tmpl w:val="B01248F4"/>
    <w:lvl w:ilvl="0" w:tplc="BAF86F0A">
      <w:start w:val="1"/>
      <w:numFmt w:val="bullet"/>
      <w:lvlText w:val=""/>
      <w:lvlJc w:val="left"/>
      <w:pPr>
        <w:ind w:left="720" w:hanging="360"/>
      </w:pPr>
      <w:rPr>
        <w:rFonts w:ascii="Symbol" w:hAnsi="Symbol" w:hint="default"/>
      </w:rPr>
    </w:lvl>
    <w:lvl w:ilvl="1" w:tplc="3F4EE4AC" w:tentative="1">
      <w:start w:val="1"/>
      <w:numFmt w:val="bullet"/>
      <w:lvlText w:val="o"/>
      <w:lvlJc w:val="left"/>
      <w:pPr>
        <w:ind w:left="1440" w:hanging="360"/>
      </w:pPr>
      <w:rPr>
        <w:rFonts w:ascii="Courier New" w:hAnsi="Courier New" w:cs="Courier New" w:hint="default"/>
      </w:rPr>
    </w:lvl>
    <w:lvl w:ilvl="2" w:tplc="3DBEFB9C" w:tentative="1">
      <w:start w:val="1"/>
      <w:numFmt w:val="bullet"/>
      <w:lvlText w:val=""/>
      <w:lvlJc w:val="left"/>
      <w:pPr>
        <w:ind w:left="2160" w:hanging="360"/>
      </w:pPr>
      <w:rPr>
        <w:rFonts w:ascii="Wingdings" w:hAnsi="Wingdings" w:hint="default"/>
      </w:rPr>
    </w:lvl>
    <w:lvl w:ilvl="3" w:tplc="35A67434" w:tentative="1">
      <w:start w:val="1"/>
      <w:numFmt w:val="bullet"/>
      <w:lvlText w:val=""/>
      <w:lvlJc w:val="left"/>
      <w:pPr>
        <w:ind w:left="2880" w:hanging="360"/>
      </w:pPr>
      <w:rPr>
        <w:rFonts w:ascii="Symbol" w:hAnsi="Symbol" w:hint="default"/>
      </w:rPr>
    </w:lvl>
    <w:lvl w:ilvl="4" w:tplc="7862DB26" w:tentative="1">
      <w:start w:val="1"/>
      <w:numFmt w:val="bullet"/>
      <w:lvlText w:val="o"/>
      <w:lvlJc w:val="left"/>
      <w:pPr>
        <w:ind w:left="3600" w:hanging="360"/>
      </w:pPr>
      <w:rPr>
        <w:rFonts w:ascii="Courier New" w:hAnsi="Courier New" w:cs="Courier New" w:hint="default"/>
      </w:rPr>
    </w:lvl>
    <w:lvl w:ilvl="5" w:tplc="DF5E92FC" w:tentative="1">
      <w:start w:val="1"/>
      <w:numFmt w:val="bullet"/>
      <w:lvlText w:val=""/>
      <w:lvlJc w:val="left"/>
      <w:pPr>
        <w:ind w:left="4320" w:hanging="360"/>
      </w:pPr>
      <w:rPr>
        <w:rFonts w:ascii="Wingdings" w:hAnsi="Wingdings" w:hint="default"/>
      </w:rPr>
    </w:lvl>
    <w:lvl w:ilvl="6" w:tplc="37DEC6FC" w:tentative="1">
      <w:start w:val="1"/>
      <w:numFmt w:val="bullet"/>
      <w:lvlText w:val=""/>
      <w:lvlJc w:val="left"/>
      <w:pPr>
        <w:ind w:left="5040" w:hanging="360"/>
      </w:pPr>
      <w:rPr>
        <w:rFonts w:ascii="Symbol" w:hAnsi="Symbol" w:hint="default"/>
      </w:rPr>
    </w:lvl>
    <w:lvl w:ilvl="7" w:tplc="6C929438" w:tentative="1">
      <w:start w:val="1"/>
      <w:numFmt w:val="bullet"/>
      <w:lvlText w:val="o"/>
      <w:lvlJc w:val="left"/>
      <w:pPr>
        <w:ind w:left="5760" w:hanging="360"/>
      </w:pPr>
      <w:rPr>
        <w:rFonts w:ascii="Courier New" w:hAnsi="Courier New" w:cs="Courier New" w:hint="default"/>
      </w:rPr>
    </w:lvl>
    <w:lvl w:ilvl="8" w:tplc="C3485804" w:tentative="1">
      <w:start w:val="1"/>
      <w:numFmt w:val="bullet"/>
      <w:lvlText w:val=""/>
      <w:lvlJc w:val="left"/>
      <w:pPr>
        <w:ind w:left="6480" w:hanging="360"/>
      </w:pPr>
      <w:rPr>
        <w:rFonts w:ascii="Wingdings" w:hAnsi="Wingdings" w:hint="default"/>
      </w:rPr>
    </w:lvl>
  </w:abstractNum>
  <w:abstractNum w:abstractNumId="17" w15:restartNumberingAfterBreak="0">
    <w:nsid w:val="58E20CF5"/>
    <w:multiLevelType w:val="hybridMultilevel"/>
    <w:tmpl w:val="9AD088CC"/>
    <w:lvl w:ilvl="0" w:tplc="58D44E9A">
      <w:start w:val="1"/>
      <w:numFmt w:val="bullet"/>
      <w:lvlText w:val=""/>
      <w:lvlJc w:val="left"/>
      <w:pPr>
        <w:ind w:left="1069" w:hanging="360"/>
      </w:pPr>
      <w:rPr>
        <w:rFonts w:ascii="Symbol" w:hAnsi="Symbol" w:hint="default"/>
      </w:rPr>
    </w:lvl>
    <w:lvl w:ilvl="1" w:tplc="FD2E62C0">
      <w:start w:val="1"/>
      <w:numFmt w:val="bullet"/>
      <w:lvlText w:val=""/>
      <w:lvlJc w:val="left"/>
      <w:pPr>
        <w:ind w:left="1789" w:hanging="360"/>
      </w:pPr>
      <w:rPr>
        <w:rFonts w:ascii="Symbol" w:hAnsi="Symbol" w:hint="default"/>
      </w:rPr>
    </w:lvl>
    <w:lvl w:ilvl="2" w:tplc="ED12600E" w:tentative="1">
      <w:start w:val="1"/>
      <w:numFmt w:val="bullet"/>
      <w:lvlText w:val=""/>
      <w:lvlJc w:val="left"/>
      <w:pPr>
        <w:ind w:left="2509" w:hanging="360"/>
      </w:pPr>
      <w:rPr>
        <w:rFonts w:ascii="Wingdings" w:hAnsi="Wingdings" w:hint="default"/>
      </w:rPr>
    </w:lvl>
    <w:lvl w:ilvl="3" w:tplc="53CC29A0" w:tentative="1">
      <w:start w:val="1"/>
      <w:numFmt w:val="bullet"/>
      <w:lvlText w:val=""/>
      <w:lvlJc w:val="left"/>
      <w:pPr>
        <w:ind w:left="3229" w:hanging="360"/>
      </w:pPr>
      <w:rPr>
        <w:rFonts w:ascii="Symbol" w:hAnsi="Symbol" w:hint="default"/>
      </w:rPr>
    </w:lvl>
    <w:lvl w:ilvl="4" w:tplc="516C2800" w:tentative="1">
      <w:start w:val="1"/>
      <w:numFmt w:val="bullet"/>
      <w:lvlText w:val="o"/>
      <w:lvlJc w:val="left"/>
      <w:pPr>
        <w:ind w:left="3949" w:hanging="360"/>
      </w:pPr>
      <w:rPr>
        <w:rFonts w:ascii="Courier New" w:hAnsi="Courier New" w:cs="Courier New" w:hint="default"/>
      </w:rPr>
    </w:lvl>
    <w:lvl w:ilvl="5" w:tplc="15B2CED8" w:tentative="1">
      <w:start w:val="1"/>
      <w:numFmt w:val="bullet"/>
      <w:lvlText w:val=""/>
      <w:lvlJc w:val="left"/>
      <w:pPr>
        <w:ind w:left="4669" w:hanging="360"/>
      </w:pPr>
      <w:rPr>
        <w:rFonts w:ascii="Wingdings" w:hAnsi="Wingdings" w:hint="default"/>
      </w:rPr>
    </w:lvl>
    <w:lvl w:ilvl="6" w:tplc="BC38601E" w:tentative="1">
      <w:start w:val="1"/>
      <w:numFmt w:val="bullet"/>
      <w:lvlText w:val=""/>
      <w:lvlJc w:val="left"/>
      <w:pPr>
        <w:ind w:left="5389" w:hanging="360"/>
      </w:pPr>
      <w:rPr>
        <w:rFonts w:ascii="Symbol" w:hAnsi="Symbol" w:hint="default"/>
      </w:rPr>
    </w:lvl>
    <w:lvl w:ilvl="7" w:tplc="F4CA7A28" w:tentative="1">
      <w:start w:val="1"/>
      <w:numFmt w:val="bullet"/>
      <w:lvlText w:val="o"/>
      <w:lvlJc w:val="left"/>
      <w:pPr>
        <w:ind w:left="6109" w:hanging="360"/>
      </w:pPr>
      <w:rPr>
        <w:rFonts w:ascii="Courier New" w:hAnsi="Courier New" w:cs="Courier New" w:hint="default"/>
      </w:rPr>
    </w:lvl>
    <w:lvl w:ilvl="8" w:tplc="B81444F2" w:tentative="1">
      <w:start w:val="1"/>
      <w:numFmt w:val="bullet"/>
      <w:lvlText w:val=""/>
      <w:lvlJc w:val="left"/>
      <w:pPr>
        <w:ind w:left="6829" w:hanging="360"/>
      </w:pPr>
      <w:rPr>
        <w:rFonts w:ascii="Wingdings" w:hAnsi="Wingdings" w:hint="default"/>
      </w:rPr>
    </w:lvl>
  </w:abstractNum>
  <w:abstractNum w:abstractNumId="18" w15:restartNumberingAfterBreak="0">
    <w:nsid w:val="62994AB7"/>
    <w:multiLevelType w:val="hybridMultilevel"/>
    <w:tmpl w:val="0608C92E"/>
    <w:lvl w:ilvl="0" w:tplc="14B60BF0">
      <w:start w:val="5"/>
      <w:numFmt w:val="decimal"/>
      <w:lvlText w:val="%1"/>
      <w:lvlJc w:val="left"/>
      <w:pPr>
        <w:ind w:left="720" w:hanging="360"/>
      </w:pPr>
      <w:rPr>
        <w:rFonts w:hint="default"/>
      </w:rPr>
    </w:lvl>
    <w:lvl w:ilvl="1" w:tplc="33D4D63C" w:tentative="1">
      <w:start w:val="1"/>
      <w:numFmt w:val="lowerLetter"/>
      <w:lvlText w:val="%2."/>
      <w:lvlJc w:val="left"/>
      <w:pPr>
        <w:ind w:left="1440" w:hanging="360"/>
      </w:pPr>
    </w:lvl>
    <w:lvl w:ilvl="2" w:tplc="78EC54CA" w:tentative="1">
      <w:start w:val="1"/>
      <w:numFmt w:val="lowerRoman"/>
      <w:lvlText w:val="%3."/>
      <w:lvlJc w:val="right"/>
      <w:pPr>
        <w:ind w:left="2160" w:hanging="180"/>
      </w:pPr>
    </w:lvl>
    <w:lvl w:ilvl="3" w:tplc="3462DD4A" w:tentative="1">
      <w:start w:val="1"/>
      <w:numFmt w:val="decimal"/>
      <w:lvlText w:val="%4."/>
      <w:lvlJc w:val="left"/>
      <w:pPr>
        <w:ind w:left="2880" w:hanging="360"/>
      </w:pPr>
    </w:lvl>
    <w:lvl w:ilvl="4" w:tplc="0F6CDCFE" w:tentative="1">
      <w:start w:val="1"/>
      <w:numFmt w:val="lowerLetter"/>
      <w:lvlText w:val="%5."/>
      <w:lvlJc w:val="left"/>
      <w:pPr>
        <w:ind w:left="3600" w:hanging="360"/>
      </w:pPr>
    </w:lvl>
    <w:lvl w:ilvl="5" w:tplc="A65A6558" w:tentative="1">
      <w:start w:val="1"/>
      <w:numFmt w:val="lowerRoman"/>
      <w:lvlText w:val="%6."/>
      <w:lvlJc w:val="right"/>
      <w:pPr>
        <w:ind w:left="4320" w:hanging="180"/>
      </w:pPr>
    </w:lvl>
    <w:lvl w:ilvl="6" w:tplc="4344E8AC" w:tentative="1">
      <w:start w:val="1"/>
      <w:numFmt w:val="decimal"/>
      <w:lvlText w:val="%7."/>
      <w:lvlJc w:val="left"/>
      <w:pPr>
        <w:ind w:left="5040" w:hanging="360"/>
      </w:pPr>
    </w:lvl>
    <w:lvl w:ilvl="7" w:tplc="D00CEDB0" w:tentative="1">
      <w:start w:val="1"/>
      <w:numFmt w:val="lowerLetter"/>
      <w:lvlText w:val="%8."/>
      <w:lvlJc w:val="left"/>
      <w:pPr>
        <w:ind w:left="5760" w:hanging="360"/>
      </w:pPr>
    </w:lvl>
    <w:lvl w:ilvl="8" w:tplc="30F0AFF6" w:tentative="1">
      <w:start w:val="1"/>
      <w:numFmt w:val="lowerRoman"/>
      <w:lvlText w:val="%9."/>
      <w:lvlJc w:val="right"/>
      <w:pPr>
        <w:ind w:left="6480" w:hanging="180"/>
      </w:pPr>
    </w:lvl>
  </w:abstractNum>
  <w:abstractNum w:abstractNumId="19" w15:restartNumberingAfterBreak="0">
    <w:nsid w:val="64FE38B1"/>
    <w:multiLevelType w:val="multilevel"/>
    <w:tmpl w:val="0D70FFFA"/>
    <w:lvl w:ilvl="0">
      <w:start w:val="1"/>
      <w:numFmt w:val="decimal"/>
      <w:lvlText w:val="%1."/>
      <w:lvlJc w:val="left"/>
      <w:pPr>
        <w:ind w:left="360" w:hanging="360"/>
      </w:pPr>
      <w:rPr>
        <w:rFonts w:hint="default"/>
      </w:rPr>
    </w:lvl>
    <w:lvl w:ilvl="1">
      <w:start w:val="2"/>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9"/>
  </w:num>
  <w:num w:numId="2">
    <w:abstractNumId w:val="11"/>
  </w:num>
  <w:num w:numId="3">
    <w:abstractNumId w:val="13"/>
  </w:num>
  <w:num w:numId="4">
    <w:abstractNumId w:val="12"/>
  </w:num>
  <w:num w:numId="5">
    <w:abstractNumId w:val="16"/>
  </w:num>
  <w:num w:numId="6">
    <w:abstractNumId w:val="18"/>
  </w:num>
  <w:num w:numId="7">
    <w:abstractNumId w:val="14"/>
  </w:num>
  <w:num w:numId="8">
    <w:abstractNumId w:val="17"/>
  </w:num>
  <w:num w:numId="9">
    <w:abstractNumId w:val="0"/>
  </w:num>
  <w:num w:numId="10">
    <w:abstractNumId w:val="15"/>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44E"/>
    <w:rsid w:val="00093EEB"/>
    <w:rsid w:val="000B0D00"/>
    <w:rsid w:val="000B3F2C"/>
    <w:rsid w:val="000B7C15"/>
    <w:rsid w:val="000D1D0F"/>
    <w:rsid w:val="000F5290"/>
    <w:rsid w:val="0010165C"/>
    <w:rsid w:val="00140512"/>
    <w:rsid w:val="00146BFB"/>
    <w:rsid w:val="0019476D"/>
    <w:rsid w:val="001A0E33"/>
    <w:rsid w:val="001F14A2"/>
    <w:rsid w:val="002801AA"/>
    <w:rsid w:val="002C4676"/>
    <w:rsid w:val="002C70B0"/>
    <w:rsid w:val="002F3CC4"/>
    <w:rsid w:val="00362692"/>
    <w:rsid w:val="0036462A"/>
    <w:rsid w:val="00383C92"/>
    <w:rsid w:val="003C4E9E"/>
    <w:rsid w:val="004000AA"/>
    <w:rsid w:val="004045CB"/>
    <w:rsid w:val="004B7587"/>
    <w:rsid w:val="004D7071"/>
    <w:rsid w:val="004E05B8"/>
    <w:rsid w:val="004E4657"/>
    <w:rsid w:val="00513630"/>
    <w:rsid w:val="00560125"/>
    <w:rsid w:val="00585553"/>
    <w:rsid w:val="005A39DB"/>
    <w:rsid w:val="005A4E08"/>
    <w:rsid w:val="005B34D9"/>
    <w:rsid w:val="005C701B"/>
    <w:rsid w:val="005D0CCF"/>
    <w:rsid w:val="005F3BCB"/>
    <w:rsid w:val="005F410F"/>
    <w:rsid w:val="0060149A"/>
    <w:rsid w:val="00601924"/>
    <w:rsid w:val="00607A68"/>
    <w:rsid w:val="006447EA"/>
    <w:rsid w:val="0064731F"/>
    <w:rsid w:val="00664572"/>
    <w:rsid w:val="006710F6"/>
    <w:rsid w:val="006832A3"/>
    <w:rsid w:val="00694605"/>
    <w:rsid w:val="006C1B56"/>
    <w:rsid w:val="006D24E9"/>
    <w:rsid w:val="006D4761"/>
    <w:rsid w:val="006F64AE"/>
    <w:rsid w:val="007145FB"/>
    <w:rsid w:val="00726872"/>
    <w:rsid w:val="00727955"/>
    <w:rsid w:val="00760F1C"/>
    <w:rsid w:val="007657F0"/>
    <w:rsid w:val="0077252D"/>
    <w:rsid w:val="007955DA"/>
    <w:rsid w:val="007D4F6A"/>
    <w:rsid w:val="007E5DD3"/>
    <w:rsid w:val="007F350B"/>
    <w:rsid w:val="007F5476"/>
    <w:rsid w:val="00820BE4"/>
    <w:rsid w:val="008345D3"/>
    <w:rsid w:val="008451E8"/>
    <w:rsid w:val="0086141E"/>
    <w:rsid w:val="0088244E"/>
    <w:rsid w:val="008B6C60"/>
    <w:rsid w:val="008D5853"/>
    <w:rsid w:val="008E31F9"/>
    <w:rsid w:val="009137DC"/>
    <w:rsid w:val="00913B9C"/>
    <w:rsid w:val="00956E77"/>
    <w:rsid w:val="00967210"/>
    <w:rsid w:val="00983488"/>
    <w:rsid w:val="009C6A41"/>
    <w:rsid w:val="009D64DB"/>
    <w:rsid w:val="009F4811"/>
    <w:rsid w:val="00A3292B"/>
    <w:rsid w:val="00A378EE"/>
    <w:rsid w:val="00A67939"/>
    <w:rsid w:val="00A812B0"/>
    <w:rsid w:val="00A8352D"/>
    <w:rsid w:val="00AA390C"/>
    <w:rsid w:val="00AC25D9"/>
    <w:rsid w:val="00B0200A"/>
    <w:rsid w:val="00B10B95"/>
    <w:rsid w:val="00B506BD"/>
    <w:rsid w:val="00B52BCF"/>
    <w:rsid w:val="00B574DB"/>
    <w:rsid w:val="00B826C2"/>
    <w:rsid w:val="00B8298E"/>
    <w:rsid w:val="00BD0723"/>
    <w:rsid w:val="00BD2518"/>
    <w:rsid w:val="00BF1D1C"/>
    <w:rsid w:val="00BF2CD1"/>
    <w:rsid w:val="00BF3E8A"/>
    <w:rsid w:val="00C20C59"/>
    <w:rsid w:val="00C2727F"/>
    <w:rsid w:val="00C51C6F"/>
    <w:rsid w:val="00C54241"/>
    <w:rsid w:val="00C55B1F"/>
    <w:rsid w:val="00C74552"/>
    <w:rsid w:val="00C93C05"/>
    <w:rsid w:val="00CA75D9"/>
    <w:rsid w:val="00CD4315"/>
    <w:rsid w:val="00CF1A67"/>
    <w:rsid w:val="00D2750E"/>
    <w:rsid w:val="00D31D37"/>
    <w:rsid w:val="00D42628"/>
    <w:rsid w:val="00D62446"/>
    <w:rsid w:val="00D72461"/>
    <w:rsid w:val="00DA4EA2"/>
    <w:rsid w:val="00DC3D3E"/>
    <w:rsid w:val="00DC442D"/>
    <w:rsid w:val="00DD2A77"/>
    <w:rsid w:val="00DE2C90"/>
    <w:rsid w:val="00DE3B24"/>
    <w:rsid w:val="00DE610B"/>
    <w:rsid w:val="00DF2C1C"/>
    <w:rsid w:val="00DF5725"/>
    <w:rsid w:val="00E0677A"/>
    <w:rsid w:val="00E06947"/>
    <w:rsid w:val="00E22741"/>
    <w:rsid w:val="00E3592D"/>
    <w:rsid w:val="00E410E3"/>
    <w:rsid w:val="00E92DE8"/>
    <w:rsid w:val="00EB1212"/>
    <w:rsid w:val="00ED65AB"/>
    <w:rsid w:val="00EF2EC8"/>
    <w:rsid w:val="00F12850"/>
    <w:rsid w:val="00F269FF"/>
    <w:rsid w:val="00F33BF4"/>
    <w:rsid w:val="00F7105E"/>
    <w:rsid w:val="00F75511"/>
    <w:rsid w:val="00F75F57"/>
    <w:rsid w:val="00F82FEE"/>
    <w:rsid w:val="00FB664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3D252FE"/>
  <w15:docId w15:val="{2B35E7AB-5D48-414C-A551-6B44CC7F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aliases w:val="titre"/>
    <w:basedOn w:val="Normal"/>
    <w:link w:val="ListParagraphChar"/>
    <w:uiPriority w:val="34"/>
    <w:qFormat/>
    <w:rsid w:val="006F64AE"/>
    <w:pPr>
      <w:tabs>
        <w:tab w:val="clear" w:pos="567"/>
        <w:tab w:val="clear" w:pos="1134"/>
        <w:tab w:val="clear" w:pos="1701"/>
        <w:tab w:val="clear" w:pos="2268"/>
        <w:tab w:val="clear" w:pos="2835"/>
      </w:tabs>
      <w:overflowPunct/>
      <w:autoSpaceDE/>
      <w:autoSpaceDN/>
      <w:adjustRightInd/>
      <w:spacing w:before="0"/>
      <w:ind w:left="720"/>
      <w:textAlignment w:val="auto"/>
    </w:pPr>
    <w:rPr>
      <w:rFonts w:ascii="Arial" w:eastAsia="SimSun" w:hAnsi="Arial"/>
      <w:sz w:val="22"/>
      <w:szCs w:val="24"/>
      <w:lang w:val="en-US" w:eastAsia="zh-CN"/>
    </w:rPr>
  </w:style>
  <w:style w:type="paragraph" w:styleId="HTMLPreformatted">
    <w:name w:val="HTML Preformatted"/>
    <w:basedOn w:val="Normal"/>
    <w:link w:val="HTMLPreformattedChar"/>
    <w:uiPriority w:val="99"/>
    <w:unhideWhenUsed/>
    <w:rsid w:val="006F64AE"/>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rsid w:val="006F64AE"/>
    <w:rPr>
      <w:rFonts w:ascii="Courier New" w:hAnsi="Courier New" w:cs="Courier New"/>
      <w:lang w:val="en-GB" w:eastAsia="en-GB"/>
    </w:rPr>
  </w:style>
  <w:style w:type="character" w:customStyle="1" w:styleId="normaltextrun">
    <w:name w:val="normaltextrun"/>
    <w:basedOn w:val="DefaultParagraphFont"/>
    <w:rsid w:val="006F64AE"/>
  </w:style>
  <w:style w:type="table" w:styleId="TableGrid">
    <w:name w:val="Table Grid"/>
    <w:basedOn w:val="TableNormal"/>
    <w:uiPriority w:val="39"/>
    <w:rsid w:val="006F64A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itre Char"/>
    <w:basedOn w:val="DefaultParagraphFont"/>
    <w:link w:val="ListParagraph"/>
    <w:uiPriority w:val="34"/>
    <w:locked/>
    <w:rsid w:val="006F64AE"/>
    <w:rPr>
      <w:rFonts w:ascii="Arial" w:eastAsia="SimSun" w:hAnsi="Arial"/>
      <w:sz w:val="22"/>
      <w:szCs w:val="24"/>
    </w:rPr>
  </w:style>
  <w:style w:type="character" w:customStyle="1" w:styleId="FooterChar">
    <w:name w:val="Footer Char"/>
    <w:basedOn w:val="DefaultParagraphFont"/>
    <w:link w:val="Footer"/>
    <w:uiPriority w:val="99"/>
    <w:rsid w:val="00D72461"/>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5884">
      <w:bodyDiv w:val="1"/>
      <w:marLeft w:val="0"/>
      <w:marRight w:val="0"/>
      <w:marTop w:val="0"/>
      <w:marBottom w:val="0"/>
      <w:divBdr>
        <w:top w:val="none" w:sz="0" w:space="0" w:color="auto"/>
        <w:left w:val="none" w:sz="0" w:space="0" w:color="auto"/>
        <w:bottom w:val="none" w:sz="0" w:space="0" w:color="auto"/>
        <w:right w:val="none" w:sz="0" w:space="0" w:color="auto"/>
      </w:divBdr>
    </w:div>
    <w:div w:id="491990104">
      <w:bodyDiv w:val="1"/>
      <w:marLeft w:val="0"/>
      <w:marRight w:val="0"/>
      <w:marTop w:val="0"/>
      <w:marBottom w:val="0"/>
      <w:divBdr>
        <w:top w:val="none" w:sz="0" w:space="0" w:color="auto"/>
        <w:left w:val="none" w:sz="0" w:space="0" w:color="auto"/>
        <w:bottom w:val="none" w:sz="0" w:space="0" w:color="auto"/>
        <w:right w:val="none" w:sz="0" w:space="0" w:color="auto"/>
      </w:divBdr>
    </w:div>
    <w:div w:id="161986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8-CL-C-0123/es" TargetMode="External"/><Relationship Id="rId18" Type="http://schemas.openxmlformats.org/officeDocument/2006/relationships/hyperlink" Target="https://www.itu.int/md/S20-CL-C-0037/es" TargetMode="External"/><Relationship Id="rId26" Type="http://schemas.openxmlformats.org/officeDocument/2006/relationships/hyperlink" Target="https://www.itu.int/en/council/2020/Documents/007/INF%20D_Schedule%20of%20expenditure%2017_27_EN.xlsx" TargetMode="External"/><Relationship Id="rId39" Type="http://schemas.openxmlformats.org/officeDocument/2006/relationships/image" Target="media/image4.emf"/><Relationship Id="rId21" Type="http://schemas.openxmlformats.org/officeDocument/2006/relationships/hyperlink" Target="https://www.itu.int/md/S20-CL-C-0015/es" TargetMode="External"/><Relationship Id="rId34" Type="http://schemas.openxmlformats.org/officeDocument/2006/relationships/header" Target="header1.xm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19-CLADD-C-0002/es" TargetMode="External"/><Relationship Id="rId29" Type="http://schemas.openxmlformats.org/officeDocument/2006/relationships/hyperlink" Target="https://www.itu.int/md/S20-CL-C-0053/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council/2020/Documents/007/INF%20B_Letter%20MIGE_s%C3%A9curit%C3%A9%20p%C3%A9riph%C3%A9rique.pdf" TargetMode="External"/><Relationship Id="rId32" Type="http://schemas.openxmlformats.org/officeDocument/2006/relationships/hyperlink" Target="https://www.itu.int/md/S20-CL-C-0037/es" TargetMode="External"/><Relationship Id="rId37" Type="http://schemas.openxmlformats.org/officeDocument/2006/relationships/image" Target="media/image2.png"/><Relationship Id="rId40" Type="http://schemas.openxmlformats.org/officeDocument/2006/relationships/chart" Target="charts/chart1.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16-CL-C-0007/es" TargetMode="External"/><Relationship Id="rId23" Type="http://schemas.openxmlformats.org/officeDocument/2006/relationships/hyperlink" Target="https://www.itu.int/en/council/2020/Documents/007/INF%20A_Preconsultations.pdf" TargetMode="External"/><Relationship Id="rId28" Type="http://schemas.openxmlformats.org/officeDocument/2006/relationships/hyperlink" Target="https://wwwu.int/en/council/2020/Documents/007/INF%20F_Expertise%20Tour_R%C3%A9sum%C3%A9.pdf"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20-CL-C-0029/es" TargetMode="External"/><Relationship Id="rId31" Type="http://schemas.openxmlformats.org/officeDocument/2006/relationships/hyperlink" Target="https://www.itu.int/md/S20-CL-C-0002/es"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190610-DL-0012/es" TargetMode="External"/><Relationship Id="rId22" Type="http://schemas.openxmlformats.org/officeDocument/2006/relationships/hyperlink" Target="https://www.designingbuildings.co.uk/wiki/Developed_design" TargetMode="External"/><Relationship Id="rId27" Type="http://schemas.openxmlformats.org/officeDocument/2006/relationships/hyperlink" Target="https://www.itu.int/en/council/2020/Documents/007/INF%20E_Schedule.pdf" TargetMode="External"/><Relationship Id="rId30" Type="http://schemas.openxmlformats.org/officeDocument/2006/relationships/hyperlink" Target="https://www.itu.int/md/S20-CL-C-0015/es" TargetMode="External"/><Relationship Id="rId35" Type="http://schemas.openxmlformats.org/officeDocument/2006/relationships/footer" Target="footer1.xm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en/council/Documents/basic-texts/RES-212-S.pdf" TargetMode="External"/><Relationship Id="rId17" Type="http://schemas.openxmlformats.org/officeDocument/2006/relationships/hyperlink" Target="https://www.itu.int/md/S19-CLADD-C-0005/es" TargetMode="External"/><Relationship Id="rId25" Type="http://schemas.openxmlformats.org/officeDocument/2006/relationships/hyperlink" Target="https://www.itu.int/en/council/2020/Documents/007/INF%20C_Risk%20register.xlsx" TargetMode="External"/><Relationship Id="rId33" Type="http://schemas.openxmlformats.org/officeDocument/2006/relationships/hyperlink" Target="https://www.itu.int/md/S20-CL-C-0015/es" TargetMode="External"/><Relationship Id="rId38" Type="http://schemas.openxmlformats.org/officeDocument/2006/relationships/image" Target="media/image3.emf"/><Relationship Id="rId46" Type="http://schemas.openxmlformats.org/officeDocument/2006/relationships/theme" Target="theme/theme1.xml"/><Relationship Id="rId20" Type="http://schemas.openxmlformats.org/officeDocument/2006/relationships/hyperlink" Target="https://www.itu.int/md/S20-CL-C-0053/es" TargetMode="External"/><Relationship Id="rId4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2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pool\TRAD\S\SG\CONSEIL\C-20\000\007S(467312)_LS_AnexoC.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effectLst>
                  <a:outerShdw blurRad="50800" dist="50800" dir="5400000" algn="ctr" rotWithShape="0">
                    <a:schemeClr val="bg1">
                      <a:alpha val="50000"/>
                    </a:schemeClr>
                  </a:outerShdw>
                </a:effectLst>
                <a:latin typeface="+mn-lt"/>
                <a:ea typeface="+mn-ea"/>
                <a:cs typeface="+mn-cs"/>
              </a:defRPr>
            </a:pPr>
            <a:r>
              <a:rPr lang="fr-CH" sz="1200">
                <a:effectLst>
                  <a:outerShdw blurRad="50800" dist="50800" dir="5400000" algn="ctr" rotWithShape="0">
                    <a:schemeClr val="bg1">
                      <a:alpha val="50000"/>
                    </a:schemeClr>
                  </a:outerShdw>
                </a:effectLst>
                <a:latin typeface="Verdana" panose="020B0604030504040204" pitchFamily="34" charset="0"/>
                <a:ea typeface="Verdana" panose="020B0604030504040204" pitchFamily="34" charset="0"/>
                <a:cs typeface="Verdana" panose="020B0604030504040204" pitchFamily="34" charset="0"/>
              </a:rPr>
              <a:t>COMPROMISOS</a:t>
            </a:r>
            <a:r>
              <a:rPr lang="fr-CH" sz="1200" baseline="0">
                <a:effectLst>
                  <a:outerShdw blurRad="50800" dist="50800" dir="5400000" algn="ctr" rotWithShape="0">
                    <a:schemeClr val="bg1">
                      <a:alpha val="50000"/>
                    </a:schemeClr>
                  </a:outerShdw>
                </a:effectLst>
                <a:latin typeface="Verdana" panose="020B0604030504040204" pitchFamily="34" charset="0"/>
                <a:ea typeface="Verdana" panose="020B0604030504040204" pitchFamily="34" charset="0"/>
                <a:cs typeface="Verdana" panose="020B0604030504040204" pitchFamily="34" charset="0"/>
              </a:rPr>
              <a:t> REALES Y PREVISTOS</a:t>
            </a:r>
            <a:endParaRPr lang="fr-CH" sz="1200">
              <a:effectLst>
                <a:outerShdw blurRad="50800" dist="50800" dir="5400000" algn="ctr" rotWithShape="0">
                  <a:schemeClr val="bg1">
                    <a:alpha val="50000"/>
                  </a:schemeClr>
                </a:outerShdw>
              </a:effectLst>
              <a:latin typeface="Verdana" panose="020B0604030504040204" pitchFamily="34" charset="0"/>
              <a:ea typeface="Verdana" panose="020B0604030504040204" pitchFamily="34" charset="0"/>
              <a:cs typeface="Verdana" panose="020B0604030504040204" pitchFamily="34" charset="0"/>
            </a:endParaRP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effectLst>
                <a:outerShdw blurRad="50800" dist="50800" dir="5400000" algn="ctr" rotWithShape="0">
                  <a:schemeClr val="bg1">
                    <a:alpha val="50000"/>
                  </a:schemeClr>
                </a:outerShdw>
              </a:effectLst>
              <a:latin typeface="+mn-lt"/>
              <a:ea typeface="+mn-ea"/>
              <a:cs typeface="+mn-cs"/>
            </a:defRPr>
          </a:pPr>
          <a:endParaRPr lang="en-US"/>
        </a:p>
      </c:txPr>
    </c:title>
    <c:autoTitleDeleted val="0"/>
    <c:plotArea>
      <c:layout>
        <c:manualLayout>
          <c:layoutTarget val="inner"/>
          <c:xMode val="edge"/>
          <c:yMode val="edge"/>
          <c:x val="0.14319140485743748"/>
          <c:y val="8.1675518906593372E-2"/>
          <c:w val="0.75465705802271521"/>
          <c:h val="0.70146940293880589"/>
        </c:manualLayout>
      </c:layout>
      <c:barChart>
        <c:barDir val="col"/>
        <c:grouping val="clustered"/>
        <c:varyColors val="0"/>
        <c:ser>
          <c:idx val="1"/>
          <c:order val="1"/>
          <c:tx>
            <c:strRef>
              <c:f>Sheet1!$A$5</c:f>
              <c:strCache>
                <c:ptCount val="1"/>
                <c:pt idx="0">
                  <c:v>Gastos mensuales previstos (miles CHF)</c:v>
                </c:pt>
              </c:strCache>
            </c:strRef>
          </c:tx>
          <c:spPr>
            <a:solidFill>
              <a:schemeClr val="accent1">
                <a:lumMod val="75000"/>
              </a:schemeClr>
            </a:solidFill>
            <a:ln w="9525">
              <a:solidFill>
                <a:schemeClr val="accent1">
                  <a:lumMod val="75000"/>
                </a:schemeClr>
              </a:solidFill>
            </a:ln>
            <a:effectLst/>
          </c:spPr>
          <c:invertIfNegative val="0"/>
          <c:cat>
            <c:strRef>
              <c:f>Sheet1!$B$3:$AE$3</c:f>
              <c:strCache>
                <c:ptCount val="30"/>
                <c:pt idx="0">
                  <c:v>jul.-19</c:v>
                </c:pt>
                <c:pt idx="1">
                  <c:v>ago.-19</c:v>
                </c:pt>
                <c:pt idx="2">
                  <c:v>sep.-19</c:v>
                </c:pt>
                <c:pt idx="3">
                  <c:v>oct.-19</c:v>
                </c:pt>
                <c:pt idx="4">
                  <c:v>nov.-19</c:v>
                </c:pt>
                <c:pt idx="5">
                  <c:v>dic.-19</c:v>
                </c:pt>
                <c:pt idx="6">
                  <c:v>ene.-20</c:v>
                </c:pt>
                <c:pt idx="7">
                  <c:v>feb.-20</c:v>
                </c:pt>
                <c:pt idx="8">
                  <c:v>mar.-20</c:v>
                </c:pt>
                <c:pt idx="9">
                  <c:v>abr.-20</c:v>
                </c:pt>
                <c:pt idx="10">
                  <c:v>may.-20</c:v>
                </c:pt>
                <c:pt idx="11">
                  <c:v>jun.-20</c:v>
                </c:pt>
                <c:pt idx="12">
                  <c:v>jul.-20</c:v>
                </c:pt>
                <c:pt idx="13">
                  <c:v>ago.-20</c:v>
                </c:pt>
                <c:pt idx="14">
                  <c:v>sep.-20</c:v>
                </c:pt>
                <c:pt idx="15">
                  <c:v>oct.-20</c:v>
                </c:pt>
                <c:pt idx="16">
                  <c:v>nov.-20</c:v>
                </c:pt>
                <c:pt idx="17">
                  <c:v>dic.-20</c:v>
                </c:pt>
                <c:pt idx="18">
                  <c:v>ene.-21</c:v>
                </c:pt>
                <c:pt idx="19">
                  <c:v>feb.-21</c:v>
                </c:pt>
                <c:pt idx="20">
                  <c:v>mar.-21</c:v>
                </c:pt>
                <c:pt idx="21">
                  <c:v>abr.-21</c:v>
                </c:pt>
                <c:pt idx="22">
                  <c:v>may.-21</c:v>
                </c:pt>
                <c:pt idx="23">
                  <c:v>jun.-21</c:v>
                </c:pt>
                <c:pt idx="24">
                  <c:v>jul.-21</c:v>
                </c:pt>
                <c:pt idx="25">
                  <c:v>ago.-21</c:v>
                </c:pt>
                <c:pt idx="26">
                  <c:v>sep.-21</c:v>
                </c:pt>
                <c:pt idx="27">
                  <c:v>oct.-21</c:v>
                </c:pt>
                <c:pt idx="28">
                  <c:v>nov.-21</c:v>
                </c:pt>
                <c:pt idx="29">
                  <c:v>dic.-21</c:v>
                </c:pt>
              </c:strCache>
            </c:strRef>
          </c:cat>
          <c:val>
            <c:numRef>
              <c:f>Sheet1!$B$5:$AE$5</c:f>
              <c:numCache>
                <c:formatCode>#,##0_ ;\-#,##0\ </c:formatCode>
                <c:ptCount val="30"/>
                <c:pt idx="0">
                  <c:v>2.4247800000000201</c:v>
                </c:pt>
                <c:pt idx="1">
                  <c:v>427.82420000000002</c:v>
                </c:pt>
                <c:pt idx="2" formatCode="#\ ##0_ ;\-#,##0\ ">
                  <c:v>493.16217</c:v>
                </c:pt>
                <c:pt idx="3">
                  <c:v>157.59156999999999</c:v>
                </c:pt>
                <c:pt idx="4" formatCode="#\ ##0_ ;\-#,##0\ ">
                  <c:v>511.63555000000002</c:v>
                </c:pt>
                <c:pt idx="5" formatCode="#\ ##0_ ;\-#,##0\ ">
                  <c:v>86.61345</c:v>
                </c:pt>
                <c:pt idx="6" formatCode="#\ ##0_ ;\-#,##0\ ">
                  <c:v>94.013450000000006</c:v>
                </c:pt>
                <c:pt idx="7" formatCode="#\ ##0_ ;\-#,##0\ ">
                  <c:v>918.11913000000004</c:v>
                </c:pt>
                <c:pt idx="8" formatCode="#\ ##0_ ;\-#,##0\ ">
                  <c:v>65.617500000000007</c:v>
                </c:pt>
                <c:pt idx="9">
                  <c:v>65.597499999999997</c:v>
                </c:pt>
                <c:pt idx="10" formatCode="#\ ##0_ ;\-#,##0\ ">
                  <c:v>909.92012999999997</c:v>
                </c:pt>
                <c:pt idx="11" formatCode="#\ ##0_ ;\-#,##0\ ">
                  <c:v>65.597499999999997</c:v>
                </c:pt>
                <c:pt idx="12" formatCode="#\ ##0_ ;\-#,##0\ ">
                  <c:v>65.597499999999997</c:v>
                </c:pt>
                <c:pt idx="13" formatCode="#\ ##0_ ;\-#,##0\ ">
                  <c:v>909.92012999999997</c:v>
                </c:pt>
                <c:pt idx="14" formatCode="#\ ##0_ ;\-#,##0\ ">
                  <c:v>65.597499999999997</c:v>
                </c:pt>
                <c:pt idx="15" formatCode="#\ ##0_ ;\-#,##0\ ">
                  <c:v>65.597499999999997</c:v>
                </c:pt>
                <c:pt idx="16" formatCode="#\ ##0_ ;\-#,##0\ ">
                  <c:v>909.92012999999997</c:v>
                </c:pt>
                <c:pt idx="17" formatCode="#\ ##0_ ;\-#,##0\ ">
                  <c:v>65.597499999999997</c:v>
                </c:pt>
                <c:pt idx="18" formatCode="#\ ##0_ ;\-#,##0\ ">
                  <c:v>65.597499999999997</c:v>
                </c:pt>
                <c:pt idx="19" formatCode="#\ ##0_ ;\-#,##0\ ">
                  <c:v>914.72080000000005</c:v>
                </c:pt>
                <c:pt idx="20" formatCode="#\ ##0_ ;\-#,##0\ ">
                  <c:v>70.398169999999993</c:v>
                </c:pt>
                <c:pt idx="21" formatCode="#\ ##0_ ;\-#,##0\ ">
                  <c:v>70.398169999999993</c:v>
                </c:pt>
                <c:pt idx="22" formatCode="#\ ##0_ ;\-#,##0\ ">
                  <c:v>1944.0487600000001</c:v>
                </c:pt>
                <c:pt idx="23" formatCode="#\ ##0_ ;\-#,##0\ ">
                  <c:v>70.398169999999993</c:v>
                </c:pt>
                <c:pt idx="24" formatCode="#\ ##0_ ;\-#,##0\ ">
                  <c:v>70.398169999999993</c:v>
                </c:pt>
                <c:pt idx="25" formatCode="#\ ##0_ ;\-#,##0\ ">
                  <c:v>772.44957999999997</c:v>
                </c:pt>
                <c:pt idx="26" formatCode="#\ ##0_ ;\-#,##0\ ">
                  <c:v>70.398169999999993</c:v>
                </c:pt>
                <c:pt idx="27" formatCode="#\ ##0_ ;\-#,##0\ ">
                  <c:v>70.398169999999993</c:v>
                </c:pt>
                <c:pt idx="28" formatCode="#\ ##0_ ;\-#,##0\ ">
                  <c:v>772.44957999999997</c:v>
                </c:pt>
                <c:pt idx="29" formatCode="#\ ##0_ ;\-#,##0\ ">
                  <c:v>70.398169999999993</c:v>
                </c:pt>
              </c:numCache>
            </c:numRef>
          </c:val>
          <c:extLst>
            <c:ext xmlns:c16="http://schemas.microsoft.com/office/drawing/2014/chart" uri="{C3380CC4-5D6E-409C-BE32-E72D297353CC}">
              <c16:uniqueId val="{00000000-263B-4B93-8FF6-88860580AFF9}"/>
            </c:ext>
          </c:extLst>
        </c:ser>
        <c:ser>
          <c:idx val="2"/>
          <c:order val="2"/>
          <c:tx>
            <c:strRef>
              <c:f>Sheet1!$A$6</c:f>
              <c:strCache>
                <c:ptCount val="1"/>
                <c:pt idx="0">
                  <c:v>Gastos mensuales reales (miles CHF)</c:v>
                </c:pt>
              </c:strCache>
            </c:strRef>
          </c:tx>
          <c:spPr>
            <a:solidFill>
              <a:srgbClr val="C00000"/>
            </a:solidFill>
            <a:ln>
              <a:noFill/>
            </a:ln>
            <a:effectLst/>
          </c:spPr>
          <c:invertIfNegative val="0"/>
          <c:cat>
            <c:strRef>
              <c:f>Sheet1!$B$3:$AE$3</c:f>
              <c:strCache>
                <c:ptCount val="30"/>
                <c:pt idx="0">
                  <c:v>jul.-19</c:v>
                </c:pt>
                <c:pt idx="1">
                  <c:v>ago.-19</c:v>
                </c:pt>
                <c:pt idx="2">
                  <c:v>sep.-19</c:v>
                </c:pt>
                <c:pt idx="3">
                  <c:v>oct.-19</c:v>
                </c:pt>
                <c:pt idx="4">
                  <c:v>nov.-19</c:v>
                </c:pt>
                <c:pt idx="5">
                  <c:v>dic.-19</c:v>
                </c:pt>
                <c:pt idx="6">
                  <c:v>ene.-20</c:v>
                </c:pt>
                <c:pt idx="7">
                  <c:v>feb.-20</c:v>
                </c:pt>
                <c:pt idx="8">
                  <c:v>mar.-20</c:v>
                </c:pt>
                <c:pt idx="9">
                  <c:v>abr.-20</c:v>
                </c:pt>
                <c:pt idx="10">
                  <c:v>may.-20</c:v>
                </c:pt>
                <c:pt idx="11">
                  <c:v>jun.-20</c:v>
                </c:pt>
                <c:pt idx="12">
                  <c:v>jul.-20</c:v>
                </c:pt>
                <c:pt idx="13">
                  <c:v>ago.-20</c:v>
                </c:pt>
                <c:pt idx="14">
                  <c:v>sep.-20</c:v>
                </c:pt>
                <c:pt idx="15">
                  <c:v>oct.-20</c:v>
                </c:pt>
                <c:pt idx="16">
                  <c:v>nov.-20</c:v>
                </c:pt>
                <c:pt idx="17">
                  <c:v>dic.-20</c:v>
                </c:pt>
                <c:pt idx="18">
                  <c:v>ene.-21</c:v>
                </c:pt>
                <c:pt idx="19">
                  <c:v>feb.-21</c:v>
                </c:pt>
                <c:pt idx="20">
                  <c:v>mar.-21</c:v>
                </c:pt>
                <c:pt idx="21">
                  <c:v>abr.-21</c:v>
                </c:pt>
                <c:pt idx="22">
                  <c:v>may.-21</c:v>
                </c:pt>
                <c:pt idx="23">
                  <c:v>jun.-21</c:v>
                </c:pt>
                <c:pt idx="24">
                  <c:v>jul.-21</c:v>
                </c:pt>
                <c:pt idx="25">
                  <c:v>ago.-21</c:v>
                </c:pt>
                <c:pt idx="26">
                  <c:v>sep.-21</c:v>
                </c:pt>
                <c:pt idx="27">
                  <c:v>oct.-21</c:v>
                </c:pt>
                <c:pt idx="28">
                  <c:v>nov.-21</c:v>
                </c:pt>
                <c:pt idx="29">
                  <c:v>dic.-21</c:v>
                </c:pt>
              </c:strCache>
            </c:strRef>
          </c:cat>
          <c:val>
            <c:numRef>
              <c:f>Sheet1!$B$6:$AE$6</c:f>
              <c:numCache>
                <c:formatCode>#,##0_ ;\-#,##0\ </c:formatCode>
                <c:ptCount val="30"/>
                <c:pt idx="0">
                  <c:v>2.4247800000000201</c:v>
                </c:pt>
                <c:pt idx="1">
                  <c:v>427.82420000000002</c:v>
                </c:pt>
                <c:pt idx="2">
                  <c:v>493.16217</c:v>
                </c:pt>
                <c:pt idx="3">
                  <c:v>157.59156999999999</c:v>
                </c:pt>
                <c:pt idx="4" formatCode="#\ ##0_ ;\-#,##0\ ">
                  <c:v>511.63555000000002</c:v>
                </c:pt>
                <c:pt idx="5" formatCode="#\ ##0_ ;\-#,##0\ ">
                  <c:v>86.61345</c:v>
                </c:pt>
                <c:pt idx="6" formatCode="#\ ##0_ ;\-#,##0\ ">
                  <c:v>86.61345</c:v>
                </c:pt>
                <c:pt idx="7" formatCode="#\ ##0_ ;\-#,##0\ ">
                  <c:v>918.11913000000004</c:v>
                </c:pt>
                <c:pt idx="8" formatCode="#\ ##0_ ;\-#,##0\ ">
                  <c:v>65.617500000000007</c:v>
                </c:pt>
                <c:pt idx="9">
                  <c:v>65.597499999999997</c:v>
                </c:pt>
              </c:numCache>
            </c:numRef>
          </c:val>
          <c:extLst>
            <c:ext xmlns:c16="http://schemas.microsoft.com/office/drawing/2014/chart" uri="{C3380CC4-5D6E-409C-BE32-E72D297353CC}">
              <c16:uniqueId val="{00000001-263B-4B93-8FF6-88860580AFF9}"/>
            </c:ext>
          </c:extLst>
        </c:ser>
        <c:dLbls>
          <c:showLegendKey val="0"/>
          <c:showVal val="0"/>
          <c:showCatName val="0"/>
          <c:showSerName val="0"/>
          <c:showPercent val="0"/>
          <c:showBubbleSize val="0"/>
        </c:dLbls>
        <c:gapWidth val="150"/>
        <c:axId val="533792632"/>
        <c:axId val="533777872"/>
      </c:barChart>
      <c:lineChart>
        <c:grouping val="standard"/>
        <c:varyColors val="0"/>
        <c:ser>
          <c:idx val="3"/>
          <c:order val="3"/>
          <c:tx>
            <c:strRef>
              <c:f>Sheet1!$A$7</c:f>
              <c:strCache>
                <c:ptCount val="1"/>
                <c:pt idx="0">
                  <c:v>Gastos acumulados previstos (miles CHF)</c:v>
                </c:pt>
              </c:strCache>
            </c:strRef>
          </c:tx>
          <c:spPr>
            <a:ln w="28575" cap="rnd">
              <a:solidFill>
                <a:schemeClr val="accent1">
                  <a:lumMod val="75000"/>
                </a:schemeClr>
              </a:solidFill>
              <a:prstDash val="solid"/>
              <a:round/>
            </a:ln>
            <a:effectLst/>
          </c:spPr>
          <c:marker>
            <c:symbol val="none"/>
          </c:marker>
          <c:cat>
            <c:strRef>
              <c:f>Sheet1!$B$3:$AE$3</c:f>
              <c:strCache>
                <c:ptCount val="30"/>
                <c:pt idx="0">
                  <c:v>jul.-19</c:v>
                </c:pt>
                <c:pt idx="1">
                  <c:v>ago.-19</c:v>
                </c:pt>
                <c:pt idx="2">
                  <c:v>sep.-19</c:v>
                </c:pt>
                <c:pt idx="3">
                  <c:v>oct.-19</c:v>
                </c:pt>
                <c:pt idx="4">
                  <c:v>nov.-19</c:v>
                </c:pt>
                <c:pt idx="5">
                  <c:v>dic.-19</c:v>
                </c:pt>
                <c:pt idx="6">
                  <c:v>ene.-20</c:v>
                </c:pt>
                <c:pt idx="7">
                  <c:v>feb.-20</c:v>
                </c:pt>
                <c:pt idx="8">
                  <c:v>mar.-20</c:v>
                </c:pt>
                <c:pt idx="9">
                  <c:v>abr.-20</c:v>
                </c:pt>
                <c:pt idx="10">
                  <c:v>may.-20</c:v>
                </c:pt>
                <c:pt idx="11">
                  <c:v>jun.-20</c:v>
                </c:pt>
                <c:pt idx="12">
                  <c:v>jul.-20</c:v>
                </c:pt>
                <c:pt idx="13">
                  <c:v>ago.-20</c:v>
                </c:pt>
                <c:pt idx="14">
                  <c:v>sep.-20</c:v>
                </c:pt>
                <c:pt idx="15">
                  <c:v>oct.-20</c:v>
                </c:pt>
                <c:pt idx="16">
                  <c:v>nov.-20</c:v>
                </c:pt>
                <c:pt idx="17">
                  <c:v>dic.-20</c:v>
                </c:pt>
                <c:pt idx="18">
                  <c:v>ene.-21</c:v>
                </c:pt>
                <c:pt idx="19">
                  <c:v>feb.-21</c:v>
                </c:pt>
                <c:pt idx="20">
                  <c:v>mar.-21</c:v>
                </c:pt>
                <c:pt idx="21">
                  <c:v>abr.-21</c:v>
                </c:pt>
                <c:pt idx="22">
                  <c:v>may.-21</c:v>
                </c:pt>
                <c:pt idx="23">
                  <c:v>jun.-21</c:v>
                </c:pt>
                <c:pt idx="24">
                  <c:v>jul.-21</c:v>
                </c:pt>
                <c:pt idx="25">
                  <c:v>ago.-21</c:v>
                </c:pt>
                <c:pt idx="26">
                  <c:v>sep.-21</c:v>
                </c:pt>
                <c:pt idx="27">
                  <c:v>oct.-21</c:v>
                </c:pt>
                <c:pt idx="28">
                  <c:v>nov.-21</c:v>
                </c:pt>
                <c:pt idx="29">
                  <c:v>dic.-21</c:v>
                </c:pt>
              </c:strCache>
            </c:strRef>
          </c:cat>
          <c:val>
            <c:numRef>
              <c:f>Sheet1!$B$7:$AE$7</c:f>
              <c:numCache>
                <c:formatCode>#\ ##0_ ;\-#,##0\ </c:formatCode>
                <c:ptCount val="30"/>
                <c:pt idx="0">
                  <c:v>3095.3897400000005</c:v>
                </c:pt>
                <c:pt idx="1">
                  <c:v>3523.2139400000005</c:v>
                </c:pt>
                <c:pt idx="2">
                  <c:v>4016.3761100000006</c:v>
                </c:pt>
                <c:pt idx="3" formatCode="#,##0_ ;\-#,##0\ ">
                  <c:v>4173.9676800000007</c:v>
                </c:pt>
                <c:pt idx="4">
                  <c:v>4685.6032300000006</c:v>
                </c:pt>
                <c:pt idx="5">
                  <c:v>4772.2166800000005</c:v>
                </c:pt>
                <c:pt idx="6">
                  <c:v>4866.2301300000008</c:v>
                </c:pt>
                <c:pt idx="7">
                  <c:v>5784.3492600000009</c:v>
                </c:pt>
                <c:pt idx="8">
                  <c:v>5849.9667600000012</c:v>
                </c:pt>
                <c:pt idx="9">
                  <c:v>5915.564260000001</c:v>
                </c:pt>
                <c:pt idx="10">
                  <c:v>6825.4843900000014</c:v>
                </c:pt>
                <c:pt idx="11">
                  <c:v>6891.0818900000013</c:v>
                </c:pt>
                <c:pt idx="12">
                  <c:v>6956.6793900000011</c:v>
                </c:pt>
                <c:pt idx="13">
                  <c:v>7866.5995200000016</c:v>
                </c:pt>
                <c:pt idx="14">
                  <c:v>7932.1970200000014</c:v>
                </c:pt>
                <c:pt idx="15">
                  <c:v>7997.7945200000013</c:v>
                </c:pt>
                <c:pt idx="16">
                  <c:v>8907.7146500000017</c:v>
                </c:pt>
                <c:pt idx="17">
                  <c:v>8973.3121500000016</c:v>
                </c:pt>
                <c:pt idx="18">
                  <c:v>9038.9096500000014</c:v>
                </c:pt>
                <c:pt idx="19">
                  <c:v>9953.6304500000006</c:v>
                </c:pt>
                <c:pt idx="20">
                  <c:v>10024.028620000001</c:v>
                </c:pt>
                <c:pt idx="21">
                  <c:v>10094.426790000001</c:v>
                </c:pt>
                <c:pt idx="22">
                  <c:v>12038.475550000001</c:v>
                </c:pt>
                <c:pt idx="23">
                  <c:v>12108.873720000001</c:v>
                </c:pt>
                <c:pt idx="24">
                  <c:v>12179.271890000002</c:v>
                </c:pt>
                <c:pt idx="25">
                  <c:v>12951.721470000002</c:v>
                </c:pt>
                <c:pt idx="26">
                  <c:v>13022.119640000003</c:v>
                </c:pt>
                <c:pt idx="27">
                  <c:v>13092.517810000003</c:v>
                </c:pt>
                <c:pt idx="28">
                  <c:v>13864.967390000003</c:v>
                </c:pt>
                <c:pt idx="29">
                  <c:v>13935.365560000004</c:v>
                </c:pt>
              </c:numCache>
            </c:numRef>
          </c:val>
          <c:smooth val="0"/>
          <c:extLst>
            <c:ext xmlns:c16="http://schemas.microsoft.com/office/drawing/2014/chart" uri="{C3380CC4-5D6E-409C-BE32-E72D297353CC}">
              <c16:uniqueId val="{00000002-263B-4B93-8FF6-88860580AFF9}"/>
            </c:ext>
          </c:extLst>
        </c:ser>
        <c:ser>
          <c:idx val="4"/>
          <c:order val="4"/>
          <c:tx>
            <c:strRef>
              <c:f>Sheet1!$A$8</c:f>
              <c:strCache>
                <c:ptCount val="1"/>
                <c:pt idx="0">
                  <c:v>Gastos acumulados reales (miles CHF)</c:v>
                </c:pt>
              </c:strCache>
            </c:strRef>
          </c:tx>
          <c:spPr>
            <a:ln w="28575" cap="rnd">
              <a:solidFill>
                <a:srgbClr val="C00000"/>
              </a:solidFill>
              <a:round/>
            </a:ln>
            <a:effectLst/>
          </c:spPr>
          <c:marker>
            <c:symbol val="none"/>
          </c:marker>
          <c:dPt>
            <c:idx val="1"/>
            <c:marker>
              <c:symbol val="none"/>
            </c:marker>
            <c:bubble3D val="0"/>
            <c:spPr>
              <a:ln w="38100" cap="rnd">
                <a:solidFill>
                  <a:srgbClr val="C00000"/>
                </a:solidFill>
                <a:round/>
              </a:ln>
              <a:effectLst/>
            </c:spPr>
            <c:extLst>
              <c:ext xmlns:c16="http://schemas.microsoft.com/office/drawing/2014/chart" uri="{C3380CC4-5D6E-409C-BE32-E72D297353CC}">
                <c16:uniqueId val="{00000004-263B-4B93-8FF6-88860580AFF9}"/>
              </c:ext>
            </c:extLst>
          </c:dPt>
          <c:cat>
            <c:strRef>
              <c:f>Sheet1!$B$3:$AE$3</c:f>
              <c:strCache>
                <c:ptCount val="30"/>
                <c:pt idx="0">
                  <c:v>jul.-19</c:v>
                </c:pt>
                <c:pt idx="1">
                  <c:v>ago.-19</c:v>
                </c:pt>
                <c:pt idx="2">
                  <c:v>sep.-19</c:v>
                </c:pt>
                <c:pt idx="3">
                  <c:v>oct.-19</c:v>
                </c:pt>
                <c:pt idx="4">
                  <c:v>nov.-19</c:v>
                </c:pt>
                <c:pt idx="5">
                  <c:v>dic.-19</c:v>
                </c:pt>
                <c:pt idx="6">
                  <c:v>ene.-20</c:v>
                </c:pt>
                <c:pt idx="7">
                  <c:v>feb.-20</c:v>
                </c:pt>
                <c:pt idx="8">
                  <c:v>mar.-20</c:v>
                </c:pt>
                <c:pt idx="9">
                  <c:v>abr.-20</c:v>
                </c:pt>
                <c:pt idx="10">
                  <c:v>may.-20</c:v>
                </c:pt>
                <c:pt idx="11">
                  <c:v>jun.-20</c:v>
                </c:pt>
                <c:pt idx="12">
                  <c:v>jul.-20</c:v>
                </c:pt>
                <c:pt idx="13">
                  <c:v>ago.-20</c:v>
                </c:pt>
                <c:pt idx="14">
                  <c:v>sep.-20</c:v>
                </c:pt>
                <c:pt idx="15">
                  <c:v>oct.-20</c:v>
                </c:pt>
                <c:pt idx="16">
                  <c:v>nov.-20</c:v>
                </c:pt>
                <c:pt idx="17">
                  <c:v>dic.-20</c:v>
                </c:pt>
                <c:pt idx="18">
                  <c:v>ene.-21</c:v>
                </c:pt>
                <c:pt idx="19">
                  <c:v>feb.-21</c:v>
                </c:pt>
                <c:pt idx="20">
                  <c:v>mar.-21</c:v>
                </c:pt>
                <c:pt idx="21">
                  <c:v>abr.-21</c:v>
                </c:pt>
                <c:pt idx="22">
                  <c:v>may.-21</c:v>
                </c:pt>
                <c:pt idx="23">
                  <c:v>jun.-21</c:v>
                </c:pt>
                <c:pt idx="24">
                  <c:v>jul.-21</c:v>
                </c:pt>
                <c:pt idx="25">
                  <c:v>ago.-21</c:v>
                </c:pt>
                <c:pt idx="26">
                  <c:v>sep.-21</c:v>
                </c:pt>
                <c:pt idx="27">
                  <c:v>oct.-21</c:v>
                </c:pt>
                <c:pt idx="28">
                  <c:v>nov.-21</c:v>
                </c:pt>
                <c:pt idx="29">
                  <c:v>dic.-21</c:v>
                </c:pt>
              </c:strCache>
            </c:strRef>
          </c:cat>
          <c:val>
            <c:numRef>
              <c:f>Sheet1!$B$8:$AE$8</c:f>
              <c:numCache>
                <c:formatCode>#\ ##0_ ;\-#,##0\ </c:formatCode>
                <c:ptCount val="30"/>
                <c:pt idx="0">
                  <c:v>3095.3897400000005</c:v>
                </c:pt>
                <c:pt idx="1">
                  <c:v>3523.2139400000005</c:v>
                </c:pt>
                <c:pt idx="2">
                  <c:v>4016.3761100000006</c:v>
                </c:pt>
                <c:pt idx="3">
                  <c:v>4173.9676800000007</c:v>
                </c:pt>
                <c:pt idx="4">
                  <c:v>4685.6032300000006</c:v>
                </c:pt>
                <c:pt idx="5">
                  <c:v>4772.2166800000005</c:v>
                </c:pt>
                <c:pt idx="6">
                  <c:v>4858.8301300000003</c:v>
                </c:pt>
                <c:pt idx="7">
                  <c:v>5776.9492600000003</c:v>
                </c:pt>
                <c:pt idx="8">
                  <c:v>5842.5667600000006</c:v>
                </c:pt>
                <c:pt idx="9">
                  <c:v>5908.1642600000005</c:v>
                </c:pt>
              </c:numCache>
            </c:numRef>
          </c:val>
          <c:smooth val="0"/>
          <c:extLst>
            <c:ext xmlns:c16="http://schemas.microsoft.com/office/drawing/2014/chart" uri="{C3380CC4-5D6E-409C-BE32-E72D297353CC}">
              <c16:uniqueId val="{00000005-263B-4B93-8FF6-88860580AFF9}"/>
            </c:ext>
          </c:extLst>
        </c:ser>
        <c:ser>
          <c:idx val="6"/>
          <c:order val="6"/>
          <c:tx>
            <c:strRef>
              <c:f>Sheet1!$A$10</c:f>
              <c:strCache>
                <c:ptCount val="1"/>
                <c:pt idx="0">
                  <c:v>Provisión para contingencias (miles CHF)</c:v>
                </c:pt>
              </c:strCache>
            </c:strRef>
          </c:tx>
          <c:spPr>
            <a:ln w="50800" cap="rnd">
              <a:solidFill>
                <a:schemeClr val="accent6">
                  <a:lumMod val="75000"/>
                </a:schemeClr>
              </a:solidFill>
              <a:round/>
            </a:ln>
            <a:effectLst/>
          </c:spPr>
          <c:marker>
            <c:symbol val="none"/>
          </c:marker>
          <c:dPt>
            <c:idx val="2"/>
            <c:marker>
              <c:symbol val="none"/>
            </c:marker>
            <c:bubble3D val="0"/>
            <c:extLst>
              <c:ext xmlns:c16="http://schemas.microsoft.com/office/drawing/2014/chart" uri="{C3380CC4-5D6E-409C-BE32-E72D297353CC}">
                <c16:uniqueId val="{00000006-263B-4B93-8FF6-88860580AFF9}"/>
              </c:ext>
            </c:extLst>
          </c:dPt>
          <c:dLbls>
            <c:dLbl>
              <c:idx val="3"/>
              <c:layout>
                <c:manualLayout>
                  <c:x val="-3.4326460828326508E-2"/>
                  <c:y val="5.93729709795442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63B-4B93-8FF6-88860580AFF9}"/>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19050" cap="flat" cmpd="sng" algn="ctr">
                      <a:solidFill>
                        <a:schemeClr val="tx1"/>
                      </a:solidFill>
                      <a:round/>
                    </a:ln>
                    <a:effectLst/>
                  </c:spPr>
                </c15:leaderLines>
              </c:ext>
            </c:extLst>
          </c:dLbls>
          <c:cat>
            <c:strRef>
              <c:f>Sheet1!$B$3:$AE$3</c:f>
              <c:strCache>
                <c:ptCount val="30"/>
                <c:pt idx="0">
                  <c:v>jul.-19</c:v>
                </c:pt>
                <c:pt idx="1">
                  <c:v>ago.-19</c:v>
                </c:pt>
                <c:pt idx="2">
                  <c:v>sep.-19</c:v>
                </c:pt>
                <c:pt idx="3">
                  <c:v>oct.-19</c:v>
                </c:pt>
                <c:pt idx="4">
                  <c:v>nov.-19</c:v>
                </c:pt>
                <c:pt idx="5">
                  <c:v>dic.-19</c:v>
                </c:pt>
                <c:pt idx="6">
                  <c:v>ene.-20</c:v>
                </c:pt>
                <c:pt idx="7">
                  <c:v>feb.-20</c:v>
                </c:pt>
                <c:pt idx="8">
                  <c:v>mar.-20</c:v>
                </c:pt>
                <c:pt idx="9">
                  <c:v>abr.-20</c:v>
                </c:pt>
                <c:pt idx="10">
                  <c:v>may.-20</c:v>
                </c:pt>
                <c:pt idx="11">
                  <c:v>jun.-20</c:v>
                </c:pt>
                <c:pt idx="12">
                  <c:v>jul.-20</c:v>
                </c:pt>
                <c:pt idx="13">
                  <c:v>ago.-20</c:v>
                </c:pt>
                <c:pt idx="14">
                  <c:v>sep.-20</c:v>
                </c:pt>
                <c:pt idx="15">
                  <c:v>oct.-20</c:v>
                </c:pt>
                <c:pt idx="16">
                  <c:v>nov.-20</c:v>
                </c:pt>
                <c:pt idx="17">
                  <c:v>dic.-20</c:v>
                </c:pt>
                <c:pt idx="18">
                  <c:v>ene.-21</c:v>
                </c:pt>
                <c:pt idx="19">
                  <c:v>feb.-21</c:v>
                </c:pt>
                <c:pt idx="20">
                  <c:v>mar.-21</c:v>
                </c:pt>
                <c:pt idx="21">
                  <c:v>abr.-21</c:v>
                </c:pt>
                <c:pt idx="22">
                  <c:v>may.-21</c:v>
                </c:pt>
                <c:pt idx="23">
                  <c:v>jun.-21</c:v>
                </c:pt>
                <c:pt idx="24">
                  <c:v>jul.-21</c:v>
                </c:pt>
                <c:pt idx="25">
                  <c:v>ago.-21</c:v>
                </c:pt>
                <c:pt idx="26">
                  <c:v>sep.-21</c:v>
                </c:pt>
                <c:pt idx="27">
                  <c:v>oct.-21</c:v>
                </c:pt>
                <c:pt idx="28">
                  <c:v>nov.-21</c:v>
                </c:pt>
                <c:pt idx="29">
                  <c:v>dic.-21</c:v>
                </c:pt>
              </c:strCache>
            </c:strRef>
          </c:cat>
          <c:val>
            <c:numRef>
              <c:f>Sheet1!$B$10:$AE$10</c:f>
              <c:numCache>
                <c:formatCode>#\ ##0_ ;\-#,##0\ </c:formatCode>
                <c:ptCount val="30"/>
                <c:pt idx="0">
                  <c:v>12600</c:v>
                </c:pt>
                <c:pt idx="1">
                  <c:v>12600</c:v>
                </c:pt>
                <c:pt idx="2">
                  <c:v>12600</c:v>
                </c:pt>
                <c:pt idx="3">
                  <c:v>12600</c:v>
                </c:pt>
                <c:pt idx="4">
                  <c:v>12600</c:v>
                </c:pt>
                <c:pt idx="5">
                  <c:v>12600</c:v>
                </c:pt>
                <c:pt idx="6">
                  <c:v>12600</c:v>
                </c:pt>
                <c:pt idx="7">
                  <c:v>12600</c:v>
                </c:pt>
                <c:pt idx="8">
                  <c:v>12600</c:v>
                </c:pt>
                <c:pt idx="9">
                  <c:v>12600</c:v>
                </c:pt>
              </c:numCache>
            </c:numRef>
          </c:val>
          <c:smooth val="0"/>
          <c:extLst>
            <c:ext xmlns:c16="http://schemas.microsoft.com/office/drawing/2014/chart" uri="{C3380CC4-5D6E-409C-BE32-E72D297353CC}">
              <c16:uniqueId val="{00000008-263B-4B93-8FF6-88860580AFF9}"/>
            </c:ext>
          </c:extLst>
        </c:ser>
        <c:ser>
          <c:idx val="5"/>
          <c:order val="5"/>
          <c:tx>
            <c:strRef>
              <c:f>Sheet1!$A$9</c:f>
              <c:strCache>
                <c:ptCount val="1"/>
                <c:pt idx="0">
                  <c:v>Valor del riesgo estimado (miles CHF)</c:v>
                </c:pt>
              </c:strCache>
            </c:strRef>
          </c:tx>
          <c:spPr>
            <a:ln w="28575" cap="rnd">
              <a:solidFill>
                <a:schemeClr val="tx1">
                  <a:lumMod val="95000"/>
                  <a:lumOff val="5000"/>
                </a:schemeClr>
              </a:solidFill>
              <a:prstDash val="lgDash"/>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9-263B-4B93-8FF6-88860580AFF9}"/>
                </c:ext>
              </c:extLst>
            </c:dLbl>
            <c:dLbl>
              <c:idx val="1"/>
              <c:delete val="1"/>
              <c:extLst>
                <c:ext xmlns:c15="http://schemas.microsoft.com/office/drawing/2012/chart" uri="{CE6537A1-D6FC-4f65-9D91-7224C49458BB}"/>
                <c:ext xmlns:c16="http://schemas.microsoft.com/office/drawing/2014/chart" uri="{C3380CC4-5D6E-409C-BE32-E72D297353CC}">
                  <c16:uniqueId val="{0000000A-263B-4B93-8FF6-88860580AFF9}"/>
                </c:ext>
              </c:extLst>
            </c:dLbl>
            <c:dLbl>
              <c:idx val="2"/>
              <c:delete val="1"/>
              <c:extLst>
                <c:ext xmlns:c15="http://schemas.microsoft.com/office/drawing/2012/chart" uri="{CE6537A1-D6FC-4f65-9D91-7224C49458BB}"/>
                <c:ext xmlns:c16="http://schemas.microsoft.com/office/drawing/2014/chart" uri="{C3380CC4-5D6E-409C-BE32-E72D297353CC}">
                  <c16:uniqueId val="{0000000B-263B-4B93-8FF6-88860580AFF9}"/>
                </c:ext>
              </c:extLst>
            </c:dLbl>
            <c:dLbl>
              <c:idx val="3"/>
              <c:layout>
                <c:manualLayout>
                  <c:x val="2.590899138904908E-2"/>
                  <c:y val="-7.73229389501040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63B-4B93-8FF6-88860580AFF9}"/>
                </c:ext>
              </c:extLst>
            </c:dLbl>
            <c:dLbl>
              <c:idx val="4"/>
              <c:layout>
                <c:manualLayout>
                  <c:x val="2.8722477180513475E-2"/>
                  <c:y val="-3.58999359411197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63B-4B93-8FF6-88860580AFF9}"/>
                </c:ext>
              </c:extLst>
            </c:dLbl>
            <c:dLbl>
              <c:idx val="5"/>
              <c:delete val="1"/>
              <c:extLst>
                <c:ext xmlns:c15="http://schemas.microsoft.com/office/drawing/2012/chart" uri="{CE6537A1-D6FC-4f65-9D91-7224C49458BB}"/>
                <c:ext xmlns:c16="http://schemas.microsoft.com/office/drawing/2014/chart" uri="{C3380CC4-5D6E-409C-BE32-E72D297353CC}">
                  <c16:uniqueId val="{0000000E-263B-4B93-8FF6-88860580AFF9}"/>
                </c:ext>
              </c:extLst>
            </c:dLbl>
            <c:dLbl>
              <c:idx val="6"/>
              <c:layout>
                <c:manualLayout>
                  <c:x val="-3.6788408288153103E-3"/>
                  <c:y val="2.7615335339322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63B-4B93-8FF6-88860580AFF9}"/>
                </c:ext>
              </c:extLst>
            </c:dLbl>
            <c:dLbl>
              <c:idx val="7"/>
              <c:layout>
                <c:manualLayout>
                  <c:x val="1.2044909785376565E-2"/>
                  <c:y val="-3.86614694750520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63B-4B93-8FF6-88860580AFF9}"/>
                </c:ext>
              </c:extLst>
            </c:dLbl>
            <c:dLbl>
              <c:idx val="8"/>
              <c:layout>
                <c:manualLayout>
                  <c:x val="1.8530630439040974E-3"/>
                  <c:y val="-2.76153353393228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63B-4B93-8FF6-88860580AFF9}"/>
                </c:ext>
              </c:extLst>
            </c:dLbl>
            <c:dLbl>
              <c:idx val="9"/>
              <c:layout>
                <c:manualLayout>
                  <c:x val="2.872247718051344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63B-4B93-8FF6-88860580AFF9}"/>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Sheet1!$B$3:$AE$3</c:f>
              <c:strCache>
                <c:ptCount val="30"/>
                <c:pt idx="0">
                  <c:v>jul.-19</c:v>
                </c:pt>
                <c:pt idx="1">
                  <c:v>ago.-19</c:v>
                </c:pt>
                <c:pt idx="2">
                  <c:v>sep.-19</c:v>
                </c:pt>
                <c:pt idx="3">
                  <c:v>oct.-19</c:v>
                </c:pt>
                <c:pt idx="4">
                  <c:v>nov.-19</c:v>
                </c:pt>
                <c:pt idx="5">
                  <c:v>dic.-19</c:v>
                </c:pt>
                <c:pt idx="6">
                  <c:v>ene.-20</c:v>
                </c:pt>
                <c:pt idx="7">
                  <c:v>feb.-20</c:v>
                </c:pt>
                <c:pt idx="8">
                  <c:v>mar.-20</c:v>
                </c:pt>
                <c:pt idx="9">
                  <c:v>abr.-20</c:v>
                </c:pt>
                <c:pt idx="10">
                  <c:v>may.-20</c:v>
                </c:pt>
                <c:pt idx="11">
                  <c:v>jun.-20</c:v>
                </c:pt>
                <c:pt idx="12">
                  <c:v>jul.-20</c:v>
                </c:pt>
                <c:pt idx="13">
                  <c:v>ago.-20</c:v>
                </c:pt>
                <c:pt idx="14">
                  <c:v>sep.-20</c:v>
                </c:pt>
                <c:pt idx="15">
                  <c:v>oct.-20</c:v>
                </c:pt>
                <c:pt idx="16">
                  <c:v>nov.-20</c:v>
                </c:pt>
                <c:pt idx="17">
                  <c:v>dic.-20</c:v>
                </c:pt>
                <c:pt idx="18">
                  <c:v>ene.-21</c:v>
                </c:pt>
                <c:pt idx="19">
                  <c:v>feb.-21</c:v>
                </c:pt>
                <c:pt idx="20">
                  <c:v>mar.-21</c:v>
                </c:pt>
                <c:pt idx="21">
                  <c:v>abr.-21</c:v>
                </c:pt>
                <c:pt idx="22">
                  <c:v>may.-21</c:v>
                </c:pt>
                <c:pt idx="23">
                  <c:v>jun.-21</c:v>
                </c:pt>
                <c:pt idx="24">
                  <c:v>jul.-21</c:v>
                </c:pt>
                <c:pt idx="25">
                  <c:v>ago.-21</c:v>
                </c:pt>
                <c:pt idx="26">
                  <c:v>sep.-21</c:v>
                </c:pt>
                <c:pt idx="27">
                  <c:v>oct.-21</c:v>
                </c:pt>
                <c:pt idx="28">
                  <c:v>nov.-21</c:v>
                </c:pt>
                <c:pt idx="29">
                  <c:v>dic.-21</c:v>
                </c:pt>
              </c:strCache>
            </c:strRef>
          </c:cat>
          <c:val>
            <c:numRef>
              <c:f>Sheet1!$B$9:$AE$9</c:f>
              <c:numCache>
                <c:formatCode>#\ ##0_ ;\-#,##0\ </c:formatCode>
                <c:ptCount val="30"/>
                <c:pt idx="0">
                  <c:v>19274.683000000001</c:v>
                </c:pt>
                <c:pt idx="1">
                  <c:v>19274.683000000001</c:v>
                </c:pt>
                <c:pt idx="2">
                  <c:v>13405.797</c:v>
                </c:pt>
                <c:pt idx="3">
                  <c:v>13405.797</c:v>
                </c:pt>
                <c:pt idx="4">
                  <c:v>13003.637000000001</c:v>
                </c:pt>
                <c:pt idx="5">
                  <c:v>13003.637000000001</c:v>
                </c:pt>
                <c:pt idx="6">
                  <c:v>12353.357</c:v>
                </c:pt>
                <c:pt idx="7">
                  <c:v>12856.136</c:v>
                </c:pt>
                <c:pt idx="8">
                  <c:v>15297.387000000001</c:v>
                </c:pt>
                <c:pt idx="9">
                  <c:v>15297.387000000001</c:v>
                </c:pt>
              </c:numCache>
            </c:numRef>
          </c:val>
          <c:smooth val="0"/>
          <c:extLst>
            <c:ext xmlns:c16="http://schemas.microsoft.com/office/drawing/2014/chart" uri="{C3380CC4-5D6E-409C-BE32-E72D297353CC}">
              <c16:uniqueId val="{00000013-263B-4B93-8FF6-88860580AFF9}"/>
            </c:ext>
          </c:extLst>
        </c:ser>
        <c:dLbls>
          <c:showLegendKey val="0"/>
          <c:showVal val="0"/>
          <c:showCatName val="0"/>
          <c:showSerName val="0"/>
          <c:showPercent val="0"/>
          <c:showBubbleSize val="0"/>
        </c:dLbls>
        <c:marker val="1"/>
        <c:smooth val="0"/>
        <c:axId val="639224216"/>
        <c:axId val="645951312"/>
        <c:extLst>
          <c:ext xmlns:c15="http://schemas.microsoft.com/office/drawing/2012/chart" uri="{02D57815-91ED-43cb-92C2-25804820EDAC}">
            <c15:filteredLineSeries>
              <c15:ser>
                <c:idx val="0"/>
                <c:order val="0"/>
                <c:tx>
                  <c:strRef>
                    <c:extLst>
                      <c:ext uri="{02D57815-91ED-43cb-92C2-25804820EDAC}">
                        <c15:formulaRef>
                          <c15:sqref>Sheet1!$A$4</c15:sqref>
                        </c15:formulaRef>
                      </c:ext>
                    </c:extLst>
                    <c:strCache>
                      <c:ptCount val="1"/>
                      <c:pt idx="0">
                        <c:v>Presupuesto disponible (miles CHF)</c:v>
                      </c:pt>
                    </c:strCache>
                  </c:strRef>
                </c:tx>
                <c:spPr>
                  <a:ln w="28575" cap="rnd">
                    <a:solidFill>
                      <a:schemeClr val="accent1"/>
                    </a:solidFill>
                    <a:round/>
                  </a:ln>
                  <a:effectLst/>
                </c:spPr>
                <c:marker>
                  <c:symbol val="none"/>
                </c:marker>
                <c:cat>
                  <c:strRef>
                    <c:extLst>
                      <c:ext uri="{02D57815-91ED-43cb-92C2-25804820EDAC}">
                        <c15:formulaRef>
                          <c15:sqref>Sheet1!$B$3:$AE$3</c15:sqref>
                        </c15:formulaRef>
                      </c:ext>
                    </c:extLst>
                    <c:strCache>
                      <c:ptCount val="30"/>
                      <c:pt idx="0">
                        <c:v>jul.-19</c:v>
                      </c:pt>
                      <c:pt idx="1">
                        <c:v>ago.-19</c:v>
                      </c:pt>
                      <c:pt idx="2">
                        <c:v>sep.-19</c:v>
                      </c:pt>
                      <c:pt idx="3">
                        <c:v>oct.-19</c:v>
                      </c:pt>
                      <c:pt idx="4">
                        <c:v>nov.-19</c:v>
                      </c:pt>
                      <c:pt idx="5">
                        <c:v>dic.-19</c:v>
                      </c:pt>
                      <c:pt idx="6">
                        <c:v>ene.-20</c:v>
                      </c:pt>
                      <c:pt idx="7">
                        <c:v>feb.-20</c:v>
                      </c:pt>
                      <c:pt idx="8">
                        <c:v>mar.-20</c:v>
                      </c:pt>
                      <c:pt idx="9">
                        <c:v>abr.-20</c:v>
                      </c:pt>
                      <c:pt idx="10">
                        <c:v>may.-20</c:v>
                      </c:pt>
                      <c:pt idx="11">
                        <c:v>jun.-20</c:v>
                      </c:pt>
                      <c:pt idx="12">
                        <c:v>jul.-20</c:v>
                      </c:pt>
                      <c:pt idx="13">
                        <c:v>ago.-20</c:v>
                      </c:pt>
                      <c:pt idx="14">
                        <c:v>sep.-20</c:v>
                      </c:pt>
                      <c:pt idx="15">
                        <c:v>oct.-20</c:v>
                      </c:pt>
                      <c:pt idx="16">
                        <c:v>nov.-20</c:v>
                      </c:pt>
                      <c:pt idx="17">
                        <c:v>dic.-20</c:v>
                      </c:pt>
                      <c:pt idx="18">
                        <c:v>ene.-21</c:v>
                      </c:pt>
                      <c:pt idx="19">
                        <c:v>feb.-21</c:v>
                      </c:pt>
                      <c:pt idx="20">
                        <c:v>mar.-21</c:v>
                      </c:pt>
                      <c:pt idx="21">
                        <c:v>abr.-21</c:v>
                      </c:pt>
                      <c:pt idx="22">
                        <c:v>may.-21</c:v>
                      </c:pt>
                      <c:pt idx="23">
                        <c:v>jun.-21</c:v>
                      </c:pt>
                      <c:pt idx="24">
                        <c:v>jul.-21</c:v>
                      </c:pt>
                      <c:pt idx="25">
                        <c:v>ago.-21</c:v>
                      </c:pt>
                      <c:pt idx="26">
                        <c:v>sep.-21</c:v>
                      </c:pt>
                      <c:pt idx="27">
                        <c:v>oct.-21</c:v>
                      </c:pt>
                      <c:pt idx="28">
                        <c:v>nov.-21</c:v>
                      </c:pt>
                      <c:pt idx="29">
                        <c:v>dic.-21</c:v>
                      </c:pt>
                    </c:strCache>
                  </c:strRef>
                </c:cat>
                <c:val>
                  <c:numRef>
                    <c:extLst>
                      <c:ext uri="{02D57815-91ED-43cb-92C2-25804820EDAC}">
                        <c15:formulaRef>
                          <c15:sqref>Sheet1!$B$4:$AE$4</c15:sqref>
                        </c15:formulaRef>
                      </c:ext>
                    </c:extLst>
                    <c:numCache>
                      <c:formatCode>#\ ##0_ ;\-#,##0\ </c:formatCode>
                      <c:ptCount val="30"/>
                      <c:pt idx="0">
                        <c:v>170139</c:v>
                      </c:pt>
                      <c:pt idx="1">
                        <c:v>170139</c:v>
                      </c:pt>
                      <c:pt idx="2">
                        <c:v>170139</c:v>
                      </c:pt>
                      <c:pt idx="3">
                        <c:v>170139</c:v>
                      </c:pt>
                      <c:pt idx="4">
                        <c:v>170139</c:v>
                      </c:pt>
                      <c:pt idx="5">
                        <c:v>170139</c:v>
                      </c:pt>
                      <c:pt idx="6">
                        <c:v>170139</c:v>
                      </c:pt>
                      <c:pt idx="7">
                        <c:v>170139</c:v>
                      </c:pt>
                      <c:pt idx="8">
                        <c:v>170139</c:v>
                      </c:pt>
                      <c:pt idx="9">
                        <c:v>170139</c:v>
                      </c:pt>
                      <c:pt idx="10">
                        <c:v>170139</c:v>
                      </c:pt>
                      <c:pt idx="11">
                        <c:v>170139</c:v>
                      </c:pt>
                      <c:pt idx="12">
                        <c:v>170139</c:v>
                      </c:pt>
                      <c:pt idx="13">
                        <c:v>170139</c:v>
                      </c:pt>
                      <c:pt idx="14">
                        <c:v>170139</c:v>
                      </c:pt>
                      <c:pt idx="15">
                        <c:v>170139</c:v>
                      </c:pt>
                      <c:pt idx="16">
                        <c:v>170139</c:v>
                      </c:pt>
                      <c:pt idx="17">
                        <c:v>170139</c:v>
                      </c:pt>
                      <c:pt idx="18">
                        <c:v>170139</c:v>
                      </c:pt>
                      <c:pt idx="19">
                        <c:v>170139</c:v>
                      </c:pt>
                      <c:pt idx="20">
                        <c:v>170139</c:v>
                      </c:pt>
                      <c:pt idx="21">
                        <c:v>170139</c:v>
                      </c:pt>
                      <c:pt idx="22">
                        <c:v>170139</c:v>
                      </c:pt>
                      <c:pt idx="23">
                        <c:v>170139</c:v>
                      </c:pt>
                      <c:pt idx="24">
                        <c:v>170139</c:v>
                      </c:pt>
                      <c:pt idx="25">
                        <c:v>170139</c:v>
                      </c:pt>
                      <c:pt idx="26">
                        <c:v>170139</c:v>
                      </c:pt>
                      <c:pt idx="27">
                        <c:v>170139</c:v>
                      </c:pt>
                      <c:pt idx="28">
                        <c:v>170139</c:v>
                      </c:pt>
                      <c:pt idx="29">
                        <c:v>170139</c:v>
                      </c:pt>
                    </c:numCache>
                  </c:numRef>
                </c:val>
                <c:smooth val="0"/>
                <c:extLst>
                  <c:ext xmlns:c16="http://schemas.microsoft.com/office/drawing/2014/chart" uri="{C3380CC4-5D6E-409C-BE32-E72D297353CC}">
                    <c16:uniqueId val="{00000014-263B-4B93-8FF6-88860580AFF9}"/>
                  </c:ext>
                </c:extLst>
              </c15:ser>
            </c15:filteredLineSeries>
          </c:ext>
        </c:extLst>
      </c:lineChart>
      <c:valAx>
        <c:axId val="533777872"/>
        <c:scaling>
          <c:orientation val="minMax"/>
          <c:max val="2000"/>
        </c:scaling>
        <c:delete val="0"/>
        <c:axPos val="r"/>
        <c:title>
          <c:tx>
            <c:rich>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r>
                  <a:rPr lang="en-US" sz="800" b="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Eje de lectura de los compromisos mensuales  (miles CHF)</a:t>
                </a:r>
              </a:p>
            </c:rich>
          </c:tx>
          <c:layout>
            <c:manualLayout>
              <c:xMode val="edge"/>
              <c:yMode val="edge"/>
              <c:x val="0.97522237761626362"/>
              <c:y val="0.31552662444492091"/>
            </c:manualLayout>
          </c:layout>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title>
        <c:numFmt formatCode="#\ ##0_ ;\-#,##0\ "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400" b="0" i="0" u="none" strike="noStrike" kern="1200" baseline="0">
                <a:ln>
                  <a:noFill/>
                </a:ln>
                <a:solidFill>
                  <a:schemeClr val="tx1">
                    <a:lumMod val="65000"/>
                    <a:lumOff val="35000"/>
                  </a:schemeClr>
                </a:solidFill>
                <a:latin typeface="+mn-lt"/>
                <a:ea typeface="+mn-ea"/>
                <a:cs typeface="+mn-cs"/>
              </a:defRPr>
            </a:pPr>
            <a:endParaRPr lang="en-US"/>
          </a:p>
        </c:txPr>
        <c:crossAx val="533792632"/>
        <c:crosses val="max"/>
        <c:crossBetween val="between"/>
        <c:majorUnit val="100"/>
      </c:valAx>
      <c:catAx>
        <c:axId val="53379263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533777872"/>
        <c:crosses val="autoZero"/>
        <c:auto val="0"/>
        <c:lblAlgn val="ctr"/>
        <c:lblOffset val="100"/>
        <c:noMultiLvlLbl val="1"/>
      </c:catAx>
      <c:valAx>
        <c:axId val="645951312"/>
        <c:scaling>
          <c:orientation val="minMax"/>
          <c:max val="20000"/>
        </c:scaling>
        <c:delete val="0"/>
        <c:axPos val="l"/>
        <c:title>
          <c:tx>
            <c:rich>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r>
                  <a:rPr lang="en-US" sz="800" b="0" i="0" baseline="0">
                    <a:solidFill>
                      <a:sysClr val="windowText" lastClr="000000"/>
                    </a:solidFill>
                    <a:latin typeface="Verdana" panose="020B0604030504040204" pitchFamily="34" charset="0"/>
                    <a:ea typeface="Verdana" panose="020B0604030504040204" pitchFamily="34" charset="0"/>
                    <a:cs typeface="Verdana" panose="020B0604030504040204" pitchFamily="34" charset="0"/>
                  </a:rPr>
                  <a:t>Eje de lectura de la curva Provisión para Contingencias, Valor estimado de los riesgos y compromisos acumulados (miles CHF)</a:t>
                </a:r>
              </a:p>
            </c:rich>
          </c:tx>
          <c:layout>
            <c:manualLayout>
              <c:xMode val="edge"/>
              <c:yMode val="edge"/>
              <c:x val="6.1245329223061761E-3"/>
              <c:y val="0.17572735966517167"/>
            </c:manualLayout>
          </c:layout>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title>
        <c:numFmt formatCode="#\ ##0_ ;\-#,##0\ " sourceLinked="1"/>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639224216"/>
        <c:crosses val="autoZero"/>
        <c:crossBetween val="between"/>
        <c:majorUnit val="1000"/>
      </c:valAx>
      <c:catAx>
        <c:axId val="639224216"/>
        <c:scaling>
          <c:orientation val="minMax"/>
        </c:scaling>
        <c:delete val="1"/>
        <c:axPos val="b"/>
        <c:numFmt formatCode="General" sourceLinked="1"/>
        <c:majorTickMark val="out"/>
        <c:minorTickMark val="none"/>
        <c:tickLblPos val="nextTo"/>
        <c:crossAx val="645951312"/>
        <c:crosses val="autoZero"/>
        <c:auto val="0"/>
        <c:lblAlgn val="ctr"/>
        <c:lblOffset val="100"/>
        <c:tickLblSkip val="1"/>
        <c:tickMarkSkip val="1"/>
        <c:noMultiLvlLbl val="1"/>
      </c:catAx>
      <c:spPr>
        <a:noFill/>
        <a:ln w="25400">
          <a:noFill/>
        </a:ln>
        <a:effectLst/>
      </c:spPr>
    </c:plotArea>
    <c:legend>
      <c:legendPos val="b"/>
      <c:legendEntry>
        <c:idx val="0"/>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egendEntry>
        <c:idx val="4"/>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egendEntry>
        <c:idx val="5"/>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Entry>
      <c:layout>
        <c:manualLayout>
          <c:xMode val="edge"/>
          <c:yMode val="edge"/>
          <c:x val="3.7723737130853183E-2"/>
          <c:y val="0.93045842202795515"/>
          <c:w val="0.93526966517842691"/>
          <c:h val="6.9030436545719651E-2"/>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46061-9FFB-490E-8A2C-BA4B66417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3EAA3-6F84-4033-A6F8-282CB2016E61}">
  <ds:schemaRefs>
    <ds:schemaRef ds:uri="http://schemas.microsoft.com/sharepoint/v3/contenttype/forms"/>
  </ds:schemaRefs>
</ds:datastoreItem>
</file>

<file path=customXml/itemProps3.xml><?xml version="1.0" encoding="utf-8"?>
<ds:datastoreItem xmlns:ds="http://schemas.openxmlformats.org/officeDocument/2006/customXml" ds:itemID="{9293034A-B6CF-41EE-982D-0A616DD0CB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EAB92D-231C-4B7D-8765-80240078A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0</TotalTime>
  <Pages>15</Pages>
  <Words>4517</Words>
  <Characters>25660</Characters>
  <Application>Microsoft Office Word</Application>
  <DocSecurity>4</DocSecurity>
  <Lines>213</Lines>
  <Paragraphs>60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30117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este Informe se da cuenta de los avances registrados hasta la fecha en relación con el diseño y la construcción del proyecto de la Sede de la Unión.</dc:title>
  <dc:subject>Consejo 2020</dc:subject>
  <dc:creator>Spanish</dc:creator>
  <cp:keywords>C2020, C20</cp:keywords>
  <dc:description/>
  <cp:lastModifiedBy>Brouard, Ricarda</cp:lastModifiedBy>
  <cp:revision>2</cp:revision>
  <cp:lastPrinted>2006-03-24T09:51:00Z</cp:lastPrinted>
  <dcterms:created xsi:type="dcterms:W3CDTF">2020-05-25T06:55:00Z</dcterms:created>
  <dcterms:modified xsi:type="dcterms:W3CDTF">2020-05-25T06:55:00Z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