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B6F2C" w14:paraId="4BDCBA0E" w14:textId="77777777">
        <w:trPr>
          <w:cantSplit/>
        </w:trPr>
        <w:tc>
          <w:tcPr>
            <w:tcW w:w="6911" w:type="dxa"/>
          </w:tcPr>
          <w:p w14:paraId="3412A51F" w14:textId="564DBD19" w:rsidR="00BC7BC0" w:rsidRPr="00DB6F2C" w:rsidRDefault="000569B4" w:rsidP="0013531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B6F2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A64DB7" w:rsidRPr="00DB6F2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DB6F2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4734F" w:rsidRPr="00DB6F2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14734F" w:rsidRPr="00DB6F2C">
              <w:rPr>
                <w:b/>
                <w:bCs/>
                <w:szCs w:val="22"/>
                <w:lang w:val="ru-RU"/>
              </w:rPr>
              <w:t xml:space="preserve">, </w:t>
            </w:r>
            <w:r w:rsidR="00A64DB7" w:rsidRPr="00DB6F2C">
              <w:rPr>
                <w:b/>
                <w:bCs/>
                <w:szCs w:val="22"/>
                <w:lang w:val="ru-RU"/>
              </w:rPr>
              <w:t>9–19 июня 2020</w:t>
            </w:r>
            <w:r w:rsidR="0014734F" w:rsidRPr="00DB6F2C">
              <w:rPr>
                <w:b/>
                <w:bCs/>
                <w:szCs w:val="22"/>
                <w:lang w:val="ru-RU"/>
              </w:rPr>
              <w:t xml:space="preserve"> г</w:t>
            </w:r>
            <w:r w:rsidR="00E6402F" w:rsidRPr="00DB6F2C">
              <w:rPr>
                <w:b/>
                <w:bCs/>
                <w:szCs w:val="22"/>
                <w:lang w:val="ru-RU"/>
              </w:rPr>
              <w:t>ода</w:t>
            </w:r>
          </w:p>
        </w:tc>
        <w:tc>
          <w:tcPr>
            <w:tcW w:w="3120" w:type="dxa"/>
          </w:tcPr>
          <w:p w14:paraId="4A5577AB" w14:textId="69EE11DA" w:rsidR="00BC7BC0" w:rsidRPr="00DB6F2C" w:rsidRDefault="0013531C" w:rsidP="0013531C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DB6F2C">
              <w:rPr>
                <w:noProof/>
                <w:lang w:val="ru-RU" w:eastAsia="ru-RU"/>
              </w:rPr>
              <w:drawing>
                <wp:inline distT="0" distB="0" distL="0" distR="0" wp14:anchorId="6D2FCFEE" wp14:editId="5E48C1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B6F2C" w14:paraId="4DE4424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DA8A3E" w14:textId="77777777" w:rsidR="00BC7BC0" w:rsidRPr="00DB6F2C" w:rsidRDefault="00BC7BC0" w:rsidP="0013531C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3F66096" w14:textId="77777777" w:rsidR="00BC7BC0" w:rsidRPr="00DB6F2C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DB6F2C" w14:paraId="164C58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CF1A92" w14:textId="77777777" w:rsidR="00BC7BC0" w:rsidRPr="00DB6F2C" w:rsidRDefault="00BC7BC0" w:rsidP="0013531C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B3425" w14:textId="77777777" w:rsidR="00BC7BC0" w:rsidRPr="00DB6F2C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DB6F2C" w14:paraId="534414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9FA05EF" w14:textId="655CB937" w:rsidR="00BC7BC0" w:rsidRPr="00DB6F2C" w:rsidRDefault="00BC7BC0" w:rsidP="0013531C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DB6F2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B6F2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90867" w:rsidRPr="00DB6F2C">
              <w:rPr>
                <w:rFonts w:asciiTheme="minorHAnsi" w:hAnsiTheme="minorHAnsi"/>
                <w:b/>
                <w:lang w:val="ru-RU"/>
              </w:rPr>
              <w:t>ADM 20</w:t>
            </w:r>
          </w:p>
        </w:tc>
        <w:tc>
          <w:tcPr>
            <w:tcW w:w="3120" w:type="dxa"/>
          </w:tcPr>
          <w:p w14:paraId="57C247A9" w14:textId="211AA693" w:rsidR="00BC7BC0" w:rsidRPr="00DB6F2C" w:rsidRDefault="00BC7BC0" w:rsidP="0013531C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B6F2C">
              <w:rPr>
                <w:b/>
                <w:bCs/>
                <w:szCs w:val="22"/>
                <w:lang w:val="ru-RU"/>
              </w:rPr>
              <w:t>Документ C</w:t>
            </w:r>
            <w:r w:rsidR="00A64DB7" w:rsidRPr="00DB6F2C">
              <w:rPr>
                <w:b/>
                <w:bCs/>
                <w:szCs w:val="22"/>
                <w:lang w:val="ru-RU"/>
              </w:rPr>
              <w:t>20</w:t>
            </w:r>
            <w:r w:rsidRPr="00DB6F2C">
              <w:rPr>
                <w:b/>
                <w:bCs/>
                <w:szCs w:val="22"/>
                <w:lang w:val="ru-RU"/>
              </w:rPr>
              <w:t>/</w:t>
            </w:r>
            <w:r w:rsidR="00F90867" w:rsidRPr="00DB6F2C">
              <w:rPr>
                <w:b/>
                <w:bCs/>
                <w:szCs w:val="22"/>
                <w:lang w:val="ru-RU"/>
              </w:rPr>
              <w:t>7</w:t>
            </w:r>
            <w:r w:rsidRPr="00DB6F2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B6F2C" w14:paraId="4814D08E" w14:textId="77777777">
        <w:trPr>
          <w:cantSplit/>
          <w:trHeight w:val="23"/>
        </w:trPr>
        <w:tc>
          <w:tcPr>
            <w:tcW w:w="6911" w:type="dxa"/>
            <w:vMerge/>
          </w:tcPr>
          <w:p w14:paraId="75C7173A" w14:textId="77777777" w:rsidR="00BC7BC0" w:rsidRPr="00DB6F2C" w:rsidRDefault="00BC7BC0" w:rsidP="0013531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D30933" w14:textId="01A13E63" w:rsidR="00BC7BC0" w:rsidRPr="00DB6F2C" w:rsidRDefault="00B301D4" w:rsidP="001353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B6F2C">
              <w:rPr>
                <w:b/>
                <w:bCs/>
                <w:szCs w:val="22"/>
                <w:lang w:val="ru-RU"/>
              </w:rPr>
              <w:t>29 апреля</w:t>
            </w:r>
            <w:r w:rsidR="00BC7BC0" w:rsidRPr="00DB6F2C">
              <w:rPr>
                <w:b/>
                <w:bCs/>
                <w:szCs w:val="22"/>
                <w:lang w:val="ru-RU"/>
              </w:rPr>
              <w:t xml:space="preserve"> 20</w:t>
            </w:r>
            <w:r w:rsidR="00A64DB7" w:rsidRPr="00DB6F2C">
              <w:rPr>
                <w:b/>
                <w:bCs/>
                <w:szCs w:val="22"/>
                <w:lang w:val="ru-RU"/>
              </w:rPr>
              <w:t>20</w:t>
            </w:r>
            <w:r w:rsidR="00BC7BC0" w:rsidRPr="00DB6F2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B6F2C" w14:paraId="186E0A04" w14:textId="77777777">
        <w:trPr>
          <w:cantSplit/>
          <w:trHeight w:val="23"/>
        </w:trPr>
        <w:tc>
          <w:tcPr>
            <w:tcW w:w="6911" w:type="dxa"/>
            <w:vMerge/>
          </w:tcPr>
          <w:p w14:paraId="6191A822" w14:textId="77777777" w:rsidR="00BC7BC0" w:rsidRPr="00DB6F2C" w:rsidRDefault="00BC7BC0" w:rsidP="0013531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BEC044F" w14:textId="77777777" w:rsidR="00BC7BC0" w:rsidRPr="00DB6F2C" w:rsidRDefault="00BC7BC0" w:rsidP="001353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B6F2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301D4" w:rsidRPr="00DB6F2C" w14:paraId="4CE0B1EE" w14:textId="77777777">
        <w:trPr>
          <w:cantSplit/>
        </w:trPr>
        <w:tc>
          <w:tcPr>
            <w:tcW w:w="10031" w:type="dxa"/>
            <w:gridSpan w:val="2"/>
          </w:tcPr>
          <w:p w14:paraId="50830196" w14:textId="1B0B3CFD" w:rsidR="00B301D4" w:rsidRPr="00DB6F2C" w:rsidRDefault="00F90867" w:rsidP="00F468E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B6F2C">
              <w:rPr>
                <w:szCs w:val="22"/>
                <w:lang w:val="ru-RU"/>
              </w:rPr>
              <w:t>Отчет Генерального секретаря</w:t>
            </w:r>
          </w:p>
        </w:tc>
      </w:tr>
      <w:tr w:rsidR="00B301D4" w:rsidRPr="005C0E5F" w14:paraId="7EC9D8BC" w14:textId="77777777">
        <w:trPr>
          <w:cantSplit/>
        </w:trPr>
        <w:tc>
          <w:tcPr>
            <w:tcW w:w="10031" w:type="dxa"/>
            <w:gridSpan w:val="2"/>
          </w:tcPr>
          <w:p w14:paraId="6316DA84" w14:textId="6453CC50" w:rsidR="00B301D4" w:rsidRPr="00DB6F2C" w:rsidRDefault="007820E9" w:rsidP="00F9086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B6F2C">
              <w:rPr>
                <w:bCs/>
                <w:lang w:val="ru-RU"/>
              </w:rPr>
              <w:t xml:space="preserve">Отчет о ходе осуществления проекта по помещениям </w:t>
            </w:r>
            <w:r w:rsidRPr="00DB6F2C">
              <w:rPr>
                <w:bCs/>
                <w:lang w:val="ru-RU"/>
              </w:rPr>
              <w:br/>
              <w:t>штаб-квартиры Союза</w:t>
            </w:r>
          </w:p>
        </w:tc>
      </w:tr>
      <w:bookmarkEnd w:id="2"/>
    </w:tbl>
    <w:p w14:paraId="208C9BE2" w14:textId="77777777" w:rsidR="002D2F57" w:rsidRPr="00DB6F2C" w:rsidRDefault="002D2F57" w:rsidP="0013531C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301D4" w:rsidRPr="00D81752" w14:paraId="59FC25BF" w14:textId="77777777" w:rsidTr="00B301D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0F7E" w14:textId="77777777" w:rsidR="00B301D4" w:rsidRPr="00DB6F2C" w:rsidRDefault="00B301D4" w:rsidP="00B301D4">
            <w:pPr>
              <w:pStyle w:val="Headingb"/>
              <w:rPr>
                <w:lang w:val="ru-RU"/>
              </w:rPr>
            </w:pPr>
            <w:r w:rsidRPr="00DB6F2C">
              <w:rPr>
                <w:lang w:val="ru-RU"/>
              </w:rPr>
              <w:t>Резюме</w:t>
            </w:r>
          </w:p>
          <w:p w14:paraId="2548282C" w14:textId="427CE22A" w:rsidR="00B301D4" w:rsidRPr="00DB6F2C" w:rsidRDefault="0036661B" w:rsidP="00B301D4">
            <w:pPr>
              <w:rPr>
                <w:lang w:val="ru-RU"/>
              </w:rPr>
            </w:pPr>
            <w:r w:rsidRPr="00DB6F2C">
              <w:rPr>
                <w:lang w:val="ru-RU"/>
              </w:rPr>
              <w:t>Представление отчета</w:t>
            </w:r>
            <w:r w:rsidR="008F632F" w:rsidRPr="00DB6F2C">
              <w:rPr>
                <w:lang w:val="ru-RU"/>
              </w:rPr>
              <w:t xml:space="preserve"> о ходе осуществления</w:t>
            </w:r>
            <w:r w:rsidRPr="00DB6F2C">
              <w:rPr>
                <w:lang w:val="ru-RU"/>
              </w:rPr>
              <w:t xml:space="preserve"> на настоящий момент</w:t>
            </w:r>
            <w:r w:rsidR="008F632F" w:rsidRPr="00DB6F2C">
              <w:rPr>
                <w:lang w:val="ru-RU"/>
              </w:rPr>
              <w:t xml:space="preserve"> проекта по</w:t>
            </w:r>
            <w:r w:rsidR="00975F3F" w:rsidRPr="00DB6F2C">
              <w:rPr>
                <w:lang w:val="ru-RU"/>
              </w:rPr>
              <w:t> </w:t>
            </w:r>
            <w:r w:rsidR="008F632F" w:rsidRPr="00DB6F2C">
              <w:rPr>
                <w:lang w:val="ru-RU"/>
              </w:rPr>
              <w:t xml:space="preserve">проектированию и </w:t>
            </w:r>
            <w:r w:rsidR="00453DB0" w:rsidRPr="00DB6F2C">
              <w:rPr>
                <w:lang w:val="ru-RU"/>
              </w:rPr>
              <w:t>строительству</w:t>
            </w:r>
            <w:r w:rsidR="008F632F" w:rsidRPr="00DB6F2C">
              <w:rPr>
                <w:lang w:val="ru-RU"/>
              </w:rPr>
              <w:t xml:space="preserve"> помещений штаб-квартиры Союза и </w:t>
            </w:r>
            <w:r w:rsidRPr="00DB6F2C">
              <w:rPr>
                <w:lang w:val="ru-RU"/>
              </w:rPr>
              <w:t>последующих мер</w:t>
            </w:r>
            <w:r w:rsidR="008F632F" w:rsidRPr="00DB6F2C">
              <w:rPr>
                <w:lang w:val="ru-RU"/>
              </w:rPr>
              <w:t>.</w:t>
            </w:r>
          </w:p>
          <w:p w14:paraId="5C39D9D4" w14:textId="77777777" w:rsidR="00B301D4" w:rsidRPr="00DB6F2C" w:rsidRDefault="00B301D4" w:rsidP="00B301D4">
            <w:pPr>
              <w:pStyle w:val="Headingb"/>
              <w:rPr>
                <w:lang w:val="ru-RU"/>
              </w:rPr>
            </w:pPr>
            <w:r w:rsidRPr="00DB6F2C">
              <w:rPr>
                <w:lang w:val="ru-RU"/>
              </w:rPr>
              <w:t>Необходимые действия</w:t>
            </w:r>
          </w:p>
          <w:p w14:paraId="32667C8C" w14:textId="4D4F7ADD" w:rsidR="00B301D4" w:rsidRPr="00DB6F2C" w:rsidRDefault="00CE5BAE" w:rsidP="00B301D4">
            <w:pPr>
              <w:rPr>
                <w:lang w:val="ru-RU"/>
              </w:rPr>
            </w:pPr>
            <w:r w:rsidRPr="00DB6F2C">
              <w:rPr>
                <w:lang w:val="ru-RU"/>
              </w:rPr>
              <w:t>Совету предлагается</w:t>
            </w:r>
            <w:r w:rsidRPr="00DB6F2C">
              <w:rPr>
                <w:szCs w:val="22"/>
                <w:lang w:val="ru-RU"/>
              </w:rPr>
              <w:t xml:space="preserve"> </w:t>
            </w:r>
            <w:r w:rsidR="007820E9" w:rsidRPr="00DB6F2C">
              <w:rPr>
                <w:b/>
                <w:bCs/>
                <w:lang w:val="ru-RU"/>
              </w:rPr>
              <w:t>рассмотреть</w:t>
            </w:r>
            <w:r w:rsidRPr="00DB6F2C">
              <w:rPr>
                <w:szCs w:val="22"/>
                <w:lang w:val="ru-RU"/>
              </w:rPr>
              <w:t xml:space="preserve"> </w:t>
            </w:r>
            <w:r w:rsidRPr="00DB6F2C">
              <w:rPr>
                <w:lang w:val="ru-RU"/>
              </w:rPr>
              <w:t>настоящий отчет</w:t>
            </w:r>
            <w:r w:rsidRPr="00DB6F2C">
              <w:rPr>
                <w:szCs w:val="22"/>
                <w:lang w:val="ru-RU"/>
              </w:rPr>
              <w:t>.</w:t>
            </w:r>
          </w:p>
          <w:p w14:paraId="20C4DB3B" w14:textId="77777777" w:rsidR="00B301D4" w:rsidRPr="00DB6F2C" w:rsidRDefault="00B301D4" w:rsidP="00B301D4">
            <w:pPr>
              <w:jc w:val="center"/>
              <w:rPr>
                <w:lang w:val="ru-RU"/>
              </w:rPr>
            </w:pPr>
            <w:r w:rsidRPr="00DB6F2C">
              <w:rPr>
                <w:lang w:val="ru-RU"/>
              </w:rPr>
              <w:t>____________</w:t>
            </w:r>
          </w:p>
          <w:p w14:paraId="3B1B2E24" w14:textId="77777777" w:rsidR="00B301D4" w:rsidRPr="00DB6F2C" w:rsidRDefault="00B301D4" w:rsidP="00B301D4">
            <w:pPr>
              <w:pStyle w:val="Headingb"/>
              <w:rPr>
                <w:lang w:val="ru-RU"/>
              </w:rPr>
            </w:pPr>
            <w:r w:rsidRPr="00DB6F2C">
              <w:rPr>
                <w:lang w:val="ru-RU"/>
              </w:rPr>
              <w:t>Справочные материалы</w:t>
            </w:r>
          </w:p>
          <w:p w14:paraId="62EDA4FF" w14:textId="7C00DE75" w:rsidR="00F468E4" w:rsidRPr="00DB6F2C" w:rsidRDefault="00D81752" w:rsidP="00F468E4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16-</w:instrText>
            </w:r>
            <w:r>
              <w:instrText>CL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-0124/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52F3" w:rsidRPr="00DB6F2C">
              <w:rPr>
                <w:rStyle w:val="Hyperlink"/>
                <w:i/>
                <w:iCs/>
                <w:lang w:val="ru-RU"/>
              </w:rPr>
              <w:t>Решение 588 Совета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en</w:instrText>
            </w:r>
            <w:r w:rsidRPr="00D81752">
              <w:rPr>
                <w:lang w:val="ru-RU"/>
              </w:rPr>
              <w:instrText>/</w:instrText>
            </w:r>
            <w:r>
              <w:instrText>council</w:instrText>
            </w:r>
            <w:r w:rsidRPr="00D81752">
              <w:rPr>
                <w:lang w:val="ru-RU"/>
              </w:rPr>
              <w:instrText>/</w:instrText>
            </w:r>
            <w:r>
              <w:instrText>Documents</w:instrText>
            </w:r>
            <w:r w:rsidRPr="00D81752">
              <w:rPr>
                <w:lang w:val="ru-RU"/>
              </w:rPr>
              <w:instrText>/</w:instrText>
            </w:r>
            <w:r>
              <w:instrText>basic</w:instrText>
            </w:r>
            <w:r w:rsidRPr="00D81752">
              <w:rPr>
                <w:lang w:val="ru-RU"/>
              </w:rPr>
              <w:instrText>-</w:instrText>
            </w:r>
            <w:r>
              <w:instrText>texts</w:instrText>
            </w:r>
            <w:r w:rsidRPr="00D81752">
              <w:rPr>
                <w:lang w:val="ru-RU"/>
              </w:rPr>
              <w:instrText>/</w:instrText>
            </w:r>
            <w:r>
              <w:instrText>RES</w:instrText>
            </w:r>
            <w:r w:rsidRPr="00D81752">
              <w:rPr>
                <w:lang w:val="ru-RU"/>
              </w:rPr>
              <w:instrText>-212-</w:instrText>
            </w:r>
            <w:r>
              <w:instrText>r</w:instrText>
            </w:r>
            <w:r w:rsidRPr="00D81752">
              <w:rPr>
                <w:lang w:val="ru-RU"/>
              </w:rPr>
              <w:instrText>.</w:instrText>
            </w:r>
            <w:r>
              <w:instrText>pdf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52F3" w:rsidRPr="00DB6F2C">
              <w:rPr>
                <w:rStyle w:val="Hyperlink"/>
                <w:i/>
                <w:iCs/>
                <w:lang w:val="ru-RU"/>
              </w:rPr>
              <w:t>Резолюция 212 (Дубай, 2018 г.)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18-</w:instrText>
            </w:r>
            <w:r>
              <w:instrText>CL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-0123/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97CD7" w:rsidRPr="00DB6F2C">
              <w:rPr>
                <w:rStyle w:val="Hyperlink"/>
                <w:i/>
                <w:iCs/>
                <w:lang w:val="ru-RU"/>
              </w:rPr>
              <w:t>C18</w:t>
            </w:r>
            <w:r w:rsidR="00097CD7" w:rsidRPr="00DB6F2C">
              <w:rPr>
                <w:rStyle w:val="Hyperlink"/>
                <w:lang w:val="ru-RU"/>
              </w:rPr>
              <w:t>/</w:t>
            </w:r>
            <w:r w:rsidR="00097CD7" w:rsidRPr="00DB6F2C">
              <w:rPr>
                <w:rStyle w:val="Hyperlink"/>
                <w:i/>
                <w:iCs/>
                <w:lang w:val="ru-RU"/>
              </w:rPr>
              <w:t>123</w:t>
            </w:r>
            <w:r w:rsidR="00B052F3" w:rsidRPr="00DB6F2C">
              <w:rPr>
                <w:rStyle w:val="Hyperlink"/>
                <w:i/>
                <w:iCs/>
                <w:lang w:val="ru-RU"/>
              </w:rPr>
              <w:t xml:space="preserve"> </w:t>
            </w:r>
            <w:r w:rsidR="00097CD7" w:rsidRPr="00DB6F2C">
              <w:rPr>
                <w:rStyle w:val="Hyperlink"/>
                <w:i/>
                <w:iCs/>
                <w:lang w:val="ru-RU"/>
              </w:rPr>
              <w:t>+</w:t>
            </w:r>
            <w:r w:rsidR="00B052F3" w:rsidRPr="00DB6F2C">
              <w:rPr>
                <w:rStyle w:val="Hyperlink"/>
                <w:i/>
                <w:iCs/>
                <w:lang w:val="ru-RU"/>
              </w:rPr>
              <w:t xml:space="preserve"> </w:t>
            </w:r>
            <w:r w:rsidR="00097CD7" w:rsidRPr="00DB6F2C">
              <w:rPr>
                <w:rStyle w:val="Hyperlink"/>
                <w:i/>
                <w:iCs/>
                <w:lang w:val="ru-RU"/>
              </w:rPr>
              <w:t>Add</w:t>
            </w:r>
            <w:r w:rsidR="00B052F3" w:rsidRPr="00DB6F2C">
              <w:rPr>
                <w:rStyle w:val="Hyperlink"/>
                <w:i/>
                <w:iCs/>
                <w:lang w:val="ru-RU"/>
              </w:rPr>
              <w:t>.</w:t>
            </w:r>
            <w:r w:rsidR="00097CD7" w:rsidRPr="00DB6F2C">
              <w:rPr>
                <w:rStyle w:val="Hyperlink"/>
                <w:i/>
                <w:iCs/>
                <w:lang w:val="ru-RU"/>
              </w:rPr>
              <w:t>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19-</w:instrText>
            </w:r>
            <w:r>
              <w:instrText>CL</w:instrText>
            </w:r>
            <w:r w:rsidRPr="00D81752">
              <w:rPr>
                <w:lang w:val="ru-RU"/>
              </w:rPr>
              <w:instrText>-190610-</w:instrText>
            </w:r>
            <w:r>
              <w:instrText>DL</w:instrText>
            </w:r>
            <w:r w:rsidRPr="00D81752">
              <w:rPr>
                <w:lang w:val="ru-RU"/>
              </w:rPr>
              <w:instrText>-0012/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97CD7" w:rsidRPr="00DB6F2C">
              <w:rPr>
                <w:rStyle w:val="Hyperlink"/>
                <w:i/>
                <w:iCs/>
                <w:lang w:val="ru-RU"/>
              </w:rPr>
              <w:t>DL</w:t>
            </w:r>
            <w:r w:rsidR="00097CD7" w:rsidRPr="00DB6F2C">
              <w:rPr>
                <w:rStyle w:val="Hyperlink"/>
                <w:lang w:val="ru-RU"/>
              </w:rPr>
              <w:t>/</w:t>
            </w:r>
            <w:r w:rsidR="00097CD7" w:rsidRPr="00DB6F2C">
              <w:rPr>
                <w:rStyle w:val="Hyperlink"/>
                <w:i/>
                <w:iCs/>
                <w:lang w:val="ru-RU"/>
              </w:rPr>
              <w:t>12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16-</w:instrText>
            </w:r>
            <w:r>
              <w:instrText>CL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-0007/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97CD7" w:rsidRPr="00DB6F2C">
              <w:rPr>
                <w:rStyle w:val="Hyperlink"/>
                <w:i/>
                <w:iCs/>
                <w:lang w:val="ru-RU"/>
              </w:rPr>
              <w:t>C16</w:t>
            </w:r>
            <w:r w:rsidR="00097CD7" w:rsidRPr="00DB6F2C">
              <w:rPr>
                <w:rStyle w:val="Hyperlink"/>
                <w:lang w:val="ru-RU"/>
              </w:rPr>
              <w:t>/</w:t>
            </w:r>
            <w:r w:rsidR="00097CD7" w:rsidRPr="00DB6F2C">
              <w:rPr>
                <w:rStyle w:val="Hyperlink"/>
                <w:i/>
                <w:iCs/>
                <w:lang w:val="ru-RU"/>
              </w:rPr>
              <w:t>7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19-</w:instrText>
            </w:r>
            <w:r>
              <w:instrText>CLADD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-0002/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97CD7" w:rsidRPr="00DB6F2C">
              <w:rPr>
                <w:rStyle w:val="Hyperlink"/>
                <w:i/>
                <w:iCs/>
                <w:lang w:val="ru-RU"/>
              </w:rPr>
              <w:t>C19-ADD</w:t>
            </w:r>
            <w:r w:rsidR="00097CD7" w:rsidRPr="00DB6F2C">
              <w:rPr>
                <w:rStyle w:val="Hyperlink"/>
                <w:lang w:val="ru-RU"/>
              </w:rPr>
              <w:t>/</w:t>
            </w:r>
            <w:r w:rsidR="00097CD7" w:rsidRPr="00DB6F2C">
              <w:rPr>
                <w:rStyle w:val="Hyperlink"/>
                <w:i/>
                <w:iCs/>
                <w:lang w:val="ru-RU"/>
              </w:rPr>
              <w:t>2(Rev.1)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19-</w:instrText>
            </w:r>
            <w:r>
              <w:instrText>CLADD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-0005/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52F3" w:rsidRPr="00DB6F2C">
              <w:rPr>
                <w:rStyle w:val="Hyperlink"/>
                <w:i/>
                <w:iCs/>
                <w:lang w:val="ru-RU"/>
              </w:rPr>
              <w:t>Решение 619 Совета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>;</w:t>
            </w:r>
            <w:r w:rsidR="00097CD7" w:rsidRPr="00DB6F2C">
              <w:rPr>
                <w:rFonts w:asciiTheme="minorHAnsi" w:hAnsiTheme="minorHAnsi" w:cstheme="minorHAnsi"/>
                <w:i/>
                <w:iCs/>
                <w:color w:val="000000" w:themeColor="text1"/>
                <w:lang w:val="ru-RU"/>
              </w:rPr>
              <w:t xml:space="preserve">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2</w:instrText>
            </w:r>
            <w:r w:rsidRPr="00D81752">
              <w:rPr>
                <w:lang w:val="ru-RU"/>
              </w:rPr>
              <w:instrText>0-</w:instrText>
            </w:r>
            <w:r>
              <w:instrText>CL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-0037/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52F3" w:rsidRPr="00DB6F2C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 w:eastAsia="zh-CN"/>
              </w:rPr>
              <w:t>Документ C20</w:t>
            </w:r>
            <w:r w:rsidR="00B052F3" w:rsidRPr="00DB6F2C">
              <w:rPr>
                <w:rStyle w:val="Hyperlink"/>
                <w:rFonts w:asciiTheme="minorHAnsi" w:hAnsiTheme="minorHAnsi" w:cstheme="minorHAnsi"/>
                <w:szCs w:val="22"/>
                <w:lang w:val="ru-RU" w:eastAsia="zh-CN"/>
              </w:rPr>
              <w:t>/</w:t>
            </w:r>
            <w:r w:rsidR="00B052F3" w:rsidRPr="00DB6F2C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 w:eastAsia="zh-CN"/>
              </w:rPr>
              <w:t>37</w:t>
            </w:r>
            <w:r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 w:eastAsia="zh-CN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>;</w:t>
            </w:r>
            <w:r w:rsidR="00097CD7" w:rsidRPr="00DB6F2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20-</w:instrText>
            </w:r>
            <w:r>
              <w:instrText>CL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-0029/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52F3" w:rsidRPr="00DB6F2C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Документ</w:t>
            </w:r>
            <w:r w:rsidR="00BD515D" w:rsidRPr="00DB6F2C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 </w:t>
            </w:r>
            <w:r w:rsidR="00B052F3" w:rsidRPr="00DB6F2C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C20</w:t>
            </w:r>
            <w:r w:rsidR="00B052F3" w:rsidRPr="00DB6F2C">
              <w:rPr>
                <w:rStyle w:val="Hyperlink"/>
                <w:rFonts w:asciiTheme="minorHAnsi" w:hAnsiTheme="minorHAnsi" w:cstheme="minorHAnsi"/>
                <w:lang w:val="ru-RU"/>
              </w:rPr>
              <w:t>/</w:t>
            </w:r>
            <w:r w:rsidR="00B052F3" w:rsidRPr="00DB6F2C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29</w:t>
            </w:r>
            <w:r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>;</w:t>
            </w:r>
            <w:r w:rsidR="00097CD7" w:rsidRPr="00DB6F2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20-</w:instrText>
            </w:r>
            <w:r>
              <w:instrText>CL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-0053/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52F3" w:rsidRPr="00DB6F2C">
              <w:rPr>
                <w:rStyle w:val="Hyperlink"/>
                <w:i/>
                <w:iCs/>
                <w:lang w:val="ru-RU"/>
              </w:rPr>
              <w:t>Документ C20</w:t>
            </w:r>
            <w:r w:rsidR="00B052F3" w:rsidRPr="00DB6F2C">
              <w:rPr>
                <w:rStyle w:val="Hyperlink"/>
                <w:lang w:val="ru-RU"/>
              </w:rPr>
              <w:t>/</w:t>
            </w:r>
            <w:r w:rsidR="00B052F3" w:rsidRPr="00DB6F2C">
              <w:rPr>
                <w:rStyle w:val="Hyperlink"/>
                <w:i/>
                <w:iCs/>
                <w:lang w:val="ru-RU"/>
              </w:rPr>
              <w:t>53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97CD7" w:rsidRPr="00DB6F2C">
              <w:rPr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D817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17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1752">
              <w:rPr>
                <w:lang w:val="ru-RU"/>
              </w:rPr>
              <w:instrText>://</w:instrText>
            </w:r>
            <w:r>
              <w:instrText>www</w:instrText>
            </w:r>
            <w:r w:rsidRPr="00D81752">
              <w:rPr>
                <w:lang w:val="ru-RU"/>
              </w:rPr>
              <w:instrText>.</w:instrText>
            </w:r>
            <w:r>
              <w:instrText>itu</w:instrText>
            </w:r>
            <w:r w:rsidRPr="00D81752">
              <w:rPr>
                <w:lang w:val="ru-RU"/>
              </w:rPr>
              <w:instrText>.</w:instrText>
            </w:r>
            <w:r>
              <w:instrText>int</w:instrText>
            </w:r>
            <w:r w:rsidRPr="00D81752">
              <w:rPr>
                <w:lang w:val="ru-RU"/>
              </w:rPr>
              <w:instrText>/</w:instrText>
            </w:r>
            <w:r>
              <w:instrText>md</w:instrText>
            </w:r>
            <w:r w:rsidRPr="00D81752">
              <w:rPr>
                <w:lang w:val="ru-RU"/>
              </w:rPr>
              <w:instrText>/</w:instrText>
            </w:r>
            <w:r>
              <w:instrText>S</w:instrText>
            </w:r>
            <w:r w:rsidRPr="00D81752">
              <w:rPr>
                <w:lang w:val="ru-RU"/>
              </w:rPr>
              <w:instrText>20-</w:instrText>
            </w:r>
            <w:r>
              <w:instrText>CL</w:instrText>
            </w:r>
            <w:r w:rsidRPr="00D81752">
              <w:rPr>
                <w:lang w:val="ru-RU"/>
              </w:rPr>
              <w:instrText>-</w:instrText>
            </w:r>
            <w:r>
              <w:instrText>C</w:instrText>
            </w:r>
            <w:r w:rsidRPr="00D81752">
              <w:rPr>
                <w:lang w:val="ru-RU"/>
              </w:rPr>
              <w:instrText>-0015/</w:instrText>
            </w:r>
            <w:r>
              <w:instrText>en</w:instrText>
            </w:r>
            <w:r w:rsidRPr="00D8175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052F3" w:rsidRPr="00DB6F2C">
              <w:rPr>
                <w:rStyle w:val="Hyperlink"/>
                <w:i/>
                <w:iCs/>
                <w:lang w:val="ru-RU"/>
              </w:rPr>
              <w:t>Документ C20</w:t>
            </w:r>
            <w:r w:rsidR="00B052F3" w:rsidRPr="00DB6F2C">
              <w:rPr>
                <w:rStyle w:val="Hyperlink"/>
                <w:lang w:val="ru-RU"/>
              </w:rPr>
              <w:t>/</w:t>
            </w:r>
            <w:r w:rsidR="00B052F3" w:rsidRPr="00DB6F2C">
              <w:rPr>
                <w:rStyle w:val="Hyperlink"/>
                <w:i/>
                <w:iCs/>
                <w:lang w:val="ru-RU"/>
              </w:rPr>
              <w:t>15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</w:tbl>
    <w:p w14:paraId="6006C258" w14:textId="0D0A821B" w:rsidR="00F90867" w:rsidRPr="00DB6F2C" w:rsidRDefault="00455EC2" w:rsidP="00A36BA5">
      <w:pPr>
        <w:pStyle w:val="Heading1"/>
        <w:spacing w:before="600"/>
        <w:rPr>
          <w:lang w:val="ru-RU" w:eastAsia="ja-JP"/>
        </w:rPr>
      </w:pPr>
      <w:r w:rsidRPr="00DB6F2C">
        <w:rPr>
          <w:lang w:val="ru-RU" w:eastAsia="ja-JP"/>
        </w:rPr>
        <w:t>1</w:t>
      </w:r>
      <w:r w:rsidRPr="00DB6F2C">
        <w:rPr>
          <w:lang w:val="ru-RU" w:eastAsia="ja-JP"/>
        </w:rPr>
        <w:tab/>
        <w:t>Введение</w:t>
      </w:r>
    </w:p>
    <w:p w14:paraId="7E5A9EB4" w14:textId="0A7FDE3D" w:rsidR="00F90867" w:rsidRPr="00DB6F2C" w:rsidRDefault="004D0055" w:rsidP="00455EC2">
      <w:pPr>
        <w:rPr>
          <w:lang w:val="ru-RU"/>
        </w:rPr>
      </w:pPr>
      <w:r w:rsidRPr="00DB6F2C">
        <w:rPr>
          <w:b/>
          <w:bCs/>
          <w:lang w:val="ru-RU"/>
        </w:rPr>
        <w:t>1.1</w:t>
      </w:r>
      <w:r w:rsidRPr="00DB6F2C">
        <w:rPr>
          <w:lang w:val="ru-RU"/>
        </w:rPr>
        <w:tab/>
      </w:r>
      <w:r w:rsidR="008F632F" w:rsidRPr="00DB6F2C">
        <w:rPr>
          <w:lang w:val="ru-RU"/>
        </w:rPr>
        <w:t>Решение 619 было принято на дополнительной сессии Совета, состоявшейся 27 сентября 2019 года в Женеве; в</w:t>
      </w:r>
      <w:r w:rsidR="00743089" w:rsidRPr="00DB6F2C">
        <w:rPr>
          <w:lang w:val="ru-RU"/>
        </w:rPr>
        <w:t xml:space="preserve"> нем были утверждены</w:t>
      </w:r>
      <w:r w:rsidR="008F632F" w:rsidRPr="00DB6F2C">
        <w:rPr>
          <w:lang w:val="ru-RU"/>
        </w:rPr>
        <w:t xml:space="preserve"> </w:t>
      </w:r>
      <w:r w:rsidR="00743089" w:rsidRPr="00DB6F2C">
        <w:rPr>
          <w:lang w:val="ru-RU"/>
        </w:rPr>
        <w:t xml:space="preserve">окончательные прямые затраты по проекту </w:t>
      </w:r>
      <w:r w:rsidR="00E013AD" w:rsidRPr="00DB6F2C">
        <w:rPr>
          <w:lang w:val="ru-RU"/>
        </w:rPr>
        <w:t xml:space="preserve">строительства нового здания штаб-квартиры Союза </w:t>
      </w:r>
      <w:r w:rsidR="00743089" w:rsidRPr="00DB6F2C">
        <w:rPr>
          <w:lang w:val="ru-RU"/>
        </w:rPr>
        <w:t xml:space="preserve">в размере 170 139 000 швейцарских франков, которые описаны в Документе C19-ADD/2, финансируемые в полном объеме за счет имеющихся средств: 150 000 000 швейцарских франков – ссуда страны пребывания, 15 140 000 швейцарских франков – спонсорская поддержка и пожертвования, а 5 000 000 – фонд строительства нового здания. </w:t>
      </w:r>
    </w:p>
    <w:p w14:paraId="75875F71" w14:textId="1D7BE163" w:rsidR="00F90867" w:rsidRPr="00DB6F2C" w:rsidRDefault="00455EC2" w:rsidP="00455EC2">
      <w:pPr>
        <w:pStyle w:val="Heading1"/>
        <w:rPr>
          <w:lang w:val="ru-RU" w:eastAsia="ja-JP"/>
        </w:rPr>
      </w:pPr>
      <w:r w:rsidRPr="00DB6F2C">
        <w:rPr>
          <w:lang w:val="ru-RU" w:eastAsia="ja-JP"/>
        </w:rPr>
        <w:t>2</w:t>
      </w:r>
      <w:r w:rsidRPr="00DB6F2C">
        <w:rPr>
          <w:lang w:val="ru-RU" w:eastAsia="ja-JP"/>
        </w:rPr>
        <w:tab/>
        <w:t>Базовая информация</w:t>
      </w:r>
    </w:p>
    <w:p w14:paraId="65655C39" w14:textId="3FE3ED48" w:rsidR="00F90867" w:rsidRPr="00DB6F2C" w:rsidRDefault="00F90867" w:rsidP="00455EC2">
      <w:pPr>
        <w:rPr>
          <w:lang w:val="ru-RU"/>
        </w:rPr>
      </w:pPr>
      <w:r w:rsidRPr="00DB6F2C">
        <w:rPr>
          <w:b/>
          <w:bCs/>
          <w:lang w:val="ru-RU"/>
        </w:rPr>
        <w:t>2.1</w:t>
      </w:r>
      <w:r w:rsidRPr="00DB6F2C">
        <w:rPr>
          <w:lang w:val="ru-RU"/>
        </w:rPr>
        <w:tab/>
      </w:r>
      <w:r w:rsidR="00554993" w:rsidRPr="00DB6F2C">
        <w:rPr>
          <w:lang w:val="ru-RU"/>
        </w:rPr>
        <w:t>На своей внеочередной сессии Совет поручил Генеральному секретарю подготовить отчет о</w:t>
      </w:r>
      <w:r w:rsidR="00975F3F" w:rsidRPr="00DB6F2C">
        <w:rPr>
          <w:lang w:val="ru-RU"/>
        </w:rPr>
        <w:t> </w:t>
      </w:r>
      <w:r w:rsidR="00554993" w:rsidRPr="00DB6F2C">
        <w:rPr>
          <w:lang w:val="ru-RU"/>
        </w:rPr>
        <w:t xml:space="preserve">ходе осуществления </w:t>
      </w:r>
      <w:r w:rsidR="0036661B" w:rsidRPr="00DB6F2C">
        <w:rPr>
          <w:lang w:val="ru-RU"/>
        </w:rPr>
        <w:t xml:space="preserve">необходимых мер, с тем чтобы </w:t>
      </w:r>
      <w:r w:rsidR="00554993" w:rsidRPr="00DB6F2C">
        <w:rPr>
          <w:lang w:val="ru-RU"/>
        </w:rPr>
        <w:t>представить его на сессии Совета в июне 2020</w:t>
      </w:r>
      <w:r w:rsidR="00975F3F" w:rsidRPr="00DB6F2C">
        <w:rPr>
          <w:lang w:val="ru-RU"/>
        </w:rPr>
        <w:t> </w:t>
      </w:r>
      <w:r w:rsidR="00554993" w:rsidRPr="00DB6F2C">
        <w:rPr>
          <w:lang w:val="ru-RU"/>
        </w:rPr>
        <w:t xml:space="preserve">года. </w:t>
      </w:r>
    </w:p>
    <w:p w14:paraId="7C8FDF61" w14:textId="1289D466" w:rsidR="00F90867" w:rsidRPr="00DB6F2C" w:rsidRDefault="00455EC2" w:rsidP="00455EC2">
      <w:pPr>
        <w:pStyle w:val="Heading1"/>
        <w:rPr>
          <w:lang w:val="ru-RU" w:eastAsia="ja-JP"/>
        </w:rPr>
      </w:pPr>
      <w:r w:rsidRPr="00DB6F2C">
        <w:rPr>
          <w:lang w:val="ru-RU" w:eastAsia="ja-JP"/>
        </w:rPr>
        <w:lastRenderedPageBreak/>
        <w:t>3</w:t>
      </w:r>
      <w:r w:rsidRPr="00DB6F2C">
        <w:rPr>
          <w:lang w:val="ru-RU" w:eastAsia="ja-JP"/>
        </w:rPr>
        <w:tab/>
      </w:r>
      <w:r w:rsidR="00554993" w:rsidRPr="00DB6F2C">
        <w:rPr>
          <w:lang w:val="ru-RU" w:eastAsia="ja-JP"/>
        </w:rPr>
        <w:t xml:space="preserve">Отчет о </w:t>
      </w:r>
      <w:r w:rsidR="0036661B" w:rsidRPr="00DB6F2C">
        <w:rPr>
          <w:lang w:val="ru-RU" w:eastAsia="ja-JP"/>
        </w:rPr>
        <w:t>ходе работы по проекту</w:t>
      </w:r>
    </w:p>
    <w:p w14:paraId="367982ED" w14:textId="71034EA3" w:rsidR="00F90867" w:rsidRPr="00DB6F2C" w:rsidRDefault="00F90867" w:rsidP="00455EC2">
      <w:pPr>
        <w:pStyle w:val="Heading2"/>
        <w:rPr>
          <w:lang w:val="ru-RU"/>
        </w:rPr>
      </w:pPr>
      <w:r w:rsidRPr="00DB6F2C">
        <w:rPr>
          <w:lang w:val="ru-RU"/>
        </w:rPr>
        <w:t>3.1</w:t>
      </w:r>
      <w:r w:rsidRPr="00DB6F2C">
        <w:rPr>
          <w:lang w:val="ru-RU"/>
        </w:rPr>
        <w:tab/>
      </w:r>
      <w:r w:rsidR="001A337F" w:rsidRPr="00DB6F2C">
        <w:rPr>
          <w:lang w:val="ru-RU"/>
        </w:rPr>
        <w:t>Обновленная информация по проектированию</w:t>
      </w:r>
    </w:p>
    <w:p w14:paraId="6EA08D25" w14:textId="111571E8" w:rsidR="00F90867" w:rsidRPr="00DB6F2C" w:rsidRDefault="00BB2190" w:rsidP="00C555E8">
      <w:pPr>
        <w:rPr>
          <w:lang w:val="ru-RU"/>
        </w:rPr>
      </w:pPr>
      <w:r w:rsidRPr="00DB6F2C">
        <w:rPr>
          <w:lang w:val="ru-RU"/>
        </w:rPr>
        <w:t xml:space="preserve">С января 2020 года отдел проекта строительства (BPD) приступил к </w:t>
      </w:r>
      <w:r w:rsidR="008C52CD" w:rsidRPr="00DB6F2C">
        <w:rPr>
          <w:lang w:val="ru-RU"/>
        </w:rPr>
        <w:t>последовательному выполнению этапов</w:t>
      </w:r>
      <w:r w:rsidRPr="00DB6F2C">
        <w:rPr>
          <w:lang w:val="ru-RU"/>
        </w:rPr>
        <w:t xml:space="preserve"> проектирования в соответствии со стандартом SIA (</w:t>
      </w:r>
      <w:r w:rsidRPr="00DB6F2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Швейцарского общества инженеров и архитекторов) и существующей местной практикой. Этапы 4.32 и 4.33 будут </w:t>
      </w:r>
      <w:r w:rsidR="00655846" w:rsidRPr="00DB6F2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прорабатываться</w:t>
      </w:r>
      <w:r w:rsidRPr="00DB6F2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параллельно по мере развертывания проекта</w:t>
      </w:r>
      <w:r w:rsidR="008C52CD" w:rsidRPr="00DB6F2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. </w:t>
      </w:r>
    </w:p>
    <w:p w14:paraId="2053B67C" w14:textId="63ACDF5E" w:rsidR="00F90867" w:rsidRPr="00DB6F2C" w:rsidRDefault="00BB2190" w:rsidP="00C555E8">
      <w:pPr>
        <w:rPr>
          <w:lang w:val="ru-RU"/>
        </w:rPr>
      </w:pPr>
      <w:r w:rsidRPr="00DB6F2C">
        <w:rPr>
          <w:lang w:val="ru-RU"/>
        </w:rPr>
        <w:t>Проект строительства (</w:t>
      </w:r>
      <w:r w:rsidR="002D1361" w:rsidRPr="00DB6F2C">
        <w:rPr>
          <w:lang w:val="ru-RU"/>
        </w:rPr>
        <w:t xml:space="preserve">в </w:t>
      </w:r>
      <w:r w:rsidR="00453DB0" w:rsidRPr="00DB6F2C">
        <w:rPr>
          <w:lang w:val="ru-RU"/>
        </w:rPr>
        <w:t>перевод</w:t>
      </w:r>
      <w:r w:rsidR="002D1361" w:rsidRPr="00DB6F2C">
        <w:rPr>
          <w:lang w:val="ru-RU"/>
        </w:rPr>
        <w:t>е</w:t>
      </w:r>
      <w:r w:rsidR="008B28E0" w:rsidRPr="00DB6F2C">
        <w:rPr>
          <w:lang w:val="ru-RU"/>
        </w:rPr>
        <w:t xml:space="preserve"> </w:t>
      </w:r>
      <w:r w:rsidR="00F47204" w:rsidRPr="00DB6F2C">
        <w:rPr>
          <w:lang w:val="ru-RU"/>
        </w:rPr>
        <w:t xml:space="preserve">с французского </w:t>
      </w:r>
      <w:r w:rsidR="002D1361" w:rsidRPr="00DB6F2C">
        <w:rPr>
          <w:lang w:val="ru-RU"/>
        </w:rPr>
        <w:t>– "</w:t>
      </w:r>
      <w:r w:rsidR="008B28E0" w:rsidRPr="00DB6F2C">
        <w:rPr>
          <w:lang w:val="ru-RU"/>
        </w:rPr>
        <w:t>подробн</w:t>
      </w:r>
      <w:r w:rsidR="002D1361" w:rsidRPr="00DB6F2C">
        <w:rPr>
          <w:lang w:val="ru-RU"/>
        </w:rPr>
        <w:t>ый</w:t>
      </w:r>
      <w:r w:rsidR="008B28E0" w:rsidRPr="00DB6F2C">
        <w:rPr>
          <w:lang w:val="ru-RU"/>
        </w:rPr>
        <w:t xml:space="preserve"> </w:t>
      </w:r>
      <w:r w:rsidR="001A337F" w:rsidRPr="00DB6F2C">
        <w:rPr>
          <w:lang w:val="ru-RU"/>
        </w:rPr>
        <w:t>проект</w:t>
      </w:r>
      <w:r w:rsidR="002D1361" w:rsidRPr="00DB6F2C">
        <w:rPr>
          <w:lang w:val="ru-RU"/>
        </w:rPr>
        <w:t>"</w:t>
      </w:r>
      <w:r w:rsidRPr="00DB6F2C">
        <w:rPr>
          <w:lang w:val="ru-RU"/>
        </w:rPr>
        <w:t>) представляет собой этап</w:t>
      </w:r>
      <w:r w:rsidR="00A64526" w:rsidRPr="00DB6F2C">
        <w:rPr>
          <w:lang w:val="ru-RU"/>
        </w:rPr>
        <w:t>, на котором осуществляются</w:t>
      </w:r>
      <w:r w:rsidRPr="00DB6F2C">
        <w:rPr>
          <w:lang w:val="ru-RU"/>
        </w:rPr>
        <w:t xml:space="preserve"> </w:t>
      </w:r>
      <w:r w:rsidR="00A64526" w:rsidRPr="00DB6F2C">
        <w:rPr>
          <w:lang w:val="ru-RU"/>
        </w:rPr>
        <w:t>доработка</w:t>
      </w:r>
      <w:r w:rsidRPr="00DB6F2C">
        <w:rPr>
          <w:lang w:val="ru-RU"/>
        </w:rPr>
        <w:t xml:space="preserve"> проекта и </w:t>
      </w:r>
      <w:r w:rsidR="00A64526" w:rsidRPr="00DB6F2C">
        <w:rPr>
          <w:lang w:val="ru-RU"/>
        </w:rPr>
        <w:t>составление</w:t>
      </w:r>
      <w:r w:rsidRPr="00DB6F2C">
        <w:rPr>
          <w:lang w:val="ru-RU"/>
        </w:rPr>
        <w:t xml:space="preserve"> планов, спецификаций и смет</w:t>
      </w:r>
      <w:r w:rsidR="001155A7" w:rsidRPr="00DB6F2C">
        <w:rPr>
          <w:lang w:val="ru-RU"/>
        </w:rPr>
        <w:t>.</w:t>
      </w:r>
      <w:r w:rsidR="008B28E0" w:rsidRPr="00DB6F2C">
        <w:rPr>
          <w:lang w:val="ru-RU"/>
        </w:rPr>
        <w:t xml:space="preserve"> </w:t>
      </w:r>
      <w:r w:rsidR="001311FC" w:rsidRPr="00DB6F2C">
        <w:rPr>
          <w:lang w:val="ru-RU"/>
        </w:rPr>
        <w:t xml:space="preserve">Результаты разработки </w:t>
      </w:r>
      <w:r w:rsidR="00EF398E" w:rsidRPr="00DB6F2C">
        <w:rPr>
          <w:lang w:val="ru-RU"/>
        </w:rPr>
        <w:t>проекта</w:t>
      </w:r>
      <w:r w:rsidR="008B28E0" w:rsidRPr="00DB6F2C">
        <w:rPr>
          <w:lang w:val="ru-RU"/>
        </w:rPr>
        <w:t xml:space="preserve"> строительства буд</w:t>
      </w:r>
      <w:r w:rsidR="001311FC" w:rsidRPr="00DB6F2C">
        <w:rPr>
          <w:lang w:val="ru-RU"/>
        </w:rPr>
        <w:t>у</w:t>
      </w:r>
      <w:r w:rsidR="008B28E0" w:rsidRPr="00DB6F2C">
        <w:rPr>
          <w:lang w:val="ru-RU"/>
        </w:rPr>
        <w:t xml:space="preserve"> </w:t>
      </w:r>
      <w:r w:rsidR="001311FC" w:rsidRPr="00DB6F2C">
        <w:rPr>
          <w:lang w:val="ru-RU"/>
        </w:rPr>
        <w:t xml:space="preserve">включать </w:t>
      </w:r>
      <w:r w:rsidR="008B28E0" w:rsidRPr="00DB6F2C">
        <w:rPr>
          <w:lang w:val="ru-RU"/>
        </w:rPr>
        <w:t xml:space="preserve">такие итоговые материалы, как двумерные и трехмерные чертежи, </w:t>
      </w:r>
      <w:r w:rsidR="001311FC" w:rsidRPr="00DB6F2C">
        <w:rPr>
          <w:lang w:val="ru-RU"/>
        </w:rPr>
        <w:t>сметы с расчетами предстоящих</w:t>
      </w:r>
      <w:r w:rsidR="008B28E0" w:rsidRPr="00DB6F2C">
        <w:rPr>
          <w:lang w:val="ru-RU"/>
        </w:rPr>
        <w:t xml:space="preserve"> затрат, планы закупок и т.</w:t>
      </w:r>
      <w:r w:rsidR="00C555E8" w:rsidRPr="00DB6F2C">
        <w:rPr>
          <w:lang w:val="ru-RU"/>
        </w:rPr>
        <w:t> </w:t>
      </w:r>
      <w:r w:rsidR="008B28E0" w:rsidRPr="00DB6F2C">
        <w:rPr>
          <w:lang w:val="ru-RU"/>
        </w:rPr>
        <w:t>д. На этом этапе определяется полная стоимость проекта (с точностью 10% согласно стандарту SIA)</w:t>
      </w:r>
      <w:r w:rsidR="00A64526" w:rsidRPr="00DB6F2C">
        <w:rPr>
          <w:lang w:val="ru-RU"/>
        </w:rPr>
        <w:t xml:space="preserve">. В этом контексте </w:t>
      </w:r>
      <w:r w:rsidR="00F47204" w:rsidRPr="00DB6F2C">
        <w:rPr>
          <w:lang w:val="ru-RU"/>
        </w:rPr>
        <w:t>осуществляются</w:t>
      </w:r>
      <w:r w:rsidR="00A64526" w:rsidRPr="00DB6F2C">
        <w:rPr>
          <w:lang w:val="ru-RU"/>
        </w:rPr>
        <w:t xml:space="preserve"> следующие </w:t>
      </w:r>
      <w:r w:rsidR="00F47204" w:rsidRPr="00DB6F2C">
        <w:rPr>
          <w:lang w:val="ru-RU"/>
        </w:rPr>
        <w:t>шаги</w:t>
      </w:r>
      <w:r w:rsidR="006A23F5" w:rsidRPr="00DB6F2C">
        <w:rPr>
          <w:lang w:val="ru-RU"/>
        </w:rPr>
        <w:t>.</w:t>
      </w:r>
    </w:p>
    <w:p w14:paraId="468C7835" w14:textId="2612C4F1" w:rsidR="00F90867" w:rsidRPr="00DB6F2C" w:rsidRDefault="00F90867" w:rsidP="00BB31E2">
      <w:pPr>
        <w:pStyle w:val="Heading3"/>
        <w:rPr>
          <w:lang w:val="ru-RU"/>
        </w:rPr>
      </w:pPr>
      <w:r w:rsidRPr="00DB6F2C">
        <w:rPr>
          <w:lang w:val="ru-RU"/>
        </w:rPr>
        <w:t>3.1.1</w:t>
      </w:r>
      <w:r w:rsidRPr="00DB6F2C">
        <w:rPr>
          <w:lang w:val="ru-RU"/>
        </w:rPr>
        <w:tab/>
      </w:r>
      <w:r w:rsidR="00453DB0" w:rsidRPr="00DB6F2C">
        <w:rPr>
          <w:lang w:val="ru-RU"/>
        </w:rPr>
        <w:t>Этап</w:t>
      </w:r>
      <w:r w:rsidR="00A64526" w:rsidRPr="00DB6F2C">
        <w:rPr>
          <w:lang w:val="ru-RU"/>
        </w:rPr>
        <w:t xml:space="preserve"> </w:t>
      </w:r>
      <w:r w:rsidR="0034196E" w:rsidRPr="00DB6F2C">
        <w:rPr>
          <w:lang w:val="ru-RU"/>
        </w:rPr>
        <w:t xml:space="preserve">разработки </w:t>
      </w:r>
      <w:r w:rsidR="00A64526" w:rsidRPr="00DB6F2C">
        <w:rPr>
          <w:lang w:val="ru-RU"/>
        </w:rPr>
        <w:t>проекта строительства (этап 4.32)</w:t>
      </w:r>
    </w:p>
    <w:p w14:paraId="15EC55D5" w14:textId="03EA2B48" w:rsidR="00F90867" w:rsidRPr="00DB6F2C" w:rsidRDefault="002271BE" w:rsidP="004A20E7">
      <w:pPr>
        <w:rPr>
          <w:lang w:val="ru-RU"/>
        </w:rPr>
      </w:pPr>
      <w:r w:rsidRPr="00DB6F2C">
        <w:rPr>
          <w:lang w:val="ru-RU"/>
        </w:rPr>
        <w:t xml:space="preserve">Проект строительства иногда именуется </w:t>
      </w:r>
      <w:r w:rsidR="00754E23" w:rsidRPr="00DB6F2C">
        <w:rPr>
          <w:lang w:val="ru-RU"/>
        </w:rPr>
        <w:t>"</w:t>
      </w:r>
      <w:r w:rsidR="00F47204" w:rsidRPr="00DB6F2C">
        <w:rPr>
          <w:lang w:val="ru-RU"/>
        </w:rPr>
        <w:t>подробным</w:t>
      </w:r>
      <w:r w:rsidRPr="00DB6F2C">
        <w:rPr>
          <w:lang w:val="ru-RU"/>
        </w:rPr>
        <w:t xml:space="preserve"> проектом</w:t>
      </w:r>
      <w:r w:rsidR="00754E23" w:rsidRPr="00DB6F2C">
        <w:rPr>
          <w:lang w:val="ru-RU"/>
        </w:rPr>
        <w:t>"</w:t>
      </w:r>
      <w:r w:rsidRPr="00DB6F2C">
        <w:rPr>
          <w:lang w:val="ru-RU"/>
        </w:rPr>
        <w:t xml:space="preserve"> или </w:t>
      </w:r>
      <w:r w:rsidR="00754E23" w:rsidRPr="00DB6F2C">
        <w:rPr>
          <w:lang w:val="ru-RU"/>
        </w:rPr>
        <w:t>"</w:t>
      </w:r>
      <w:r w:rsidR="00655846" w:rsidRPr="00DB6F2C">
        <w:rPr>
          <w:lang w:val="ru-RU"/>
        </w:rPr>
        <w:t>проектными</w:t>
      </w:r>
      <w:r w:rsidR="0003282B" w:rsidRPr="00DB6F2C">
        <w:rPr>
          <w:lang w:val="ru-RU"/>
        </w:rPr>
        <w:t xml:space="preserve"> </w:t>
      </w:r>
      <w:r w:rsidR="00655846" w:rsidRPr="00DB6F2C">
        <w:rPr>
          <w:lang w:val="ru-RU"/>
        </w:rPr>
        <w:t>уточнениями</w:t>
      </w:r>
      <w:r w:rsidR="00754E23" w:rsidRPr="00DB6F2C">
        <w:rPr>
          <w:lang w:val="ru-RU"/>
        </w:rPr>
        <w:t>"</w:t>
      </w:r>
      <w:r w:rsidR="0003282B" w:rsidRPr="00DB6F2C">
        <w:rPr>
          <w:lang w:val="ru-RU"/>
        </w:rPr>
        <w:t>. Это</w:t>
      </w:r>
      <w:r w:rsidR="006A23F5" w:rsidRPr="00DB6F2C">
        <w:rPr>
          <w:lang w:val="ru-RU"/>
        </w:rPr>
        <w:t xml:space="preserve"> − </w:t>
      </w:r>
      <w:r w:rsidR="0003282B" w:rsidRPr="00DB6F2C">
        <w:rPr>
          <w:lang w:val="ru-RU"/>
        </w:rPr>
        <w:t xml:space="preserve">процесс рассмотрения и </w:t>
      </w:r>
      <w:r w:rsidR="00453DB0" w:rsidRPr="00DB6F2C">
        <w:rPr>
          <w:lang w:val="ru-RU"/>
        </w:rPr>
        <w:t>раз</w:t>
      </w:r>
      <w:r w:rsidR="0034196E" w:rsidRPr="00DB6F2C">
        <w:rPr>
          <w:lang w:val="ru-RU"/>
        </w:rPr>
        <w:t xml:space="preserve">вития </w:t>
      </w:r>
      <w:r w:rsidR="0003282B" w:rsidRPr="00DB6F2C">
        <w:rPr>
          <w:lang w:val="ru-RU"/>
        </w:rPr>
        <w:t xml:space="preserve">утвержденного </w:t>
      </w:r>
      <w:r w:rsidR="0034196E" w:rsidRPr="00DB6F2C">
        <w:rPr>
          <w:lang w:val="ru-RU"/>
        </w:rPr>
        <w:t>концептуального</w:t>
      </w:r>
      <w:r w:rsidR="0003282B" w:rsidRPr="00DB6F2C">
        <w:rPr>
          <w:lang w:val="ru-RU"/>
        </w:rPr>
        <w:t xml:space="preserve"> проекта. К концу этапа </w:t>
      </w:r>
      <w:r w:rsidR="0034196E" w:rsidRPr="00DB6F2C">
        <w:rPr>
          <w:lang w:val="ru-RU"/>
        </w:rPr>
        <w:t xml:space="preserve">разработки </w:t>
      </w:r>
      <w:r w:rsidR="0003282B" w:rsidRPr="00DB6F2C">
        <w:rPr>
          <w:lang w:val="ru-RU"/>
        </w:rPr>
        <w:t xml:space="preserve">проекта строительства проект должен быть </w:t>
      </w:r>
      <w:r w:rsidR="00591288" w:rsidRPr="00DB6F2C">
        <w:rPr>
          <w:lang w:val="ru-RU"/>
        </w:rPr>
        <w:t>выверенным</w:t>
      </w:r>
      <w:r w:rsidR="0007052C" w:rsidRPr="00DB6F2C">
        <w:rPr>
          <w:lang w:val="ru-RU"/>
        </w:rPr>
        <w:t xml:space="preserve"> в размерах и скоординированным</w:t>
      </w:r>
      <w:r w:rsidR="0003282B" w:rsidRPr="00DB6F2C">
        <w:rPr>
          <w:lang w:val="ru-RU"/>
        </w:rPr>
        <w:t xml:space="preserve">, содержать описание всех основных </w:t>
      </w:r>
      <w:r w:rsidR="00C856C1" w:rsidRPr="00DB6F2C">
        <w:rPr>
          <w:lang w:val="ru-RU"/>
        </w:rPr>
        <w:t xml:space="preserve">элементов здания и их сочетания. На этапе </w:t>
      </w:r>
      <w:r w:rsidR="0034196E" w:rsidRPr="00DB6F2C">
        <w:rPr>
          <w:lang w:val="ru-RU"/>
        </w:rPr>
        <w:t xml:space="preserve">разработки </w:t>
      </w:r>
      <w:r w:rsidR="00C856C1" w:rsidRPr="00DB6F2C">
        <w:rPr>
          <w:lang w:val="ru-RU"/>
        </w:rPr>
        <w:t>проекта строительства д</w:t>
      </w:r>
      <w:r w:rsidR="0007052C" w:rsidRPr="00DB6F2C">
        <w:rPr>
          <w:lang w:val="ru-RU"/>
        </w:rPr>
        <w:t>олжна быть предоставлена информация, достаточная для подачи заявки на получение разрешительной документации.</w:t>
      </w:r>
    </w:p>
    <w:p w14:paraId="39CFDC12" w14:textId="74F5A299" w:rsidR="00F90867" w:rsidRPr="00DB6F2C" w:rsidRDefault="00EF398E" w:rsidP="004A20E7">
      <w:pPr>
        <w:rPr>
          <w:lang w:val="ru-RU"/>
        </w:rPr>
      </w:pPr>
      <w:r w:rsidRPr="00DB6F2C">
        <w:rPr>
          <w:lang w:val="ru-RU"/>
        </w:rPr>
        <w:t>Основа</w:t>
      </w:r>
      <w:r w:rsidR="0007052C" w:rsidRPr="00DB6F2C">
        <w:rPr>
          <w:lang w:val="ru-RU"/>
        </w:rPr>
        <w:t xml:space="preserve">: </w:t>
      </w:r>
      <w:r w:rsidR="0034196E" w:rsidRPr="00DB6F2C">
        <w:rPr>
          <w:lang w:val="ru-RU"/>
        </w:rPr>
        <w:t xml:space="preserve">концептуальный </w:t>
      </w:r>
      <w:r w:rsidR="00F47204" w:rsidRPr="00DB6F2C">
        <w:rPr>
          <w:lang w:val="ru-RU"/>
        </w:rPr>
        <w:t>проект</w:t>
      </w:r>
      <w:r w:rsidRPr="00DB6F2C">
        <w:rPr>
          <w:lang w:val="ru-RU"/>
        </w:rPr>
        <w:t xml:space="preserve"> (</w:t>
      </w:r>
      <w:r w:rsidR="00754E23" w:rsidRPr="00DB6F2C">
        <w:rPr>
          <w:lang w:val="ru-RU"/>
        </w:rPr>
        <w:t xml:space="preserve">в </w:t>
      </w:r>
      <w:r w:rsidRPr="00DB6F2C">
        <w:rPr>
          <w:lang w:val="ru-RU"/>
        </w:rPr>
        <w:t>перевод</w:t>
      </w:r>
      <w:r w:rsidR="00754E23" w:rsidRPr="00DB6F2C">
        <w:rPr>
          <w:lang w:val="ru-RU"/>
        </w:rPr>
        <w:t>е</w:t>
      </w:r>
      <w:r w:rsidRPr="00DB6F2C">
        <w:rPr>
          <w:lang w:val="ru-RU"/>
        </w:rPr>
        <w:t xml:space="preserve"> с французского </w:t>
      </w:r>
      <w:r w:rsidR="00754E23" w:rsidRPr="00DB6F2C">
        <w:rPr>
          <w:lang w:val="ru-RU"/>
        </w:rPr>
        <w:t>– "аванпроект"</w:t>
      </w:r>
      <w:r w:rsidRPr="00DB6F2C">
        <w:rPr>
          <w:lang w:val="ru-RU"/>
        </w:rPr>
        <w:t xml:space="preserve">), предварительные решения разрешительных органов. </w:t>
      </w:r>
    </w:p>
    <w:p w14:paraId="763A772D" w14:textId="0995BF02" w:rsidR="00F90867" w:rsidRPr="00DB6F2C" w:rsidRDefault="00EF398E" w:rsidP="004A20E7">
      <w:pPr>
        <w:rPr>
          <w:lang w:val="ru-RU"/>
        </w:rPr>
      </w:pPr>
      <w:r w:rsidRPr="00DB6F2C">
        <w:rPr>
          <w:lang w:val="ru-RU"/>
        </w:rPr>
        <w:t xml:space="preserve">Цели: </w:t>
      </w:r>
      <w:r w:rsidR="00591288" w:rsidRPr="00DB6F2C">
        <w:rPr>
          <w:lang w:val="ru-RU"/>
        </w:rPr>
        <w:t>оптимизировать</w:t>
      </w:r>
      <w:r w:rsidRPr="00DB6F2C">
        <w:rPr>
          <w:lang w:val="ru-RU"/>
        </w:rPr>
        <w:t xml:space="preserve"> </w:t>
      </w:r>
      <w:r w:rsidR="00F47204" w:rsidRPr="00DB6F2C">
        <w:rPr>
          <w:lang w:val="ru-RU"/>
        </w:rPr>
        <w:t>проект</w:t>
      </w:r>
      <w:r w:rsidRPr="00DB6F2C">
        <w:rPr>
          <w:lang w:val="ru-RU"/>
        </w:rPr>
        <w:t xml:space="preserve"> строительства</w:t>
      </w:r>
      <w:r w:rsidR="00F47204" w:rsidRPr="00DB6F2C">
        <w:rPr>
          <w:lang w:val="ru-RU"/>
        </w:rPr>
        <w:t xml:space="preserve"> и его стоимость</w:t>
      </w:r>
      <w:r w:rsidRPr="00DB6F2C">
        <w:rPr>
          <w:lang w:val="ru-RU"/>
        </w:rPr>
        <w:t xml:space="preserve">; </w:t>
      </w:r>
      <w:r w:rsidR="00591288" w:rsidRPr="00DB6F2C">
        <w:rPr>
          <w:lang w:val="ru-RU"/>
        </w:rPr>
        <w:t>определить</w:t>
      </w:r>
      <w:r w:rsidRPr="00DB6F2C">
        <w:rPr>
          <w:lang w:val="ru-RU"/>
        </w:rPr>
        <w:t xml:space="preserve"> </w:t>
      </w:r>
      <w:r w:rsidR="00591288" w:rsidRPr="00DB6F2C">
        <w:rPr>
          <w:lang w:val="ru-RU"/>
        </w:rPr>
        <w:t>сроки</w:t>
      </w:r>
      <w:r w:rsidRPr="00DB6F2C">
        <w:rPr>
          <w:lang w:val="ru-RU"/>
        </w:rPr>
        <w:t xml:space="preserve">. </w:t>
      </w:r>
    </w:p>
    <w:p w14:paraId="3BFAF4FB" w14:textId="6609EFEB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EF398E" w:rsidRPr="00DB6F2C">
        <w:rPr>
          <w:lang w:val="ru-RU"/>
        </w:rPr>
        <w:t>Январь–июль</w:t>
      </w:r>
      <w:r w:rsidR="00CF13C3" w:rsidRPr="00DB6F2C">
        <w:rPr>
          <w:lang w:val="ru-RU"/>
        </w:rPr>
        <w:t>:</w:t>
      </w:r>
      <w:r w:rsidR="00EF398E" w:rsidRPr="00DB6F2C">
        <w:rPr>
          <w:lang w:val="ru-RU"/>
        </w:rPr>
        <w:t xml:space="preserve"> </w:t>
      </w:r>
      <w:r w:rsidR="00655846" w:rsidRPr="00DB6F2C">
        <w:rPr>
          <w:lang w:val="ru-RU"/>
        </w:rPr>
        <w:t>проведение</w:t>
      </w:r>
      <w:r w:rsidR="00F47204" w:rsidRPr="00DB6F2C">
        <w:rPr>
          <w:lang w:val="ru-RU"/>
        </w:rPr>
        <w:t xml:space="preserve"> семинаров-практикумов с целью</w:t>
      </w:r>
      <w:r w:rsidR="00EF398E" w:rsidRPr="00DB6F2C">
        <w:rPr>
          <w:lang w:val="ru-RU"/>
        </w:rPr>
        <w:t xml:space="preserve"> </w:t>
      </w:r>
      <w:r w:rsidR="00F47204" w:rsidRPr="00DB6F2C">
        <w:rPr>
          <w:lang w:val="ru-RU"/>
        </w:rPr>
        <w:t>подтвердить</w:t>
      </w:r>
      <w:r w:rsidR="00EF398E" w:rsidRPr="00DB6F2C">
        <w:rPr>
          <w:lang w:val="ru-RU"/>
        </w:rPr>
        <w:t xml:space="preserve"> </w:t>
      </w:r>
      <w:r w:rsidR="00F47204" w:rsidRPr="00DB6F2C">
        <w:rPr>
          <w:lang w:val="ru-RU"/>
        </w:rPr>
        <w:t>программные</w:t>
      </w:r>
      <w:r w:rsidR="00EF398E" w:rsidRPr="00DB6F2C">
        <w:rPr>
          <w:lang w:val="ru-RU"/>
        </w:rPr>
        <w:t xml:space="preserve"> и </w:t>
      </w:r>
      <w:r w:rsidR="00F47204" w:rsidRPr="00DB6F2C">
        <w:rPr>
          <w:lang w:val="ru-RU"/>
        </w:rPr>
        <w:t>функциональные</w:t>
      </w:r>
      <w:r w:rsidR="00EF398E" w:rsidRPr="00DB6F2C">
        <w:rPr>
          <w:lang w:val="ru-RU"/>
        </w:rPr>
        <w:t xml:space="preserve"> </w:t>
      </w:r>
      <w:r w:rsidR="00F47204" w:rsidRPr="00DB6F2C">
        <w:rPr>
          <w:lang w:val="ru-RU"/>
        </w:rPr>
        <w:t>деловые</w:t>
      </w:r>
      <w:r w:rsidR="00EF398E" w:rsidRPr="00DB6F2C">
        <w:rPr>
          <w:lang w:val="ru-RU"/>
        </w:rPr>
        <w:t xml:space="preserve"> </w:t>
      </w:r>
      <w:r w:rsidR="00F47204" w:rsidRPr="00DB6F2C">
        <w:rPr>
          <w:lang w:val="ru-RU"/>
        </w:rPr>
        <w:t>требования</w:t>
      </w:r>
      <w:r w:rsidR="00EF398E" w:rsidRPr="00DB6F2C">
        <w:rPr>
          <w:lang w:val="ru-RU"/>
        </w:rPr>
        <w:t xml:space="preserve"> для дальнейшей работы над проектом. </w:t>
      </w:r>
    </w:p>
    <w:p w14:paraId="25950FEF" w14:textId="1C800D8A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EF398E" w:rsidRPr="00DB6F2C">
        <w:rPr>
          <w:lang w:val="ru-RU"/>
        </w:rPr>
        <w:t xml:space="preserve">Июль и </w:t>
      </w:r>
      <w:r w:rsidR="00655846" w:rsidRPr="00DB6F2C">
        <w:rPr>
          <w:lang w:val="ru-RU"/>
        </w:rPr>
        <w:t>позднее</w:t>
      </w:r>
      <w:r w:rsidR="00CF13C3" w:rsidRPr="00DB6F2C">
        <w:rPr>
          <w:lang w:val="ru-RU"/>
        </w:rPr>
        <w:t>:</w:t>
      </w:r>
      <w:r w:rsidR="00EF398E" w:rsidRPr="00DB6F2C">
        <w:rPr>
          <w:lang w:val="ru-RU"/>
        </w:rPr>
        <w:t xml:space="preserve"> </w:t>
      </w:r>
      <w:r w:rsidR="00C2180C" w:rsidRPr="00DB6F2C">
        <w:rPr>
          <w:lang w:val="ru-RU"/>
        </w:rPr>
        <w:t>привлечение</w:t>
      </w:r>
      <w:r w:rsidR="00EF398E" w:rsidRPr="00DB6F2C">
        <w:rPr>
          <w:lang w:val="ru-RU"/>
        </w:rPr>
        <w:t xml:space="preserve"> заинтересованных сторон </w:t>
      </w:r>
      <w:r w:rsidR="00C2180C" w:rsidRPr="00DB6F2C">
        <w:rPr>
          <w:lang w:val="ru-RU"/>
        </w:rPr>
        <w:t>к</w:t>
      </w:r>
      <w:r w:rsidR="00EF398E" w:rsidRPr="00DB6F2C">
        <w:rPr>
          <w:lang w:val="ru-RU"/>
        </w:rPr>
        <w:t xml:space="preserve"> </w:t>
      </w:r>
      <w:r w:rsidR="00C2180C" w:rsidRPr="00DB6F2C">
        <w:rPr>
          <w:lang w:val="ru-RU"/>
        </w:rPr>
        <w:t>определению</w:t>
      </w:r>
      <w:r w:rsidR="00EF398E" w:rsidRPr="00DB6F2C">
        <w:rPr>
          <w:lang w:val="ru-RU"/>
        </w:rPr>
        <w:t xml:space="preserve"> делов</w:t>
      </w:r>
      <w:r w:rsidR="00C2180C" w:rsidRPr="00DB6F2C">
        <w:rPr>
          <w:lang w:val="ru-RU"/>
        </w:rPr>
        <w:t>ых</w:t>
      </w:r>
      <w:r w:rsidR="00EF398E" w:rsidRPr="00DB6F2C">
        <w:rPr>
          <w:lang w:val="ru-RU"/>
        </w:rPr>
        <w:t xml:space="preserve"> </w:t>
      </w:r>
      <w:r w:rsidR="00655846" w:rsidRPr="00DB6F2C">
        <w:rPr>
          <w:lang w:val="ru-RU"/>
        </w:rPr>
        <w:t>требований</w:t>
      </w:r>
      <w:r w:rsidR="00EF398E" w:rsidRPr="00DB6F2C">
        <w:rPr>
          <w:lang w:val="ru-RU"/>
        </w:rPr>
        <w:t xml:space="preserve"> и </w:t>
      </w:r>
      <w:r w:rsidR="00C2180C" w:rsidRPr="00DB6F2C">
        <w:rPr>
          <w:lang w:val="ru-RU"/>
        </w:rPr>
        <w:t>выработке предложений</w:t>
      </w:r>
      <w:r w:rsidR="00EF398E" w:rsidRPr="00DB6F2C">
        <w:rPr>
          <w:lang w:val="ru-RU"/>
        </w:rPr>
        <w:t xml:space="preserve"> </w:t>
      </w:r>
      <w:r w:rsidR="00C2180C" w:rsidRPr="00DB6F2C">
        <w:rPr>
          <w:lang w:val="ru-RU"/>
        </w:rPr>
        <w:t xml:space="preserve">по распределению помещений. </w:t>
      </w:r>
    </w:p>
    <w:p w14:paraId="629119FD" w14:textId="12246DA7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C2180C" w:rsidRPr="00DB6F2C">
        <w:rPr>
          <w:lang w:val="ru-RU"/>
        </w:rPr>
        <w:t>Январь–ноябрь</w:t>
      </w:r>
      <w:r w:rsidR="00CF13C3" w:rsidRPr="00DB6F2C">
        <w:rPr>
          <w:lang w:val="ru-RU"/>
        </w:rPr>
        <w:t>:</w:t>
      </w:r>
      <w:r w:rsidR="00C2180C" w:rsidRPr="00DB6F2C">
        <w:rPr>
          <w:lang w:val="ru-RU"/>
        </w:rPr>
        <w:t xml:space="preserve"> мониторинг затрат и оптимизация проектных решений</w:t>
      </w:r>
      <w:r w:rsidR="00C2180C" w:rsidRPr="00DB6F2C">
        <w:rPr>
          <w:rStyle w:val="FootnoteReference"/>
          <w:rFonts w:cstheme="minorHAnsi"/>
          <w:color w:val="000000" w:themeColor="text1"/>
          <w:lang w:val="ru-RU"/>
        </w:rPr>
        <w:footnoteReference w:id="1"/>
      </w:r>
      <w:r w:rsidR="00C2180C" w:rsidRPr="00DB6F2C">
        <w:rPr>
          <w:lang w:val="ru-RU"/>
        </w:rPr>
        <w:t xml:space="preserve">, с тем чтобы обеспечить осуществление требуемых функций в рамках проекта при минимальных затратах. </w:t>
      </w:r>
    </w:p>
    <w:p w14:paraId="739EFAC4" w14:textId="5CA5D805" w:rsidR="00F90867" w:rsidRPr="00DB6F2C" w:rsidRDefault="00F90867" w:rsidP="004A20E7">
      <w:pPr>
        <w:pStyle w:val="Heading3"/>
        <w:rPr>
          <w:lang w:val="ru-RU"/>
        </w:rPr>
      </w:pPr>
      <w:r w:rsidRPr="00DB6F2C">
        <w:rPr>
          <w:lang w:val="ru-RU"/>
        </w:rPr>
        <w:t>3.1.2</w:t>
      </w:r>
      <w:r w:rsidRPr="00DB6F2C">
        <w:rPr>
          <w:lang w:val="ru-RU"/>
        </w:rPr>
        <w:tab/>
      </w:r>
      <w:r w:rsidR="004A34D2" w:rsidRPr="00DB6F2C">
        <w:rPr>
          <w:lang w:val="ru-RU"/>
        </w:rPr>
        <w:t xml:space="preserve">Заявление о выдаче </w:t>
      </w:r>
      <w:r w:rsidR="00C2180C" w:rsidRPr="00DB6F2C">
        <w:rPr>
          <w:lang w:val="ru-RU"/>
        </w:rPr>
        <w:t>разрешения на строительство (этап 4.33)</w:t>
      </w:r>
    </w:p>
    <w:p w14:paraId="350714B5" w14:textId="10596887" w:rsidR="00F90867" w:rsidRPr="00DB6F2C" w:rsidRDefault="00453DB0" w:rsidP="004A20E7">
      <w:pPr>
        <w:rPr>
          <w:lang w:val="ru-RU" w:eastAsia="zh-CN"/>
        </w:rPr>
      </w:pPr>
      <w:r w:rsidRPr="00DB6F2C">
        <w:rPr>
          <w:lang w:val="ru-RU" w:eastAsia="zh-CN"/>
        </w:rPr>
        <w:t xml:space="preserve">Процедура получения разрешения, подача документации, представленной на этапе </w:t>
      </w:r>
      <w:r w:rsidR="00ED4012" w:rsidRPr="00DB6F2C">
        <w:rPr>
          <w:lang w:val="ru-RU" w:eastAsia="zh-CN"/>
        </w:rPr>
        <w:t xml:space="preserve">разработки </w:t>
      </w:r>
      <w:r w:rsidRPr="00DB6F2C">
        <w:rPr>
          <w:lang w:val="ru-RU" w:eastAsia="zh-CN"/>
        </w:rPr>
        <w:t xml:space="preserve">проекта строительства. </w:t>
      </w:r>
    </w:p>
    <w:p w14:paraId="6BB245FC" w14:textId="1820B5ED" w:rsidR="00F90867" w:rsidRPr="00DB6F2C" w:rsidRDefault="00453DB0" w:rsidP="004A20E7">
      <w:pPr>
        <w:rPr>
          <w:lang w:val="ru-RU" w:eastAsia="zh-CN"/>
        </w:rPr>
      </w:pPr>
      <w:r w:rsidRPr="00DB6F2C">
        <w:rPr>
          <w:lang w:val="ru-RU" w:eastAsia="zh-CN"/>
        </w:rPr>
        <w:t xml:space="preserve">Цели: получить разрешение на строительство от местных органов власти. </w:t>
      </w:r>
    </w:p>
    <w:p w14:paraId="3133B368" w14:textId="514EF0E0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453DB0" w:rsidRPr="00DB6F2C">
        <w:rPr>
          <w:lang w:val="ru-RU"/>
        </w:rPr>
        <w:t>Март–октябрь</w:t>
      </w:r>
      <w:r w:rsidR="00CF13C3" w:rsidRPr="00DB6F2C">
        <w:rPr>
          <w:lang w:val="ru-RU"/>
        </w:rPr>
        <w:t>:</w:t>
      </w:r>
      <w:r w:rsidR="00453DB0" w:rsidRPr="00DB6F2C">
        <w:rPr>
          <w:lang w:val="ru-RU"/>
        </w:rPr>
        <w:t xml:space="preserve"> </w:t>
      </w:r>
      <w:r w:rsidR="004A34D2" w:rsidRPr="00DB6F2C">
        <w:rPr>
          <w:lang w:val="ru-RU"/>
        </w:rPr>
        <w:t>проведение консультаций</w:t>
      </w:r>
      <w:r w:rsidR="00453DB0" w:rsidRPr="00DB6F2C">
        <w:rPr>
          <w:lang w:val="ru-RU"/>
        </w:rPr>
        <w:t xml:space="preserve"> с местными органами власти, см. пункт </w:t>
      </w:r>
      <w:r w:rsidR="00591288" w:rsidRPr="00DB6F2C">
        <w:rPr>
          <w:lang w:val="ru-RU"/>
        </w:rPr>
        <w:t>3.3.</w:t>
      </w:r>
    </w:p>
    <w:p w14:paraId="27767520" w14:textId="2CAE297C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453DB0" w:rsidRPr="00DB6F2C">
        <w:rPr>
          <w:lang w:val="ru-RU"/>
        </w:rPr>
        <w:t>Октябрь 2020 года</w:t>
      </w:r>
      <w:r w:rsidR="00CF13C3" w:rsidRPr="00DB6F2C">
        <w:rPr>
          <w:lang w:val="ru-RU"/>
        </w:rPr>
        <w:t>:</w:t>
      </w:r>
      <w:r w:rsidR="00453DB0" w:rsidRPr="00DB6F2C">
        <w:rPr>
          <w:lang w:val="ru-RU"/>
        </w:rPr>
        <w:t xml:space="preserve"> </w:t>
      </w:r>
      <w:r w:rsidR="004A34D2" w:rsidRPr="00DB6F2C">
        <w:rPr>
          <w:lang w:val="ru-RU"/>
        </w:rPr>
        <w:t>подача</w:t>
      </w:r>
      <w:r w:rsidR="00453DB0" w:rsidRPr="00DB6F2C">
        <w:rPr>
          <w:lang w:val="ru-RU"/>
        </w:rPr>
        <w:t xml:space="preserve"> проекта </w:t>
      </w:r>
      <w:r w:rsidR="004A34D2" w:rsidRPr="00DB6F2C">
        <w:rPr>
          <w:lang w:val="ru-RU"/>
        </w:rPr>
        <w:t>заявления</w:t>
      </w:r>
      <w:r w:rsidR="00453DB0" w:rsidRPr="00DB6F2C">
        <w:rPr>
          <w:lang w:val="ru-RU"/>
        </w:rPr>
        <w:t xml:space="preserve"> </w:t>
      </w:r>
      <w:r w:rsidR="004A34D2" w:rsidRPr="00DB6F2C">
        <w:rPr>
          <w:lang w:val="ru-RU"/>
        </w:rPr>
        <w:t>о выдаче</w:t>
      </w:r>
      <w:r w:rsidR="00591288" w:rsidRPr="00DB6F2C">
        <w:rPr>
          <w:lang w:val="ru-RU"/>
        </w:rPr>
        <w:t xml:space="preserve"> разрешения. </w:t>
      </w:r>
    </w:p>
    <w:p w14:paraId="06780606" w14:textId="225D0B9C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591288" w:rsidRPr="00DB6F2C">
        <w:rPr>
          <w:lang w:val="ru-RU"/>
        </w:rPr>
        <w:t>Декабрь</w:t>
      </w:r>
      <w:r w:rsidR="00CF13C3" w:rsidRPr="00DB6F2C">
        <w:rPr>
          <w:lang w:val="ru-RU"/>
        </w:rPr>
        <w:t>:</w:t>
      </w:r>
      <w:r w:rsidR="00591288" w:rsidRPr="00DB6F2C">
        <w:rPr>
          <w:lang w:val="ru-RU"/>
        </w:rPr>
        <w:t xml:space="preserve"> подача </w:t>
      </w:r>
      <w:r w:rsidR="004A34D2" w:rsidRPr="00DB6F2C">
        <w:rPr>
          <w:lang w:val="ru-RU"/>
        </w:rPr>
        <w:t xml:space="preserve">заявления о выдаче </w:t>
      </w:r>
      <w:r w:rsidR="00591288" w:rsidRPr="00DB6F2C">
        <w:rPr>
          <w:lang w:val="ru-RU"/>
        </w:rPr>
        <w:t xml:space="preserve">разрешения в местные органы власти. </w:t>
      </w:r>
    </w:p>
    <w:p w14:paraId="1F4080A7" w14:textId="6A45A5E5" w:rsidR="00F90867" w:rsidRPr="00DB6F2C" w:rsidRDefault="00591288" w:rsidP="004A20E7">
      <w:pPr>
        <w:rPr>
          <w:lang w:val="ru-RU"/>
        </w:rPr>
      </w:pPr>
      <w:r w:rsidRPr="00DB6F2C">
        <w:rPr>
          <w:lang w:val="ru-RU"/>
        </w:rPr>
        <w:t xml:space="preserve">Ориентировочные сроки получения разрешения на строительство составляют от </w:t>
      </w:r>
      <w:r w:rsidR="006A23F5" w:rsidRPr="00DB6F2C">
        <w:rPr>
          <w:lang w:val="ru-RU"/>
        </w:rPr>
        <w:t>трех</w:t>
      </w:r>
      <w:r w:rsidRPr="00DB6F2C">
        <w:rPr>
          <w:lang w:val="ru-RU"/>
        </w:rPr>
        <w:t xml:space="preserve"> до </w:t>
      </w:r>
      <w:r w:rsidR="006A23F5" w:rsidRPr="00DB6F2C">
        <w:rPr>
          <w:lang w:val="ru-RU"/>
        </w:rPr>
        <w:t>шести</w:t>
      </w:r>
      <w:r w:rsidRPr="00DB6F2C">
        <w:rPr>
          <w:lang w:val="ru-RU"/>
        </w:rPr>
        <w:t xml:space="preserve"> месяцев. </w:t>
      </w:r>
    </w:p>
    <w:p w14:paraId="08944C21" w14:textId="2CC9F92D" w:rsidR="00F90867" w:rsidRPr="00DB6F2C" w:rsidRDefault="00F90867" w:rsidP="004A20E7">
      <w:pPr>
        <w:pStyle w:val="Heading2"/>
        <w:rPr>
          <w:lang w:val="ru-RU"/>
        </w:rPr>
      </w:pPr>
      <w:r w:rsidRPr="00DB6F2C">
        <w:rPr>
          <w:lang w:val="ru-RU"/>
        </w:rPr>
        <w:lastRenderedPageBreak/>
        <w:t>3.</w:t>
      </w:r>
      <w:r w:rsidR="00AA3091" w:rsidRPr="00DB6F2C">
        <w:rPr>
          <w:lang w:val="ru-RU"/>
        </w:rPr>
        <w:t>2</w:t>
      </w:r>
      <w:r w:rsidRPr="00DB6F2C">
        <w:rPr>
          <w:lang w:val="ru-RU"/>
        </w:rPr>
        <w:tab/>
      </w:r>
      <w:r w:rsidR="00591288" w:rsidRPr="00DB6F2C">
        <w:rPr>
          <w:lang w:val="ru-RU"/>
        </w:rPr>
        <w:t>Консультации с местными органами власти</w:t>
      </w:r>
    </w:p>
    <w:p w14:paraId="3C395013" w14:textId="33A9308D" w:rsidR="00F90867" w:rsidRPr="00DB6F2C" w:rsidRDefault="00591288" w:rsidP="004A20E7">
      <w:pPr>
        <w:rPr>
          <w:lang w:val="ru-RU"/>
        </w:rPr>
      </w:pPr>
      <w:r w:rsidRPr="00DB6F2C">
        <w:rPr>
          <w:lang w:val="ru-RU"/>
        </w:rPr>
        <w:t xml:space="preserve">Для обеспечения слаженного и оперативного процесса одобрения проводятся консультации с местными органами власти, предшествующие получению разрешения на строительство. Фактически, как </w:t>
      </w:r>
      <w:r w:rsidR="008A2DF6" w:rsidRPr="00DB6F2C">
        <w:rPr>
          <w:lang w:val="ru-RU"/>
        </w:rPr>
        <w:t>явствует из опыта</w:t>
      </w:r>
      <w:r w:rsidRPr="00DB6F2C">
        <w:rPr>
          <w:lang w:val="ru-RU"/>
        </w:rPr>
        <w:t xml:space="preserve"> </w:t>
      </w:r>
      <w:r w:rsidR="00ED4012" w:rsidRPr="00DB6F2C">
        <w:rPr>
          <w:lang w:val="ru-RU"/>
        </w:rPr>
        <w:t xml:space="preserve">разработки </w:t>
      </w:r>
      <w:r w:rsidRPr="00DB6F2C">
        <w:rPr>
          <w:lang w:val="ru-RU"/>
        </w:rPr>
        <w:t xml:space="preserve">других проектов строительства, различные местные разрешительные инстанции дают согласие в тех случаях, когда </w:t>
      </w:r>
      <w:r w:rsidR="00861C0A" w:rsidRPr="00DB6F2C">
        <w:rPr>
          <w:lang w:val="ru-RU"/>
        </w:rPr>
        <w:t>осуществляется</w:t>
      </w:r>
      <w:r w:rsidRPr="00DB6F2C">
        <w:rPr>
          <w:lang w:val="ru-RU"/>
        </w:rPr>
        <w:t xml:space="preserve"> их информирование и консультации </w:t>
      </w:r>
      <w:r w:rsidR="00861C0A" w:rsidRPr="00DB6F2C">
        <w:rPr>
          <w:lang w:val="ru-RU"/>
        </w:rPr>
        <w:t xml:space="preserve">на раннем этапе и когда </w:t>
      </w:r>
      <w:r w:rsidR="008A2DF6" w:rsidRPr="00DB6F2C">
        <w:rPr>
          <w:lang w:val="ru-RU"/>
        </w:rPr>
        <w:t>подаче</w:t>
      </w:r>
      <w:r w:rsidR="00861C0A" w:rsidRPr="00DB6F2C">
        <w:rPr>
          <w:lang w:val="ru-RU"/>
        </w:rPr>
        <w:t xml:space="preserve"> документации на получение разрешения</w:t>
      </w:r>
      <w:r w:rsidR="008A2DF6" w:rsidRPr="00DB6F2C">
        <w:rPr>
          <w:lang w:val="ru-RU"/>
        </w:rPr>
        <w:t xml:space="preserve"> предшествует совместная деятельность по разработке решений</w:t>
      </w:r>
      <w:r w:rsidR="00861C0A" w:rsidRPr="00DB6F2C">
        <w:rPr>
          <w:lang w:val="ru-RU"/>
        </w:rPr>
        <w:t xml:space="preserve">. </w:t>
      </w:r>
      <w:r w:rsidR="00424CAB" w:rsidRPr="00DB6F2C">
        <w:rPr>
          <w:lang w:val="ru-RU"/>
        </w:rPr>
        <w:t xml:space="preserve">Перечень консультаций </w:t>
      </w:r>
      <w:r w:rsidR="008A2DF6" w:rsidRPr="00DB6F2C">
        <w:rPr>
          <w:lang w:val="ru-RU"/>
        </w:rPr>
        <w:t>приводится</w:t>
      </w:r>
      <w:r w:rsidR="00424CAB" w:rsidRPr="00DB6F2C">
        <w:rPr>
          <w:lang w:val="ru-RU"/>
        </w:rPr>
        <w:t xml:space="preserve">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en</w:instrText>
      </w:r>
      <w:r w:rsidR="00D81752" w:rsidRPr="00D81752">
        <w:rPr>
          <w:lang w:val="ru-RU"/>
        </w:rPr>
        <w:instrText>/</w:instrText>
      </w:r>
      <w:r w:rsidR="00D81752">
        <w:instrText>council</w:instrText>
      </w:r>
      <w:r w:rsidR="00D81752" w:rsidRPr="00D81752">
        <w:rPr>
          <w:lang w:val="ru-RU"/>
        </w:rPr>
        <w:instrText>/2020/</w:instrText>
      </w:r>
      <w:r w:rsidR="00D81752">
        <w:instrText>Documents</w:instrText>
      </w:r>
      <w:r w:rsidR="00D81752" w:rsidRPr="00D81752">
        <w:rPr>
          <w:lang w:val="ru-RU"/>
        </w:rPr>
        <w:instrText>/007/</w:instrText>
      </w:r>
      <w:r w:rsidR="00D81752">
        <w:instrText>INF</w:instrText>
      </w:r>
      <w:r w:rsidR="00D81752" w:rsidRPr="00D81752">
        <w:rPr>
          <w:lang w:val="ru-RU"/>
        </w:rPr>
        <w:instrText>%20</w:instrText>
      </w:r>
      <w:r w:rsidR="00D81752">
        <w:instrText>A</w:instrText>
      </w:r>
      <w:r w:rsidR="00D81752" w:rsidRPr="00D81752">
        <w:rPr>
          <w:lang w:val="ru-RU"/>
        </w:rPr>
        <w:instrText>_</w:instrText>
      </w:r>
      <w:r w:rsidR="00D81752">
        <w:instrText>Preconsultations</w:instrText>
      </w:r>
      <w:r w:rsidR="00D81752" w:rsidRPr="00D81752">
        <w:rPr>
          <w:lang w:val="ru-RU"/>
        </w:rPr>
        <w:instrText>.</w:instrText>
      </w:r>
      <w:r w:rsidR="00D81752">
        <w:instrText>pdf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="00424CAB" w:rsidRPr="00DB6F2C">
        <w:rPr>
          <w:rStyle w:val="Hyperlink"/>
          <w:rFonts w:asciiTheme="minorHAnsi" w:hAnsiTheme="minorHAnsi" w:cstheme="minorHAnsi"/>
          <w:lang w:val="ru-RU"/>
        </w:rPr>
        <w:t>здесь</w:t>
      </w:r>
      <w:r w:rsidR="00D81752">
        <w:rPr>
          <w:rStyle w:val="Hyperlink"/>
          <w:rFonts w:asciiTheme="minorHAnsi" w:hAnsiTheme="minorHAnsi" w:cstheme="minorHAnsi"/>
          <w:lang w:val="ru-RU"/>
        </w:rPr>
        <w:fldChar w:fldCharType="end"/>
      </w:r>
      <w:r w:rsidR="00F90867" w:rsidRPr="00DB6F2C">
        <w:rPr>
          <w:lang w:val="ru-RU"/>
        </w:rPr>
        <w:t>.</w:t>
      </w:r>
    </w:p>
    <w:p w14:paraId="7DC1CAAE" w14:textId="53C56E0A" w:rsidR="00F90867" w:rsidRPr="00DB6F2C" w:rsidRDefault="00F90867" w:rsidP="00AA3091">
      <w:pPr>
        <w:pStyle w:val="Heading2"/>
        <w:rPr>
          <w:lang w:val="ru-RU"/>
        </w:rPr>
      </w:pPr>
      <w:r w:rsidRPr="00DB6F2C">
        <w:rPr>
          <w:lang w:val="ru-RU"/>
        </w:rPr>
        <w:t>3.</w:t>
      </w:r>
      <w:r w:rsidR="00AA3091" w:rsidRPr="00DB6F2C">
        <w:rPr>
          <w:lang w:val="ru-RU"/>
        </w:rPr>
        <w:t>3</w:t>
      </w:r>
      <w:r w:rsidRPr="00DB6F2C">
        <w:rPr>
          <w:lang w:val="ru-RU"/>
        </w:rPr>
        <w:tab/>
      </w:r>
      <w:r w:rsidR="00726A16" w:rsidRPr="00DB6F2C">
        <w:rPr>
          <w:lang w:val="ru-RU"/>
        </w:rPr>
        <w:t xml:space="preserve">Выполнение требований ДОБ ООН для соблюдения стандартов МОСБ ООН в </w:t>
      </w:r>
      <w:r w:rsidR="00107F4B" w:rsidRPr="00DB6F2C">
        <w:rPr>
          <w:lang w:val="ru-RU"/>
        </w:rPr>
        <w:t xml:space="preserve">отношении </w:t>
      </w:r>
      <w:r w:rsidR="008A2DF6" w:rsidRPr="00DB6F2C">
        <w:rPr>
          <w:lang w:val="ru-RU"/>
        </w:rPr>
        <w:t>объектов всеобщего достояния</w:t>
      </w:r>
      <w:r w:rsidR="00107F4B" w:rsidRPr="00DB6F2C">
        <w:rPr>
          <w:lang w:val="ru-RU"/>
        </w:rPr>
        <w:t xml:space="preserve"> </w:t>
      </w:r>
    </w:p>
    <w:p w14:paraId="0E8976FD" w14:textId="1730811D" w:rsidR="00F90867" w:rsidRPr="00DB6F2C" w:rsidRDefault="00107F4B" w:rsidP="00AA3091">
      <w:pPr>
        <w:rPr>
          <w:lang w:val="ru-RU"/>
        </w:rPr>
      </w:pPr>
      <w:r w:rsidRPr="00DB6F2C">
        <w:rPr>
          <w:lang w:val="ru-RU"/>
        </w:rPr>
        <w:t xml:space="preserve">Необходимое условие выполнения требований </w:t>
      </w:r>
      <w:r w:rsidR="00462E9D" w:rsidRPr="00DB6F2C">
        <w:rPr>
          <w:lang w:val="ru-RU"/>
        </w:rPr>
        <w:t>Департамента ООН по вопросам охраны и безопасности (</w:t>
      </w:r>
      <w:r w:rsidRPr="00DB6F2C">
        <w:rPr>
          <w:lang w:val="ru-RU"/>
        </w:rPr>
        <w:t>ДОБ ООН</w:t>
      </w:r>
      <w:r w:rsidR="00462E9D" w:rsidRPr="00DB6F2C">
        <w:rPr>
          <w:lang w:val="ru-RU"/>
        </w:rPr>
        <w:t>)</w:t>
      </w:r>
      <w:r w:rsidRPr="00DB6F2C">
        <w:rPr>
          <w:lang w:val="ru-RU"/>
        </w:rPr>
        <w:t xml:space="preserve"> является частью отдельного процесса, </w:t>
      </w:r>
      <w:r w:rsidR="008A2DF6" w:rsidRPr="00DB6F2C">
        <w:rPr>
          <w:lang w:val="ru-RU"/>
        </w:rPr>
        <w:t>инициированного</w:t>
      </w:r>
      <w:r w:rsidRPr="00DB6F2C">
        <w:rPr>
          <w:lang w:val="ru-RU"/>
        </w:rPr>
        <w:t xml:space="preserve"> совместно со страной пребывания для решения вопросов соблюдения </w:t>
      </w:r>
      <w:r w:rsidR="00462E9D" w:rsidRPr="00DB6F2C">
        <w:rPr>
          <w:lang w:val="ru-RU"/>
        </w:rPr>
        <w:t>минимальных оперативных стандартов безопасности ООН (</w:t>
      </w:r>
      <w:r w:rsidRPr="00DB6F2C">
        <w:rPr>
          <w:lang w:val="ru-RU"/>
        </w:rPr>
        <w:t>МОСБ ООН</w:t>
      </w:r>
      <w:r w:rsidR="00462E9D" w:rsidRPr="00DB6F2C">
        <w:rPr>
          <w:lang w:val="ru-RU"/>
        </w:rPr>
        <w:t>)</w:t>
      </w:r>
      <w:r w:rsidRPr="00DB6F2C">
        <w:rPr>
          <w:lang w:val="ru-RU"/>
        </w:rPr>
        <w:t xml:space="preserve"> в отношении </w:t>
      </w:r>
      <w:r w:rsidR="008A2DF6" w:rsidRPr="00DB6F2C">
        <w:rPr>
          <w:lang w:val="ru-RU"/>
        </w:rPr>
        <w:t xml:space="preserve">объектов </w:t>
      </w:r>
      <w:r w:rsidRPr="00DB6F2C">
        <w:rPr>
          <w:lang w:val="ru-RU"/>
        </w:rPr>
        <w:t xml:space="preserve">всеобщего достояния. </w:t>
      </w:r>
    </w:p>
    <w:p w14:paraId="4AA69277" w14:textId="5A0931AF" w:rsidR="00F90867" w:rsidRPr="00DB6F2C" w:rsidRDefault="003265A9" w:rsidP="00AA3091">
      <w:pPr>
        <w:rPr>
          <w:lang w:val="ru-RU"/>
        </w:rPr>
      </w:pPr>
      <w:r w:rsidRPr="00DB6F2C">
        <w:rPr>
          <w:lang w:val="ru-RU"/>
        </w:rPr>
        <w:t>В январе 2020 года состоялось к</w:t>
      </w:r>
      <w:r w:rsidR="00107F4B" w:rsidRPr="00DB6F2C">
        <w:rPr>
          <w:lang w:val="ru-RU"/>
        </w:rPr>
        <w:t xml:space="preserve">оординационное собрание </w:t>
      </w:r>
      <w:r w:rsidRPr="00DB6F2C">
        <w:rPr>
          <w:lang w:val="ru-RU"/>
        </w:rPr>
        <w:t xml:space="preserve">по оценке рисков в области безопасности; страна пребывания </w:t>
      </w:r>
      <w:r w:rsidR="003F7018" w:rsidRPr="00DB6F2C">
        <w:rPr>
          <w:lang w:val="ru-RU"/>
        </w:rPr>
        <w:t xml:space="preserve">также </w:t>
      </w:r>
      <w:r w:rsidRPr="00DB6F2C">
        <w:rPr>
          <w:lang w:val="ru-RU"/>
        </w:rPr>
        <w:t xml:space="preserve">приступила к </w:t>
      </w:r>
      <w:r w:rsidR="008A2DF6" w:rsidRPr="00DB6F2C">
        <w:rPr>
          <w:lang w:val="ru-RU"/>
        </w:rPr>
        <w:t>разработке</w:t>
      </w:r>
      <w:r w:rsidRPr="00DB6F2C">
        <w:rPr>
          <w:lang w:val="ru-RU"/>
        </w:rPr>
        <w:t xml:space="preserve"> технико-экономического обоснования</w:t>
      </w:r>
      <w:r w:rsidR="00F70D70" w:rsidRPr="00DB6F2C">
        <w:rPr>
          <w:lang w:val="ru-RU"/>
        </w:rPr>
        <w:t>. Был</w:t>
      </w:r>
      <w:r w:rsidR="008A2DF6" w:rsidRPr="00DB6F2C">
        <w:rPr>
          <w:lang w:val="ru-RU"/>
        </w:rPr>
        <w:t xml:space="preserve"> определен следующий примерный график</w:t>
      </w:r>
      <w:r w:rsidR="003F7018" w:rsidRPr="00DB6F2C">
        <w:rPr>
          <w:lang w:val="ru-RU"/>
        </w:rPr>
        <w:t>:</w:t>
      </w:r>
      <w:r w:rsidRPr="00DB6F2C">
        <w:rPr>
          <w:lang w:val="ru-RU"/>
        </w:rPr>
        <w:t xml:space="preserve"> </w:t>
      </w:r>
    </w:p>
    <w:p w14:paraId="734DAECD" w14:textId="6969440D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6A23F5" w:rsidRPr="00DB6F2C">
        <w:rPr>
          <w:lang w:val="ru-RU"/>
        </w:rPr>
        <w:t>январь</w:t>
      </w:r>
      <w:r w:rsidR="003F7018" w:rsidRPr="00DB6F2C">
        <w:rPr>
          <w:lang w:val="ru-RU"/>
        </w:rPr>
        <w:t xml:space="preserve">–март 2020 года: </w:t>
      </w:r>
      <w:r w:rsidR="008A2DF6" w:rsidRPr="00DB6F2C">
        <w:rPr>
          <w:lang w:val="ru-RU"/>
        </w:rPr>
        <w:t>определение объема работ</w:t>
      </w:r>
      <w:r w:rsidR="00D56917" w:rsidRPr="00DB6F2C">
        <w:rPr>
          <w:lang w:val="ru-RU"/>
        </w:rPr>
        <w:t xml:space="preserve"> с учетом требований заинтересованных сторон (всех заинтересованных сторон, не только МСЭ</w:t>
      </w:r>
      <w:r w:rsidR="008A2DF6" w:rsidRPr="00DB6F2C">
        <w:rPr>
          <w:lang w:val="ru-RU"/>
        </w:rPr>
        <w:t>)</w:t>
      </w:r>
      <w:r w:rsidR="006A23F5" w:rsidRPr="00DB6F2C">
        <w:rPr>
          <w:lang w:val="ru-RU"/>
        </w:rPr>
        <w:t>;</w:t>
      </w:r>
    </w:p>
    <w:p w14:paraId="0637EAEF" w14:textId="6C2DA2D5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6A23F5" w:rsidRPr="00DB6F2C">
        <w:rPr>
          <w:lang w:val="ru-RU"/>
        </w:rPr>
        <w:t>апрель</w:t>
      </w:r>
      <w:r w:rsidR="00D56917" w:rsidRPr="00DB6F2C">
        <w:rPr>
          <w:lang w:val="ru-RU"/>
        </w:rPr>
        <w:t xml:space="preserve">–август 2020 года: </w:t>
      </w:r>
      <w:r w:rsidR="00A92C7C" w:rsidRPr="00DB6F2C">
        <w:rPr>
          <w:lang w:val="ru-RU"/>
        </w:rPr>
        <w:t>проведение тендера</w:t>
      </w:r>
      <w:r w:rsidR="00D56917" w:rsidRPr="00DB6F2C">
        <w:rPr>
          <w:lang w:val="ru-RU"/>
        </w:rPr>
        <w:t xml:space="preserve"> и выбор подрядчика</w:t>
      </w:r>
      <w:r w:rsidR="006A23F5" w:rsidRPr="00DB6F2C">
        <w:rPr>
          <w:lang w:val="ru-RU"/>
        </w:rPr>
        <w:t>;</w:t>
      </w:r>
    </w:p>
    <w:p w14:paraId="2A3C7B10" w14:textId="73E46C0F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6A23F5" w:rsidRPr="00C75D94">
        <w:rPr>
          <w:lang w:val="ru-RU"/>
        </w:rPr>
        <w:t xml:space="preserve">сентябрь </w:t>
      </w:r>
      <w:r w:rsidR="00D56917" w:rsidRPr="00C75D94">
        <w:rPr>
          <w:lang w:val="ru-RU"/>
        </w:rPr>
        <w:t>2020 года</w:t>
      </w:r>
      <w:r w:rsidR="00D56917" w:rsidRPr="00DB6F2C">
        <w:rPr>
          <w:lang w:val="ru-RU"/>
        </w:rPr>
        <w:t xml:space="preserve"> – май 2021 года: технико-экономическое обоснование. </w:t>
      </w:r>
    </w:p>
    <w:p w14:paraId="6D49DD0A" w14:textId="7C690203" w:rsidR="00F90867" w:rsidRPr="00DB6F2C" w:rsidRDefault="00D51A77" w:rsidP="004A20E7">
      <w:pPr>
        <w:rPr>
          <w:lang w:val="ru-RU"/>
        </w:rPr>
      </w:pPr>
      <w:r w:rsidRPr="00DB6F2C">
        <w:rPr>
          <w:lang w:val="ru-RU"/>
        </w:rPr>
        <w:t xml:space="preserve">Результаты </w:t>
      </w:r>
      <w:r w:rsidR="00A92C7C" w:rsidRPr="00DB6F2C">
        <w:rPr>
          <w:lang w:val="ru-RU"/>
        </w:rPr>
        <w:t>анализа технико-экономической целесообразности</w:t>
      </w:r>
      <w:r w:rsidRPr="00DB6F2C">
        <w:rPr>
          <w:lang w:val="ru-RU"/>
        </w:rPr>
        <w:t xml:space="preserve"> и оценки затрат </w:t>
      </w:r>
      <w:r w:rsidR="008145C2" w:rsidRPr="00DB6F2C">
        <w:rPr>
          <w:lang w:val="ru-RU"/>
        </w:rPr>
        <w:t>буду</w:t>
      </w:r>
      <w:r w:rsidRPr="00DB6F2C">
        <w:rPr>
          <w:lang w:val="ru-RU"/>
        </w:rPr>
        <w:t xml:space="preserve">т обсуждаться на целевых координационных собраниях (рабочая группа по безопасности в составе представителей </w:t>
      </w:r>
      <w:r w:rsidR="00A92C7C" w:rsidRPr="00DB6F2C">
        <w:rPr>
          <w:lang w:val="ru-RU"/>
        </w:rPr>
        <w:t>П</w:t>
      </w:r>
      <w:r w:rsidRPr="00DB6F2C">
        <w:rPr>
          <w:lang w:val="ru-RU"/>
        </w:rPr>
        <w:t xml:space="preserve">остоянного представительства Швейцарии, Швейцарской </w:t>
      </w:r>
      <w:r w:rsidR="008145C2" w:rsidRPr="00DB6F2C">
        <w:rPr>
          <w:lang w:val="ru-RU"/>
        </w:rPr>
        <w:t xml:space="preserve">федеральной полиции и МСЭ). </w:t>
      </w:r>
    </w:p>
    <w:p w14:paraId="45B1CCBB" w14:textId="3FBEFB85" w:rsidR="00F90867" w:rsidRPr="00DB6F2C" w:rsidRDefault="008145C2" w:rsidP="004A20E7">
      <w:pPr>
        <w:rPr>
          <w:lang w:val="ru-RU"/>
        </w:rPr>
      </w:pPr>
      <w:r w:rsidRPr="00DB6F2C">
        <w:rPr>
          <w:lang w:val="ru-RU"/>
        </w:rPr>
        <w:t xml:space="preserve">Страна пребывания также пояснила, что выполнение требований МОСБ ООН в области безопасности в отношении </w:t>
      </w:r>
      <w:r w:rsidR="000821C5" w:rsidRPr="00DB6F2C">
        <w:rPr>
          <w:lang w:val="ru-RU"/>
        </w:rPr>
        <w:t>объектов всеобщего</w:t>
      </w:r>
      <w:r w:rsidRPr="00DB6F2C">
        <w:rPr>
          <w:lang w:val="ru-RU"/>
        </w:rPr>
        <w:t xml:space="preserve"> достояния должно быть обеспечено в рамках </w:t>
      </w:r>
      <w:r w:rsidR="000821C5" w:rsidRPr="00DB6F2C">
        <w:rPr>
          <w:lang w:val="ru-RU"/>
        </w:rPr>
        <w:t>самостоятельного</w:t>
      </w:r>
      <w:r w:rsidRPr="00DB6F2C">
        <w:rPr>
          <w:lang w:val="ru-RU"/>
        </w:rPr>
        <w:t xml:space="preserve"> процесса </w:t>
      </w:r>
      <w:r w:rsidR="000821C5" w:rsidRPr="00DB6F2C">
        <w:rPr>
          <w:lang w:val="ru-RU"/>
        </w:rPr>
        <w:t>составления</w:t>
      </w:r>
      <w:r w:rsidRPr="00DB6F2C">
        <w:rPr>
          <w:lang w:val="ru-RU"/>
        </w:rPr>
        <w:t xml:space="preserve"> и </w:t>
      </w:r>
      <w:r w:rsidR="000821C5" w:rsidRPr="00DB6F2C">
        <w:rPr>
          <w:lang w:val="ru-RU"/>
        </w:rPr>
        <w:t>утверждения</w:t>
      </w:r>
      <w:r w:rsidRPr="00DB6F2C">
        <w:rPr>
          <w:lang w:val="ru-RU"/>
        </w:rPr>
        <w:t xml:space="preserve"> согласия на выдачу </w:t>
      </w:r>
      <w:r w:rsidR="000821C5" w:rsidRPr="00DB6F2C">
        <w:rPr>
          <w:lang w:val="ru-RU"/>
        </w:rPr>
        <w:t>разрешительной документации</w:t>
      </w:r>
      <w:r w:rsidRPr="00DB6F2C">
        <w:rPr>
          <w:lang w:val="ru-RU"/>
        </w:rPr>
        <w:t xml:space="preserve">. </w:t>
      </w:r>
      <w:r w:rsidR="000821C5" w:rsidRPr="00DB6F2C">
        <w:rPr>
          <w:lang w:val="ru-RU"/>
        </w:rPr>
        <w:t>В связи с этим</w:t>
      </w:r>
      <w:r w:rsidRPr="00DB6F2C">
        <w:rPr>
          <w:lang w:val="ru-RU"/>
        </w:rPr>
        <w:t xml:space="preserve"> МСЭ было поручено </w:t>
      </w:r>
      <w:r w:rsidR="000821C5" w:rsidRPr="00DB6F2C">
        <w:rPr>
          <w:lang w:val="ru-RU"/>
        </w:rPr>
        <w:t>составить</w:t>
      </w:r>
      <w:r w:rsidRPr="00DB6F2C">
        <w:rPr>
          <w:lang w:val="ru-RU"/>
        </w:rPr>
        <w:t xml:space="preserve"> </w:t>
      </w:r>
      <w:r w:rsidR="000821C5" w:rsidRPr="00DB6F2C">
        <w:rPr>
          <w:lang w:val="ru-RU"/>
        </w:rPr>
        <w:t>заявление</w:t>
      </w:r>
      <w:r w:rsidRPr="00DB6F2C">
        <w:rPr>
          <w:lang w:val="ru-RU"/>
        </w:rPr>
        <w:t xml:space="preserve"> </w:t>
      </w:r>
      <w:r w:rsidR="000821C5" w:rsidRPr="00DB6F2C">
        <w:rPr>
          <w:lang w:val="ru-RU"/>
        </w:rPr>
        <w:t>о</w:t>
      </w:r>
      <w:r w:rsidRPr="00DB6F2C">
        <w:rPr>
          <w:lang w:val="ru-RU"/>
        </w:rPr>
        <w:t xml:space="preserve"> </w:t>
      </w:r>
      <w:r w:rsidR="000821C5" w:rsidRPr="00DB6F2C">
        <w:rPr>
          <w:lang w:val="ru-RU"/>
        </w:rPr>
        <w:t>выдаче</w:t>
      </w:r>
      <w:r w:rsidRPr="00DB6F2C">
        <w:rPr>
          <w:lang w:val="ru-RU"/>
        </w:rPr>
        <w:t xml:space="preserve"> разрешения на строительство нового здания на участке МСЭ</w:t>
      </w:r>
      <w:r w:rsidR="000821C5" w:rsidRPr="00DB6F2C">
        <w:rPr>
          <w:lang w:val="ru-RU"/>
        </w:rPr>
        <w:t xml:space="preserve"> в рамках отдельной процедуры</w:t>
      </w:r>
      <w:r w:rsidRPr="00DB6F2C">
        <w:rPr>
          <w:lang w:val="ru-RU"/>
        </w:rPr>
        <w:t xml:space="preserve">. Вместе с тем Швейцарское представительство заверило МСЭ и подтвердило, что компетентные швейцарские органы власти </w:t>
      </w:r>
      <w:r w:rsidR="0077223C" w:rsidRPr="00DB6F2C">
        <w:rPr>
          <w:lang w:val="ru-RU"/>
        </w:rPr>
        <w:t xml:space="preserve">рассмотрят вопросы выполнения требований МОСБ ООН и что они изучают оптимальные способы </w:t>
      </w:r>
      <w:r w:rsidR="000821C5" w:rsidRPr="00DB6F2C">
        <w:rPr>
          <w:lang w:val="ru-RU"/>
        </w:rPr>
        <w:t>достижения результатов в соответствии с графиком строительных работ</w:t>
      </w:r>
      <w:r w:rsidR="0077223C" w:rsidRPr="00DB6F2C">
        <w:rPr>
          <w:lang w:val="ru-RU"/>
        </w:rPr>
        <w:t xml:space="preserve"> и </w:t>
      </w:r>
      <w:r w:rsidR="000821C5" w:rsidRPr="00DB6F2C">
        <w:rPr>
          <w:lang w:val="ru-RU"/>
        </w:rPr>
        <w:t xml:space="preserve">с учетом </w:t>
      </w:r>
      <w:r w:rsidR="0077223C" w:rsidRPr="00DB6F2C">
        <w:rPr>
          <w:lang w:val="ru-RU"/>
        </w:rPr>
        <w:t>планируем</w:t>
      </w:r>
      <w:r w:rsidR="000821C5" w:rsidRPr="00DB6F2C">
        <w:rPr>
          <w:lang w:val="ru-RU"/>
        </w:rPr>
        <w:t>ой даты открытия нового здания.</w:t>
      </w:r>
    </w:p>
    <w:p w14:paraId="510804C3" w14:textId="20F12F91" w:rsidR="00F90867" w:rsidRPr="00DB6F2C" w:rsidRDefault="0077223C" w:rsidP="004A20E7">
      <w:pPr>
        <w:rPr>
          <w:lang w:val="ru-RU"/>
        </w:rPr>
      </w:pPr>
      <w:r w:rsidRPr="00DB6F2C">
        <w:rPr>
          <w:lang w:val="ru-RU"/>
        </w:rPr>
        <w:t xml:space="preserve">Письмо, направленное Постоянным представительством Швейцарии Отделению Организации Объединенных Наций и другим международным организациям в Женеве с подтверждением обязательства по рассмотрению вопросов требований в области безопасности МСЭ, размещено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en</w:instrText>
      </w:r>
      <w:r w:rsidR="00D81752" w:rsidRPr="00D81752">
        <w:rPr>
          <w:lang w:val="ru-RU"/>
        </w:rPr>
        <w:instrText>/</w:instrText>
      </w:r>
      <w:r w:rsidR="00D81752">
        <w:instrText>council</w:instrText>
      </w:r>
      <w:r w:rsidR="00D81752" w:rsidRPr="00D81752">
        <w:rPr>
          <w:lang w:val="ru-RU"/>
        </w:rPr>
        <w:instrText>/2020/</w:instrText>
      </w:r>
      <w:r w:rsidR="00D81752">
        <w:instrText>Documents</w:instrText>
      </w:r>
      <w:r w:rsidR="00D81752" w:rsidRPr="00D81752">
        <w:rPr>
          <w:lang w:val="ru-RU"/>
        </w:rPr>
        <w:instrText>/007/</w:instrText>
      </w:r>
      <w:r w:rsidR="00D81752">
        <w:instrText>INF</w:instrText>
      </w:r>
      <w:r w:rsidR="00D81752" w:rsidRPr="00D81752">
        <w:rPr>
          <w:lang w:val="ru-RU"/>
        </w:rPr>
        <w:instrText>%20</w:instrText>
      </w:r>
      <w:r w:rsidR="00D81752">
        <w:instrText>B</w:instrText>
      </w:r>
      <w:r w:rsidR="00D81752" w:rsidRPr="00D81752">
        <w:rPr>
          <w:lang w:val="ru-RU"/>
        </w:rPr>
        <w:instrText>_</w:instrText>
      </w:r>
      <w:r w:rsidR="00D81752">
        <w:instrText>Letter</w:instrText>
      </w:r>
      <w:r w:rsidR="00D81752" w:rsidRPr="00D81752">
        <w:rPr>
          <w:lang w:val="ru-RU"/>
        </w:rPr>
        <w:instrText>%20</w:instrText>
      </w:r>
      <w:r w:rsidR="00D81752">
        <w:instrText>MIGE</w:instrText>
      </w:r>
      <w:r w:rsidR="00D81752" w:rsidRPr="00D81752">
        <w:rPr>
          <w:lang w:val="ru-RU"/>
        </w:rPr>
        <w:instrText>_</w:instrText>
      </w:r>
      <w:r w:rsidR="00D81752">
        <w:instrText>s</w:instrText>
      </w:r>
      <w:r w:rsidR="00D81752" w:rsidRPr="00D81752">
        <w:rPr>
          <w:lang w:val="ru-RU"/>
        </w:rPr>
        <w:instrText>%</w:instrText>
      </w:r>
      <w:r w:rsidR="00D81752">
        <w:instrText>C</w:instrText>
      </w:r>
      <w:r w:rsidR="00D81752" w:rsidRPr="00D81752">
        <w:rPr>
          <w:lang w:val="ru-RU"/>
        </w:rPr>
        <w:instrText>3%</w:instrText>
      </w:r>
      <w:r w:rsidR="00D81752">
        <w:instrText>A</w:instrText>
      </w:r>
      <w:r w:rsidR="00D81752" w:rsidRPr="00D81752">
        <w:rPr>
          <w:lang w:val="ru-RU"/>
        </w:rPr>
        <w:instrText>9</w:instrText>
      </w:r>
      <w:r w:rsidR="00D81752">
        <w:instrText>curit</w:instrText>
      </w:r>
      <w:r w:rsidR="00D81752" w:rsidRPr="00D81752">
        <w:rPr>
          <w:lang w:val="ru-RU"/>
        </w:rPr>
        <w:instrText>%</w:instrText>
      </w:r>
      <w:r w:rsidR="00D81752">
        <w:instrText>C</w:instrText>
      </w:r>
      <w:r w:rsidR="00D81752" w:rsidRPr="00D81752">
        <w:rPr>
          <w:lang w:val="ru-RU"/>
        </w:rPr>
        <w:instrText>3%</w:instrText>
      </w:r>
      <w:r w:rsidR="00D81752">
        <w:instrText>A</w:instrText>
      </w:r>
      <w:r w:rsidR="00D81752" w:rsidRPr="00D81752">
        <w:rPr>
          <w:lang w:val="ru-RU"/>
        </w:rPr>
        <w:instrText>9%20</w:instrText>
      </w:r>
      <w:r w:rsidR="00D81752">
        <w:instrText>p</w:instrText>
      </w:r>
      <w:r w:rsidR="00D81752" w:rsidRPr="00D81752">
        <w:rPr>
          <w:lang w:val="ru-RU"/>
        </w:rPr>
        <w:instrText>%</w:instrText>
      </w:r>
      <w:r w:rsidR="00D81752">
        <w:instrText>C</w:instrText>
      </w:r>
      <w:r w:rsidR="00D81752" w:rsidRPr="00D81752">
        <w:rPr>
          <w:lang w:val="ru-RU"/>
        </w:rPr>
        <w:instrText>3%</w:instrText>
      </w:r>
      <w:r w:rsidR="00D81752">
        <w:instrText>A</w:instrText>
      </w:r>
      <w:r w:rsidR="00D81752" w:rsidRPr="00D81752">
        <w:rPr>
          <w:lang w:val="ru-RU"/>
        </w:rPr>
        <w:instrText>9</w:instrText>
      </w:r>
      <w:r w:rsidR="00D81752">
        <w:instrText>riph</w:instrText>
      </w:r>
      <w:r w:rsidR="00D81752" w:rsidRPr="00D81752">
        <w:rPr>
          <w:lang w:val="ru-RU"/>
        </w:rPr>
        <w:instrText>%</w:instrText>
      </w:r>
      <w:r w:rsidR="00D81752">
        <w:instrText>C</w:instrText>
      </w:r>
      <w:r w:rsidR="00D81752" w:rsidRPr="00D81752">
        <w:rPr>
          <w:lang w:val="ru-RU"/>
        </w:rPr>
        <w:instrText>3%</w:instrText>
      </w:r>
      <w:r w:rsidR="00D81752">
        <w:instrText>A</w:instrText>
      </w:r>
      <w:r w:rsidR="00D81752" w:rsidRPr="00D81752">
        <w:rPr>
          <w:lang w:val="ru-RU"/>
        </w:rPr>
        <w:instrText>9</w:instrText>
      </w:r>
      <w:r w:rsidR="00D81752">
        <w:instrText>rique</w:instrText>
      </w:r>
      <w:r w:rsidR="00D81752" w:rsidRPr="00D81752">
        <w:rPr>
          <w:lang w:val="ru-RU"/>
        </w:rPr>
        <w:instrText>.</w:instrText>
      </w:r>
      <w:r w:rsidR="00D81752">
        <w:instrText>pdf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DB6F2C">
        <w:rPr>
          <w:rStyle w:val="Hyperlink"/>
          <w:lang w:val="ru-RU"/>
        </w:rPr>
        <w:t>здесь</w:t>
      </w:r>
      <w:r w:rsidR="00D81752">
        <w:rPr>
          <w:rStyle w:val="Hyperlink"/>
          <w:lang w:val="ru-RU"/>
        </w:rPr>
        <w:fldChar w:fldCharType="end"/>
      </w:r>
      <w:r w:rsidRPr="00DB6F2C">
        <w:rPr>
          <w:lang w:val="ru-RU"/>
        </w:rPr>
        <w:t xml:space="preserve">. </w:t>
      </w:r>
    </w:p>
    <w:p w14:paraId="3BAB9D15" w14:textId="61C27347" w:rsidR="00F90867" w:rsidRPr="00DB6F2C" w:rsidRDefault="00F90867" w:rsidP="004A20E7">
      <w:pPr>
        <w:pStyle w:val="Heading2"/>
        <w:rPr>
          <w:lang w:val="ru-RU"/>
        </w:rPr>
      </w:pPr>
      <w:r w:rsidRPr="00DB6F2C">
        <w:rPr>
          <w:lang w:val="ru-RU"/>
        </w:rPr>
        <w:t>3.</w:t>
      </w:r>
      <w:r w:rsidR="00975F3F" w:rsidRPr="00DB6F2C">
        <w:rPr>
          <w:lang w:val="ru-RU"/>
        </w:rPr>
        <w:t>4</w:t>
      </w:r>
      <w:r w:rsidRPr="00DB6F2C">
        <w:rPr>
          <w:lang w:val="ru-RU"/>
        </w:rPr>
        <w:tab/>
      </w:r>
      <w:r w:rsidR="0077223C" w:rsidRPr="00DB6F2C">
        <w:rPr>
          <w:lang w:val="ru-RU"/>
        </w:rPr>
        <w:t>Спонсорская помощь и пожертвования</w:t>
      </w:r>
    </w:p>
    <w:p w14:paraId="41B60C37" w14:textId="07E5A670" w:rsidR="00F90867" w:rsidRPr="00DB6F2C" w:rsidRDefault="006719D8" w:rsidP="004A20E7">
      <w:pPr>
        <w:rPr>
          <w:lang w:val="ru-RU"/>
        </w:rPr>
      </w:pPr>
      <w:r w:rsidRPr="00DB6F2C">
        <w:rPr>
          <w:lang w:val="ru-RU"/>
        </w:rPr>
        <w:t xml:space="preserve">С момента принятия Решения 619 </w:t>
      </w:r>
      <w:r w:rsidR="00954127" w:rsidRPr="00DB6F2C">
        <w:rPr>
          <w:lang w:val="ru-RU"/>
        </w:rPr>
        <w:t xml:space="preserve">МСЭ не </w:t>
      </w:r>
      <w:r w:rsidR="008C596F" w:rsidRPr="00DB6F2C">
        <w:rPr>
          <w:lang w:val="ru-RU"/>
        </w:rPr>
        <w:t>получ</w:t>
      </w:r>
      <w:r w:rsidRPr="00DB6F2C">
        <w:rPr>
          <w:lang w:val="ru-RU"/>
        </w:rPr>
        <w:t xml:space="preserve">ал </w:t>
      </w:r>
      <w:r w:rsidR="00954127" w:rsidRPr="00DB6F2C">
        <w:rPr>
          <w:lang w:val="ru-RU"/>
        </w:rPr>
        <w:t xml:space="preserve">дополнительной спонсорской помощи или пожертвований. </w:t>
      </w:r>
    </w:p>
    <w:p w14:paraId="7FFF6ECC" w14:textId="4CC40F54" w:rsidR="00F90867" w:rsidRPr="00DB6F2C" w:rsidRDefault="00201378" w:rsidP="004A20E7">
      <w:pPr>
        <w:rPr>
          <w:szCs w:val="24"/>
          <w:lang w:val="ru-RU"/>
        </w:rPr>
      </w:pPr>
      <w:r w:rsidRPr="00DB6F2C">
        <w:rPr>
          <w:lang w:val="ru-RU"/>
        </w:rPr>
        <w:t xml:space="preserve">В соответствии с пунктом 4 раздела </w:t>
      </w:r>
      <w:r w:rsidRPr="00DB6F2C">
        <w:rPr>
          <w:i/>
          <w:lang w:val="ru-RU"/>
        </w:rPr>
        <w:t>решает</w:t>
      </w:r>
      <w:r w:rsidRPr="00DB6F2C">
        <w:rPr>
          <w:lang w:val="ru-RU"/>
        </w:rPr>
        <w:t xml:space="preserve"> Решения 619, любые будущие спонсорская помощь и пожертвования будут применяться только для компенсации окончательных прямых затрат по проекту, не приводя к каким бы то ни было новым косвенным затратам и дополнительным задержкам в реализации проекта, и не будут увеличивать сумму утвержденных окончательных прямых затрат по проекту в размере 170 139 000 швейцарских франков</w:t>
      </w:r>
      <w:r w:rsidR="005800E8" w:rsidRPr="00DB6F2C">
        <w:rPr>
          <w:lang w:val="ru-RU"/>
        </w:rPr>
        <w:t>. Вследствие этого поступление дальнейшей спонсорской помощи представляется маловероятным.</w:t>
      </w:r>
    </w:p>
    <w:p w14:paraId="054A79A1" w14:textId="5E6E4A22" w:rsidR="00F90867" w:rsidRPr="00DB6F2C" w:rsidRDefault="005800E8" w:rsidP="004A20E7">
      <w:pPr>
        <w:rPr>
          <w:lang w:val="ru-RU"/>
        </w:rPr>
      </w:pPr>
      <w:r w:rsidRPr="00DB6F2C">
        <w:rPr>
          <w:lang w:val="ru-RU"/>
        </w:rPr>
        <w:lastRenderedPageBreak/>
        <w:t xml:space="preserve">Например, спонсор может предложить </w:t>
      </w:r>
      <w:r w:rsidR="00F71C0B" w:rsidRPr="00DB6F2C">
        <w:rPr>
          <w:lang w:val="ru-RU"/>
        </w:rPr>
        <w:t>улучшить</w:t>
      </w:r>
      <w:r w:rsidRPr="00DB6F2C">
        <w:rPr>
          <w:lang w:val="ru-RU"/>
        </w:rPr>
        <w:t xml:space="preserve"> </w:t>
      </w:r>
      <w:r w:rsidR="00F71C0B" w:rsidRPr="00DB6F2C">
        <w:rPr>
          <w:lang w:val="ru-RU"/>
        </w:rPr>
        <w:t>здание</w:t>
      </w:r>
      <w:r w:rsidR="00174896" w:rsidRPr="00DB6F2C">
        <w:rPr>
          <w:lang w:val="ru-RU"/>
        </w:rPr>
        <w:t>, предложив замену базового бетонного</w:t>
      </w:r>
      <w:r w:rsidRPr="00DB6F2C">
        <w:rPr>
          <w:lang w:val="ru-RU"/>
        </w:rPr>
        <w:t xml:space="preserve"> пола в вестибюле мраморным. </w:t>
      </w:r>
      <w:r w:rsidR="00F71C0B" w:rsidRPr="00DB6F2C">
        <w:rPr>
          <w:lang w:val="ru-RU"/>
        </w:rPr>
        <w:t>Это повысит затраты по проекту, однако не для МСЭ; более того, затраты МСЭ могут даже сократиться, поскольку стоимость цементного пола будет вычтена из общей суммы затрат МСЭ.</w:t>
      </w:r>
    </w:p>
    <w:p w14:paraId="1528D029" w14:textId="40820CC0" w:rsidR="00F90867" w:rsidRPr="00DB6F2C" w:rsidRDefault="002A6A63" w:rsidP="004A20E7">
      <w:pPr>
        <w:rPr>
          <w:lang w:val="ru-RU"/>
        </w:rPr>
      </w:pPr>
      <w:r w:rsidRPr="00DB6F2C">
        <w:rPr>
          <w:lang w:val="ru-RU"/>
        </w:rPr>
        <w:t>Поэтому</w:t>
      </w:r>
      <w:r w:rsidR="00F71C0B" w:rsidRPr="00DB6F2C">
        <w:rPr>
          <w:lang w:val="ru-RU"/>
        </w:rPr>
        <w:t xml:space="preserve"> Секретариат обратился к </w:t>
      </w:r>
      <w:r w:rsidR="00462E9D" w:rsidRPr="00DB6F2C">
        <w:rPr>
          <w:lang w:val="ru-RU"/>
        </w:rPr>
        <w:t>Консультативной группе Государств-Членов (</w:t>
      </w:r>
      <w:r w:rsidR="00F71C0B" w:rsidRPr="00DB6F2C">
        <w:rPr>
          <w:lang w:val="ru-RU"/>
        </w:rPr>
        <w:t>КГГЧ</w:t>
      </w:r>
      <w:r w:rsidR="00462E9D" w:rsidRPr="00DB6F2C">
        <w:rPr>
          <w:lang w:val="ru-RU"/>
        </w:rPr>
        <w:t>)</w:t>
      </w:r>
      <w:r w:rsidR="00F71C0B" w:rsidRPr="00DB6F2C">
        <w:rPr>
          <w:lang w:val="ru-RU"/>
        </w:rPr>
        <w:t xml:space="preserve"> с просьбой провести обсуждения и рекомендовать Совету пересмотреть пункт 4 раздела </w:t>
      </w:r>
      <w:r w:rsidR="00F71C0B" w:rsidRPr="00DB6F2C">
        <w:rPr>
          <w:i/>
          <w:lang w:val="ru-RU"/>
        </w:rPr>
        <w:t>решает</w:t>
      </w:r>
      <w:r w:rsidR="00F71C0B" w:rsidRPr="00DB6F2C">
        <w:rPr>
          <w:lang w:val="ru-RU"/>
        </w:rPr>
        <w:t>, с тем чтобы обеспечить возможность получения дополнительной спонсорской помощи и пожертвований, даже если они приводят к увеличению суммы прямых и/или непрямых затрат по проекту</w:t>
      </w:r>
      <w:r w:rsidR="00CB37D3" w:rsidRPr="00DB6F2C">
        <w:rPr>
          <w:lang w:val="ru-RU"/>
        </w:rPr>
        <w:t>,</w:t>
      </w:r>
      <w:r w:rsidR="00F71C0B" w:rsidRPr="00DB6F2C">
        <w:rPr>
          <w:lang w:val="ru-RU"/>
        </w:rPr>
        <w:t xml:space="preserve"> при условии что они не приводят к увеличению суммы затрат для МСЭ.</w:t>
      </w:r>
      <w:r w:rsidR="00F90867" w:rsidRPr="00DB6F2C">
        <w:rPr>
          <w:lang w:val="ru-RU"/>
        </w:rPr>
        <w:t xml:space="preserve"> </w:t>
      </w:r>
    </w:p>
    <w:p w14:paraId="59C670FC" w14:textId="75B53F7D" w:rsidR="00F90867" w:rsidRPr="00DB6F2C" w:rsidRDefault="00F90867" w:rsidP="004A20E7">
      <w:pPr>
        <w:pStyle w:val="Heading2"/>
        <w:rPr>
          <w:lang w:val="ru-RU"/>
        </w:rPr>
      </w:pPr>
      <w:r w:rsidRPr="00DB6F2C">
        <w:rPr>
          <w:lang w:val="ru-RU"/>
        </w:rPr>
        <w:t>3.</w:t>
      </w:r>
      <w:r w:rsidR="00975F3F" w:rsidRPr="00DB6F2C">
        <w:rPr>
          <w:lang w:val="ru-RU"/>
        </w:rPr>
        <w:t>5</w:t>
      </w:r>
      <w:r w:rsidRPr="00DB6F2C">
        <w:rPr>
          <w:lang w:val="ru-RU"/>
        </w:rPr>
        <w:tab/>
      </w:r>
      <w:r w:rsidR="00B64B7B" w:rsidRPr="00DB6F2C">
        <w:rPr>
          <w:lang w:val="ru-RU"/>
        </w:rPr>
        <w:t xml:space="preserve">Подача заявки на </w:t>
      </w:r>
      <w:r w:rsidR="002A6A63" w:rsidRPr="00DB6F2C">
        <w:rPr>
          <w:lang w:val="ru-RU"/>
        </w:rPr>
        <w:t>получение второй ссуды</w:t>
      </w:r>
    </w:p>
    <w:p w14:paraId="2CE96750" w14:textId="708D1965" w:rsidR="00F90867" w:rsidRPr="00DB6F2C" w:rsidRDefault="00C078D4" w:rsidP="004A20E7">
      <w:pPr>
        <w:rPr>
          <w:lang w:val="ru-RU"/>
        </w:rPr>
      </w:pPr>
      <w:r w:rsidRPr="00DB6F2C">
        <w:rPr>
          <w:lang w:val="ru-RU"/>
        </w:rPr>
        <w:t xml:space="preserve">Техническая документация для заявки на получение второго транша ссуды в размере 150 000 000 швейцарских франков (138 000 000 швейцарских франков) была </w:t>
      </w:r>
      <w:r w:rsidR="00F4665E" w:rsidRPr="00DB6F2C">
        <w:rPr>
          <w:lang w:val="ru-RU"/>
        </w:rPr>
        <w:t>представлена</w:t>
      </w:r>
      <w:r w:rsidR="00A064C2" w:rsidRPr="00DB6F2C">
        <w:rPr>
          <w:lang w:val="ru-RU"/>
        </w:rPr>
        <w:t xml:space="preserve"> в швейцарские</w:t>
      </w:r>
      <w:r w:rsidRPr="00DB6F2C">
        <w:rPr>
          <w:lang w:val="ru-RU"/>
        </w:rPr>
        <w:t xml:space="preserve"> </w:t>
      </w:r>
      <w:r w:rsidR="00A064C2" w:rsidRPr="00DB6F2C">
        <w:rPr>
          <w:lang w:val="ru-RU"/>
        </w:rPr>
        <w:t>органы власти</w:t>
      </w:r>
      <w:r w:rsidRPr="00DB6F2C">
        <w:rPr>
          <w:lang w:val="ru-RU"/>
        </w:rPr>
        <w:t xml:space="preserve"> 9 декабря 2019 года. </w:t>
      </w:r>
    </w:p>
    <w:p w14:paraId="112D33E5" w14:textId="5FDF4221" w:rsidR="00F90867" w:rsidRPr="00DB6F2C" w:rsidRDefault="00C078D4" w:rsidP="004A20E7">
      <w:pPr>
        <w:rPr>
          <w:lang w:val="ru-RU"/>
        </w:rPr>
      </w:pPr>
      <w:r w:rsidRPr="00DB6F2C">
        <w:rPr>
          <w:lang w:val="ru-RU"/>
        </w:rPr>
        <w:t xml:space="preserve">22 апреля Федеральный совет утвердил ссуду в размере 95,6 млн. швейцарских франков (федеральная доля второго транша ссуды); </w:t>
      </w:r>
      <w:r w:rsidR="00931FB9" w:rsidRPr="00DB6F2C">
        <w:rPr>
          <w:lang w:val="ru-RU"/>
        </w:rPr>
        <w:t>оставшиеся</w:t>
      </w:r>
      <w:r w:rsidRPr="00DB6F2C">
        <w:rPr>
          <w:lang w:val="ru-RU"/>
        </w:rPr>
        <w:t xml:space="preserve"> 42 </w:t>
      </w:r>
      <w:r w:rsidR="00CB37D3" w:rsidRPr="00DB6F2C">
        <w:rPr>
          <w:lang w:val="ru-RU"/>
        </w:rPr>
        <w:t>4</w:t>
      </w:r>
      <w:r w:rsidRPr="00DB6F2C">
        <w:rPr>
          <w:lang w:val="ru-RU"/>
        </w:rPr>
        <w:t xml:space="preserve">00 000 швейцарских франков будут </w:t>
      </w:r>
      <w:r w:rsidR="00931FB9" w:rsidRPr="00DB6F2C">
        <w:rPr>
          <w:lang w:val="ru-RU"/>
        </w:rPr>
        <w:t>предоставлены</w:t>
      </w:r>
      <w:r w:rsidRPr="00DB6F2C">
        <w:rPr>
          <w:lang w:val="ru-RU"/>
        </w:rPr>
        <w:t xml:space="preserve"> кантоном Женева </w:t>
      </w:r>
      <w:r w:rsidR="00931FB9" w:rsidRPr="00DB6F2C">
        <w:rPr>
          <w:lang w:val="ru-RU"/>
        </w:rPr>
        <w:t>на финансирование</w:t>
      </w:r>
      <w:r w:rsidRPr="00DB6F2C">
        <w:rPr>
          <w:lang w:val="ru-RU"/>
        </w:rPr>
        <w:t xml:space="preserve"> проекта сноса и реконструкции штаб-квартиры МСЭ. Следующим шагом станет передача и рассмотрение досье палатами парламента в ходе осенней и зимней сессий 2020 года: </w:t>
      </w:r>
    </w:p>
    <w:p w14:paraId="0E2C84C7" w14:textId="7BE7FC36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−</w:t>
      </w:r>
      <w:r w:rsidRPr="00DB6F2C">
        <w:rPr>
          <w:lang w:val="ru-RU"/>
        </w:rPr>
        <w:tab/>
      </w:r>
      <w:r w:rsidR="00B3579C" w:rsidRPr="00DB6F2C">
        <w:rPr>
          <w:lang w:val="ru-RU"/>
        </w:rPr>
        <w:t xml:space="preserve">направление </w:t>
      </w:r>
      <w:r w:rsidR="002B0D45" w:rsidRPr="00DB6F2C">
        <w:rPr>
          <w:lang w:val="ru-RU"/>
        </w:rPr>
        <w:t>обращения</w:t>
      </w:r>
      <w:r w:rsidR="007C58F0" w:rsidRPr="00DB6F2C">
        <w:rPr>
          <w:lang w:val="ru-RU"/>
        </w:rPr>
        <w:t xml:space="preserve"> в компетентные парламентские комитеты</w:t>
      </w:r>
      <w:r w:rsidR="00B3579C" w:rsidRPr="00DB6F2C">
        <w:rPr>
          <w:lang w:val="ru-RU"/>
        </w:rPr>
        <w:t>;</w:t>
      </w:r>
    </w:p>
    <w:p w14:paraId="5CEE7CB1" w14:textId="65D1BB1D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−</w:t>
      </w:r>
      <w:r w:rsidRPr="00DB6F2C">
        <w:rPr>
          <w:lang w:val="ru-RU"/>
        </w:rPr>
        <w:tab/>
      </w:r>
      <w:r w:rsidR="00B3579C" w:rsidRPr="00DB6F2C">
        <w:rPr>
          <w:lang w:val="ru-RU"/>
        </w:rPr>
        <w:t xml:space="preserve">утверждение </w:t>
      </w:r>
      <w:r w:rsidR="002B0D45" w:rsidRPr="00DB6F2C">
        <w:rPr>
          <w:lang w:val="ru-RU"/>
        </w:rPr>
        <w:t>первой палатой</w:t>
      </w:r>
      <w:r w:rsidR="007C58F0" w:rsidRPr="00DB6F2C">
        <w:rPr>
          <w:lang w:val="ru-RU"/>
        </w:rPr>
        <w:t xml:space="preserve"> </w:t>
      </w:r>
      <w:r w:rsidR="002B0D45" w:rsidRPr="00DB6F2C">
        <w:rPr>
          <w:lang w:val="ru-RU"/>
        </w:rPr>
        <w:t>на</w:t>
      </w:r>
      <w:r w:rsidR="007C58F0" w:rsidRPr="00DB6F2C">
        <w:rPr>
          <w:lang w:val="ru-RU"/>
        </w:rPr>
        <w:t xml:space="preserve"> осенней сессии в сентябре 2020 года</w:t>
      </w:r>
      <w:r w:rsidR="00B3579C" w:rsidRPr="00DB6F2C">
        <w:rPr>
          <w:lang w:val="ru-RU"/>
        </w:rPr>
        <w:t>;</w:t>
      </w:r>
    </w:p>
    <w:p w14:paraId="44326732" w14:textId="3A0422B9" w:rsidR="00F90867" w:rsidRPr="00DB6F2C" w:rsidRDefault="004A20E7" w:rsidP="004A20E7">
      <w:pPr>
        <w:pStyle w:val="enumlev1"/>
        <w:rPr>
          <w:lang w:val="ru-RU"/>
        </w:rPr>
      </w:pPr>
      <w:r w:rsidRPr="00DB6F2C">
        <w:rPr>
          <w:lang w:val="ru-RU"/>
        </w:rPr>
        <w:t>−</w:t>
      </w:r>
      <w:r w:rsidRPr="00DB6F2C">
        <w:rPr>
          <w:lang w:val="ru-RU"/>
        </w:rPr>
        <w:tab/>
      </w:r>
      <w:r w:rsidR="00B3579C" w:rsidRPr="00DB6F2C">
        <w:rPr>
          <w:lang w:val="ru-RU"/>
        </w:rPr>
        <w:t xml:space="preserve">утверждение </w:t>
      </w:r>
      <w:r w:rsidR="002B0D45" w:rsidRPr="00DB6F2C">
        <w:rPr>
          <w:lang w:val="ru-RU"/>
        </w:rPr>
        <w:t>второй палатой</w:t>
      </w:r>
      <w:r w:rsidR="00157A17" w:rsidRPr="00DB6F2C">
        <w:rPr>
          <w:lang w:val="ru-RU"/>
        </w:rPr>
        <w:t xml:space="preserve"> </w:t>
      </w:r>
      <w:r w:rsidR="002B0D45" w:rsidRPr="00DB6F2C">
        <w:rPr>
          <w:lang w:val="ru-RU"/>
        </w:rPr>
        <w:t>на</w:t>
      </w:r>
      <w:r w:rsidR="00157A17" w:rsidRPr="00DB6F2C">
        <w:rPr>
          <w:lang w:val="ru-RU"/>
        </w:rPr>
        <w:t xml:space="preserve"> зимней сессии в декабре 2020 года.</w:t>
      </w:r>
    </w:p>
    <w:p w14:paraId="5CADBB49" w14:textId="4BB4EF38" w:rsidR="00F90867" w:rsidRPr="00DB6F2C" w:rsidRDefault="001B3BAA" w:rsidP="004A20E7">
      <w:pPr>
        <w:rPr>
          <w:lang w:val="ru-RU"/>
        </w:rPr>
      </w:pPr>
      <w:r w:rsidRPr="00DB6F2C">
        <w:rPr>
          <w:lang w:val="ru-RU"/>
        </w:rPr>
        <w:t>Как ожидается</w:t>
      </w:r>
      <w:r w:rsidR="00BF737F" w:rsidRPr="00DB6F2C">
        <w:rPr>
          <w:lang w:val="ru-RU"/>
        </w:rPr>
        <w:t xml:space="preserve">, средства могут быть </w:t>
      </w:r>
      <w:r w:rsidRPr="00DB6F2C">
        <w:rPr>
          <w:lang w:val="ru-RU"/>
        </w:rPr>
        <w:t>предоставлены</w:t>
      </w:r>
      <w:r w:rsidR="00BF737F" w:rsidRPr="00DB6F2C">
        <w:rPr>
          <w:lang w:val="ru-RU"/>
        </w:rPr>
        <w:t xml:space="preserve"> </w:t>
      </w:r>
      <w:r w:rsidRPr="00DB6F2C">
        <w:rPr>
          <w:lang w:val="ru-RU"/>
        </w:rPr>
        <w:t>в начале</w:t>
      </w:r>
      <w:r w:rsidR="00BF737F" w:rsidRPr="00DB6F2C">
        <w:rPr>
          <w:lang w:val="ru-RU"/>
        </w:rPr>
        <w:t xml:space="preserve"> 2021 года. В настоящее время и до июня 2021 года </w:t>
      </w:r>
      <w:r w:rsidRPr="00DB6F2C">
        <w:rPr>
          <w:lang w:val="ru-RU"/>
        </w:rPr>
        <w:t>имеются в доступе</w:t>
      </w:r>
      <w:r w:rsidR="00BF737F" w:rsidRPr="00DB6F2C">
        <w:rPr>
          <w:lang w:val="ru-RU"/>
        </w:rPr>
        <w:t xml:space="preserve"> средства из первого транша ссуды страны пребывания.</w:t>
      </w:r>
    </w:p>
    <w:p w14:paraId="0FF6BC5C" w14:textId="7B188CDD" w:rsidR="00F90867" w:rsidRPr="00DB6F2C" w:rsidRDefault="00F90867" w:rsidP="004A20E7">
      <w:pPr>
        <w:pStyle w:val="Heading2"/>
        <w:rPr>
          <w:lang w:val="ru-RU"/>
        </w:rPr>
      </w:pPr>
      <w:r w:rsidRPr="00DB6F2C">
        <w:rPr>
          <w:lang w:val="ru-RU"/>
        </w:rPr>
        <w:t>3.</w:t>
      </w:r>
      <w:r w:rsidR="00975F3F" w:rsidRPr="00DB6F2C">
        <w:rPr>
          <w:lang w:val="ru-RU"/>
        </w:rPr>
        <w:t>6</w:t>
      </w:r>
      <w:r w:rsidRPr="00DB6F2C">
        <w:rPr>
          <w:lang w:val="ru-RU"/>
        </w:rPr>
        <w:tab/>
      </w:r>
      <w:r w:rsidR="00BF737F" w:rsidRPr="00DB6F2C">
        <w:rPr>
          <w:lang w:val="ru-RU"/>
        </w:rPr>
        <w:t>Реестр рисков</w:t>
      </w:r>
    </w:p>
    <w:p w14:paraId="07A4CAED" w14:textId="511EA28E" w:rsidR="00F90867" w:rsidRPr="00DB6F2C" w:rsidRDefault="00BF737F" w:rsidP="004A20E7">
      <w:pPr>
        <w:rPr>
          <w:lang w:val="ru-RU"/>
        </w:rPr>
      </w:pPr>
      <w:r w:rsidRPr="00DB6F2C">
        <w:rPr>
          <w:lang w:val="ru-RU"/>
        </w:rPr>
        <w:t xml:space="preserve">К дополнительной сессии Совета, состоявшейся в сентябре 2019 года, был </w:t>
      </w:r>
      <w:r w:rsidR="00B66180" w:rsidRPr="00DB6F2C">
        <w:rPr>
          <w:lang w:val="ru-RU"/>
        </w:rPr>
        <w:t>разработан</w:t>
      </w:r>
      <w:r w:rsidRPr="00DB6F2C">
        <w:rPr>
          <w:lang w:val="ru-RU"/>
        </w:rPr>
        <w:t xml:space="preserve"> исчерпывающий реестр рисков. Он является частью общей стратегии управления рисками, связанными с проектировочной и строительной деятельностью, в рамках которой проводится регулярная оценка программы для определения потенциальных последствий ее будущего выполнения. </w:t>
      </w:r>
    </w:p>
    <w:p w14:paraId="58098DBC" w14:textId="6FD2861F" w:rsidR="00F90867" w:rsidRPr="00DB6F2C" w:rsidRDefault="005B3688" w:rsidP="004A20E7">
      <w:pPr>
        <w:rPr>
          <w:lang w:val="ru-RU"/>
        </w:rPr>
      </w:pPr>
      <w:r w:rsidRPr="00DB6F2C">
        <w:rPr>
          <w:lang w:val="ru-RU"/>
        </w:rPr>
        <w:t>Часто проводятся с</w:t>
      </w:r>
      <w:r w:rsidR="00C50904" w:rsidRPr="00DB6F2C">
        <w:rPr>
          <w:lang w:val="ru-RU"/>
        </w:rPr>
        <w:t>еминары-практикумы по вопросам риска, с тем чтобы выявлять</w:t>
      </w:r>
      <w:r w:rsidR="007B3219" w:rsidRPr="00DB6F2C">
        <w:rPr>
          <w:lang w:val="ru-RU"/>
        </w:rPr>
        <w:t xml:space="preserve"> риски и их потенциальные последствия</w:t>
      </w:r>
      <w:r w:rsidR="00B66180" w:rsidRPr="00DB6F2C">
        <w:rPr>
          <w:lang w:val="ru-RU"/>
        </w:rPr>
        <w:t>, а также стратегии уменьшения рисков и обновлять</w:t>
      </w:r>
      <w:r w:rsidR="00C50904" w:rsidRPr="00DB6F2C">
        <w:rPr>
          <w:lang w:val="ru-RU"/>
        </w:rPr>
        <w:t xml:space="preserve"> данные по </w:t>
      </w:r>
      <w:r w:rsidR="007B3219" w:rsidRPr="00DB6F2C">
        <w:rPr>
          <w:lang w:val="ru-RU"/>
        </w:rPr>
        <w:t>ним. На</w:t>
      </w:r>
      <w:r w:rsidR="00B3579C" w:rsidRPr="00DB6F2C">
        <w:rPr>
          <w:lang w:val="ru-RU"/>
        </w:rPr>
        <w:t> </w:t>
      </w:r>
      <w:r w:rsidR="007B3219" w:rsidRPr="00DB6F2C">
        <w:rPr>
          <w:lang w:val="ru-RU"/>
        </w:rPr>
        <w:t>основании результатов этих семинаров-практикумов разрабатываются рекомендации для эффективного распределения средств резервного фонда</w:t>
      </w:r>
      <w:r w:rsidR="00B66180" w:rsidRPr="00DB6F2C">
        <w:rPr>
          <w:lang w:val="ru-RU"/>
        </w:rPr>
        <w:t xml:space="preserve"> на покрытие непредвиденных расходов</w:t>
      </w:r>
      <w:r w:rsidR="007B3219" w:rsidRPr="00DB6F2C">
        <w:rPr>
          <w:lang w:val="ru-RU"/>
        </w:rPr>
        <w:t xml:space="preserve">. </w:t>
      </w:r>
    </w:p>
    <w:p w14:paraId="018F4283" w14:textId="6BEBF8E6" w:rsidR="00F90867" w:rsidRPr="00DB6F2C" w:rsidRDefault="007F5DBD" w:rsidP="004A20E7">
      <w:pPr>
        <w:rPr>
          <w:lang w:val="ru-RU"/>
        </w:rPr>
      </w:pPr>
      <w:r w:rsidRPr="00DB6F2C">
        <w:rPr>
          <w:lang w:val="ru-RU"/>
        </w:rPr>
        <w:t xml:space="preserve">Данный подход соответствует международному стандарту ISO 31000:2009 </w:t>
      </w:r>
      <w:r w:rsidR="006A46E8" w:rsidRPr="00DB6F2C">
        <w:rPr>
          <w:lang w:val="ru-RU"/>
        </w:rPr>
        <w:t>"</w:t>
      </w:r>
      <w:r w:rsidRPr="00DB6F2C">
        <w:rPr>
          <w:lang w:val="ru-RU"/>
        </w:rPr>
        <w:t>Менеджмент риска: принципы и руководство</w:t>
      </w:r>
      <w:r w:rsidR="006A46E8" w:rsidRPr="00DB6F2C">
        <w:rPr>
          <w:lang w:val="ru-RU"/>
        </w:rPr>
        <w:t>"</w:t>
      </w:r>
      <w:r w:rsidRPr="00DB6F2C">
        <w:rPr>
          <w:lang w:val="ru-RU"/>
        </w:rPr>
        <w:t xml:space="preserve">. </w:t>
      </w:r>
    </w:p>
    <w:p w14:paraId="6FF74D90" w14:textId="44665AEB" w:rsidR="00F90867" w:rsidRPr="00DB6F2C" w:rsidRDefault="007F5DBD" w:rsidP="004A20E7">
      <w:pPr>
        <w:rPr>
          <w:lang w:val="ru-RU"/>
        </w:rPr>
      </w:pPr>
      <w:r w:rsidRPr="00DB6F2C">
        <w:rPr>
          <w:lang w:val="ru-RU"/>
        </w:rPr>
        <w:t>Размер резерва</w:t>
      </w:r>
      <w:r w:rsidR="00E170BA" w:rsidRPr="00DB6F2C">
        <w:rPr>
          <w:lang w:val="ru-RU"/>
        </w:rPr>
        <w:t xml:space="preserve"> средств на покрытие непредвиденных расходов</w:t>
      </w:r>
      <w:r w:rsidRPr="00DB6F2C">
        <w:rPr>
          <w:lang w:val="ru-RU"/>
        </w:rPr>
        <w:t xml:space="preserve"> составляет примерно 8% (12,6</w:t>
      </w:r>
      <w:r w:rsidR="00B3579C" w:rsidRPr="00DB6F2C">
        <w:rPr>
          <w:lang w:val="ru-RU"/>
        </w:rPr>
        <w:t> </w:t>
      </w:r>
      <w:r w:rsidRPr="00DB6F2C">
        <w:rPr>
          <w:lang w:val="ru-RU"/>
        </w:rPr>
        <w:t>млн.</w:t>
      </w:r>
      <w:r w:rsidR="00B3579C" w:rsidRPr="00DB6F2C">
        <w:rPr>
          <w:lang w:val="ru-RU"/>
        </w:rPr>
        <w:t> </w:t>
      </w:r>
      <w:r w:rsidRPr="00DB6F2C">
        <w:rPr>
          <w:lang w:val="ru-RU"/>
        </w:rPr>
        <w:t>швейцарских франков) бюджета по КСР 1</w:t>
      </w:r>
      <w:r w:rsidR="00B3579C" w:rsidRPr="00DB6F2C">
        <w:rPr>
          <w:lang w:val="ru-RU"/>
        </w:rPr>
        <w:t>−</w:t>
      </w:r>
      <w:r w:rsidRPr="00DB6F2C">
        <w:rPr>
          <w:lang w:val="ru-RU"/>
        </w:rPr>
        <w:t>9 и должен будет использоваться в случае</w:t>
      </w:r>
      <w:r w:rsidR="00AD5949" w:rsidRPr="00DB6F2C">
        <w:rPr>
          <w:lang w:val="ru-RU"/>
        </w:rPr>
        <w:t xml:space="preserve"> неоказания услуг и/или непредвиденных расходов вследствие </w:t>
      </w:r>
      <w:r w:rsidR="00E170BA" w:rsidRPr="00DB6F2C">
        <w:rPr>
          <w:lang w:val="ru-RU"/>
        </w:rPr>
        <w:t>непредвиденных ситуаций</w:t>
      </w:r>
      <w:r w:rsidR="00AD5949" w:rsidRPr="00DB6F2C">
        <w:rPr>
          <w:lang w:val="ru-RU"/>
        </w:rPr>
        <w:t xml:space="preserve"> и</w:t>
      </w:r>
      <w:r w:rsidR="00E170BA" w:rsidRPr="00DB6F2C">
        <w:rPr>
          <w:lang w:val="ru-RU"/>
        </w:rPr>
        <w:t xml:space="preserve"> выполнения</w:t>
      </w:r>
      <w:r w:rsidR="00AD5949" w:rsidRPr="00DB6F2C">
        <w:rPr>
          <w:lang w:val="ru-RU"/>
        </w:rPr>
        <w:t xml:space="preserve"> непредусмотренных работ в периоды сноса и строительства</w:t>
      </w:r>
      <w:r w:rsidRPr="00DB6F2C">
        <w:rPr>
          <w:lang w:val="ru-RU"/>
        </w:rPr>
        <w:t>.</w:t>
      </w:r>
      <w:r w:rsidR="00AD5949" w:rsidRPr="00DB6F2C">
        <w:rPr>
          <w:lang w:val="ru-RU"/>
        </w:rPr>
        <w:t xml:space="preserve"> </w:t>
      </w:r>
      <w:r w:rsidR="000876E0" w:rsidRPr="00DB6F2C">
        <w:rPr>
          <w:lang w:val="ru-RU"/>
        </w:rPr>
        <w:t xml:space="preserve">HILL International </w:t>
      </w:r>
      <w:r w:rsidR="00E170BA" w:rsidRPr="00DB6F2C">
        <w:rPr>
          <w:lang w:val="ru-RU"/>
        </w:rPr>
        <w:t>проведет</w:t>
      </w:r>
      <w:r w:rsidR="00D73061" w:rsidRPr="00DB6F2C">
        <w:rPr>
          <w:lang w:val="ru-RU"/>
        </w:rPr>
        <w:t xml:space="preserve"> </w:t>
      </w:r>
      <w:r w:rsidR="00E170BA" w:rsidRPr="00DB6F2C">
        <w:rPr>
          <w:lang w:val="ru-RU"/>
        </w:rPr>
        <w:t xml:space="preserve">предварительный </w:t>
      </w:r>
      <w:r w:rsidR="00D73061" w:rsidRPr="00DB6F2C">
        <w:rPr>
          <w:lang w:val="ru-RU"/>
        </w:rPr>
        <w:t xml:space="preserve">оперативный и финансовый анализ непредусмотренных услуг </w:t>
      </w:r>
      <w:r w:rsidR="00E170BA" w:rsidRPr="00DB6F2C">
        <w:rPr>
          <w:lang w:val="ru-RU"/>
        </w:rPr>
        <w:t>на основании</w:t>
      </w:r>
      <w:r w:rsidR="00D73061" w:rsidRPr="00DB6F2C">
        <w:rPr>
          <w:lang w:val="ru-RU"/>
        </w:rPr>
        <w:t xml:space="preserve"> отчета для подтверждения актуальности и правомерности работ, с тем чтобы обосновать </w:t>
      </w:r>
      <w:r w:rsidR="0008127F" w:rsidRPr="00DB6F2C">
        <w:rPr>
          <w:lang w:val="ru-RU"/>
        </w:rPr>
        <w:t>целесообразность</w:t>
      </w:r>
      <w:r w:rsidR="00D73061" w:rsidRPr="00DB6F2C">
        <w:rPr>
          <w:lang w:val="ru-RU"/>
        </w:rPr>
        <w:t xml:space="preserve"> дополнительных мер. </w:t>
      </w:r>
    </w:p>
    <w:p w14:paraId="7D67936F" w14:textId="5FDB7167" w:rsidR="00F90867" w:rsidRPr="00DB6F2C" w:rsidRDefault="002536AC" w:rsidP="004A20E7">
      <w:pPr>
        <w:rPr>
          <w:lang w:val="ru-RU"/>
        </w:rPr>
      </w:pPr>
      <w:r w:rsidRPr="00DB6F2C">
        <w:rPr>
          <w:lang w:val="ru-RU"/>
        </w:rPr>
        <w:t xml:space="preserve">Для обеспечения эффективного управления рисками были определены и выполняются ряд </w:t>
      </w:r>
      <w:r w:rsidRPr="00232640">
        <w:rPr>
          <w:lang w:val="ru-RU"/>
        </w:rPr>
        <w:t>принципов (см. 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\</w:instrText>
      </w:r>
      <w:r w:rsidR="00D81752">
        <w:instrText>l</w:instrText>
      </w:r>
      <w:r w:rsidR="00D81752" w:rsidRPr="00D81752">
        <w:rPr>
          <w:lang w:val="ru-RU"/>
        </w:rPr>
        <w:instrText xml:space="preserve"> "</w:instrText>
      </w:r>
      <w:r w:rsidR="00D81752">
        <w:instrText>AnnexA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232640">
        <w:rPr>
          <w:rStyle w:val="Hyperlink"/>
          <w:rFonts w:asciiTheme="minorHAnsi" w:hAnsiTheme="minorHAnsi" w:cstheme="minorHAnsi"/>
          <w:lang w:val="ru-RU"/>
        </w:rPr>
        <w:t>Приложение A</w:t>
      </w:r>
      <w:r w:rsidR="00D81752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232640">
        <w:rPr>
          <w:lang w:val="ru-RU"/>
        </w:rPr>
        <w:t xml:space="preserve">). </w:t>
      </w:r>
      <w:r w:rsidR="002E2843" w:rsidRPr="00232640">
        <w:rPr>
          <w:lang w:val="ru-RU"/>
        </w:rPr>
        <w:t>Были осуществлены разработка, внедрение и</w:t>
      </w:r>
      <w:r w:rsidR="00CC36EA" w:rsidRPr="00232640">
        <w:rPr>
          <w:lang w:val="ru-RU"/>
        </w:rPr>
        <w:t xml:space="preserve"> </w:t>
      </w:r>
      <w:r w:rsidR="0008127F" w:rsidRPr="00232640">
        <w:rPr>
          <w:lang w:val="ru-RU"/>
        </w:rPr>
        <w:t>ведется</w:t>
      </w:r>
      <w:r w:rsidR="002E2843" w:rsidRPr="00232640">
        <w:rPr>
          <w:lang w:val="ru-RU"/>
        </w:rPr>
        <w:t xml:space="preserve"> контроль</w:t>
      </w:r>
      <w:r w:rsidR="002E2843" w:rsidRPr="00DB6F2C">
        <w:rPr>
          <w:lang w:val="ru-RU"/>
        </w:rPr>
        <w:t xml:space="preserve"> </w:t>
      </w:r>
      <w:r w:rsidR="0008127F" w:rsidRPr="00DB6F2C">
        <w:rPr>
          <w:lang w:val="ru-RU"/>
        </w:rPr>
        <w:t>рамочного механизма</w:t>
      </w:r>
      <w:r w:rsidR="002E2843" w:rsidRPr="00DB6F2C">
        <w:rPr>
          <w:lang w:val="ru-RU"/>
        </w:rPr>
        <w:t xml:space="preserve">, целью </w:t>
      </w:r>
      <w:r w:rsidR="0008127F" w:rsidRPr="00DB6F2C">
        <w:rPr>
          <w:lang w:val="ru-RU"/>
        </w:rPr>
        <w:t>которого</w:t>
      </w:r>
      <w:r w:rsidR="002E2843" w:rsidRPr="00DB6F2C">
        <w:rPr>
          <w:lang w:val="ru-RU"/>
        </w:rPr>
        <w:t xml:space="preserve"> является интеграция процесса управления рисками в общие процессы управления, стратегии и планирования организации. </w:t>
      </w:r>
    </w:p>
    <w:p w14:paraId="098FF3F3" w14:textId="157BB86F" w:rsidR="00F90867" w:rsidRPr="00DB6F2C" w:rsidRDefault="000E12BF" w:rsidP="004A20E7">
      <w:pPr>
        <w:rPr>
          <w:lang w:val="ru-RU"/>
        </w:rPr>
      </w:pPr>
      <w:r w:rsidRPr="00DB6F2C">
        <w:rPr>
          <w:lang w:val="ru-RU"/>
        </w:rPr>
        <w:lastRenderedPageBreak/>
        <w:t xml:space="preserve">Задача состоит в том, чтобы обеспечить его встраивание в процессы и политику управления и отчетной деятельности организации. </w:t>
      </w:r>
    </w:p>
    <w:p w14:paraId="728E7708" w14:textId="7D303DEB" w:rsidR="00F90867" w:rsidRPr="00DB6F2C" w:rsidRDefault="003F6132" w:rsidP="004A20E7">
      <w:pPr>
        <w:rPr>
          <w:lang w:val="ru-RU"/>
        </w:rPr>
      </w:pPr>
      <w:r w:rsidRPr="00DB6F2C">
        <w:rPr>
          <w:lang w:val="ru-RU"/>
        </w:rPr>
        <w:t xml:space="preserve">Как отметила </w:t>
      </w:r>
      <w:r w:rsidR="00A064C2" w:rsidRPr="00DB6F2C">
        <w:rPr>
          <w:lang w:val="ru-RU"/>
        </w:rPr>
        <w:t xml:space="preserve">КГГЧ, с </w:t>
      </w:r>
      <w:r w:rsidR="001D1153" w:rsidRPr="00DB6F2C">
        <w:rPr>
          <w:lang w:val="ru-RU"/>
        </w:rPr>
        <w:t>учетом</w:t>
      </w:r>
      <w:r w:rsidR="00A064C2" w:rsidRPr="00DB6F2C">
        <w:rPr>
          <w:lang w:val="ru-RU"/>
        </w:rPr>
        <w:t xml:space="preserve"> </w:t>
      </w:r>
      <w:r w:rsidR="001D1153" w:rsidRPr="00DB6F2C">
        <w:rPr>
          <w:lang w:val="ru-RU"/>
        </w:rPr>
        <w:t>предлагаемого на данный момент</w:t>
      </w:r>
      <w:r w:rsidR="00A064C2" w:rsidRPr="00DB6F2C">
        <w:rPr>
          <w:lang w:val="ru-RU"/>
        </w:rPr>
        <w:t xml:space="preserve"> </w:t>
      </w:r>
      <w:r w:rsidR="001D1153" w:rsidRPr="00DB6F2C">
        <w:rPr>
          <w:lang w:val="ru-RU"/>
        </w:rPr>
        <w:t>размера ассигнований</w:t>
      </w:r>
      <w:r w:rsidR="0003587D" w:rsidRPr="00DB6F2C">
        <w:rPr>
          <w:lang w:val="ru-RU"/>
        </w:rPr>
        <w:t xml:space="preserve">, составляющего лишь </w:t>
      </w:r>
      <w:r w:rsidR="00A064C2" w:rsidRPr="00DB6F2C">
        <w:rPr>
          <w:lang w:val="ru-RU"/>
        </w:rPr>
        <w:t>500 000 швейцарских франков</w:t>
      </w:r>
      <w:r w:rsidR="0003587D" w:rsidRPr="00DB6F2C">
        <w:rPr>
          <w:lang w:val="ru-RU"/>
        </w:rPr>
        <w:t>,</w:t>
      </w:r>
      <w:r w:rsidR="00A064C2" w:rsidRPr="00DB6F2C">
        <w:rPr>
          <w:lang w:val="ru-RU"/>
        </w:rPr>
        <w:t xml:space="preserve"> </w:t>
      </w:r>
      <w:r w:rsidR="001D1153" w:rsidRPr="00DB6F2C">
        <w:rPr>
          <w:lang w:val="ru-RU"/>
        </w:rPr>
        <w:t>объем</w:t>
      </w:r>
      <w:r w:rsidR="00A064C2" w:rsidRPr="00DB6F2C">
        <w:rPr>
          <w:lang w:val="ru-RU"/>
        </w:rPr>
        <w:t xml:space="preserve"> фонда не достигнет требуемых 12,6</w:t>
      </w:r>
      <w:r w:rsidR="00B3579C" w:rsidRPr="00DB6F2C">
        <w:rPr>
          <w:lang w:val="ru-RU"/>
        </w:rPr>
        <w:t> </w:t>
      </w:r>
      <w:r w:rsidR="00A064C2" w:rsidRPr="00DB6F2C">
        <w:rPr>
          <w:lang w:val="ru-RU"/>
        </w:rPr>
        <w:t>млн.</w:t>
      </w:r>
      <w:r w:rsidR="005637D6" w:rsidRPr="00DB6F2C">
        <w:rPr>
          <w:lang w:val="ru-RU"/>
        </w:rPr>
        <w:t> </w:t>
      </w:r>
      <w:r w:rsidR="001D1153" w:rsidRPr="00DB6F2C">
        <w:rPr>
          <w:lang w:val="ru-RU"/>
        </w:rPr>
        <w:t>ш</w:t>
      </w:r>
      <w:r w:rsidR="00A064C2" w:rsidRPr="00DB6F2C">
        <w:rPr>
          <w:lang w:val="ru-RU"/>
        </w:rPr>
        <w:t xml:space="preserve">вейцарских франков в приемлемые сроки. </w:t>
      </w:r>
      <w:r w:rsidR="009051A8" w:rsidRPr="00DB6F2C">
        <w:rPr>
          <w:lang w:val="ru-RU"/>
        </w:rPr>
        <w:t xml:space="preserve">КГГЧ </w:t>
      </w:r>
      <w:r w:rsidR="001D1153" w:rsidRPr="00DB6F2C">
        <w:rPr>
          <w:lang w:val="ru-RU"/>
        </w:rPr>
        <w:t>оценила</w:t>
      </w:r>
      <w:r w:rsidR="009051A8" w:rsidRPr="00DB6F2C">
        <w:rPr>
          <w:lang w:val="ru-RU"/>
        </w:rPr>
        <w:t xml:space="preserve"> средний размер ежегодных ассигнований на уровне 1,8 млн. швейцарских франков </w:t>
      </w:r>
      <w:r w:rsidR="00687F2F" w:rsidRPr="00DB6F2C">
        <w:rPr>
          <w:lang w:val="ru-RU"/>
        </w:rPr>
        <w:t>на семилетний</w:t>
      </w:r>
      <w:r w:rsidR="009051A8" w:rsidRPr="00DB6F2C">
        <w:rPr>
          <w:lang w:val="ru-RU"/>
        </w:rPr>
        <w:t xml:space="preserve"> </w:t>
      </w:r>
      <w:r w:rsidR="00687F2F" w:rsidRPr="00DB6F2C">
        <w:rPr>
          <w:lang w:val="ru-RU"/>
        </w:rPr>
        <w:t>период</w:t>
      </w:r>
      <w:r w:rsidR="009051A8" w:rsidRPr="00DB6F2C">
        <w:rPr>
          <w:lang w:val="ru-RU"/>
        </w:rPr>
        <w:t xml:space="preserve"> осуществления проекта. </w:t>
      </w:r>
      <w:r w:rsidR="0003587D" w:rsidRPr="00DB6F2C">
        <w:rPr>
          <w:lang w:val="ru-RU"/>
        </w:rPr>
        <w:t xml:space="preserve">В связи с этим </w:t>
      </w:r>
      <w:r w:rsidR="009051A8" w:rsidRPr="00DB6F2C">
        <w:rPr>
          <w:lang w:val="ru-RU"/>
        </w:rPr>
        <w:t>Секретариат предложил КГГЧ напр</w:t>
      </w:r>
      <w:r w:rsidR="000F3779" w:rsidRPr="00DB6F2C">
        <w:rPr>
          <w:lang w:val="ru-RU"/>
        </w:rPr>
        <w:t>авлять взносы, предназначенные для ф</w:t>
      </w:r>
      <w:r w:rsidR="009051A8" w:rsidRPr="00DB6F2C">
        <w:rPr>
          <w:lang w:val="ru-RU"/>
        </w:rPr>
        <w:t>онд</w:t>
      </w:r>
      <w:r w:rsidR="000F3779" w:rsidRPr="00DB6F2C">
        <w:rPr>
          <w:lang w:val="ru-RU"/>
        </w:rPr>
        <w:t>а</w:t>
      </w:r>
      <w:r w:rsidR="009051A8" w:rsidRPr="00DB6F2C">
        <w:rPr>
          <w:lang w:val="ru-RU"/>
        </w:rPr>
        <w:t xml:space="preserve"> АСХИ,</w:t>
      </w:r>
      <w:r w:rsidR="000F3779" w:rsidRPr="00DB6F2C">
        <w:rPr>
          <w:lang w:val="ru-RU"/>
        </w:rPr>
        <w:t xml:space="preserve"> в фонд реестра рисков, а все денежные средства, которые останутся на этом счете к концу строительства, </w:t>
      </w:r>
      <w:r w:rsidR="00687F2F" w:rsidRPr="00DB6F2C">
        <w:rPr>
          <w:lang w:val="ru-RU"/>
        </w:rPr>
        <w:t xml:space="preserve">вместо резервного счета </w:t>
      </w:r>
      <w:r w:rsidR="000F3779" w:rsidRPr="00DB6F2C">
        <w:rPr>
          <w:lang w:val="ru-RU"/>
        </w:rPr>
        <w:t xml:space="preserve">будут помещены в фонд АСХИ. Для этого потребуется внести поправку в Решение 619. </w:t>
      </w:r>
    </w:p>
    <w:p w14:paraId="5E79723A" w14:textId="36996592" w:rsidR="00F90867" w:rsidRPr="00DB6F2C" w:rsidRDefault="00EF18A1" w:rsidP="004A20E7">
      <w:pPr>
        <w:rPr>
          <w:lang w:val="ru-RU"/>
        </w:rPr>
      </w:pPr>
      <w:r w:rsidRPr="00DB6F2C">
        <w:rPr>
          <w:lang w:val="ru-RU"/>
        </w:rPr>
        <w:t>По состоянию на 31 декабря 2019 года</w:t>
      </w:r>
      <w:r w:rsidR="00B547EE" w:rsidRPr="00DB6F2C">
        <w:rPr>
          <w:lang w:val="ru-RU"/>
        </w:rPr>
        <w:t>,</w:t>
      </w:r>
      <w:r w:rsidRPr="00DB6F2C">
        <w:rPr>
          <w:lang w:val="ru-RU"/>
        </w:rPr>
        <w:t xml:space="preserve"> размер фонда реестра рисков </w:t>
      </w:r>
      <w:r w:rsidR="00687F2F" w:rsidRPr="00DB6F2C">
        <w:rPr>
          <w:lang w:val="ru-RU"/>
        </w:rPr>
        <w:t>составил</w:t>
      </w:r>
      <w:r w:rsidRPr="00DB6F2C">
        <w:rPr>
          <w:lang w:val="ru-RU"/>
        </w:rPr>
        <w:t xml:space="preserve"> 1 425 000</w:t>
      </w:r>
      <w:r w:rsidR="00B547EE" w:rsidRPr="00DB6F2C">
        <w:rPr>
          <w:lang w:val="ru-RU"/>
        </w:rPr>
        <w:t> </w:t>
      </w:r>
      <w:r w:rsidRPr="00DB6F2C">
        <w:rPr>
          <w:lang w:val="ru-RU"/>
        </w:rPr>
        <w:t xml:space="preserve">швейцарских франков. </w:t>
      </w:r>
    </w:p>
    <w:p w14:paraId="742012E1" w14:textId="2B49678D" w:rsidR="00F90867" w:rsidRPr="00DB6F2C" w:rsidRDefault="00EF18A1" w:rsidP="004A20E7">
      <w:pPr>
        <w:rPr>
          <w:lang w:val="ru-RU"/>
        </w:rPr>
      </w:pPr>
      <w:r w:rsidRPr="00DB6F2C">
        <w:rPr>
          <w:lang w:val="ru-RU"/>
        </w:rPr>
        <w:t xml:space="preserve">Обновленный реестр рисков размещен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en</w:instrText>
      </w:r>
      <w:r w:rsidR="00D81752" w:rsidRPr="00D81752">
        <w:rPr>
          <w:lang w:val="ru-RU"/>
        </w:rPr>
        <w:instrText>/</w:instrText>
      </w:r>
      <w:r w:rsidR="00D81752">
        <w:instrText>council</w:instrText>
      </w:r>
      <w:r w:rsidR="00D81752" w:rsidRPr="00D81752">
        <w:rPr>
          <w:lang w:val="ru-RU"/>
        </w:rPr>
        <w:instrText>/2020/</w:instrText>
      </w:r>
      <w:r w:rsidR="00D81752">
        <w:instrText>Documents</w:instrText>
      </w:r>
      <w:r w:rsidR="00D81752" w:rsidRPr="00D81752">
        <w:rPr>
          <w:lang w:val="ru-RU"/>
        </w:rPr>
        <w:instrText>/007/</w:instrText>
      </w:r>
      <w:r w:rsidR="00D81752">
        <w:instrText>INF</w:instrText>
      </w:r>
      <w:r w:rsidR="00D81752" w:rsidRPr="00D81752">
        <w:rPr>
          <w:lang w:val="ru-RU"/>
        </w:rPr>
        <w:instrText>%20</w:instrText>
      </w:r>
      <w:r w:rsidR="00D81752">
        <w:instrText>C</w:instrText>
      </w:r>
      <w:r w:rsidR="00D81752" w:rsidRPr="00D81752">
        <w:rPr>
          <w:lang w:val="ru-RU"/>
        </w:rPr>
        <w:instrText>_</w:instrText>
      </w:r>
      <w:r w:rsidR="00D81752">
        <w:instrText>Risk</w:instrText>
      </w:r>
      <w:r w:rsidR="00D81752" w:rsidRPr="00D81752">
        <w:rPr>
          <w:lang w:val="ru-RU"/>
        </w:rPr>
        <w:instrText>%20</w:instrText>
      </w:r>
      <w:r w:rsidR="00D81752">
        <w:instrText>register</w:instrText>
      </w:r>
      <w:r w:rsidR="00D81752" w:rsidRPr="00D81752">
        <w:rPr>
          <w:lang w:val="ru-RU"/>
        </w:rPr>
        <w:instrText>.</w:instrText>
      </w:r>
      <w:r w:rsidR="00D81752">
        <w:instrText>xlsx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DB6F2C">
        <w:rPr>
          <w:rStyle w:val="Hyperlink"/>
          <w:lang w:val="ru-RU"/>
        </w:rPr>
        <w:t>здесь</w:t>
      </w:r>
      <w:r w:rsidR="00D81752">
        <w:rPr>
          <w:rStyle w:val="Hyperlink"/>
          <w:lang w:val="ru-RU"/>
        </w:rPr>
        <w:fldChar w:fldCharType="end"/>
      </w:r>
      <w:r w:rsidRPr="00DB6F2C">
        <w:rPr>
          <w:lang w:val="ru-RU"/>
        </w:rPr>
        <w:t xml:space="preserve">. </w:t>
      </w:r>
    </w:p>
    <w:p w14:paraId="0D812C97" w14:textId="5981B612" w:rsidR="00F90867" w:rsidRPr="00DB6F2C" w:rsidRDefault="00F90867" w:rsidP="004A20E7">
      <w:pPr>
        <w:pStyle w:val="Heading2"/>
        <w:rPr>
          <w:lang w:val="ru-RU"/>
        </w:rPr>
      </w:pPr>
      <w:r w:rsidRPr="00DB6F2C">
        <w:rPr>
          <w:lang w:val="ru-RU"/>
        </w:rPr>
        <w:t>3.</w:t>
      </w:r>
      <w:r w:rsidR="00975F3F" w:rsidRPr="00DB6F2C">
        <w:rPr>
          <w:lang w:val="ru-RU"/>
        </w:rPr>
        <w:t>7</w:t>
      </w:r>
      <w:r w:rsidRPr="00DB6F2C">
        <w:rPr>
          <w:lang w:val="ru-RU"/>
        </w:rPr>
        <w:tab/>
      </w:r>
      <w:r w:rsidR="00B21ADD" w:rsidRPr="00DB6F2C">
        <w:rPr>
          <w:lang w:val="ru-RU"/>
        </w:rPr>
        <w:t>График расходов</w:t>
      </w:r>
      <w:r w:rsidR="000F6717" w:rsidRPr="00DB6F2C">
        <w:rPr>
          <w:lang w:val="ru-RU"/>
        </w:rPr>
        <w:t>,</w:t>
      </w:r>
      <w:r w:rsidR="00B21ADD" w:rsidRPr="00DB6F2C">
        <w:rPr>
          <w:lang w:val="ru-RU"/>
        </w:rPr>
        <w:t xml:space="preserve"> или </w:t>
      </w:r>
      <w:r w:rsidR="00DA3D2A" w:rsidRPr="00DB6F2C">
        <w:rPr>
          <w:lang w:val="ru-RU"/>
        </w:rPr>
        <w:t>механизм</w:t>
      </w:r>
      <w:r w:rsidR="00B21ADD" w:rsidRPr="00DB6F2C">
        <w:rPr>
          <w:lang w:val="ru-RU"/>
        </w:rPr>
        <w:t xml:space="preserve"> </w:t>
      </w:r>
      <w:r w:rsidR="00DA3D2A" w:rsidRPr="00DB6F2C">
        <w:rPr>
          <w:lang w:val="ru-RU"/>
        </w:rPr>
        <w:t>отслеживания</w:t>
      </w:r>
      <w:r w:rsidR="00B21ADD" w:rsidRPr="00DB6F2C">
        <w:rPr>
          <w:lang w:val="ru-RU"/>
        </w:rPr>
        <w:t xml:space="preserve"> затрат</w:t>
      </w:r>
    </w:p>
    <w:p w14:paraId="2F98513B" w14:textId="4B9350ED" w:rsidR="00F90867" w:rsidRPr="00DB6F2C" w:rsidRDefault="00DA3D2A" w:rsidP="004A20E7">
      <w:pPr>
        <w:rPr>
          <w:lang w:val="ru-RU"/>
        </w:rPr>
      </w:pPr>
      <w:r w:rsidRPr="00DB6F2C">
        <w:rPr>
          <w:lang w:val="ru-RU"/>
        </w:rPr>
        <w:t xml:space="preserve">С момента запуска проекта осуществляется отслеживание и обновление информации о </w:t>
      </w:r>
      <w:r w:rsidR="00687F2F" w:rsidRPr="00DB6F2C">
        <w:rPr>
          <w:lang w:val="ru-RU"/>
        </w:rPr>
        <w:t>ходе выполнения</w:t>
      </w:r>
      <w:r w:rsidRPr="00DB6F2C">
        <w:rPr>
          <w:lang w:val="ru-RU"/>
        </w:rPr>
        <w:t xml:space="preserve"> задач – объеме проделанной по ним работы или проценте </w:t>
      </w:r>
      <w:r w:rsidR="00687F2F" w:rsidRPr="00DB6F2C">
        <w:rPr>
          <w:lang w:val="ru-RU"/>
        </w:rPr>
        <w:t>выполненных</w:t>
      </w:r>
      <w:r w:rsidRPr="00DB6F2C">
        <w:rPr>
          <w:lang w:val="ru-RU"/>
        </w:rPr>
        <w:t xml:space="preserve"> задач. </w:t>
      </w:r>
    </w:p>
    <w:p w14:paraId="01711D01" w14:textId="21DEBE41" w:rsidR="00F90867" w:rsidRPr="00DB6F2C" w:rsidRDefault="00DA3D2A" w:rsidP="004A20E7">
      <w:pPr>
        <w:rPr>
          <w:lang w:val="ru-RU"/>
        </w:rPr>
      </w:pPr>
      <w:r w:rsidRPr="00DB6F2C">
        <w:rPr>
          <w:lang w:val="ru-RU"/>
        </w:rPr>
        <w:t>Был учрежден механизм отслеживания, сопоставляющий реальные затраты на завершенные работы с</w:t>
      </w:r>
      <w:r w:rsidR="000F6717" w:rsidRPr="00DB6F2C">
        <w:rPr>
          <w:lang w:val="ru-RU"/>
        </w:rPr>
        <w:t xml:space="preserve">о сметными </w:t>
      </w:r>
      <w:r w:rsidR="009B6D52" w:rsidRPr="00DB6F2C">
        <w:rPr>
          <w:lang w:val="ru-RU"/>
        </w:rPr>
        <w:t xml:space="preserve">затратами на остающийся объем работ: нормативные затраты против </w:t>
      </w:r>
      <w:r w:rsidR="00CB6349" w:rsidRPr="00DB6F2C">
        <w:rPr>
          <w:lang w:val="ru-RU"/>
        </w:rPr>
        <w:t>ожидаемых</w:t>
      </w:r>
      <w:r w:rsidR="009B6D52" w:rsidRPr="00DB6F2C">
        <w:rPr>
          <w:lang w:val="ru-RU"/>
        </w:rPr>
        <w:t xml:space="preserve"> затрат по проекту. Что еще важнее, он позволяет подсчитать разницу между </w:t>
      </w:r>
      <w:r w:rsidR="000F6717" w:rsidRPr="00DB6F2C">
        <w:rPr>
          <w:lang w:val="ru-RU"/>
        </w:rPr>
        <w:t>планируемыми</w:t>
      </w:r>
      <w:r w:rsidR="009B6D52" w:rsidRPr="00DB6F2C">
        <w:rPr>
          <w:lang w:val="ru-RU"/>
        </w:rPr>
        <w:t xml:space="preserve"> и базовыми затратами.</w:t>
      </w:r>
      <w:r w:rsidRPr="00DB6F2C">
        <w:rPr>
          <w:lang w:val="ru-RU"/>
        </w:rPr>
        <w:t xml:space="preserve"> </w:t>
      </w:r>
      <w:r w:rsidR="009B6D52" w:rsidRPr="00DB6F2C">
        <w:rPr>
          <w:lang w:val="ru-RU"/>
        </w:rPr>
        <w:t>Этой разницей, или отклонением от нормативных затрат, определяется соответствие проекта предусмотренному бюджету.</w:t>
      </w:r>
      <w:r w:rsidR="000F6717" w:rsidRPr="00DB6F2C">
        <w:rPr>
          <w:lang w:val="ru-RU"/>
        </w:rPr>
        <w:t xml:space="preserve"> </w:t>
      </w:r>
    </w:p>
    <w:p w14:paraId="6B72574C" w14:textId="5234C5DA" w:rsidR="00F90867" w:rsidRPr="00DB6F2C" w:rsidRDefault="009B6D52" w:rsidP="004A20E7">
      <w:pPr>
        <w:rPr>
          <w:lang w:val="ru-RU"/>
        </w:rPr>
      </w:pPr>
      <w:r w:rsidRPr="00DB6F2C">
        <w:rPr>
          <w:lang w:val="ru-RU"/>
        </w:rPr>
        <w:t xml:space="preserve">График расходов размещен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en</w:instrText>
      </w:r>
      <w:r w:rsidR="00D81752" w:rsidRPr="00D81752">
        <w:rPr>
          <w:lang w:val="ru-RU"/>
        </w:rPr>
        <w:instrText>/</w:instrText>
      </w:r>
      <w:r w:rsidR="00D81752">
        <w:instrText>council</w:instrText>
      </w:r>
      <w:r w:rsidR="00D81752" w:rsidRPr="00D81752">
        <w:rPr>
          <w:lang w:val="ru-RU"/>
        </w:rPr>
        <w:instrText>/2020/</w:instrText>
      </w:r>
      <w:r w:rsidR="00D81752">
        <w:instrText>Documents</w:instrText>
      </w:r>
      <w:r w:rsidR="00D81752" w:rsidRPr="00D81752">
        <w:rPr>
          <w:lang w:val="ru-RU"/>
        </w:rPr>
        <w:instrText>/007/</w:instrText>
      </w:r>
      <w:r w:rsidR="00D81752">
        <w:instrText>INF</w:instrText>
      </w:r>
      <w:r w:rsidR="00D81752" w:rsidRPr="00D81752">
        <w:rPr>
          <w:lang w:val="ru-RU"/>
        </w:rPr>
        <w:instrText>%20</w:instrText>
      </w:r>
      <w:r w:rsidR="00D81752">
        <w:instrText>D</w:instrText>
      </w:r>
      <w:r w:rsidR="00D81752" w:rsidRPr="00D81752">
        <w:rPr>
          <w:lang w:val="ru-RU"/>
        </w:rPr>
        <w:instrText>_</w:instrText>
      </w:r>
      <w:r w:rsidR="00D81752">
        <w:instrText>Schedule</w:instrText>
      </w:r>
      <w:r w:rsidR="00D81752" w:rsidRPr="00D81752">
        <w:rPr>
          <w:lang w:val="ru-RU"/>
        </w:rPr>
        <w:instrText>%20</w:instrText>
      </w:r>
      <w:r w:rsidR="00D81752">
        <w:instrText>of</w:instrText>
      </w:r>
      <w:r w:rsidR="00D81752" w:rsidRPr="00D81752">
        <w:rPr>
          <w:lang w:val="ru-RU"/>
        </w:rPr>
        <w:instrText>%20</w:instrText>
      </w:r>
      <w:r w:rsidR="00D81752">
        <w:instrText>expenditure</w:instrText>
      </w:r>
      <w:r w:rsidR="00D81752" w:rsidRPr="00D81752">
        <w:rPr>
          <w:lang w:val="ru-RU"/>
        </w:rPr>
        <w:instrText>%2017_27_</w:instrText>
      </w:r>
      <w:r w:rsidR="00D81752">
        <w:instrText>EN</w:instrText>
      </w:r>
      <w:r w:rsidR="00D81752" w:rsidRPr="00D81752">
        <w:rPr>
          <w:lang w:val="ru-RU"/>
        </w:rPr>
        <w:instrText>.</w:instrText>
      </w:r>
      <w:r w:rsidR="00D81752">
        <w:instrText>xlsx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DB6F2C">
        <w:rPr>
          <w:rStyle w:val="Hyperlink"/>
          <w:lang w:val="ru-RU"/>
        </w:rPr>
        <w:t>здесь</w:t>
      </w:r>
      <w:r w:rsidR="00D81752">
        <w:rPr>
          <w:rStyle w:val="Hyperlink"/>
          <w:lang w:val="ru-RU"/>
        </w:rPr>
        <w:fldChar w:fldCharType="end"/>
      </w:r>
      <w:r w:rsidR="00F90867" w:rsidRPr="00DB6F2C">
        <w:rPr>
          <w:lang w:val="ru-RU"/>
        </w:rPr>
        <w:t>.</w:t>
      </w:r>
    </w:p>
    <w:p w14:paraId="1C8BF7B2" w14:textId="6032BADC" w:rsidR="00F90867" w:rsidRPr="00DB6F2C" w:rsidRDefault="00F90867" w:rsidP="004A20E7">
      <w:pPr>
        <w:pStyle w:val="Heading2"/>
        <w:rPr>
          <w:lang w:val="ru-RU"/>
        </w:rPr>
      </w:pPr>
      <w:r w:rsidRPr="00DB6F2C">
        <w:rPr>
          <w:lang w:val="ru-RU"/>
        </w:rPr>
        <w:t>3.</w:t>
      </w:r>
      <w:r w:rsidR="00975F3F" w:rsidRPr="00DB6F2C">
        <w:rPr>
          <w:lang w:val="ru-RU"/>
        </w:rPr>
        <w:t>8</w:t>
      </w:r>
      <w:r w:rsidRPr="00DB6F2C">
        <w:rPr>
          <w:lang w:val="ru-RU"/>
        </w:rPr>
        <w:tab/>
      </w:r>
      <w:r w:rsidR="001F2BE6" w:rsidRPr="00DB6F2C">
        <w:rPr>
          <w:lang w:val="ru-RU"/>
        </w:rPr>
        <w:t xml:space="preserve">Предварительный график </w:t>
      </w:r>
      <w:r w:rsidR="00515B7E" w:rsidRPr="00DB6F2C">
        <w:rPr>
          <w:lang w:val="ru-RU"/>
        </w:rPr>
        <w:t>осуществления</w:t>
      </w:r>
      <w:r w:rsidR="001F2BE6" w:rsidRPr="00DB6F2C">
        <w:rPr>
          <w:lang w:val="ru-RU"/>
        </w:rPr>
        <w:t xml:space="preserve"> проекта</w:t>
      </w:r>
    </w:p>
    <w:p w14:paraId="40AA3B0F" w14:textId="60259F54" w:rsidR="00F90867" w:rsidRPr="00DB6F2C" w:rsidRDefault="00F90867" w:rsidP="004A20E7">
      <w:pPr>
        <w:rPr>
          <w:lang w:val="ru-RU"/>
        </w:rPr>
      </w:pPr>
      <w:r w:rsidRPr="00DB6F2C">
        <w:rPr>
          <w:lang w:val="ru-RU"/>
        </w:rPr>
        <w:t>Hill International</w:t>
      </w:r>
      <w:r w:rsidR="000A6BB7" w:rsidRPr="00DB6F2C">
        <w:rPr>
          <w:lang w:val="ru-RU"/>
        </w:rPr>
        <w:t xml:space="preserve"> при существенном вкладе конструкторского консорциума CDTK и в координации с </w:t>
      </w:r>
      <w:r w:rsidR="00503C14" w:rsidRPr="00DB6F2C">
        <w:rPr>
          <w:lang w:val="ru-RU"/>
        </w:rPr>
        <w:t>командой</w:t>
      </w:r>
      <w:r w:rsidR="00743B7C" w:rsidRPr="00DB6F2C">
        <w:rPr>
          <w:lang w:val="ru-RU"/>
        </w:rPr>
        <w:t xml:space="preserve"> отдела проекта строительства </w:t>
      </w:r>
      <w:r w:rsidR="00503C14" w:rsidRPr="00DB6F2C">
        <w:rPr>
          <w:lang w:val="ru-RU"/>
        </w:rPr>
        <w:t>отвечает за контроль</w:t>
      </w:r>
      <w:r w:rsidR="00743B7C" w:rsidRPr="00DB6F2C">
        <w:rPr>
          <w:lang w:val="ru-RU"/>
        </w:rPr>
        <w:t xml:space="preserve">, рассмотрение и обновление проекта и графика строительства. </w:t>
      </w:r>
    </w:p>
    <w:p w14:paraId="5DA88EA8" w14:textId="491C7E44" w:rsidR="00F90867" w:rsidRPr="00DB6F2C" w:rsidRDefault="00527CB9" w:rsidP="004A20E7">
      <w:pPr>
        <w:rPr>
          <w:lang w:val="ru-RU"/>
        </w:rPr>
      </w:pPr>
      <w:r w:rsidRPr="00DB6F2C">
        <w:rPr>
          <w:lang w:val="ru-RU"/>
        </w:rPr>
        <w:t xml:space="preserve">Предварительный график осуществления проекта размещен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en</w:instrText>
      </w:r>
      <w:r w:rsidR="00D81752" w:rsidRPr="00D81752">
        <w:rPr>
          <w:lang w:val="ru-RU"/>
        </w:rPr>
        <w:instrText>/</w:instrText>
      </w:r>
      <w:r w:rsidR="00D81752">
        <w:instrText>council</w:instrText>
      </w:r>
      <w:r w:rsidR="00D81752" w:rsidRPr="00D81752">
        <w:rPr>
          <w:lang w:val="ru-RU"/>
        </w:rPr>
        <w:instrText>/2020/</w:instrText>
      </w:r>
      <w:r w:rsidR="00D81752">
        <w:instrText>Documents</w:instrText>
      </w:r>
      <w:r w:rsidR="00D81752" w:rsidRPr="00D81752">
        <w:rPr>
          <w:lang w:val="ru-RU"/>
        </w:rPr>
        <w:instrText>/007/</w:instrText>
      </w:r>
      <w:r w:rsidR="00D81752">
        <w:instrText>INF</w:instrText>
      </w:r>
      <w:r w:rsidR="00D81752" w:rsidRPr="00D81752">
        <w:rPr>
          <w:lang w:val="ru-RU"/>
        </w:rPr>
        <w:instrText>%20</w:instrText>
      </w:r>
      <w:r w:rsidR="00D81752">
        <w:instrText>E</w:instrText>
      </w:r>
      <w:r w:rsidR="00D81752" w:rsidRPr="00D81752">
        <w:rPr>
          <w:lang w:val="ru-RU"/>
        </w:rPr>
        <w:instrText>_</w:instrText>
      </w:r>
      <w:r w:rsidR="00D81752">
        <w:instrText>Schedule</w:instrText>
      </w:r>
      <w:r w:rsidR="00D81752" w:rsidRPr="00D81752">
        <w:rPr>
          <w:lang w:val="ru-RU"/>
        </w:rPr>
        <w:instrText>.</w:instrText>
      </w:r>
      <w:r w:rsidR="00D81752">
        <w:instrText>pdf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DB6F2C">
        <w:rPr>
          <w:rStyle w:val="Hyperlink"/>
          <w:lang w:val="ru-RU"/>
        </w:rPr>
        <w:t>здесь</w:t>
      </w:r>
      <w:r w:rsidR="00D81752">
        <w:rPr>
          <w:rStyle w:val="Hyperlink"/>
          <w:lang w:val="ru-RU"/>
        </w:rPr>
        <w:fldChar w:fldCharType="end"/>
      </w:r>
      <w:r w:rsidRPr="00DB6F2C">
        <w:rPr>
          <w:lang w:val="ru-RU"/>
        </w:rPr>
        <w:t xml:space="preserve">. </w:t>
      </w:r>
    </w:p>
    <w:p w14:paraId="2675A590" w14:textId="7B25476B" w:rsidR="00F90867" w:rsidRPr="00DB6F2C" w:rsidRDefault="00F90867" w:rsidP="004A20E7">
      <w:pPr>
        <w:pStyle w:val="Heading2"/>
        <w:rPr>
          <w:lang w:val="ru-RU"/>
        </w:rPr>
      </w:pPr>
      <w:r w:rsidRPr="00DB6F2C">
        <w:rPr>
          <w:lang w:val="ru-RU"/>
        </w:rPr>
        <w:t>3.</w:t>
      </w:r>
      <w:r w:rsidR="00975F3F" w:rsidRPr="00DB6F2C">
        <w:rPr>
          <w:lang w:val="ru-RU"/>
        </w:rPr>
        <w:t>9</w:t>
      </w:r>
      <w:r w:rsidRPr="00DB6F2C">
        <w:rPr>
          <w:lang w:val="ru-RU"/>
        </w:rPr>
        <w:tab/>
      </w:r>
      <w:r w:rsidR="00527CB9" w:rsidRPr="00DB6F2C">
        <w:rPr>
          <w:lang w:val="ru-RU"/>
        </w:rPr>
        <w:t xml:space="preserve">Финансовые последствия для стоимости </w:t>
      </w:r>
      <w:r w:rsidR="00300CD9" w:rsidRPr="00DB6F2C">
        <w:rPr>
          <w:lang w:val="ru-RU"/>
        </w:rPr>
        <w:t xml:space="preserve">здания </w:t>
      </w:r>
      <w:r w:rsidR="0003587D" w:rsidRPr="00DB6F2C">
        <w:rPr>
          <w:lang w:val="ru-RU"/>
        </w:rPr>
        <w:t>"</w:t>
      </w:r>
      <w:r w:rsidR="00300CD9" w:rsidRPr="00DB6F2C">
        <w:rPr>
          <w:lang w:val="ru-RU"/>
        </w:rPr>
        <w:t>Башня</w:t>
      </w:r>
      <w:r w:rsidR="0003587D" w:rsidRPr="00DB6F2C">
        <w:rPr>
          <w:lang w:val="ru-RU"/>
        </w:rPr>
        <w:t>"</w:t>
      </w:r>
      <w:r w:rsidR="00527CB9" w:rsidRPr="00DB6F2C">
        <w:rPr>
          <w:lang w:val="ru-RU"/>
        </w:rPr>
        <w:t xml:space="preserve"> при продолжении использования конференц-зала им.</w:t>
      </w:r>
      <w:r w:rsidR="00503C14" w:rsidRPr="00DB6F2C">
        <w:rPr>
          <w:lang w:val="ru-RU"/>
        </w:rPr>
        <w:t xml:space="preserve"> </w:t>
      </w:r>
      <w:proofErr w:type="gramStart"/>
      <w:r w:rsidR="0003587D" w:rsidRPr="00DB6F2C">
        <w:rPr>
          <w:lang w:val="ru-RU"/>
        </w:rPr>
        <w:t>А.С.</w:t>
      </w:r>
      <w:proofErr w:type="gramEnd"/>
      <w:r w:rsidR="0003587D" w:rsidRPr="00DB6F2C">
        <w:rPr>
          <w:lang w:val="ru-RU"/>
        </w:rPr>
        <w:t xml:space="preserve"> </w:t>
      </w:r>
      <w:r w:rsidR="00527CB9" w:rsidRPr="00DB6F2C">
        <w:rPr>
          <w:lang w:val="ru-RU"/>
        </w:rPr>
        <w:t>Попова</w:t>
      </w:r>
    </w:p>
    <w:p w14:paraId="0A5D59AF" w14:textId="739EA344" w:rsidR="00F90867" w:rsidRPr="00DB6F2C" w:rsidRDefault="000B509A" w:rsidP="004A20E7">
      <w:pPr>
        <w:rPr>
          <w:lang w:val="ru-RU"/>
        </w:rPr>
      </w:pPr>
      <w:r w:rsidRPr="00DB6F2C">
        <w:rPr>
          <w:lang w:val="ru-RU"/>
        </w:rPr>
        <w:t>После</w:t>
      </w:r>
      <w:r w:rsidR="00190265" w:rsidRPr="00DB6F2C">
        <w:rPr>
          <w:lang w:val="ru-RU"/>
        </w:rPr>
        <w:t xml:space="preserve"> </w:t>
      </w:r>
      <w:r w:rsidR="007F51BE" w:rsidRPr="00DB6F2C">
        <w:rPr>
          <w:lang w:val="ru-RU"/>
        </w:rPr>
        <w:t xml:space="preserve">объявления о принятии предложений </w:t>
      </w:r>
      <w:r w:rsidR="00190265" w:rsidRPr="00DB6F2C">
        <w:rPr>
          <w:lang w:val="ru-RU"/>
        </w:rPr>
        <w:t xml:space="preserve">был заключен контракт с </w:t>
      </w:r>
      <w:r w:rsidR="00503C14" w:rsidRPr="00DB6F2C">
        <w:rPr>
          <w:lang w:val="ru-RU"/>
        </w:rPr>
        <w:t xml:space="preserve">компанией </w:t>
      </w:r>
      <w:r w:rsidR="00190265" w:rsidRPr="00DB6F2C">
        <w:rPr>
          <w:lang w:val="ru-RU"/>
        </w:rPr>
        <w:t xml:space="preserve">SPG </w:t>
      </w:r>
      <w:proofErr w:type="spellStart"/>
      <w:r w:rsidR="00190265" w:rsidRPr="00DB6F2C">
        <w:rPr>
          <w:lang w:val="ru-RU"/>
        </w:rPr>
        <w:t>Intercity</w:t>
      </w:r>
      <w:proofErr w:type="spellEnd"/>
      <w:r w:rsidR="001075E1" w:rsidRPr="00DB6F2C">
        <w:rPr>
          <w:lang w:val="ru-RU"/>
        </w:rPr>
        <w:t> </w:t>
      </w:r>
      <w:r w:rsidR="00190265" w:rsidRPr="00DB6F2C">
        <w:rPr>
          <w:lang w:val="ru-RU"/>
        </w:rPr>
        <w:t>– экспертом в области недвижимости – на проведение финансового/экономического анализа</w:t>
      </w:r>
      <w:r w:rsidR="00300CD9" w:rsidRPr="00DB6F2C">
        <w:rPr>
          <w:lang w:val="ru-RU"/>
        </w:rPr>
        <w:t xml:space="preserve"> </w:t>
      </w:r>
      <w:r w:rsidR="00503C14" w:rsidRPr="00DB6F2C">
        <w:rPr>
          <w:lang w:val="ru-RU"/>
        </w:rPr>
        <w:t xml:space="preserve">возможного </w:t>
      </w:r>
      <w:r w:rsidR="00300CD9" w:rsidRPr="00DB6F2C">
        <w:rPr>
          <w:lang w:val="ru-RU"/>
        </w:rPr>
        <w:t xml:space="preserve">продолжения использования зала после продажи здания </w:t>
      </w:r>
      <w:r w:rsidR="007F51BE" w:rsidRPr="00DB6F2C">
        <w:rPr>
          <w:lang w:val="ru-RU"/>
        </w:rPr>
        <w:t>"</w:t>
      </w:r>
      <w:r w:rsidR="00300CD9" w:rsidRPr="00DB6F2C">
        <w:rPr>
          <w:lang w:val="ru-RU"/>
        </w:rPr>
        <w:t>Башня</w:t>
      </w:r>
      <w:r w:rsidR="007F51BE" w:rsidRPr="00DB6F2C">
        <w:rPr>
          <w:lang w:val="ru-RU"/>
        </w:rPr>
        <w:t>"</w:t>
      </w:r>
      <w:r w:rsidR="00300CD9" w:rsidRPr="00DB6F2C">
        <w:rPr>
          <w:lang w:val="ru-RU"/>
        </w:rPr>
        <w:t>.</w:t>
      </w:r>
      <w:r w:rsidR="00190265" w:rsidRPr="00DB6F2C">
        <w:rPr>
          <w:lang w:val="ru-RU"/>
        </w:rPr>
        <w:t xml:space="preserve"> </w:t>
      </w:r>
    </w:p>
    <w:p w14:paraId="3A465648" w14:textId="2FC7824A" w:rsidR="00F90867" w:rsidRPr="00DB6F2C" w:rsidRDefault="000B509A" w:rsidP="004A20E7">
      <w:pPr>
        <w:spacing w:after="240"/>
        <w:rPr>
          <w:lang w:val="ru-RU"/>
        </w:rPr>
      </w:pPr>
      <w:r w:rsidRPr="00DB6F2C">
        <w:rPr>
          <w:lang w:val="ru-RU"/>
        </w:rPr>
        <w:t xml:space="preserve">Согласно результату исследования, финансовые последствия для стоимости сравнительно </w:t>
      </w:r>
      <w:r w:rsidR="00503C14" w:rsidRPr="00DB6F2C">
        <w:rPr>
          <w:lang w:val="ru-RU"/>
        </w:rPr>
        <w:t>невелики</w:t>
      </w:r>
      <w:r w:rsidRPr="00DB6F2C">
        <w:rPr>
          <w:lang w:val="ru-RU"/>
        </w:rPr>
        <w:t xml:space="preserve"> в сопоставлении с общей стоимостью здания.</w:t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191"/>
        <w:gridCol w:w="3192"/>
      </w:tblGrid>
      <w:tr w:rsidR="00F90867" w:rsidRPr="00D81752" w14:paraId="769937C7" w14:textId="77777777" w:rsidTr="000C69F7">
        <w:trPr>
          <w:cantSplit/>
        </w:trPr>
        <w:tc>
          <w:tcPr>
            <w:tcW w:w="32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5A4499" w14:textId="77777777" w:rsidR="00F90867" w:rsidRPr="00DB6F2C" w:rsidRDefault="00F90867" w:rsidP="00A36BA5">
            <w:pPr>
              <w:pStyle w:val="Tablehead"/>
              <w:keepNext w:val="0"/>
              <w:rPr>
                <w:color w:val="00000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3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069BF0" w14:textId="1624A589" w:rsidR="00F90867" w:rsidRPr="00DB6F2C" w:rsidRDefault="007F51BE" w:rsidP="00A36BA5">
            <w:pPr>
              <w:pStyle w:val="Tablehead"/>
              <w:keepNext w:val="0"/>
              <w:ind w:left="-113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DB6F2C">
              <w:rPr>
                <w:color w:val="000000"/>
                <w:szCs w:val="20"/>
                <w:shd w:val="clear" w:color="auto" w:fill="FFFFFF"/>
                <w:lang w:val="ru-RU"/>
              </w:rPr>
              <w:t>Высвобожденное здание "</w:t>
            </w:r>
            <w:r w:rsidR="000B509A" w:rsidRPr="00DB6F2C">
              <w:rPr>
                <w:color w:val="000000"/>
                <w:szCs w:val="20"/>
                <w:shd w:val="clear" w:color="auto" w:fill="FFFFFF"/>
                <w:lang w:val="ru-RU"/>
              </w:rPr>
              <w:t>Башня</w:t>
            </w:r>
            <w:r w:rsidRPr="00DB6F2C">
              <w:rPr>
                <w:color w:val="000000"/>
                <w:szCs w:val="20"/>
                <w:shd w:val="clear" w:color="auto" w:fill="FFFFFF"/>
                <w:lang w:val="ru-RU"/>
              </w:rPr>
              <w:t>"</w:t>
            </w:r>
            <w:r w:rsidR="000B509A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–</w:t>
            </w:r>
            <w:r w:rsidR="00F90867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r w:rsidR="000B509A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продажа </w:t>
            </w:r>
            <w:r w:rsidR="00E00F84" w:rsidRPr="00DB6F2C">
              <w:rPr>
                <w:color w:val="000000"/>
                <w:szCs w:val="20"/>
                <w:shd w:val="clear" w:color="auto" w:fill="FFFFFF"/>
                <w:lang w:val="ru-RU"/>
              </w:rPr>
              <w:t>предполагается</w:t>
            </w:r>
            <w:r w:rsidR="000B509A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в </w:t>
            </w:r>
            <w:r w:rsidR="00F90867" w:rsidRPr="00DB6F2C">
              <w:rPr>
                <w:color w:val="000000"/>
                <w:szCs w:val="20"/>
                <w:shd w:val="clear" w:color="auto" w:fill="FFFFFF"/>
                <w:lang w:val="ru-RU"/>
              </w:rPr>
              <w:t>2027</w:t>
            </w:r>
            <w:r w:rsidR="000B509A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г.</w:t>
            </w:r>
          </w:p>
        </w:tc>
      </w:tr>
      <w:tr w:rsidR="00F90867" w:rsidRPr="00DB6F2C" w14:paraId="409952EC" w14:textId="77777777" w:rsidTr="000C69F7">
        <w:tc>
          <w:tcPr>
            <w:tcW w:w="326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EFDB537" w14:textId="127963E7" w:rsidR="00F90867" w:rsidRPr="00DB6F2C" w:rsidRDefault="000B509A" w:rsidP="00A36BA5">
            <w:pPr>
              <w:pStyle w:val="Tabletext"/>
              <w:spacing w:after="0"/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</w:pPr>
            <w:bookmarkStart w:id="3" w:name="_Ref39676374"/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Рыночная стоимость</w:t>
            </w:r>
            <w:r w:rsidR="00F90867" w:rsidRPr="00DB6F2C">
              <w:rPr>
                <w:rStyle w:val="FootnoteReference"/>
                <w:lang w:val="ru-RU"/>
              </w:rPr>
              <w:footnoteReference w:id="2"/>
            </w:r>
            <w:bookmarkEnd w:id="3"/>
            <w:r w:rsidR="00F9086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</w:p>
          <w:p w14:paraId="161DFCCA" w14:textId="371C5A95" w:rsidR="00F90867" w:rsidRPr="00DB6F2C" w:rsidRDefault="003F757C" w:rsidP="00A36BA5">
            <w:pPr>
              <w:pStyle w:val="Tabletext"/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</w:pPr>
            <w:bookmarkStart w:id="4" w:name="_Ref39676386"/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Примерные</w:t>
            </w:r>
            <w:r w:rsidR="001778B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 xml:space="preserve"> суммы</w:t>
            </w:r>
            <w:r w:rsidR="00F90867" w:rsidRPr="00DB6F2C">
              <w:rPr>
                <w:rStyle w:val="FootnoteReference"/>
                <w:lang w:val="ru-RU"/>
              </w:rPr>
              <w:footnoteReference w:id="3"/>
            </w:r>
            <w:bookmarkEnd w:id="4"/>
            <w:r w:rsidR="007C0355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,</w:t>
            </w:r>
            <w:r w:rsidR="00F9086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r w:rsidR="001778B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 xml:space="preserve">в </w:t>
            </w:r>
            <w:proofErr w:type="spellStart"/>
            <w:r w:rsidR="00D43DA4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шв</w:t>
            </w:r>
            <w:proofErr w:type="spellEnd"/>
            <w:r w:rsidR="00D43DA4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.</w:t>
            </w:r>
            <w:r w:rsidR="00975F3F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r w:rsidR="00D43DA4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фр.</w:t>
            </w:r>
            <w:r w:rsidR="00F9086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783F6" w14:textId="26C52EE3" w:rsidR="00F90867" w:rsidRPr="00DB6F2C" w:rsidRDefault="000B509A" w:rsidP="00A36BA5">
            <w:pPr>
              <w:pStyle w:val="Tabletext"/>
              <w:jc w:val="center"/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</w:pP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Без использования зала Попова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0E3F25" w14:textId="2022BB7E" w:rsidR="00F90867" w:rsidRPr="00DB6F2C" w:rsidRDefault="000B509A" w:rsidP="00A36BA5">
            <w:pPr>
              <w:pStyle w:val="Tabletext"/>
              <w:jc w:val="center"/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</w:pP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С использованием зала Попова</w:t>
            </w:r>
          </w:p>
        </w:tc>
      </w:tr>
      <w:tr w:rsidR="00F90867" w:rsidRPr="00DB6F2C" w14:paraId="23C4BFE1" w14:textId="77777777" w:rsidTr="000C69F7">
        <w:tc>
          <w:tcPr>
            <w:tcW w:w="326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50EF176" w14:textId="77777777" w:rsidR="00F90867" w:rsidRPr="00DB6F2C" w:rsidRDefault="00F90867" w:rsidP="000C69F7">
            <w:pPr>
              <w:pStyle w:val="Tabletext"/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231E1" w14:textId="54BFEA98" w:rsidR="00F90867" w:rsidRPr="00DB6F2C" w:rsidRDefault="00F90867" w:rsidP="000C69F7">
            <w:pPr>
              <w:pStyle w:val="Tabletext"/>
              <w:jc w:val="center"/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</w:pP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33</w:t>
            </w:r>
            <w:r w:rsidR="000C69F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 </w:t>
            </w: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730</w:t>
            </w:r>
            <w:r w:rsidR="00503C14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 </w:t>
            </w: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000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5061CD" w14:textId="6197A42E" w:rsidR="00F90867" w:rsidRPr="00DB6F2C" w:rsidRDefault="00F90867" w:rsidP="000C69F7">
            <w:pPr>
              <w:pStyle w:val="Tabletext"/>
              <w:jc w:val="center"/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</w:pP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33</w:t>
            </w:r>
            <w:r w:rsidR="000C69F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 </w:t>
            </w: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110</w:t>
            </w:r>
            <w:r w:rsidR="000C69F7"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 </w:t>
            </w:r>
            <w:r w:rsidRPr="00DB6F2C">
              <w:rPr>
                <w:rFonts w:cstheme="minorHAnsi"/>
                <w:color w:val="000000"/>
                <w:szCs w:val="20"/>
                <w:shd w:val="clear" w:color="auto" w:fill="FFFFFF"/>
                <w:lang w:val="ru-RU"/>
              </w:rPr>
              <w:t>000</w:t>
            </w:r>
          </w:p>
        </w:tc>
      </w:tr>
    </w:tbl>
    <w:p w14:paraId="38702D36" w14:textId="50AD11BE" w:rsidR="00F90867" w:rsidRPr="00DB6F2C" w:rsidRDefault="00A80965" w:rsidP="000C69F7">
      <w:pPr>
        <w:spacing w:before="240"/>
        <w:rPr>
          <w:lang w:val="ru-RU"/>
        </w:rPr>
      </w:pPr>
      <w:r w:rsidRPr="00DB6F2C">
        <w:rPr>
          <w:lang w:val="ru-RU"/>
        </w:rPr>
        <w:lastRenderedPageBreak/>
        <w:t>В</w:t>
      </w:r>
      <w:r w:rsidR="000E7A11" w:rsidRPr="00DB6F2C">
        <w:rPr>
          <w:lang w:val="ru-RU"/>
        </w:rPr>
        <w:t>месте с тем в исследовании отмечается, что про</w:t>
      </w:r>
      <w:r w:rsidR="004654A3" w:rsidRPr="00DB6F2C">
        <w:rPr>
          <w:lang w:val="ru-RU"/>
        </w:rPr>
        <w:t>должение</w:t>
      </w:r>
      <w:r w:rsidR="000E7A11" w:rsidRPr="00DB6F2C">
        <w:rPr>
          <w:lang w:val="ru-RU"/>
        </w:rPr>
        <w:t xml:space="preserve"> использования зала им.</w:t>
      </w:r>
      <w:r w:rsidR="00434524" w:rsidRPr="00DB6F2C">
        <w:rPr>
          <w:lang w:val="ru-RU"/>
        </w:rPr>
        <w:t> </w:t>
      </w:r>
      <w:r w:rsidR="007F51BE" w:rsidRPr="00DB6F2C">
        <w:rPr>
          <w:lang w:val="ru-RU"/>
        </w:rPr>
        <w:t xml:space="preserve">А.С. </w:t>
      </w:r>
      <w:r w:rsidR="000E7A11" w:rsidRPr="00DB6F2C">
        <w:rPr>
          <w:lang w:val="ru-RU"/>
        </w:rPr>
        <w:t>Попова</w:t>
      </w:r>
      <w:r w:rsidR="009B731D" w:rsidRPr="00DB6F2C">
        <w:rPr>
          <w:lang w:val="ru-RU"/>
        </w:rPr>
        <w:t xml:space="preserve"> может рассматриваться инвесторами</w:t>
      </w:r>
      <w:r w:rsidR="000E7A11" w:rsidRPr="00DB6F2C">
        <w:rPr>
          <w:lang w:val="ru-RU"/>
        </w:rPr>
        <w:t xml:space="preserve"> в качестве негативного</w:t>
      </w:r>
      <w:r w:rsidR="004654A3" w:rsidRPr="00DB6F2C">
        <w:rPr>
          <w:lang w:val="ru-RU"/>
        </w:rPr>
        <w:t xml:space="preserve"> фактора</w:t>
      </w:r>
      <w:r w:rsidR="000E7A11" w:rsidRPr="00DB6F2C">
        <w:rPr>
          <w:lang w:val="ru-RU"/>
        </w:rPr>
        <w:t xml:space="preserve">, поскольку оно </w:t>
      </w:r>
      <w:r w:rsidR="009B731D" w:rsidRPr="00DB6F2C">
        <w:rPr>
          <w:lang w:val="ru-RU"/>
        </w:rPr>
        <w:t>повлечет</w:t>
      </w:r>
      <w:r w:rsidR="000E7A11" w:rsidRPr="00DB6F2C">
        <w:rPr>
          <w:lang w:val="ru-RU"/>
        </w:rPr>
        <w:t xml:space="preserve"> ограничения для использования цокольного этажа в целом и будет мешать любому другому применению</w:t>
      </w:r>
      <w:r w:rsidR="004654A3" w:rsidRPr="00DB6F2C">
        <w:rPr>
          <w:lang w:val="ru-RU"/>
        </w:rPr>
        <w:t xml:space="preserve"> на усмотрение будущего владельца</w:t>
      </w:r>
      <w:r w:rsidR="000E7A11" w:rsidRPr="00DB6F2C">
        <w:rPr>
          <w:lang w:val="ru-RU"/>
        </w:rPr>
        <w:t>, помимо конференц-залов</w:t>
      </w:r>
      <w:r w:rsidR="004654A3" w:rsidRPr="00DB6F2C">
        <w:rPr>
          <w:lang w:val="ru-RU"/>
        </w:rPr>
        <w:t>,</w:t>
      </w:r>
      <w:r w:rsidR="000E7A11" w:rsidRPr="00DB6F2C">
        <w:rPr>
          <w:lang w:val="ru-RU"/>
        </w:rPr>
        <w:t xml:space="preserve"> а также осложнит проведение необходимых ремонтных работ и не позволит </w:t>
      </w:r>
      <w:r w:rsidR="009B731D" w:rsidRPr="00DB6F2C">
        <w:rPr>
          <w:lang w:val="ru-RU"/>
        </w:rPr>
        <w:t xml:space="preserve">произвести полную перепланировку здания. </w:t>
      </w:r>
      <w:r w:rsidR="004654A3" w:rsidRPr="00DB6F2C">
        <w:rPr>
          <w:lang w:val="ru-RU"/>
        </w:rPr>
        <w:t>Соответственно</w:t>
      </w:r>
      <w:r w:rsidR="009B731D" w:rsidRPr="00DB6F2C">
        <w:rPr>
          <w:lang w:val="ru-RU"/>
        </w:rPr>
        <w:t xml:space="preserve">, </w:t>
      </w:r>
      <w:r w:rsidR="00F850CE" w:rsidRPr="00DB6F2C">
        <w:rPr>
          <w:lang w:val="ru-RU"/>
        </w:rPr>
        <w:t xml:space="preserve">в </w:t>
      </w:r>
      <w:r w:rsidR="004654A3" w:rsidRPr="00DB6F2C">
        <w:rPr>
          <w:lang w:val="ru-RU"/>
        </w:rPr>
        <w:t>исследовани</w:t>
      </w:r>
      <w:r w:rsidR="00F850CE" w:rsidRPr="00DB6F2C">
        <w:rPr>
          <w:lang w:val="ru-RU"/>
        </w:rPr>
        <w:t>и</w:t>
      </w:r>
      <w:r w:rsidR="009B731D" w:rsidRPr="00DB6F2C">
        <w:rPr>
          <w:lang w:val="ru-RU"/>
        </w:rPr>
        <w:t xml:space="preserve"> не </w:t>
      </w:r>
      <w:r w:rsidR="004654A3" w:rsidRPr="00DB6F2C">
        <w:rPr>
          <w:lang w:val="ru-RU"/>
        </w:rPr>
        <w:t>рекомендует</w:t>
      </w:r>
      <w:r w:rsidR="00F850CE" w:rsidRPr="00DB6F2C">
        <w:rPr>
          <w:lang w:val="ru-RU"/>
        </w:rPr>
        <w:t>ся</w:t>
      </w:r>
      <w:r w:rsidR="009B731D" w:rsidRPr="00DB6F2C">
        <w:rPr>
          <w:lang w:val="ru-RU"/>
        </w:rPr>
        <w:t xml:space="preserve"> продолжать использовать зал им.</w:t>
      </w:r>
      <w:r w:rsidR="00F850CE" w:rsidRPr="00DB6F2C">
        <w:rPr>
          <w:lang w:val="ru-RU"/>
        </w:rPr>
        <w:t> </w:t>
      </w:r>
      <w:proofErr w:type="gramStart"/>
      <w:r w:rsidR="007F51BE" w:rsidRPr="00DB6F2C">
        <w:rPr>
          <w:lang w:val="ru-RU"/>
        </w:rPr>
        <w:t>А.С.</w:t>
      </w:r>
      <w:proofErr w:type="gramEnd"/>
      <w:r w:rsidR="007F51BE" w:rsidRPr="00DB6F2C">
        <w:rPr>
          <w:lang w:val="ru-RU"/>
        </w:rPr>
        <w:t> </w:t>
      </w:r>
      <w:r w:rsidR="009B731D" w:rsidRPr="00DB6F2C">
        <w:rPr>
          <w:lang w:val="ru-RU"/>
        </w:rPr>
        <w:t xml:space="preserve">Попова. </w:t>
      </w:r>
    </w:p>
    <w:p w14:paraId="42833E65" w14:textId="10131D59" w:rsidR="00F90867" w:rsidRPr="00DB6F2C" w:rsidRDefault="0039009C" w:rsidP="00C555E8">
      <w:pPr>
        <w:rPr>
          <w:lang w:val="ru-RU"/>
        </w:rPr>
      </w:pPr>
      <w:r w:rsidRPr="00DB6F2C">
        <w:rPr>
          <w:lang w:val="ru-RU"/>
        </w:rPr>
        <w:t xml:space="preserve">При рассмотрении </w:t>
      </w:r>
      <w:r w:rsidR="00497F55" w:rsidRPr="00DB6F2C">
        <w:rPr>
          <w:lang w:val="ru-RU"/>
        </w:rPr>
        <w:t xml:space="preserve">возможности </w:t>
      </w:r>
      <w:r w:rsidR="006827AE" w:rsidRPr="00DB6F2C">
        <w:rPr>
          <w:lang w:val="ru-RU"/>
        </w:rPr>
        <w:t>будущ</w:t>
      </w:r>
      <w:r w:rsidRPr="00DB6F2C">
        <w:rPr>
          <w:lang w:val="ru-RU"/>
        </w:rPr>
        <w:t>ей</w:t>
      </w:r>
      <w:r w:rsidR="006827AE" w:rsidRPr="00DB6F2C">
        <w:rPr>
          <w:lang w:val="ru-RU"/>
        </w:rPr>
        <w:t xml:space="preserve"> продаж</w:t>
      </w:r>
      <w:r w:rsidRPr="00DB6F2C">
        <w:rPr>
          <w:lang w:val="ru-RU"/>
        </w:rPr>
        <w:t>и</w:t>
      </w:r>
      <w:r w:rsidR="006827AE" w:rsidRPr="00DB6F2C">
        <w:rPr>
          <w:lang w:val="ru-RU"/>
        </w:rPr>
        <w:t xml:space="preserve"> объекта </w:t>
      </w:r>
      <w:r w:rsidR="00F850CE" w:rsidRPr="00DB6F2C">
        <w:rPr>
          <w:lang w:val="ru-RU"/>
        </w:rPr>
        <w:t xml:space="preserve">в </w:t>
      </w:r>
      <w:r w:rsidR="006827AE" w:rsidRPr="00DB6F2C">
        <w:rPr>
          <w:lang w:val="ru-RU"/>
        </w:rPr>
        <w:t>исследовани</w:t>
      </w:r>
      <w:r w:rsidR="00F850CE" w:rsidRPr="00DB6F2C">
        <w:rPr>
          <w:lang w:val="ru-RU"/>
        </w:rPr>
        <w:t>и</w:t>
      </w:r>
      <w:r w:rsidR="006827AE" w:rsidRPr="00DB6F2C">
        <w:rPr>
          <w:lang w:val="ru-RU"/>
        </w:rPr>
        <w:t xml:space="preserve"> рекомендует</w:t>
      </w:r>
      <w:r w:rsidR="00F850CE" w:rsidRPr="00DB6F2C">
        <w:rPr>
          <w:lang w:val="ru-RU"/>
        </w:rPr>
        <w:t>ся</w:t>
      </w:r>
      <w:r w:rsidR="006827AE" w:rsidRPr="00DB6F2C">
        <w:rPr>
          <w:lang w:val="ru-RU"/>
        </w:rPr>
        <w:t xml:space="preserve"> более подробно изучить в качестве перспективной стратегии альтернативный вариант </w:t>
      </w:r>
      <w:r w:rsidR="00F850CE" w:rsidRPr="00DB6F2C">
        <w:rPr>
          <w:lang w:val="ru-RU"/>
        </w:rPr>
        <w:t>"</w:t>
      </w:r>
      <w:r w:rsidR="006827AE" w:rsidRPr="00DB6F2C">
        <w:rPr>
          <w:lang w:val="ru-RU"/>
        </w:rPr>
        <w:t xml:space="preserve">продажи и обратной </w:t>
      </w:r>
      <w:r w:rsidRPr="00DB6F2C">
        <w:rPr>
          <w:lang w:val="ru-RU"/>
        </w:rPr>
        <w:t>аренд</w:t>
      </w:r>
      <w:r w:rsidR="00497F55" w:rsidRPr="00DB6F2C">
        <w:rPr>
          <w:lang w:val="ru-RU"/>
        </w:rPr>
        <w:t>ы</w:t>
      </w:r>
      <w:r w:rsidR="00F850CE" w:rsidRPr="00DB6F2C">
        <w:rPr>
          <w:lang w:val="ru-RU"/>
        </w:rPr>
        <w:t>"</w:t>
      </w:r>
      <w:r w:rsidR="006827AE" w:rsidRPr="00DB6F2C">
        <w:rPr>
          <w:lang w:val="ru-RU"/>
        </w:rPr>
        <w:t xml:space="preserve">. Такая альтернатива будет иметь ряд преимуществ: </w:t>
      </w:r>
    </w:p>
    <w:p w14:paraId="3FFD70FF" w14:textId="41CC56C8" w:rsidR="00F90867" w:rsidRPr="00DB6F2C" w:rsidRDefault="000C69F7" w:rsidP="000C69F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7C0355" w:rsidRPr="00DB6F2C">
        <w:rPr>
          <w:lang w:val="ru-RU"/>
        </w:rPr>
        <w:t xml:space="preserve">для </w:t>
      </w:r>
      <w:r w:rsidR="006827AE" w:rsidRPr="00DB6F2C">
        <w:rPr>
          <w:lang w:val="ru-RU"/>
        </w:rPr>
        <w:t xml:space="preserve">частного сектора подобная сделка обеспечивает быстрое получение дохода от аренды на </w:t>
      </w:r>
      <w:r w:rsidR="00E00F84" w:rsidRPr="00DB6F2C">
        <w:rPr>
          <w:lang w:val="ru-RU"/>
        </w:rPr>
        <w:t>четко определенный</w:t>
      </w:r>
      <w:r w:rsidR="006827AE" w:rsidRPr="00DB6F2C">
        <w:rPr>
          <w:lang w:val="ru-RU"/>
        </w:rPr>
        <w:t xml:space="preserve"> срок, позволяя минимизировать отрицательные последствия арендной недогрузки на ценообразование</w:t>
      </w:r>
      <w:r w:rsidR="007C0355" w:rsidRPr="00DB6F2C">
        <w:rPr>
          <w:lang w:val="ru-RU"/>
        </w:rPr>
        <w:t>;</w:t>
      </w:r>
    </w:p>
    <w:p w14:paraId="78E4CB56" w14:textId="633AB6C8" w:rsidR="00F90867" w:rsidRPr="00DB6F2C" w:rsidRDefault="000C69F7" w:rsidP="000C69F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7C0355" w:rsidRPr="00DB6F2C">
        <w:rPr>
          <w:lang w:val="ru-RU"/>
        </w:rPr>
        <w:t xml:space="preserve">гарантированное </w:t>
      </w:r>
      <w:r w:rsidR="00BD7455" w:rsidRPr="00DB6F2C">
        <w:rPr>
          <w:lang w:val="ru-RU"/>
        </w:rPr>
        <w:t>обеспечение сдачи в аренду на установленный срок повышает привлекательность</w:t>
      </w:r>
      <w:r w:rsidR="00E00F84" w:rsidRPr="00DB6F2C">
        <w:rPr>
          <w:lang w:val="ru-RU"/>
        </w:rPr>
        <w:t xml:space="preserve"> для</w:t>
      </w:r>
      <w:r w:rsidR="00BD7455" w:rsidRPr="00DB6F2C">
        <w:rPr>
          <w:lang w:val="ru-RU"/>
        </w:rPr>
        <w:t xml:space="preserve"> инвестиций, привлекает больше инвесторов и </w:t>
      </w:r>
      <w:r w:rsidR="00E00F84" w:rsidRPr="00DB6F2C">
        <w:rPr>
          <w:lang w:val="ru-RU"/>
        </w:rPr>
        <w:t>может</w:t>
      </w:r>
      <w:r w:rsidR="00BD7455" w:rsidRPr="00DB6F2C">
        <w:rPr>
          <w:lang w:val="ru-RU"/>
        </w:rPr>
        <w:t xml:space="preserve"> </w:t>
      </w:r>
      <w:r w:rsidR="00E00F84" w:rsidRPr="00DB6F2C">
        <w:rPr>
          <w:lang w:val="ru-RU"/>
        </w:rPr>
        <w:t>повысить</w:t>
      </w:r>
      <w:r w:rsidR="00BD7455" w:rsidRPr="00DB6F2C">
        <w:rPr>
          <w:lang w:val="ru-RU"/>
        </w:rPr>
        <w:t xml:space="preserve"> конкуренцию среди покупателей</w:t>
      </w:r>
      <w:r w:rsidR="007C0355" w:rsidRPr="00DB6F2C">
        <w:rPr>
          <w:lang w:val="ru-RU"/>
        </w:rPr>
        <w:t>;</w:t>
      </w:r>
    </w:p>
    <w:p w14:paraId="7C59A73D" w14:textId="6198D842" w:rsidR="00F90867" w:rsidRPr="00DB6F2C" w:rsidRDefault="000C69F7" w:rsidP="000C69F7">
      <w:pPr>
        <w:pStyle w:val="enumlev1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7C0355" w:rsidRPr="00DB6F2C">
        <w:rPr>
          <w:lang w:val="ru-RU"/>
        </w:rPr>
        <w:t xml:space="preserve">период </w:t>
      </w:r>
      <w:r w:rsidR="00BD7455" w:rsidRPr="00DB6F2C">
        <w:rPr>
          <w:lang w:val="ru-RU"/>
        </w:rPr>
        <w:t xml:space="preserve">обратной </w:t>
      </w:r>
      <w:r w:rsidR="00497F55" w:rsidRPr="00DB6F2C">
        <w:rPr>
          <w:lang w:val="ru-RU"/>
        </w:rPr>
        <w:t>аренды</w:t>
      </w:r>
      <w:r w:rsidR="00BD7455" w:rsidRPr="00DB6F2C">
        <w:rPr>
          <w:lang w:val="ru-RU"/>
        </w:rPr>
        <w:t xml:space="preserve"> позволяет покупателю </w:t>
      </w:r>
      <w:r w:rsidR="00E00F84" w:rsidRPr="00DB6F2C">
        <w:rPr>
          <w:lang w:val="ru-RU"/>
        </w:rPr>
        <w:t>сделать прогноз на будущее</w:t>
      </w:r>
      <w:r w:rsidR="00BD7455" w:rsidRPr="00DB6F2C">
        <w:rPr>
          <w:lang w:val="ru-RU"/>
        </w:rPr>
        <w:t xml:space="preserve"> в отношении здания, определить стратегию </w:t>
      </w:r>
      <w:r w:rsidR="0088761A" w:rsidRPr="00DB6F2C">
        <w:rPr>
          <w:lang w:val="ru-RU"/>
        </w:rPr>
        <w:t xml:space="preserve">развития, подготовить этап ремонтных работ и организовать </w:t>
      </w:r>
      <w:proofErr w:type="spellStart"/>
      <w:r w:rsidR="0088761A" w:rsidRPr="00DB6F2C">
        <w:rPr>
          <w:lang w:val="ru-RU"/>
        </w:rPr>
        <w:t>предрыночный</w:t>
      </w:r>
      <w:proofErr w:type="spellEnd"/>
      <w:r w:rsidR="0088761A" w:rsidRPr="00DB6F2C">
        <w:rPr>
          <w:lang w:val="ru-RU"/>
        </w:rPr>
        <w:t xml:space="preserve"> этап для всех или части площадей. Это также способствует сокращению периода общей </w:t>
      </w:r>
      <w:proofErr w:type="spellStart"/>
      <w:r w:rsidR="0088761A" w:rsidRPr="00DB6F2C">
        <w:rPr>
          <w:lang w:val="ru-RU"/>
        </w:rPr>
        <w:t>незаполненности</w:t>
      </w:r>
      <w:proofErr w:type="spellEnd"/>
      <w:r w:rsidR="0088761A" w:rsidRPr="00DB6F2C">
        <w:rPr>
          <w:lang w:val="ru-RU"/>
        </w:rPr>
        <w:t xml:space="preserve"> в сравнении с приобретением пустующего здания</w:t>
      </w:r>
      <w:r w:rsidR="007C0355" w:rsidRPr="00DB6F2C">
        <w:rPr>
          <w:lang w:val="ru-RU"/>
        </w:rPr>
        <w:t>;</w:t>
      </w:r>
    </w:p>
    <w:p w14:paraId="1671B8E3" w14:textId="1E5B21D9" w:rsidR="00F90867" w:rsidRPr="00DB6F2C" w:rsidRDefault="000C69F7" w:rsidP="004260B5">
      <w:pPr>
        <w:pStyle w:val="enumlev1"/>
        <w:spacing w:after="240"/>
        <w:rPr>
          <w:lang w:val="ru-RU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7C0355" w:rsidRPr="00DB6F2C">
        <w:rPr>
          <w:lang w:val="ru-RU"/>
        </w:rPr>
        <w:t xml:space="preserve">такая </w:t>
      </w:r>
      <w:r w:rsidR="0088761A" w:rsidRPr="00DB6F2C">
        <w:rPr>
          <w:lang w:val="ru-RU"/>
        </w:rPr>
        <w:t xml:space="preserve">продажа будет возможна ранее 2027 года и, с учетом влияния последних событий (COVID-19), позволит получить преимущества от благоприятных условий в сфере недвижимости, в частности с точки зрения текущих рыночных цен. </w:t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92"/>
        <w:gridCol w:w="3192"/>
      </w:tblGrid>
      <w:tr w:rsidR="00F90867" w:rsidRPr="00D81752" w14:paraId="06E65D7B" w14:textId="77777777" w:rsidTr="000C69F7"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CE9B55" w14:textId="77777777" w:rsidR="00F90867" w:rsidRPr="00DB6F2C" w:rsidRDefault="00F90867" w:rsidP="000C69F7">
            <w:pPr>
              <w:pStyle w:val="Tablehead"/>
              <w:rPr>
                <w:color w:val="00000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29CE91" w14:textId="33AFD515" w:rsidR="00F90867" w:rsidRPr="00DB6F2C" w:rsidRDefault="00BB31E2" w:rsidP="00D43DA4">
            <w:pPr>
              <w:pStyle w:val="Tablehead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DB6F2C">
              <w:rPr>
                <w:color w:val="000000"/>
                <w:szCs w:val="20"/>
                <w:shd w:val="clear" w:color="auto" w:fill="FFFFFF"/>
                <w:lang w:val="ru-RU"/>
              </w:rPr>
              <w:t>"</w:t>
            </w:r>
            <w:r w:rsidR="00D43DA4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Обратная </w:t>
            </w:r>
            <w:r w:rsidR="00497F55" w:rsidRPr="00DB6F2C">
              <w:rPr>
                <w:color w:val="000000"/>
                <w:szCs w:val="20"/>
                <w:shd w:val="clear" w:color="auto" w:fill="FFFFFF"/>
                <w:lang w:val="ru-RU"/>
              </w:rPr>
              <w:t>аренда</w:t>
            </w:r>
            <w:r w:rsidRPr="00DB6F2C">
              <w:rPr>
                <w:color w:val="000000"/>
                <w:szCs w:val="20"/>
                <w:shd w:val="clear" w:color="auto" w:fill="FFFFFF"/>
                <w:lang w:val="ru-RU"/>
              </w:rPr>
              <w:t>"</w:t>
            </w:r>
            <w:r w:rsidR="0062549C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r w:rsidR="00D43DA4" w:rsidRPr="00DB6F2C">
              <w:rPr>
                <w:color w:val="000000"/>
                <w:szCs w:val="20"/>
                <w:shd w:val="clear" w:color="auto" w:fill="FFFFFF"/>
                <w:lang w:val="ru-RU"/>
              </w:rPr>
              <w:t>продолжительностью</w:t>
            </w:r>
            <w:r w:rsidR="00F90867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3 </w:t>
            </w:r>
            <w:r w:rsidR="00D43DA4" w:rsidRPr="00DB6F2C">
              <w:rPr>
                <w:color w:val="000000"/>
                <w:szCs w:val="20"/>
                <w:shd w:val="clear" w:color="auto" w:fill="FFFFFF"/>
                <w:lang w:val="ru-RU"/>
              </w:rPr>
              <w:t>года</w:t>
            </w:r>
            <w:r w:rsidR="00F90867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– </w:t>
            </w:r>
            <w:r w:rsidR="00D43DA4" w:rsidRPr="00DB6F2C">
              <w:rPr>
                <w:color w:val="000000"/>
                <w:szCs w:val="20"/>
                <w:shd w:val="clear" w:color="auto" w:fill="FFFFFF"/>
                <w:lang w:val="ru-RU"/>
              </w:rPr>
              <w:t>продажа</w:t>
            </w:r>
            <w:r w:rsidR="00F90867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r w:rsidR="00D43DA4" w:rsidRPr="00DB6F2C">
              <w:rPr>
                <w:color w:val="000000"/>
                <w:szCs w:val="20"/>
                <w:shd w:val="clear" w:color="auto" w:fill="FFFFFF"/>
                <w:lang w:val="ru-RU"/>
              </w:rPr>
              <w:t>в</w:t>
            </w:r>
            <w:r w:rsidR="00F90867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2023</w:t>
            </w:r>
            <w:r w:rsidR="00D43DA4" w:rsidRPr="00DB6F2C">
              <w:rPr>
                <w:color w:val="000000"/>
                <w:szCs w:val="20"/>
                <w:shd w:val="clear" w:color="auto" w:fill="FFFFFF"/>
                <w:lang w:val="ru-RU"/>
              </w:rPr>
              <w:t xml:space="preserve"> г.</w:t>
            </w:r>
          </w:p>
        </w:tc>
      </w:tr>
      <w:tr w:rsidR="00F90867" w:rsidRPr="00DB6F2C" w14:paraId="2B21C73B" w14:textId="77777777" w:rsidTr="000C69F7">
        <w:tc>
          <w:tcPr>
            <w:tcW w:w="326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E9CF221" w14:textId="0F1D1B91" w:rsidR="00F90867" w:rsidRPr="00DB6F2C" w:rsidRDefault="00D43DA4" w:rsidP="000C69F7">
            <w:pPr>
              <w:pStyle w:val="Tabletext"/>
              <w:rPr>
                <w:lang w:val="ru-RU"/>
              </w:rPr>
            </w:pPr>
            <w:r w:rsidRPr="00DB6F2C">
              <w:rPr>
                <w:lang w:val="ru-RU"/>
              </w:rPr>
              <w:t>Рыночная стоимость</w:t>
            </w:r>
            <w:r w:rsidR="00F63611" w:rsidRPr="00DB6F2C">
              <w:rPr>
                <w:rStyle w:val="FootnoteReference"/>
                <w:lang w:val="ru-RU"/>
              </w:rPr>
              <w:fldChar w:fldCharType="begin"/>
            </w:r>
            <w:r w:rsidR="00F63611" w:rsidRPr="00DB6F2C">
              <w:rPr>
                <w:rStyle w:val="FootnoteReference"/>
                <w:lang w:val="ru-RU"/>
              </w:rPr>
              <w:instrText xml:space="preserve"> NOTEREF _Ref39676374 \h  \* MERGEFORMAT </w:instrText>
            </w:r>
            <w:r w:rsidR="00F63611" w:rsidRPr="00DB6F2C">
              <w:rPr>
                <w:rStyle w:val="FootnoteReference"/>
                <w:lang w:val="ru-RU"/>
              </w:rPr>
            </w:r>
            <w:r w:rsidR="00F63611" w:rsidRPr="00DB6F2C">
              <w:rPr>
                <w:rStyle w:val="FootnoteReference"/>
                <w:lang w:val="ru-RU"/>
              </w:rPr>
              <w:fldChar w:fldCharType="separate"/>
            </w:r>
            <w:r w:rsidR="008D3558" w:rsidRPr="00DB6F2C">
              <w:rPr>
                <w:rStyle w:val="FootnoteReference"/>
                <w:lang w:val="ru-RU"/>
              </w:rPr>
              <w:t>2</w:t>
            </w:r>
            <w:r w:rsidR="00F63611" w:rsidRPr="00DB6F2C">
              <w:rPr>
                <w:rStyle w:val="FootnoteReference"/>
                <w:lang w:val="ru-RU"/>
              </w:rPr>
              <w:fldChar w:fldCharType="end"/>
            </w:r>
          </w:p>
          <w:p w14:paraId="7601A989" w14:textId="71A967F3" w:rsidR="00F90867" w:rsidRPr="00DB6F2C" w:rsidRDefault="003F757C" w:rsidP="000C69F7">
            <w:pPr>
              <w:pStyle w:val="Tabletext"/>
              <w:rPr>
                <w:lang w:val="ru-RU"/>
              </w:rPr>
            </w:pPr>
            <w:r w:rsidRPr="00DB6F2C">
              <w:rPr>
                <w:lang w:val="ru-RU"/>
              </w:rPr>
              <w:t>Примерные</w:t>
            </w:r>
            <w:r w:rsidR="00D43DA4" w:rsidRPr="00DB6F2C">
              <w:rPr>
                <w:lang w:val="ru-RU"/>
              </w:rPr>
              <w:t xml:space="preserve"> суммы</w:t>
            </w:r>
            <w:r w:rsidR="007C0355" w:rsidRPr="00DB6F2C">
              <w:rPr>
                <w:lang w:val="ru-RU"/>
              </w:rPr>
              <w:t>,</w:t>
            </w:r>
            <w:r w:rsidR="00D43DA4" w:rsidRPr="00DB6F2C">
              <w:rPr>
                <w:lang w:val="ru-RU"/>
              </w:rPr>
              <w:t xml:space="preserve"> в </w:t>
            </w:r>
            <w:proofErr w:type="spellStart"/>
            <w:r w:rsidR="00D43DA4" w:rsidRPr="00DB6F2C">
              <w:rPr>
                <w:lang w:val="ru-RU"/>
              </w:rPr>
              <w:t>шв</w:t>
            </w:r>
            <w:proofErr w:type="spellEnd"/>
            <w:r w:rsidR="00D43DA4" w:rsidRPr="00DB6F2C">
              <w:rPr>
                <w:lang w:val="ru-RU"/>
              </w:rPr>
              <w:t>.</w:t>
            </w:r>
            <w:r w:rsidR="00975F3F" w:rsidRPr="00DB6F2C">
              <w:rPr>
                <w:lang w:val="ru-RU"/>
              </w:rPr>
              <w:t xml:space="preserve"> </w:t>
            </w:r>
            <w:r w:rsidR="00D43DA4" w:rsidRPr="00DB6F2C">
              <w:rPr>
                <w:lang w:val="ru-RU"/>
              </w:rPr>
              <w:t>фр.</w:t>
            </w:r>
            <w:r w:rsidR="00F63611" w:rsidRPr="00DB6F2C">
              <w:rPr>
                <w:rStyle w:val="FootnoteReference"/>
                <w:lang w:val="ru-RU"/>
              </w:rPr>
              <w:fldChar w:fldCharType="begin"/>
            </w:r>
            <w:r w:rsidR="00F63611" w:rsidRPr="00DB6F2C">
              <w:rPr>
                <w:rStyle w:val="FootnoteReference"/>
                <w:lang w:val="ru-RU"/>
              </w:rPr>
              <w:instrText xml:space="preserve"> NOTEREF _Ref39676386 \h </w:instrText>
            </w:r>
            <w:r w:rsidR="00F63611" w:rsidRPr="00DB6F2C">
              <w:rPr>
                <w:rStyle w:val="FootnoteReference"/>
                <w:lang w:val="ru-RU"/>
              </w:rPr>
            </w:r>
            <w:r w:rsidR="00F63611" w:rsidRPr="00DB6F2C">
              <w:rPr>
                <w:rStyle w:val="FootnoteReference"/>
                <w:lang w:val="ru-RU"/>
              </w:rPr>
              <w:fldChar w:fldCharType="separate"/>
            </w:r>
            <w:r w:rsidR="008D3558" w:rsidRPr="00DB6F2C">
              <w:rPr>
                <w:rStyle w:val="FootnoteReference"/>
                <w:lang w:val="ru-RU"/>
              </w:rPr>
              <w:t>3</w:t>
            </w:r>
            <w:r w:rsidR="00F63611" w:rsidRPr="00DB6F2C">
              <w:rPr>
                <w:rStyle w:val="FootnoteReference"/>
                <w:lang w:val="ru-RU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1ECE6" w14:textId="7B630EC3" w:rsidR="00F90867" w:rsidRPr="00DB6F2C" w:rsidRDefault="00D43DA4" w:rsidP="000C69F7">
            <w:pPr>
              <w:pStyle w:val="Tabletext"/>
              <w:jc w:val="center"/>
              <w:rPr>
                <w:lang w:val="ru-RU"/>
              </w:rPr>
            </w:pPr>
            <w:r w:rsidRPr="00DB6F2C">
              <w:rPr>
                <w:lang w:val="ru-RU"/>
              </w:rPr>
              <w:t>Без использования зала Попова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79FE68" w14:textId="4055D19F" w:rsidR="00F90867" w:rsidRPr="00DB6F2C" w:rsidRDefault="00D43DA4" w:rsidP="000C69F7">
            <w:pPr>
              <w:pStyle w:val="Tabletext"/>
              <w:jc w:val="center"/>
              <w:rPr>
                <w:lang w:val="ru-RU"/>
              </w:rPr>
            </w:pPr>
            <w:r w:rsidRPr="00DB6F2C">
              <w:rPr>
                <w:lang w:val="ru-RU"/>
              </w:rPr>
              <w:t>С использованием зала Попова</w:t>
            </w:r>
          </w:p>
        </w:tc>
      </w:tr>
      <w:tr w:rsidR="00F90867" w:rsidRPr="00DB6F2C" w14:paraId="67F2424B" w14:textId="77777777" w:rsidTr="000C69F7">
        <w:tc>
          <w:tcPr>
            <w:tcW w:w="32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9E4E80B" w14:textId="77777777" w:rsidR="00F90867" w:rsidRPr="00DB6F2C" w:rsidRDefault="00F90867" w:rsidP="000C69F7">
            <w:pPr>
              <w:pStyle w:val="Tabletext"/>
              <w:rPr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6BE04" w14:textId="6919A37A" w:rsidR="00F90867" w:rsidRPr="00DB6F2C" w:rsidRDefault="00F90867" w:rsidP="000C69F7">
            <w:pPr>
              <w:pStyle w:val="Tabletext"/>
              <w:jc w:val="center"/>
              <w:rPr>
                <w:lang w:val="ru-RU"/>
              </w:rPr>
            </w:pPr>
            <w:r w:rsidRPr="00DB6F2C">
              <w:rPr>
                <w:lang w:val="ru-RU"/>
              </w:rPr>
              <w:t>41</w:t>
            </w:r>
            <w:r w:rsidR="004260B5" w:rsidRPr="00DB6F2C">
              <w:rPr>
                <w:lang w:val="ru-RU"/>
              </w:rPr>
              <w:t> </w:t>
            </w:r>
            <w:r w:rsidRPr="00DB6F2C">
              <w:rPr>
                <w:lang w:val="ru-RU"/>
              </w:rPr>
              <w:t>850</w:t>
            </w:r>
            <w:r w:rsidR="004260B5" w:rsidRPr="00DB6F2C">
              <w:rPr>
                <w:lang w:val="ru-RU"/>
              </w:rPr>
              <w:t> </w:t>
            </w:r>
            <w:r w:rsidRPr="00DB6F2C">
              <w:rPr>
                <w:lang w:val="ru-RU"/>
              </w:rPr>
              <w:t>000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D49F5B" w14:textId="276DD68C" w:rsidR="00F90867" w:rsidRPr="00DB6F2C" w:rsidRDefault="00F90867" w:rsidP="000C69F7">
            <w:pPr>
              <w:pStyle w:val="Tabletext"/>
              <w:jc w:val="center"/>
              <w:rPr>
                <w:lang w:val="ru-RU"/>
              </w:rPr>
            </w:pPr>
            <w:r w:rsidRPr="00DB6F2C">
              <w:rPr>
                <w:lang w:val="ru-RU"/>
              </w:rPr>
              <w:t>41</w:t>
            </w:r>
            <w:r w:rsidR="004260B5" w:rsidRPr="00DB6F2C">
              <w:rPr>
                <w:lang w:val="ru-RU"/>
              </w:rPr>
              <w:t> </w:t>
            </w:r>
            <w:r w:rsidRPr="00DB6F2C">
              <w:rPr>
                <w:lang w:val="ru-RU"/>
              </w:rPr>
              <w:t>220</w:t>
            </w:r>
            <w:r w:rsidR="004260B5" w:rsidRPr="00DB6F2C">
              <w:rPr>
                <w:lang w:val="ru-RU"/>
              </w:rPr>
              <w:t> </w:t>
            </w:r>
            <w:r w:rsidRPr="00DB6F2C">
              <w:rPr>
                <w:lang w:val="ru-RU"/>
              </w:rPr>
              <w:t>000</w:t>
            </w:r>
          </w:p>
        </w:tc>
      </w:tr>
    </w:tbl>
    <w:p w14:paraId="3F9CC2F6" w14:textId="6F773D9F" w:rsidR="00F90867" w:rsidRPr="00DB6F2C" w:rsidRDefault="00E00F84" w:rsidP="00EE62FF">
      <w:pPr>
        <w:spacing w:before="240"/>
        <w:rPr>
          <w:lang w:val="ru-RU"/>
        </w:rPr>
      </w:pPr>
      <w:r w:rsidRPr="00DB6F2C">
        <w:rPr>
          <w:lang w:val="ru-RU"/>
        </w:rPr>
        <w:t>Вместе с тем</w:t>
      </w:r>
      <w:r w:rsidR="003F757C" w:rsidRPr="00DB6F2C">
        <w:rPr>
          <w:lang w:val="ru-RU"/>
        </w:rPr>
        <w:t xml:space="preserve"> эта рекомендация подразумевает определенные </w:t>
      </w:r>
      <w:r w:rsidR="00AB37C5" w:rsidRPr="00DB6F2C">
        <w:rPr>
          <w:lang w:val="ru-RU"/>
        </w:rPr>
        <w:t>затраты</w:t>
      </w:r>
      <w:r w:rsidR="003F757C" w:rsidRPr="00DB6F2C">
        <w:rPr>
          <w:lang w:val="ru-RU"/>
        </w:rPr>
        <w:t xml:space="preserve"> для МСЭ, а именно арендные и эксплуатационные </w:t>
      </w:r>
      <w:r w:rsidR="00AB37C5" w:rsidRPr="00DB6F2C">
        <w:rPr>
          <w:lang w:val="ru-RU"/>
        </w:rPr>
        <w:t xml:space="preserve">затраты </w:t>
      </w:r>
      <w:r w:rsidR="003F757C" w:rsidRPr="00DB6F2C">
        <w:rPr>
          <w:lang w:val="ru-RU"/>
        </w:rPr>
        <w:t xml:space="preserve">на объект на предполагаемый </w:t>
      </w:r>
      <w:r w:rsidR="007C0355" w:rsidRPr="00DB6F2C">
        <w:rPr>
          <w:lang w:val="ru-RU"/>
        </w:rPr>
        <w:t>трех</w:t>
      </w:r>
      <w:r w:rsidR="003F757C" w:rsidRPr="00DB6F2C">
        <w:rPr>
          <w:lang w:val="ru-RU"/>
        </w:rPr>
        <w:t xml:space="preserve">летний период. На основании оценки </w:t>
      </w:r>
      <w:r w:rsidRPr="00DB6F2C">
        <w:rPr>
          <w:lang w:val="ru-RU"/>
        </w:rPr>
        <w:t>размера платы</w:t>
      </w:r>
      <w:r w:rsidR="003F757C" w:rsidRPr="00DB6F2C">
        <w:rPr>
          <w:lang w:val="ru-RU"/>
        </w:rPr>
        <w:t xml:space="preserve"> за обратную аренду и </w:t>
      </w:r>
      <w:r w:rsidR="00AB37C5" w:rsidRPr="00DB6F2C">
        <w:rPr>
          <w:lang w:val="ru-RU"/>
        </w:rPr>
        <w:t>данных об</w:t>
      </w:r>
      <w:r w:rsidR="003F757C" w:rsidRPr="00DB6F2C">
        <w:rPr>
          <w:lang w:val="ru-RU"/>
        </w:rPr>
        <w:t xml:space="preserve"> эксплуатационных </w:t>
      </w:r>
      <w:r w:rsidR="00AB37C5" w:rsidRPr="00DB6F2C">
        <w:rPr>
          <w:lang w:val="ru-RU"/>
        </w:rPr>
        <w:t>затрат</w:t>
      </w:r>
      <w:r w:rsidR="003F757C" w:rsidRPr="00DB6F2C">
        <w:rPr>
          <w:lang w:val="ru-RU"/>
        </w:rPr>
        <w:t xml:space="preserve"> </w:t>
      </w:r>
      <w:r w:rsidR="00AB37C5" w:rsidRPr="00DB6F2C">
        <w:rPr>
          <w:lang w:val="ru-RU"/>
        </w:rPr>
        <w:t xml:space="preserve">в прошлом </w:t>
      </w:r>
      <w:r w:rsidR="003F757C" w:rsidRPr="00DB6F2C">
        <w:rPr>
          <w:lang w:val="ru-RU"/>
        </w:rPr>
        <w:t xml:space="preserve">общие затраты для МСЭ составят приблизительно 3 580 000 швейцарских франков в год. </w:t>
      </w:r>
    </w:p>
    <w:p w14:paraId="7BF03194" w14:textId="61B96E9C" w:rsidR="00F90867" w:rsidRPr="00DB6F2C" w:rsidRDefault="004A7880" w:rsidP="00C555E8">
      <w:pPr>
        <w:rPr>
          <w:lang w:val="ru-RU"/>
        </w:rPr>
      </w:pPr>
      <w:r w:rsidRPr="00DB6F2C">
        <w:rPr>
          <w:lang w:val="ru-RU"/>
        </w:rPr>
        <w:t xml:space="preserve">Методика и параметры, применявшиеся </w:t>
      </w:r>
      <w:r w:rsidR="00351373" w:rsidRPr="00DB6F2C">
        <w:rPr>
          <w:lang w:val="ru-RU"/>
        </w:rPr>
        <w:t>при расчете</w:t>
      </w:r>
      <w:r w:rsidRPr="00DB6F2C">
        <w:rPr>
          <w:lang w:val="ru-RU"/>
        </w:rPr>
        <w:t xml:space="preserve"> различных сценариев, приведены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en</w:instrText>
      </w:r>
      <w:r w:rsidR="00D81752" w:rsidRPr="00D81752">
        <w:rPr>
          <w:lang w:val="ru-RU"/>
        </w:rPr>
        <w:instrText>/</w:instrText>
      </w:r>
      <w:r w:rsidR="00D81752">
        <w:instrText>council</w:instrText>
      </w:r>
      <w:r w:rsidR="00D81752" w:rsidRPr="00D81752">
        <w:rPr>
          <w:lang w:val="ru-RU"/>
        </w:rPr>
        <w:instrText>/2020/</w:instrText>
      </w:r>
      <w:r w:rsidR="00D81752">
        <w:instrText>Documents</w:instrText>
      </w:r>
      <w:r w:rsidR="00D81752" w:rsidRPr="00D81752">
        <w:rPr>
          <w:lang w:val="ru-RU"/>
        </w:rPr>
        <w:instrText>/007/</w:instrText>
      </w:r>
      <w:r w:rsidR="00D81752">
        <w:instrText>INF</w:instrText>
      </w:r>
      <w:r w:rsidR="00D81752" w:rsidRPr="00D81752">
        <w:rPr>
          <w:lang w:val="ru-RU"/>
        </w:rPr>
        <w:instrText>%20</w:instrText>
      </w:r>
      <w:r w:rsidR="00D81752">
        <w:instrText>F</w:instrText>
      </w:r>
      <w:r w:rsidR="00D81752" w:rsidRPr="00D81752">
        <w:rPr>
          <w:lang w:val="ru-RU"/>
        </w:rPr>
        <w:instrText>_</w:instrText>
      </w:r>
      <w:r w:rsidR="00D81752">
        <w:instrText>Expertise</w:instrText>
      </w:r>
      <w:r w:rsidR="00D81752" w:rsidRPr="00D81752">
        <w:rPr>
          <w:lang w:val="ru-RU"/>
        </w:rPr>
        <w:instrText>%20</w:instrText>
      </w:r>
      <w:r w:rsidR="00D81752">
        <w:instrText>Tour</w:instrText>
      </w:r>
      <w:r w:rsidR="00D81752" w:rsidRPr="00D81752">
        <w:rPr>
          <w:lang w:val="ru-RU"/>
        </w:rPr>
        <w:instrText>_</w:instrText>
      </w:r>
      <w:r w:rsidR="00D81752">
        <w:instrText>R</w:instrText>
      </w:r>
      <w:r w:rsidR="00D81752" w:rsidRPr="00D81752">
        <w:rPr>
          <w:lang w:val="ru-RU"/>
        </w:rPr>
        <w:instrText>%</w:instrText>
      </w:r>
      <w:r w:rsidR="00D81752">
        <w:instrText>C</w:instrText>
      </w:r>
      <w:r w:rsidR="00D81752" w:rsidRPr="00D81752">
        <w:rPr>
          <w:lang w:val="ru-RU"/>
        </w:rPr>
        <w:instrText>3%</w:instrText>
      </w:r>
      <w:r w:rsidR="00D81752">
        <w:instrText>A</w:instrText>
      </w:r>
      <w:r w:rsidR="00D81752" w:rsidRPr="00D81752">
        <w:rPr>
          <w:lang w:val="ru-RU"/>
        </w:rPr>
        <w:instrText>9</w:instrText>
      </w:r>
      <w:r w:rsidR="00D81752">
        <w:instrText>sum</w:instrText>
      </w:r>
      <w:r w:rsidR="00D81752" w:rsidRPr="00D81752">
        <w:rPr>
          <w:lang w:val="ru-RU"/>
        </w:rPr>
        <w:instrText>%</w:instrText>
      </w:r>
      <w:r w:rsidR="00D81752">
        <w:instrText>C</w:instrText>
      </w:r>
      <w:r w:rsidR="00D81752" w:rsidRPr="00D81752">
        <w:rPr>
          <w:lang w:val="ru-RU"/>
        </w:rPr>
        <w:instrText>3%</w:instrText>
      </w:r>
      <w:r w:rsidR="00D81752">
        <w:instrText>A</w:instrText>
      </w:r>
      <w:r w:rsidR="00D81752" w:rsidRPr="00D81752">
        <w:rPr>
          <w:lang w:val="ru-RU"/>
        </w:rPr>
        <w:instrText>9.</w:instrText>
      </w:r>
      <w:r w:rsidR="00D81752">
        <w:instrText>pdf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DB6F2C">
        <w:rPr>
          <w:rStyle w:val="Hyperlink"/>
          <w:rFonts w:asciiTheme="minorHAnsi" w:hAnsiTheme="minorHAnsi" w:cstheme="minorHAnsi"/>
          <w:lang w:val="ru-RU"/>
        </w:rPr>
        <w:t>здесь</w:t>
      </w:r>
      <w:r w:rsidR="00D81752">
        <w:rPr>
          <w:rStyle w:val="Hyperlink"/>
          <w:rFonts w:asciiTheme="minorHAnsi" w:hAnsiTheme="minorHAnsi" w:cstheme="minorHAnsi"/>
          <w:lang w:val="ru-RU"/>
        </w:rPr>
        <w:fldChar w:fldCharType="end"/>
      </w:r>
      <w:r w:rsidR="00F90867" w:rsidRPr="00DB6F2C">
        <w:rPr>
          <w:lang w:val="ru-RU"/>
        </w:rPr>
        <w:t>.</w:t>
      </w:r>
      <w:r w:rsidR="006E41C5" w:rsidRPr="00DB6F2C">
        <w:rPr>
          <w:lang w:val="ru-RU"/>
        </w:rPr>
        <w:t xml:space="preserve"> </w:t>
      </w:r>
    </w:p>
    <w:p w14:paraId="48AAEF47" w14:textId="1DEE2E56" w:rsidR="00F90867" w:rsidRPr="00DB6F2C" w:rsidRDefault="00F90867" w:rsidP="004260B5">
      <w:pPr>
        <w:pStyle w:val="Heading2"/>
        <w:rPr>
          <w:lang w:val="ru-RU"/>
        </w:rPr>
      </w:pPr>
      <w:r w:rsidRPr="00DB6F2C">
        <w:rPr>
          <w:lang w:val="ru-RU"/>
        </w:rPr>
        <w:t>3.1</w:t>
      </w:r>
      <w:r w:rsidR="00975F3F" w:rsidRPr="00DB6F2C">
        <w:rPr>
          <w:lang w:val="ru-RU"/>
        </w:rPr>
        <w:t>0</w:t>
      </w:r>
      <w:r w:rsidRPr="00DB6F2C">
        <w:rPr>
          <w:lang w:val="ru-RU"/>
        </w:rPr>
        <w:tab/>
      </w:r>
      <w:r w:rsidR="00BA1343" w:rsidRPr="00DB6F2C">
        <w:rPr>
          <w:lang w:val="ru-RU"/>
        </w:rPr>
        <w:t>Объединение</w:t>
      </w:r>
      <w:r w:rsidR="006E41C5" w:rsidRPr="00DB6F2C">
        <w:rPr>
          <w:lang w:val="ru-RU"/>
        </w:rPr>
        <w:t xml:space="preserve"> отдела административно-хозяйственного управления и отдела проекта строительства </w:t>
      </w:r>
    </w:p>
    <w:p w14:paraId="60AA6204" w14:textId="0EE5F2E6" w:rsidR="00F90867" w:rsidRPr="00DB6F2C" w:rsidRDefault="00483D74" w:rsidP="004260B5">
      <w:pPr>
        <w:rPr>
          <w:lang w:val="ru-RU"/>
        </w:rPr>
      </w:pPr>
      <w:r w:rsidRPr="00DB6F2C">
        <w:rPr>
          <w:lang w:val="ru-RU"/>
        </w:rPr>
        <w:t xml:space="preserve">Отдел административно-хозяйственного управления (FMD) и отдел проекта строительства (BPD) были объединены в Отдел административно-хозяйственного управления и проекта строительства, </w:t>
      </w:r>
      <w:r w:rsidR="00E00F84" w:rsidRPr="00DB6F2C">
        <w:rPr>
          <w:lang w:val="ru-RU"/>
        </w:rPr>
        <w:t>функционирующий</w:t>
      </w:r>
      <w:r w:rsidRPr="00DB6F2C">
        <w:rPr>
          <w:lang w:val="ru-RU"/>
        </w:rPr>
        <w:t xml:space="preserve"> с 1 апреля 2020 года.</w:t>
      </w:r>
      <w:r w:rsidR="006927CF" w:rsidRPr="00DB6F2C">
        <w:rPr>
          <w:lang w:val="ru-RU"/>
        </w:rPr>
        <w:t xml:space="preserve"> Это сделано </w:t>
      </w:r>
      <w:r w:rsidR="00E00F84" w:rsidRPr="00DB6F2C">
        <w:rPr>
          <w:lang w:val="ru-RU"/>
        </w:rPr>
        <w:t xml:space="preserve">для </w:t>
      </w:r>
      <w:r w:rsidR="006927CF" w:rsidRPr="00DB6F2C">
        <w:rPr>
          <w:lang w:val="ru-RU"/>
        </w:rPr>
        <w:t xml:space="preserve">оптимизации имеющихся ресурсов и обеспечения успешного и слаженного перехода </w:t>
      </w:r>
      <w:r w:rsidR="003C0D0B" w:rsidRPr="00DB6F2C">
        <w:rPr>
          <w:lang w:val="ru-RU"/>
        </w:rPr>
        <w:t>в контексте</w:t>
      </w:r>
      <w:r w:rsidR="006927CF" w:rsidRPr="00DB6F2C">
        <w:rPr>
          <w:lang w:val="ru-RU"/>
        </w:rPr>
        <w:t xml:space="preserve"> сноса здания </w:t>
      </w:r>
      <w:r w:rsidR="00BA1343" w:rsidRPr="00DB6F2C">
        <w:rPr>
          <w:lang w:val="ru-RU"/>
        </w:rPr>
        <w:t>"</w:t>
      </w:r>
      <w:proofErr w:type="spellStart"/>
      <w:r w:rsidR="006927CF" w:rsidRPr="00DB6F2C">
        <w:rPr>
          <w:lang w:val="ru-RU"/>
        </w:rPr>
        <w:t>Варембе</w:t>
      </w:r>
      <w:proofErr w:type="spellEnd"/>
      <w:r w:rsidR="00BA1343" w:rsidRPr="00DB6F2C">
        <w:rPr>
          <w:lang w:val="ru-RU"/>
        </w:rPr>
        <w:t>"</w:t>
      </w:r>
      <w:r w:rsidR="003C0D0B" w:rsidRPr="00DB6F2C">
        <w:rPr>
          <w:lang w:val="ru-RU"/>
        </w:rPr>
        <w:t>, перемещения персонала и строительства нового здания.</w:t>
      </w:r>
      <w:r w:rsidR="00177B05" w:rsidRPr="00DB6F2C">
        <w:rPr>
          <w:lang w:val="ru-RU"/>
        </w:rPr>
        <w:t xml:space="preserve"> В частности, накануне, в ходе и после </w:t>
      </w:r>
      <w:r w:rsidR="00B53AD7" w:rsidRPr="00DB6F2C">
        <w:rPr>
          <w:lang w:val="ru-RU"/>
        </w:rPr>
        <w:t xml:space="preserve">окончания </w:t>
      </w:r>
      <w:r w:rsidR="00177B05" w:rsidRPr="00DB6F2C">
        <w:rPr>
          <w:lang w:val="ru-RU"/>
        </w:rPr>
        <w:t xml:space="preserve">периода строительства должна быть проделана обширная работа по </w:t>
      </w:r>
      <w:r w:rsidR="00B53AD7" w:rsidRPr="00DB6F2C">
        <w:rPr>
          <w:lang w:val="ru-RU"/>
        </w:rPr>
        <w:t>планированию</w:t>
      </w:r>
      <w:r w:rsidR="00177B05" w:rsidRPr="00DB6F2C">
        <w:rPr>
          <w:lang w:val="ru-RU"/>
        </w:rPr>
        <w:t xml:space="preserve"> </w:t>
      </w:r>
      <w:r w:rsidR="009621DF" w:rsidRPr="00DB6F2C">
        <w:rPr>
          <w:lang w:val="ru-RU"/>
        </w:rPr>
        <w:t>помещений</w:t>
      </w:r>
      <w:r w:rsidR="00177B05" w:rsidRPr="00DB6F2C">
        <w:rPr>
          <w:lang w:val="ru-RU"/>
        </w:rPr>
        <w:t xml:space="preserve">; кроме того, </w:t>
      </w:r>
      <w:r w:rsidR="00B53AD7" w:rsidRPr="00DB6F2C">
        <w:rPr>
          <w:lang w:val="ru-RU"/>
        </w:rPr>
        <w:t xml:space="preserve">некоторые прежние ресурсы FMD будут </w:t>
      </w:r>
      <w:r w:rsidR="009621DF" w:rsidRPr="00DB6F2C">
        <w:rPr>
          <w:lang w:val="ru-RU"/>
        </w:rPr>
        <w:t>задействованы в работе</w:t>
      </w:r>
      <w:r w:rsidR="00B53AD7" w:rsidRPr="00DB6F2C">
        <w:rPr>
          <w:lang w:val="ru-RU"/>
        </w:rPr>
        <w:t xml:space="preserve"> на основе временных договоров в целях обеспечения непрерывности </w:t>
      </w:r>
      <w:r w:rsidR="009621DF" w:rsidRPr="00DB6F2C">
        <w:rPr>
          <w:lang w:val="ru-RU"/>
        </w:rPr>
        <w:t>предоставления</w:t>
      </w:r>
      <w:r w:rsidR="00B53AD7" w:rsidRPr="00DB6F2C">
        <w:rPr>
          <w:lang w:val="ru-RU"/>
        </w:rPr>
        <w:t xml:space="preserve"> услуг (электричество, отопление и вентиляция и</w:t>
      </w:r>
      <w:r w:rsidR="00AA19E8" w:rsidRPr="00DB6F2C">
        <w:rPr>
          <w:lang w:val="ru-RU"/>
        </w:rPr>
        <w:t> </w:t>
      </w:r>
      <w:r w:rsidR="00B53AD7" w:rsidRPr="00DB6F2C">
        <w:rPr>
          <w:lang w:val="ru-RU"/>
        </w:rPr>
        <w:t xml:space="preserve">т.д.) в период перемещения и в рамках процесса ввода в эксплуатацию и передачи </w:t>
      </w:r>
      <w:r w:rsidR="009621DF" w:rsidRPr="00DB6F2C">
        <w:rPr>
          <w:lang w:val="ru-RU"/>
        </w:rPr>
        <w:t>здания при сдаче объекта</w:t>
      </w:r>
      <w:r w:rsidR="00B53AD7" w:rsidRPr="00DB6F2C">
        <w:rPr>
          <w:lang w:val="ru-RU"/>
        </w:rPr>
        <w:t>.</w:t>
      </w:r>
    </w:p>
    <w:p w14:paraId="3BC36CB4" w14:textId="472EC930" w:rsidR="00F90867" w:rsidRPr="00DB6F2C" w:rsidRDefault="009621DF" w:rsidP="004260B5">
      <w:pPr>
        <w:rPr>
          <w:lang w:val="ru-RU"/>
        </w:rPr>
      </w:pPr>
      <w:r w:rsidRPr="00DB6F2C">
        <w:rPr>
          <w:lang w:val="ru-RU"/>
        </w:rPr>
        <w:t>Слияние</w:t>
      </w:r>
      <w:r w:rsidR="00B53AD7" w:rsidRPr="00DB6F2C">
        <w:rPr>
          <w:lang w:val="ru-RU"/>
        </w:rPr>
        <w:t xml:space="preserve"> отделов позволило </w:t>
      </w:r>
      <w:r w:rsidR="00154F0C" w:rsidRPr="00DB6F2C">
        <w:rPr>
          <w:lang w:val="ru-RU"/>
        </w:rPr>
        <w:t xml:space="preserve">использовать сэкономленные средства на частичное финансирование создания временной должности сотрудника по </w:t>
      </w:r>
      <w:r w:rsidRPr="00DB6F2C">
        <w:rPr>
          <w:lang w:val="ru-RU"/>
        </w:rPr>
        <w:t>планированию</w:t>
      </w:r>
      <w:r w:rsidR="00154F0C" w:rsidRPr="00DB6F2C">
        <w:rPr>
          <w:lang w:val="ru-RU"/>
        </w:rPr>
        <w:t xml:space="preserve"> помещений (на срок осуществления проекта). После поступления на службу он/она будет взаимодействовать с персоналом, обеспечивать </w:t>
      </w:r>
      <w:r w:rsidR="00154F0C" w:rsidRPr="00DB6F2C">
        <w:rPr>
          <w:lang w:val="ru-RU"/>
        </w:rPr>
        <w:lastRenderedPageBreak/>
        <w:t xml:space="preserve">выполнение временных </w:t>
      </w:r>
      <w:r w:rsidRPr="00DB6F2C">
        <w:rPr>
          <w:lang w:val="ru-RU"/>
        </w:rPr>
        <w:t>договоров</w:t>
      </w:r>
      <w:r w:rsidR="00154F0C" w:rsidRPr="00DB6F2C">
        <w:rPr>
          <w:lang w:val="ru-RU"/>
        </w:rPr>
        <w:t xml:space="preserve"> на период перемещения персонала и определит окончательное распределение помещений в</w:t>
      </w:r>
      <w:r w:rsidRPr="00DB6F2C">
        <w:rPr>
          <w:lang w:val="ru-RU"/>
        </w:rPr>
        <w:t xml:space="preserve"> соответствии с рекомендациями по обеспечению</w:t>
      </w:r>
      <w:r w:rsidR="00154F0C" w:rsidRPr="00DB6F2C">
        <w:rPr>
          <w:lang w:val="ru-RU"/>
        </w:rPr>
        <w:t xml:space="preserve"> рабочего пространства в новом здании. </w:t>
      </w:r>
    </w:p>
    <w:p w14:paraId="532E0DCE" w14:textId="1A8E8137" w:rsidR="00F90867" w:rsidRPr="00DB6F2C" w:rsidRDefault="00F90867" w:rsidP="004260B5">
      <w:pPr>
        <w:pStyle w:val="Heading1"/>
        <w:rPr>
          <w:lang w:val="ru-RU" w:eastAsia="ja-JP"/>
        </w:rPr>
      </w:pPr>
      <w:r w:rsidRPr="00DB6F2C">
        <w:rPr>
          <w:lang w:val="ru-RU" w:eastAsia="ja-JP"/>
        </w:rPr>
        <w:t>4</w:t>
      </w:r>
      <w:r w:rsidRPr="00DB6F2C">
        <w:rPr>
          <w:lang w:val="ru-RU" w:eastAsia="ja-JP"/>
        </w:rPr>
        <w:tab/>
      </w:r>
      <w:r w:rsidR="009621DF" w:rsidRPr="00DB6F2C">
        <w:rPr>
          <w:lang w:val="ru-RU" w:eastAsia="ja-JP"/>
        </w:rPr>
        <w:t>Обновленная информация по финансированию</w:t>
      </w:r>
    </w:p>
    <w:p w14:paraId="28D47E90" w14:textId="67FFD0A1" w:rsidR="00F90867" w:rsidRPr="00DB6F2C" w:rsidRDefault="00F90867" w:rsidP="004260B5">
      <w:pPr>
        <w:pStyle w:val="Heading2"/>
        <w:rPr>
          <w:lang w:val="ru-RU"/>
        </w:rPr>
      </w:pPr>
      <w:r w:rsidRPr="00DB6F2C">
        <w:rPr>
          <w:lang w:val="ru-RU"/>
        </w:rPr>
        <w:t>4.1</w:t>
      </w:r>
      <w:r w:rsidRPr="00DB6F2C">
        <w:rPr>
          <w:lang w:val="ru-RU"/>
        </w:rPr>
        <w:tab/>
      </w:r>
      <w:r w:rsidR="00A34572" w:rsidRPr="00DB6F2C">
        <w:rPr>
          <w:lang w:val="ru-RU"/>
        </w:rPr>
        <w:t>Подтверждение имеющегося бюджета</w:t>
      </w:r>
    </w:p>
    <w:p w14:paraId="7B083546" w14:textId="5BF38C6D" w:rsidR="00F90867" w:rsidRPr="00DB6F2C" w:rsidRDefault="00A34572" w:rsidP="00D10E35">
      <w:pPr>
        <w:rPr>
          <w:lang w:val="ru-RU"/>
        </w:rPr>
      </w:pPr>
      <w:r w:rsidRPr="00DB6F2C">
        <w:rPr>
          <w:lang w:val="ru-RU"/>
        </w:rPr>
        <w:t xml:space="preserve">На дополнительной сессии Совета, состоявшейся в Женеве 27 сентября 2019 года, было принято Решение 619, в котором были утверждены окончательные прямые </w:t>
      </w:r>
      <w:r w:rsidR="007A5158" w:rsidRPr="00DB6F2C">
        <w:rPr>
          <w:lang w:val="ru-RU"/>
        </w:rPr>
        <w:t>затраты</w:t>
      </w:r>
      <w:r w:rsidRPr="00DB6F2C">
        <w:rPr>
          <w:lang w:val="ru-RU"/>
        </w:rPr>
        <w:t xml:space="preserve"> по проекту строительства нового здания штаб-квартиры Союза в размере 170 139 000 швейцарских франков</w:t>
      </w:r>
      <w:r w:rsidR="00BE6A32" w:rsidRPr="00DB6F2C">
        <w:rPr>
          <w:lang w:val="ru-RU"/>
        </w:rPr>
        <w:t>, которые описаны в Документе C19-ADD/2, финансируемые в полном объеме за счет имеющихся средств:</w:t>
      </w:r>
    </w:p>
    <w:p w14:paraId="1FFF7EEF" w14:textId="727ED732" w:rsidR="00F90867" w:rsidRPr="00DB6F2C" w:rsidRDefault="00D10E35" w:rsidP="00D10E35">
      <w:pPr>
        <w:pStyle w:val="enumlev1"/>
        <w:rPr>
          <w:lang w:val="ru-RU" w:eastAsia="ja-JP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BE6A32" w:rsidRPr="00DB6F2C">
        <w:rPr>
          <w:lang w:val="ru-RU"/>
        </w:rPr>
        <w:t>150 000 000 швейцарских франков – ссуда страны пребывания</w:t>
      </w:r>
      <w:r w:rsidR="00BE6A32" w:rsidRPr="00DB6F2C">
        <w:rPr>
          <w:lang w:val="ru-RU" w:eastAsia="ja-JP"/>
        </w:rPr>
        <w:t>: как описывается в</w:t>
      </w:r>
      <w:r w:rsidR="00F90867" w:rsidRPr="00DB6F2C">
        <w:rPr>
          <w:lang w:val="ru-RU" w:eastAsia="ja-JP"/>
        </w:rPr>
        <w:t xml:space="preserve"> </w:t>
      </w:r>
      <w:r w:rsidR="00AB37C5" w:rsidRPr="00DB6F2C">
        <w:rPr>
          <w:lang w:val="ru-RU" w:eastAsia="ja-JP"/>
        </w:rPr>
        <w:t>п.</w:t>
      </w:r>
      <w:r w:rsidRPr="00DB6F2C">
        <w:rPr>
          <w:lang w:val="ru-RU" w:eastAsia="ja-JP"/>
        </w:rPr>
        <w:t xml:space="preserve"> </w:t>
      </w:r>
      <w:r w:rsidR="00F90867" w:rsidRPr="00DB6F2C">
        <w:rPr>
          <w:lang w:val="ru-RU" w:eastAsia="ja-JP"/>
        </w:rPr>
        <w:t xml:space="preserve">3.7 </w:t>
      </w:r>
      <w:r w:rsidR="00BE6A32" w:rsidRPr="00DB6F2C">
        <w:rPr>
          <w:lang w:val="ru-RU" w:eastAsia="ja-JP"/>
        </w:rPr>
        <w:t>настоящего отчета</w:t>
      </w:r>
      <w:r w:rsidR="00F90867" w:rsidRPr="00DB6F2C">
        <w:rPr>
          <w:lang w:val="ru-RU" w:eastAsia="ja-JP"/>
        </w:rPr>
        <w:t xml:space="preserve">, </w:t>
      </w:r>
      <w:r w:rsidR="00BE6A32" w:rsidRPr="00DB6F2C">
        <w:rPr>
          <w:lang w:val="ru-RU" w:eastAsia="ja-JP"/>
        </w:rPr>
        <w:t>подана заявка на предоставление ссуды в размере 150 млн. швейцарских франков</w:t>
      </w:r>
      <w:r w:rsidR="0027730B" w:rsidRPr="00DB6F2C">
        <w:rPr>
          <w:lang w:val="ru-RU" w:eastAsia="ja-JP"/>
        </w:rPr>
        <w:t>;</w:t>
      </w:r>
    </w:p>
    <w:p w14:paraId="27B54B47" w14:textId="707B5258" w:rsidR="00F90867" w:rsidRPr="00DB6F2C" w:rsidRDefault="00D10E35" w:rsidP="00D10E35">
      <w:pPr>
        <w:pStyle w:val="enumlev1"/>
        <w:rPr>
          <w:lang w:val="ru-RU" w:eastAsia="ja-JP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F90867" w:rsidRPr="00DB6F2C">
        <w:rPr>
          <w:lang w:val="ru-RU"/>
        </w:rPr>
        <w:t>5</w:t>
      </w:r>
      <w:r w:rsidRPr="00DB6F2C">
        <w:rPr>
          <w:lang w:val="ru-RU"/>
        </w:rPr>
        <w:t> </w:t>
      </w:r>
      <w:r w:rsidR="00F90867" w:rsidRPr="00DB6F2C">
        <w:rPr>
          <w:lang w:val="ru-RU"/>
        </w:rPr>
        <w:t>000</w:t>
      </w:r>
      <w:r w:rsidRPr="00DB6F2C">
        <w:rPr>
          <w:lang w:val="ru-RU"/>
        </w:rPr>
        <w:t> </w:t>
      </w:r>
      <w:r w:rsidR="00F90867" w:rsidRPr="00DB6F2C">
        <w:rPr>
          <w:lang w:val="ru-RU"/>
        </w:rPr>
        <w:t>000</w:t>
      </w:r>
      <w:r w:rsidRPr="00DB6F2C">
        <w:rPr>
          <w:lang w:val="ru-RU"/>
        </w:rPr>
        <w:t> швейцарских франков</w:t>
      </w:r>
      <w:r w:rsidR="00F90867" w:rsidRPr="00DB6F2C">
        <w:rPr>
          <w:lang w:val="ru-RU"/>
        </w:rPr>
        <w:t xml:space="preserve"> </w:t>
      </w:r>
      <w:r w:rsidR="00BE6A32" w:rsidRPr="00DB6F2C">
        <w:rPr>
          <w:lang w:val="ru-RU"/>
        </w:rPr>
        <w:t>– фонд строительства нового здания</w:t>
      </w:r>
      <w:r w:rsidR="0027730B" w:rsidRPr="00DB6F2C">
        <w:rPr>
          <w:lang w:val="ru-RU"/>
        </w:rPr>
        <w:t>;</w:t>
      </w:r>
    </w:p>
    <w:p w14:paraId="71159BF6" w14:textId="3A85D0A6" w:rsidR="00F90867" w:rsidRPr="00DB6F2C" w:rsidRDefault="00D10E35" w:rsidP="00D10E35">
      <w:pPr>
        <w:pStyle w:val="enumlev1"/>
        <w:spacing w:after="240"/>
        <w:rPr>
          <w:lang w:val="ru-RU" w:eastAsia="ja-JP"/>
        </w:rPr>
      </w:pPr>
      <w:r w:rsidRPr="00DB6F2C">
        <w:rPr>
          <w:lang w:val="ru-RU"/>
        </w:rPr>
        <w:t>•</w:t>
      </w:r>
      <w:r w:rsidRPr="00DB6F2C">
        <w:rPr>
          <w:lang w:val="ru-RU"/>
        </w:rPr>
        <w:tab/>
      </w:r>
      <w:r w:rsidR="00F90867" w:rsidRPr="00DB6F2C">
        <w:rPr>
          <w:lang w:val="ru-RU"/>
        </w:rPr>
        <w:t>15</w:t>
      </w:r>
      <w:r w:rsidRPr="00DB6F2C">
        <w:rPr>
          <w:lang w:val="ru-RU"/>
        </w:rPr>
        <w:t> </w:t>
      </w:r>
      <w:r w:rsidR="00F90867" w:rsidRPr="00DB6F2C">
        <w:rPr>
          <w:lang w:val="ru-RU"/>
        </w:rPr>
        <w:t>140</w:t>
      </w:r>
      <w:r w:rsidRPr="00DB6F2C">
        <w:rPr>
          <w:lang w:val="ru-RU"/>
        </w:rPr>
        <w:t> </w:t>
      </w:r>
      <w:r w:rsidR="00F90867" w:rsidRPr="00DB6F2C">
        <w:rPr>
          <w:lang w:val="ru-RU"/>
        </w:rPr>
        <w:t>000</w:t>
      </w:r>
      <w:r w:rsidRPr="00DB6F2C">
        <w:rPr>
          <w:lang w:val="ru-RU"/>
        </w:rPr>
        <w:t> швейцарских франков</w:t>
      </w:r>
      <w:r w:rsidR="00F90867" w:rsidRPr="00DB6F2C">
        <w:rPr>
          <w:lang w:val="ru-RU"/>
        </w:rPr>
        <w:t xml:space="preserve"> </w:t>
      </w:r>
      <w:r w:rsidR="00BE6A32" w:rsidRPr="00DB6F2C">
        <w:rPr>
          <w:lang w:val="ru-RU"/>
        </w:rPr>
        <w:t xml:space="preserve">– спонсорская помощь и пожертвования: имеющиеся на настоящий момент и фактически полученные </w:t>
      </w:r>
      <w:r w:rsidR="00026627" w:rsidRPr="00DB6F2C">
        <w:rPr>
          <w:lang w:val="ru-RU"/>
        </w:rPr>
        <w:t>в качестве</w:t>
      </w:r>
      <w:r w:rsidR="00BE6A32" w:rsidRPr="00DB6F2C">
        <w:rPr>
          <w:lang w:val="ru-RU"/>
        </w:rPr>
        <w:t xml:space="preserve"> спонсорской помощи и пожертвований средства </w:t>
      </w:r>
      <w:r w:rsidR="00026627" w:rsidRPr="00DB6F2C">
        <w:rPr>
          <w:lang w:val="ru-RU"/>
        </w:rPr>
        <w:t>распределяются</w:t>
      </w:r>
      <w:r w:rsidR="00BE6A32" w:rsidRPr="00DB6F2C">
        <w:rPr>
          <w:lang w:val="ru-RU"/>
        </w:rPr>
        <w:t xml:space="preserve"> следующим образом:</w:t>
      </w:r>
    </w:p>
    <w:tbl>
      <w:tblPr>
        <w:tblW w:w="878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126"/>
        <w:gridCol w:w="4962"/>
        <w:gridCol w:w="1701"/>
      </w:tblGrid>
      <w:tr w:rsidR="00D10E35" w:rsidRPr="00DB6F2C" w14:paraId="3F7291E2" w14:textId="77777777" w:rsidTr="005637D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5E51" w14:textId="0675A316" w:rsidR="00D10E35" w:rsidRPr="00DB6F2C" w:rsidRDefault="00026627" w:rsidP="00B3579C">
            <w:pPr>
              <w:pStyle w:val="Tablehead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Вид</w:t>
            </w:r>
            <w:r w:rsidR="00BE6A32" w:rsidRPr="00DB6F2C">
              <w:rPr>
                <w:lang w:val="ru-RU" w:eastAsia="en-GB"/>
              </w:rPr>
              <w:t xml:space="preserve"> финансирования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17E0" w14:textId="7215F355" w:rsidR="00D10E35" w:rsidRPr="00DB6F2C" w:rsidRDefault="00BE6A32" w:rsidP="00B3579C">
            <w:pPr>
              <w:pStyle w:val="Tablehead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CD08" w14:textId="031E3C7C" w:rsidR="00D10E35" w:rsidRPr="00DB6F2C" w:rsidRDefault="00BE6A32" w:rsidP="00B3579C">
            <w:pPr>
              <w:pStyle w:val="Tablehead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Получено</w:t>
            </w:r>
          </w:p>
        </w:tc>
      </w:tr>
      <w:tr w:rsidR="00D10E35" w:rsidRPr="00DB6F2C" w14:paraId="31CBA269" w14:textId="77777777" w:rsidTr="005637D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6D1C" w14:textId="5BFCA637" w:rsidR="00D10E35" w:rsidRPr="00DB6F2C" w:rsidRDefault="00BE6A32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Спонсорская помощь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9521" w14:textId="4FA2CE6B" w:rsidR="00D10E35" w:rsidRPr="00DB6F2C" w:rsidRDefault="00943BE4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Саудовская Аравия</w:t>
            </w:r>
            <w:r w:rsidR="00D10E35" w:rsidRPr="00DB6F2C">
              <w:rPr>
                <w:lang w:val="ru-RU" w:eastAsia="en-GB"/>
              </w:rPr>
              <w:t xml:space="preserve"> (10</w:t>
            </w:r>
            <w:r w:rsidRPr="00DB6F2C">
              <w:rPr>
                <w:lang w:val="ru-RU" w:eastAsia="en-GB"/>
              </w:rPr>
              <w:t xml:space="preserve"> </w:t>
            </w:r>
            <w:r w:rsidR="00D10E35" w:rsidRPr="00DB6F2C">
              <w:rPr>
                <w:lang w:val="ru-RU" w:eastAsia="en-GB"/>
              </w:rPr>
              <w:t>000</w:t>
            </w:r>
            <w:r w:rsidRPr="00DB6F2C">
              <w:rPr>
                <w:lang w:val="ru-RU" w:eastAsia="en-GB"/>
              </w:rPr>
              <w:t xml:space="preserve"> </w:t>
            </w:r>
            <w:r w:rsidR="00D10E35" w:rsidRPr="00DB6F2C">
              <w:rPr>
                <w:lang w:val="ru-RU" w:eastAsia="en-GB"/>
              </w:rPr>
              <w:t>000</w:t>
            </w:r>
            <w:r w:rsidRPr="00DB6F2C">
              <w:rPr>
                <w:lang w:val="ru-RU" w:eastAsia="en-GB"/>
              </w:rPr>
              <w:t xml:space="preserve"> </w:t>
            </w:r>
            <w:proofErr w:type="spellStart"/>
            <w:r w:rsidRPr="00DB6F2C">
              <w:rPr>
                <w:lang w:val="ru-RU" w:eastAsia="en-GB"/>
              </w:rPr>
              <w:t>шв</w:t>
            </w:r>
            <w:proofErr w:type="spellEnd"/>
            <w:r w:rsidRPr="00DB6F2C">
              <w:rPr>
                <w:lang w:val="ru-RU" w:eastAsia="en-GB"/>
              </w:rPr>
              <w:t>. фр.</w:t>
            </w:r>
            <w:r w:rsidR="00D10E35" w:rsidRPr="00DB6F2C">
              <w:rPr>
                <w:lang w:val="ru-RU" w:eastAsia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29ED12E" w14:textId="266BE8F3" w:rsidR="00D10E35" w:rsidRPr="00DB6F2C" w:rsidRDefault="00D10E35" w:rsidP="00D10E35">
            <w:pPr>
              <w:pStyle w:val="Tabletext"/>
              <w:ind w:right="113"/>
              <w:jc w:val="righ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2 000 000,00</w:t>
            </w:r>
          </w:p>
        </w:tc>
      </w:tr>
      <w:tr w:rsidR="00D10E35" w:rsidRPr="00DB6F2C" w14:paraId="79B663E3" w14:textId="77777777" w:rsidTr="005637D6"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6D22" w14:textId="13EB59C2" w:rsidR="00D10E35" w:rsidRPr="00DB6F2C" w:rsidRDefault="00BE6A32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Спонсорская помощь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AD21" w14:textId="16022D10" w:rsidR="00D10E35" w:rsidRPr="00DB6F2C" w:rsidRDefault="00943BE4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Объединенные Арабские Эмираты</w:t>
            </w:r>
            <w:r w:rsidR="00D10E35" w:rsidRPr="00DB6F2C">
              <w:rPr>
                <w:lang w:val="ru-RU" w:eastAsia="en-GB"/>
              </w:rPr>
              <w:t xml:space="preserve"> (5</w:t>
            </w:r>
            <w:r w:rsidRPr="00DB6F2C">
              <w:rPr>
                <w:lang w:val="ru-RU" w:eastAsia="en-GB"/>
              </w:rPr>
              <w:t xml:space="preserve"> </w:t>
            </w:r>
            <w:r w:rsidR="00D10E35" w:rsidRPr="00DB6F2C">
              <w:rPr>
                <w:lang w:val="ru-RU" w:eastAsia="en-GB"/>
              </w:rPr>
              <w:t>000</w:t>
            </w:r>
            <w:r w:rsidRPr="00DB6F2C">
              <w:rPr>
                <w:lang w:val="ru-RU" w:eastAsia="en-GB"/>
              </w:rPr>
              <w:t xml:space="preserve"> </w:t>
            </w:r>
            <w:r w:rsidR="00D10E35" w:rsidRPr="00DB6F2C">
              <w:rPr>
                <w:lang w:val="ru-RU" w:eastAsia="en-GB"/>
              </w:rPr>
              <w:t>000</w:t>
            </w:r>
            <w:r w:rsidRPr="00DB6F2C">
              <w:rPr>
                <w:lang w:val="ru-RU" w:eastAsia="en-GB"/>
              </w:rPr>
              <w:t xml:space="preserve"> </w:t>
            </w:r>
            <w:proofErr w:type="spellStart"/>
            <w:r w:rsidRPr="00DB6F2C">
              <w:rPr>
                <w:lang w:val="ru-RU" w:eastAsia="en-GB"/>
              </w:rPr>
              <w:t>шв</w:t>
            </w:r>
            <w:proofErr w:type="spellEnd"/>
            <w:r w:rsidRPr="00DB6F2C">
              <w:rPr>
                <w:lang w:val="ru-RU" w:eastAsia="en-GB"/>
              </w:rPr>
              <w:t>. фр.</w:t>
            </w:r>
            <w:r w:rsidR="00D10E35" w:rsidRPr="00DB6F2C">
              <w:rPr>
                <w:lang w:val="ru-RU" w:eastAsia="en-GB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41BCDE3" w14:textId="599D06FD" w:rsidR="00D10E35" w:rsidRPr="00DB6F2C" w:rsidRDefault="00D10E35" w:rsidP="00D10E35">
            <w:pPr>
              <w:pStyle w:val="Tabletext"/>
              <w:ind w:right="113"/>
              <w:jc w:val="righ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1 000 000,00</w:t>
            </w:r>
          </w:p>
        </w:tc>
      </w:tr>
      <w:tr w:rsidR="00D10E35" w:rsidRPr="00DB6F2C" w14:paraId="722C2126" w14:textId="77777777" w:rsidTr="005637D6"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0747" w14:textId="74B558D3" w:rsidR="00D10E35" w:rsidRPr="00DB6F2C" w:rsidRDefault="00BE6A32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Пожертвование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2CE7" w14:textId="3D8BC1C4" w:rsidR="00D10E35" w:rsidRPr="00DB6F2C" w:rsidRDefault="00943BE4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Чешская Республика</w:t>
            </w:r>
            <w:r w:rsidR="00D10E35" w:rsidRPr="00DB6F2C">
              <w:rPr>
                <w:lang w:val="ru-RU" w:eastAsia="en-GB"/>
              </w:rPr>
              <w:t xml:space="preserve"> (100</w:t>
            </w:r>
            <w:r w:rsidR="00B3579C" w:rsidRPr="00DB6F2C">
              <w:rPr>
                <w:lang w:val="ru-RU" w:eastAsia="en-GB"/>
              </w:rPr>
              <w:t> </w:t>
            </w:r>
            <w:r w:rsidR="00D10E35" w:rsidRPr="00DB6F2C">
              <w:rPr>
                <w:lang w:val="ru-RU" w:eastAsia="en-GB"/>
              </w:rPr>
              <w:t>000</w:t>
            </w:r>
            <w:r w:rsidRPr="00DB6F2C">
              <w:rPr>
                <w:lang w:val="ru-RU" w:eastAsia="en-GB"/>
              </w:rPr>
              <w:t xml:space="preserve"> долл. США</w:t>
            </w:r>
            <w:r w:rsidR="00D10E35" w:rsidRPr="00DB6F2C">
              <w:rPr>
                <w:lang w:val="ru-RU" w:eastAsia="en-GB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25641ED" w14:textId="32ADFEB6" w:rsidR="00D10E35" w:rsidRPr="00DB6F2C" w:rsidRDefault="00D10E35" w:rsidP="00D10E35">
            <w:pPr>
              <w:pStyle w:val="Tabletext"/>
              <w:ind w:right="113"/>
              <w:jc w:val="righ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95 251,40</w:t>
            </w:r>
          </w:p>
        </w:tc>
      </w:tr>
      <w:tr w:rsidR="00D10E35" w:rsidRPr="00DB6F2C" w14:paraId="043284EC" w14:textId="77777777" w:rsidTr="005637D6"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98FB" w14:textId="4E7978F9" w:rsidR="00D10E35" w:rsidRPr="00DB6F2C" w:rsidRDefault="00BE6A32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Пожертвование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9780" w14:textId="5051376B" w:rsidR="00D10E35" w:rsidRPr="00DB6F2C" w:rsidRDefault="00943BE4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Гана</w:t>
            </w:r>
            <w:r w:rsidR="00D10E35" w:rsidRPr="00DB6F2C">
              <w:rPr>
                <w:lang w:val="ru-RU" w:eastAsia="en-GB"/>
              </w:rPr>
              <w:t xml:space="preserve"> (40</w:t>
            </w:r>
            <w:r w:rsidRPr="00DB6F2C">
              <w:rPr>
                <w:lang w:val="ru-RU" w:eastAsia="en-GB"/>
              </w:rPr>
              <w:t xml:space="preserve"> </w:t>
            </w:r>
            <w:r w:rsidR="00D10E35" w:rsidRPr="00DB6F2C">
              <w:rPr>
                <w:lang w:val="ru-RU" w:eastAsia="en-GB"/>
              </w:rPr>
              <w:t>000</w:t>
            </w:r>
            <w:r w:rsidRPr="00DB6F2C">
              <w:rPr>
                <w:lang w:val="ru-RU" w:eastAsia="en-GB"/>
              </w:rPr>
              <w:t xml:space="preserve"> </w:t>
            </w:r>
            <w:proofErr w:type="spellStart"/>
            <w:r w:rsidRPr="00DB6F2C">
              <w:rPr>
                <w:lang w:val="ru-RU" w:eastAsia="en-GB"/>
              </w:rPr>
              <w:t>шв</w:t>
            </w:r>
            <w:proofErr w:type="spellEnd"/>
            <w:r w:rsidRPr="00DB6F2C">
              <w:rPr>
                <w:lang w:val="ru-RU" w:eastAsia="en-GB"/>
              </w:rPr>
              <w:t>. фр.</w:t>
            </w:r>
            <w:r w:rsidR="00D10E35" w:rsidRPr="00DB6F2C">
              <w:rPr>
                <w:lang w:val="ru-RU" w:eastAsia="en-GB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135B377" w14:textId="45A85BAC" w:rsidR="00D10E35" w:rsidRPr="00DB6F2C" w:rsidRDefault="00D10E35" w:rsidP="00D10E35">
            <w:pPr>
              <w:pStyle w:val="Tabletext"/>
              <w:ind w:right="113"/>
              <w:jc w:val="righ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40 000,00</w:t>
            </w:r>
          </w:p>
        </w:tc>
      </w:tr>
      <w:tr w:rsidR="00D10E35" w:rsidRPr="00DB6F2C" w14:paraId="0C67DCF5" w14:textId="77777777" w:rsidTr="005637D6"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F70D" w14:textId="25546AB0" w:rsidR="00D10E35" w:rsidRPr="00DB6F2C" w:rsidRDefault="00BE6A32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Иное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7E3B" w14:textId="00035B3B" w:rsidR="00D10E35" w:rsidRPr="00DB6F2C" w:rsidRDefault="00BE6A32" w:rsidP="0027730B">
            <w:pPr>
              <w:pStyle w:val="Tabletex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 xml:space="preserve">Регистрационные взносы за участие в архитектурном конкурсе 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6315" w14:textId="1FF081CF" w:rsidR="00D10E35" w:rsidRPr="00DB6F2C" w:rsidRDefault="00D10E35" w:rsidP="00D10E35">
            <w:pPr>
              <w:pStyle w:val="Tabletext"/>
              <w:ind w:right="113"/>
              <w:jc w:val="right"/>
              <w:rPr>
                <w:lang w:val="ru-RU" w:eastAsia="en-GB"/>
              </w:rPr>
            </w:pPr>
            <w:r w:rsidRPr="00DB6F2C">
              <w:rPr>
                <w:lang w:val="ru-RU" w:eastAsia="en-GB"/>
              </w:rPr>
              <w:t>46 935,47</w:t>
            </w:r>
          </w:p>
        </w:tc>
      </w:tr>
      <w:tr w:rsidR="005637D6" w:rsidRPr="00DB6F2C" w14:paraId="2EA8D7BE" w14:textId="77777777" w:rsidTr="005C0E5F">
        <w:tc>
          <w:tcPr>
            <w:tcW w:w="708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BDCD2" w14:textId="19B2BD31" w:rsidR="005637D6" w:rsidRPr="00DB6F2C" w:rsidRDefault="005637D6" w:rsidP="00F00BBD">
            <w:pPr>
              <w:pStyle w:val="Tabletext"/>
              <w:jc w:val="right"/>
              <w:rPr>
                <w:b/>
                <w:bCs/>
                <w:lang w:val="ru-RU" w:eastAsia="en-GB"/>
              </w:rPr>
            </w:pPr>
            <w:r w:rsidRPr="00DB6F2C">
              <w:rPr>
                <w:b/>
                <w:bCs/>
                <w:lang w:val="ru-RU" w:eastAsia="en-GB"/>
              </w:rPr>
              <w:t xml:space="preserve">ИТОГО, в </w:t>
            </w:r>
            <w:proofErr w:type="spellStart"/>
            <w:r w:rsidRPr="00DB6F2C">
              <w:rPr>
                <w:b/>
                <w:bCs/>
                <w:lang w:val="ru-RU" w:eastAsia="en-GB"/>
              </w:rPr>
              <w:t>шв</w:t>
            </w:r>
            <w:proofErr w:type="spellEnd"/>
            <w:r w:rsidRPr="00DB6F2C">
              <w:rPr>
                <w:b/>
                <w:bCs/>
                <w:lang w:val="ru-RU" w:eastAsia="en-GB"/>
              </w:rPr>
              <w:t>. фр.</w:t>
            </w:r>
          </w:p>
        </w:tc>
        <w:tc>
          <w:tcPr>
            <w:tcW w:w="1701" w:type="dxa"/>
          </w:tcPr>
          <w:p w14:paraId="70635B0C" w14:textId="61A168F7" w:rsidR="005637D6" w:rsidRPr="00DB6F2C" w:rsidRDefault="005637D6" w:rsidP="00D10E35">
            <w:pPr>
              <w:pStyle w:val="Tabletext"/>
              <w:ind w:right="113"/>
              <w:jc w:val="right"/>
              <w:rPr>
                <w:b/>
                <w:bCs/>
                <w:lang w:val="ru-RU" w:eastAsia="en-GB"/>
              </w:rPr>
            </w:pPr>
            <w:r w:rsidRPr="00DB6F2C">
              <w:rPr>
                <w:b/>
                <w:bCs/>
                <w:lang w:val="ru-RU" w:eastAsia="en-GB"/>
              </w:rPr>
              <w:t>3 182 186,87</w:t>
            </w:r>
          </w:p>
        </w:tc>
      </w:tr>
    </w:tbl>
    <w:p w14:paraId="09B80227" w14:textId="41C84181" w:rsidR="00F90867" w:rsidRPr="00DB6F2C" w:rsidRDefault="002E33CA" w:rsidP="00EE62FF">
      <w:pPr>
        <w:spacing w:before="240"/>
        <w:rPr>
          <w:lang w:val="ru-RU"/>
        </w:rPr>
      </w:pPr>
      <w:r w:rsidRPr="00DB6F2C">
        <w:rPr>
          <w:lang w:val="ru-RU" w:eastAsia="ja-JP"/>
        </w:rPr>
        <w:t xml:space="preserve">На своей внеочередной сессии в сентябре 2019 года Совет принял решение </w:t>
      </w:r>
      <w:r w:rsidR="00985301" w:rsidRPr="00DB6F2C">
        <w:rPr>
          <w:lang w:val="ru-RU" w:eastAsia="ja-JP"/>
        </w:rPr>
        <w:t>создать</w:t>
      </w:r>
      <w:r w:rsidRPr="00DB6F2C">
        <w:rPr>
          <w:lang w:val="ru-RU" w:eastAsia="ja-JP"/>
        </w:rPr>
        <w:t xml:space="preserve"> дополнительный фонд реестра рисков (пункт 3 раздела </w:t>
      </w:r>
      <w:r w:rsidRPr="00DB6F2C">
        <w:rPr>
          <w:i/>
          <w:lang w:val="ru-RU" w:eastAsia="ja-JP"/>
        </w:rPr>
        <w:t>решает</w:t>
      </w:r>
      <w:r w:rsidRPr="00DB6F2C">
        <w:rPr>
          <w:lang w:val="ru-RU" w:eastAsia="ja-JP"/>
        </w:rPr>
        <w:t xml:space="preserve"> Решения</w:t>
      </w:r>
      <w:r w:rsidR="00985301" w:rsidRPr="00DB6F2C">
        <w:rPr>
          <w:lang w:val="ru-RU" w:eastAsia="ja-JP"/>
        </w:rPr>
        <w:t xml:space="preserve"> 619), с тем чтобы обеспечить дополнительный финансовый резерв для </w:t>
      </w:r>
      <w:proofErr w:type="spellStart"/>
      <w:r w:rsidR="00985301" w:rsidRPr="00DB6F2C">
        <w:rPr>
          <w:lang w:val="ru-RU" w:eastAsia="ja-JP"/>
        </w:rPr>
        <w:t>несниженных</w:t>
      </w:r>
      <w:proofErr w:type="spellEnd"/>
      <w:r w:rsidR="00985301" w:rsidRPr="00DB6F2C">
        <w:rPr>
          <w:lang w:val="ru-RU" w:eastAsia="ja-JP"/>
        </w:rPr>
        <w:t xml:space="preserve"> рисков, который будет финансироваться на основании решений последующих сессий Совета начиная с 2020 года. На настоящий момент фонд</w:t>
      </w:r>
      <w:r w:rsidR="00026627" w:rsidRPr="00DB6F2C">
        <w:rPr>
          <w:lang w:val="ru-RU" w:eastAsia="ja-JP"/>
        </w:rPr>
        <w:t>у</w:t>
      </w:r>
      <w:r w:rsidR="00985301" w:rsidRPr="00DB6F2C">
        <w:rPr>
          <w:lang w:val="ru-RU" w:eastAsia="ja-JP"/>
        </w:rPr>
        <w:t xml:space="preserve"> реестра рисков </w:t>
      </w:r>
      <w:r w:rsidR="00026627" w:rsidRPr="00DB6F2C">
        <w:rPr>
          <w:lang w:val="ru-RU" w:eastAsia="ja-JP"/>
        </w:rPr>
        <w:t>выделена</w:t>
      </w:r>
      <w:r w:rsidR="00985301" w:rsidRPr="00DB6F2C">
        <w:rPr>
          <w:lang w:val="ru-RU" w:eastAsia="ja-JP"/>
        </w:rPr>
        <w:t xml:space="preserve"> сумма </w:t>
      </w:r>
      <w:r w:rsidR="00985301" w:rsidRPr="00DB6F2C">
        <w:rPr>
          <w:lang w:val="ru-RU"/>
        </w:rPr>
        <w:t>1 425 000 швейцарских франков</w:t>
      </w:r>
      <w:r w:rsidR="00985301" w:rsidRPr="00DB6F2C">
        <w:rPr>
          <w:lang w:val="ru-RU" w:eastAsia="ja-JP"/>
        </w:rPr>
        <w:t>.</w:t>
      </w:r>
    </w:p>
    <w:p w14:paraId="733753E1" w14:textId="1C1D29A3" w:rsidR="00F90867" w:rsidRPr="00DB6F2C" w:rsidRDefault="00F90867" w:rsidP="00EE62FF">
      <w:pPr>
        <w:pStyle w:val="Heading2"/>
        <w:rPr>
          <w:lang w:val="ru-RU"/>
        </w:rPr>
      </w:pPr>
      <w:r w:rsidRPr="00DB6F2C">
        <w:rPr>
          <w:lang w:val="ru-RU"/>
        </w:rPr>
        <w:t>4.2</w:t>
      </w:r>
      <w:r w:rsidRPr="00DB6F2C">
        <w:rPr>
          <w:lang w:val="ru-RU"/>
        </w:rPr>
        <w:tab/>
      </w:r>
      <w:r w:rsidR="004F08E5" w:rsidRPr="00DB6F2C">
        <w:rPr>
          <w:lang w:val="ru-RU"/>
        </w:rPr>
        <w:t>Движение денежных средств</w:t>
      </w:r>
    </w:p>
    <w:p w14:paraId="2C99C40B" w14:textId="74D08ACC" w:rsidR="00F90867" w:rsidRPr="00DB6F2C" w:rsidRDefault="004F08E5" w:rsidP="00EE62FF">
      <w:pPr>
        <w:rPr>
          <w:lang w:val="ru-RU" w:eastAsia="zh-CN"/>
        </w:rPr>
      </w:pPr>
      <w:r w:rsidRPr="00DB6F2C">
        <w:rPr>
          <w:lang w:val="ru-RU" w:eastAsia="zh-CN"/>
        </w:rPr>
        <w:t xml:space="preserve">Обеспечение движения денежных средств и его отслеживание, осуществляемые Hill </w:t>
      </w:r>
      <w:proofErr w:type="spellStart"/>
      <w:r w:rsidRPr="00DB6F2C">
        <w:rPr>
          <w:lang w:val="ru-RU" w:eastAsia="zh-CN"/>
        </w:rPr>
        <w:t>Int</w:t>
      </w:r>
      <w:proofErr w:type="spellEnd"/>
      <w:r w:rsidRPr="00DB6F2C">
        <w:rPr>
          <w:lang w:val="ru-RU" w:eastAsia="zh-CN"/>
        </w:rPr>
        <w:t xml:space="preserve">., являются одним из наиболее важных направлений деятельности по проекту. По движению денежных средств можно четко понять </w:t>
      </w:r>
      <w:r w:rsidR="00F17EE9" w:rsidRPr="00DB6F2C">
        <w:rPr>
          <w:lang w:val="ru-RU" w:eastAsia="zh-CN"/>
        </w:rPr>
        <w:t xml:space="preserve">уже </w:t>
      </w:r>
      <w:r w:rsidRPr="00DB6F2C">
        <w:rPr>
          <w:lang w:val="ru-RU" w:eastAsia="zh-CN"/>
        </w:rPr>
        <w:t xml:space="preserve">на раннем этапе, что осуществление проекта начинает отклоняться от запланированного </w:t>
      </w:r>
      <w:r w:rsidR="00F17EE9" w:rsidRPr="00DB6F2C">
        <w:rPr>
          <w:lang w:val="ru-RU" w:eastAsia="zh-CN"/>
        </w:rPr>
        <w:t>курса</w:t>
      </w:r>
      <w:r w:rsidRPr="00DB6F2C">
        <w:rPr>
          <w:lang w:val="ru-RU" w:eastAsia="zh-CN"/>
        </w:rPr>
        <w:t xml:space="preserve">. В целях предотвращения подобных отклонений составляется </w:t>
      </w:r>
      <w:r w:rsidR="00F17EE9" w:rsidRPr="00DB6F2C">
        <w:rPr>
          <w:lang w:val="ru-RU" w:eastAsia="zh-CN"/>
        </w:rPr>
        <w:t>отработанный</w:t>
      </w:r>
      <w:r w:rsidRPr="00DB6F2C">
        <w:rPr>
          <w:lang w:val="ru-RU" w:eastAsia="zh-CN"/>
        </w:rPr>
        <w:t xml:space="preserve"> отчет, </w:t>
      </w:r>
      <w:r w:rsidR="00F17EE9" w:rsidRPr="00DB6F2C">
        <w:rPr>
          <w:lang w:val="ru-RU" w:eastAsia="zh-CN"/>
        </w:rPr>
        <w:t>отражающий на графике</w:t>
      </w:r>
      <w:r w:rsidRPr="00DB6F2C">
        <w:rPr>
          <w:lang w:val="ru-RU" w:eastAsia="zh-CN"/>
        </w:rPr>
        <w:t xml:space="preserve"> </w:t>
      </w:r>
      <w:r w:rsidR="00F17EE9" w:rsidRPr="00DB6F2C">
        <w:rPr>
          <w:lang w:val="ru-RU" w:eastAsia="zh-CN"/>
        </w:rPr>
        <w:t>соотношение запланированного и фактического</w:t>
      </w:r>
      <w:r w:rsidRPr="00DB6F2C">
        <w:rPr>
          <w:lang w:val="ru-RU" w:eastAsia="zh-CN"/>
        </w:rPr>
        <w:t xml:space="preserve"> </w:t>
      </w:r>
      <w:r w:rsidR="00F17EE9" w:rsidRPr="00DB6F2C">
        <w:rPr>
          <w:lang w:val="ru-RU" w:eastAsia="zh-CN"/>
        </w:rPr>
        <w:t>движения</w:t>
      </w:r>
      <w:r w:rsidRPr="00DB6F2C">
        <w:rPr>
          <w:lang w:val="ru-RU" w:eastAsia="zh-CN"/>
        </w:rPr>
        <w:t xml:space="preserve">, включая умеренные колебания, для того чтобы оперативно выявлять любые </w:t>
      </w:r>
      <w:r w:rsidR="00F17EE9" w:rsidRPr="00DB6F2C">
        <w:rPr>
          <w:lang w:val="ru-RU" w:eastAsia="zh-CN"/>
        </w:rPr>
        <w:t>проблемы</w:t>
      </w:r>
      <w:r w:rsidRPr="00DB6F2C">
        <w:rPr>
          <w:lang w:val="ru-RU" w:eastAsia="zh-CN"/>
        </w:rPr>
        <w:t xml:space="preserve"> и обеспечивать возможность принятия мер по смягчению последствий.</w:t>
      </w:r>
    </w:p>
    <w:p w14:paraId="2202A3A7" w14:textId="1F8CBA37" w:rsidR="00F90867" w:rsidRPr="00DB6F2C" w:rsidRDefault="004F08E5" w:rsidP="00EE62FF">
      <w:pPr>
        <w:rPr>
          <w:lang w:val="ru-RU" w:eastAsia="zh-CN"/>
        </w:rPr>
      </w:pPr>
      <w:r w:rsidRPr="00DB6F2C">
        <w:rPr>
          <w:lang w:val="ru-RU" w:eastAsia="zh-CN"/>
        </w:rPr>
        <w:t>В настоящее время деятельность по проекту финансируется за счет первой ссуды страны пребывания в размере 12 млн. швейцарских франков.</w:t>
      </w:r>
      <w:r w:rsidR="006D478E" w:rsidRPr="00DB6F2C">
        <w:rPr>
          <w:lang w:val="ru-RU" w:eastAsia="zh-CN"/>
        </w:rPr>
        <w:t xml:space="preserve"> Обеспечена доступность указанных средств до июня 2021</w:t>
      </w:r>
      <w:r w:rsidR="00AB37C5" w:rsidRPr="00DB6F2C">
        <w:rPr>
          <w:lang w:val="ru-RU" w:eastAsia="zh-CN"/>
        </w:rPr>
        <w:t> </w:t>
      </w:r>
      <w:r w:rsidR="006D478E" w:rsidRPr="00DB6F2C">
        <w:rPr>
          <w:lang w:val="ru-RU" w:eastAsia="zh-CN"/>
        </w:rPr>
        <w:t>года, для того чтобы предоставить возможность бесперебойного движения денежных средств и запас</w:t>
      </w:r>
      <w:r w:rsidRPr="00DB6F2C">
        <w:rPr>
          <w:lang w:val="ru-RU" w:eastAsia="zh-CN"/>
        </w:rPr>
        <w:t xml:space="preserve"> </w:t>
      </w:r>
      <w:r w:rsidR="006D478E" w:rsidRPr="00DB6F2C">
        <w:rPr>
          <w:lang w:val="ru-RU" w:eastAsia="zh-CN"/>
        </w:rPr>
        <w:t xml:space="preserve">времени для утверждения второй ссуды в размере 138 млн. швейцарских франков и подписания договора ссуды с </w:t>
      </w:r>
      <w:r w:rsidR="003B4BE2" w:rsidRPr="00DB6F2C">
        <w:rPr>
          <w:lang w:val="ru-RU" w:eastAsia="zh-CN"/>
        </w:rPr>
        <w:t>Фондом недвижимого имущества для международных организаций (</w:t>
      </w:r>
      <w:r w:rsidR="006D478E" w:rsidRPr="00DB6F2C">
        <w:rPr>
          <w:lang w:val="ru-RU" w:eastAsia="zh-CN"/>
        </w:rPr>
        <w:t>ФИПОИ</w:t>
      </w:r>
      <w:r w:rsidR="003B4BE2" w:rsidRPr="00DB6F2C">
        <w:rPr>
          <w:lang w:val="ru-RU" w:eastAsia="zh-CN"/>
        </w:rPr>
        <w:t>)</w:t>
      </w:r>
      <w:r w:rsidR="006D478E" w:rsidRPr="00DB6F2C">
        <w:rPr>
          <w:lang w:val="ru-RU" w:eastAsia="zh-CN"/>
        </w:rPr>
        <w:t>.</w:t>
      </w:r>
    </w:p>
    <w:p w14:paraId="5A4D0659" w14:textId="0BE5A61E" w:rsidR="00F90867" w:rsidRPr="00232640" w:rsidRDefault="009B0F08" w:rsidP="00C555E8">
      <w:pPr>
        <w:rPr>
          <w:lang w:val="ru-RU" w:eastAsia="zh-CN"/>
        </w:rPr>
      </w:pPr>
      <w:r w:rsidRPr="00232640">
        <w:rPr>
          <w:lang w:val="ru-RU" w:eastAsia="zh-CN"/>
        </w:rPr>
        <w:lastRenderedPageBreak/>
        <w:t xml:space="preserve">Графиком финансирования (см.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\</w:instrText>
      </w:r>
      <w:r w:rsidR="00D81752">
        <w:instrText>l</w:instrText>
      </w:r>
      <w:r w:rsidR="00D81752" w:rsidRPr="00D81752">
        <w:rPr>
          <w:lang w:val="ru-RU"/>
        </w:rPr>
        <w:instrText xml:space="preserve"> "</w:instrText>
      </w:r>
      <w:r w:rsidR="00D81752">
        <w:instrText>AnnexB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232640">
        <w:rPr>
          <w:rStyle w:val="Hyperlink"/>
          <w:rFonts w:asciiTheme="minorHAnsi" w:hAnsiTheme="minorHAnsi" w:cstheme="minorHAnsi"/>
          <w:szCs w:val="22"/>
          <w:lang w:val="ru-RU" w:eastAsia="zh-CN"/>
        </w:rPr>
        <w:t>Приложение B</w:t>
      </w:r>
      <w:r w:rsidR="00D81752">
        <w:rPr>
          <w:rStyle w:val="Hyperlink"/>
          <w:rFonts w:asciiTheme="minorHAnsi" w:hAnsiTheme="minorHAnsi" w:cstheme="minorHAnsi"/>
          <w:szCs w:val="22"/>
          <w:lang w:val="ru-RU" w:eastAsia="zh-CN"/>
        </w:rPr>
        <w:fldChar w:fldCharType="end"/>
      </w:r>
      <w:r w:rsidRPr="00232640">
        <w:rPr>
          <w:lang w:val="ru-RU" w:eastAsia="zh-CN"/>
        </w:rPr>
        <w:t xml:space="preserve">) определяются </w:t>
      </w:r>
      <w:r w:rsidR="00AB37C5" w:rsidRPr="00232640">
        <w:rPr>
          <w:lang w:val="ru-RU" w:eastAsia="zh-CN"/>
        </w:rPr>
        <w:t>прогнозируемые расходы</w:t>
      </w:r>
      <w:r w:rsidRPr="00232640">
        <w:rPr>
          <w:lang w:val="ru-RU" w:eastAsia="zh-CN"/>
        </w:rPr>
        <w:t xml:space="preserve">, которые </w:t>
      </w:r>
      <w:r w:rsidR="00F17EE9" w:rsidRPr="00232640">
        <w:rPr>
          <w:lang w:val="ru-RU" w:eastAsia="zh-CN"/>
        </w:rPr>
        <w:t>будет нести</w:t>
      </w:r>
      <w:r w:rsidRPr="00232640">
        <w:rPr>
          <w:lang w:val="ru-RU" w:eastAsia="zh-CN"/>
        </w:rPr>
        <w:t xml:space="preserve"> МСЭ на протяжении всего периода </w:t>
      </w:r>
      <w:r w:rsidR="00F17EE9" w:rsidRPr="00232640">
        <w:rPr>
          <w:lang w:val="ru-RU" w:eastAsia="zh-CN"/>
        </w:rPr>
        <w:t>выработки</w:t>
      </w:r>
      <w:r w:rsidRPr="00232640">
        <w:rPr>
          <w:lang w:val="ru-RU" w:eastAsia="zh-CN"/>
        </w:rPr>
        <w:t xml:space="preserve"> концепции и осуществления работ</w:t>
      </w:r>
      <w:r w:rsidR="00566609" w:rsidRPr="00232640">
        <w:rPr>
          <w:lang w:val="ru-RU" w:eastAsia="zh-CN"/>
        </w:rPr>
        <w:t xml:space="preserve"> по строительству нового здания, в соответствии с распределением п</w:t>
      </w:r>
      <w:r w:rsidR="00F17EE9" w:rsidRPr="00232640">
        <w:rPr>
          <w:lang w:val="ru-RU" w:eastAsia="zh-CN"/>
        </w:rPr>
        <w:t>о КСР</w:t>
      </w:r>
      <w:r w:rsidR="00566609" w:rsidRPr="00232640">
        <w:rPr>
          <w:lang w:val="ru-RU" w:eastAsia="zh-CN"/>
        </w:rPr>
        <w:t xml:space="preserve"> согласно просьбе страны пребывания. </w:t>
      </w:r>
      <w:r w:rsidR="00F17EE9" w:rsidRPr="00232640">
        <w:rPr>
          <w:lang w:val="ru-RU" w:eastAsia="zh-CN"/>
        </w:rPr>
        <w:t>Приведенные в таблице суммы</w:t>
      </w:r>
      <w:r w:rsidR="00B05785" w:rsidRPr="00232640">
        <w:rPr>
          <w:lang w:val="ru-RU" w:eastAsia="zh-CN"/>
        </w:rPr>
        <w:t xml:space="preserve"> являются </w:t>
      </w:r>
      <w:r w:rsidR="00F17EE9" w:rsidRPr="00232640">
        <w:rPr>
          <w:lang w:val="ru-RU" w:eastAsia="zh-CN"/>
        </w:rPr>
        <w:t>отчасти</w:t>
      </w:r>
      <w:r w:rsidR="00B05785" w:rsidRPr="00232640">
        <w:rPr>
          <w:lang w:val="ru-RU" w:eastAsia="zh-CN"/>
        </w:rPr>
        <w:t xml:space="preserve"> </w:t>
      </w:r>
      <w:r w:rsidR="003A6FDC" w:rsidRPr="00232640">
        <w:rPr>
          <w:lang w:val="ru-RU" w:eastAsia="zh-CN"/>
        </w:rPr>
        <w:t>фактическими величинами (с</w:t>
      </w:r>
      <w:r w:rsidR="00C555E8" w:rsidRPr="00232640">
        <w:rPr>
          <w:lang w:val="ru-RU" w:eastAsia="zh-CN"/>
        </w:rPr>
        <w:t> </w:t>
      </w:r>
      <w:r w:rsidR="003A6FDC" w:rsidRPr="00232640">
        <w:rPr>
          <w:lang w:val="ru-RU" w:eastAsia="zh-CN"/>
        </w:rPr>
        <w:t>2017 </w:t>
      </w:r>
      <w:r w:rsidR="001C3FCD" w:rsidRPr="00232640">
        <w:rPr>
          <w:lang w:val="ru-RU" w:eastAsia="zh-CN"/>
        </w:rPr>
        <w:t>г</w:t>
      </w:r>
      <w:r w:rsidR="009C7AC2" w:rsidRPr="00232640">
        <w:rPr>
          <w:lang w:val="ru-RU" w:eastAsia="zh-CN"/>
        </w:rPr>
        <w:t>.</w:t>
      </w:r>
      <w:r w:rsidR="005637D6" w:rsidRPr="00232640">
        <w:rPr>
          <w:lang w:val="ru-RU" w:eastAsia="zh-CN"/>
        </w:rPr>
        <w:t> </w:t>
      </w:r>
      <w:r w:rsidR="00A702D0" w:rsidRPr="00232640">
        <w:rPr>
          <w:lang w:val="ru-RU" w:eastAsia="zh-CN"/>
        </w:rPr>
        <w:t xml:space="preserve">по настоящее время), </w:t>
      </w:r>
      <w:r w:rsidR="001C3FCD" w:rsidRPr="00232640">
        <w:rPr>
          <w:lang w:val="ru-RU" w:eastAsia="zh-CN"/>
        </w:rPr>
        <w:t>однако для большинства указанных</w:t>
      </w:r>
      <w:r w:rsidR="003A6FDC" w:rsidRPr="00232640">
        <w:rPr>
          <w:lang w:val="ru-RU" w:eastAsia="zh-CN"/>
        </w:rPr>
        <w:t xml:space="preserve"> цен приводятся </w:t>
      </w:r>
      <w:r w:rsidR="00AD2DC8" w:rsidRPr="00232640">
        <w:rPr>
          <w:lang w:val="ru-RU" w:eastAsia="zh-CN"/>
        </w:rPr>
        <w:t>сметные</w:t>
      </w:r>
      <w:r w:rsidR="003A6FDC" w:rsidRPr="00232640">
        <w:rPr>
          <w:lang w:val="ru-RU" w:eastAsia="zh-CN"/>
        </w:rPr>
        <w:t xml:space="preserve"> суммы</w:t>
      </w:r>
      <w:r w:rsidR="00AD2DC8" w:rsidRPr="00232640">
        <w:rPr>
          <w:lang w:val="ru-RU" w:eastAsia="zh-CN"/>
        </w:rPr>
        <w:t xml:space="preserve"> </w:t>
      </w:r>
      <w:r w:rsidR="003A6FDC" w:rsidRPr="00232640">
        <w:rPr>
          <w:lang w:val="ru-RU" w:eastAsia="zh-CN"/>
        </w:rPr>
        <w:t xml:space="preserve">на основании предварительного планирования исследований </w:t>
      </w:r>
      <w:r w:rsidR="00AD2DC8" w:rsidRPr="00232640">
        <w:rPr>
          <w:lang w:val="ru-RU" w:eastAsia="zh-CN"/>
        </w:rPr>
        <w:t>и работ по данным конструкторов</w:t>
      </w:r>
      <w:r w:rsidR="003A6FDC" w:rsidRPr="00232640">
        <w:rPr>
          <w:lang w:val="ru-RU" w:eastAsia="zh-CN"/>
        </w:rPr>
        <w:t xml:space="preserve"> и в рамках бюджета, утвержденного на дополнительной сессии Совета 27 сентября 2019 года в Женеве.</w:t>
      </w:r>
    </w:p>
    <w:p w14:paraId="57F96583" w14:textId="7F69A480" w:rsidR="00F90867" w:rsidRPr="00232640" w:rsidRDefault="00F90867" w:rsidP="00EE62FF">
      <w:pPr>
        <w:pStyle w:val="Heading2"/>
        <w:rPr>
          <w:lang w:val="ru-RU"/>
        </w:rPr>
      </w:pPr>
      <w:r w:rsidRPr="00232640">
        <w:rPr>
          <w:lang w:val="ru-RU"/>
        </w:rPr>
        <w:t>4.3</w:t>
      </w:r>
      <w:r w:rsidRPr="00232640">
        <w:rPr>
          <w:lang w:val="ru-RU"/>
        </w:rPr>
        <w:tab/>
      </w:r>
      <w:r w:rsidR="00AB37C5" w:rsidRPr="00232640">
        <w:rPr>
          <w:lang w:val="ru-RU"/>
        </w:rPr>
        <w:t>Расходы</w:t>
      </w:r>
      <w:r w:rsidR="003A6FDC" w:rsidRPr="00232640">
        <w:rPr>
          <w:lang w:val="ru-RU"/>
        </w:rPr>
        <w:t xml:space="preserve"> на </w:t>
      </w:r>
      <w:r w:rsidR="007B4BF4" w:rsidRPr="00232640">
        <w:rPr>
          <w:lang w:val="ru-RU"/>
        </w:rPr>
        <w:t>настоящий</w:t>
      </w:r>
      <w:r w:rsidR="003A6FDC" w:rsidRPr="00232640">
        <w:rPr>
          <w:lang w:val="ru-RU"/>
        </w:rPr>
        <w:t xml:space="preserve"> момент</w:t>
      </w:r>
    </w:p>
    <w:p w14:paraId="15B842FC" w14:textId="4B5EBC50" w:rsidR="00F90867" w:rsidRPr="00DB6F2C" w:rsidRDefault="00284D95" w:rsidP="00EE62FF">
      <w:pPr>
        <w:rPr>
          <w:color w:val="000000" w:themeColor="text1"/>
          <w:lang w:val="ru-RU"/>
        </w:rPr>
      </w:pPr>
      <w:r w:rsidRPr="00232640">
        <w:rPr>
          <w:lang w:val="ru-RU" w:eastAsia="zh-CN"/>
        </w:rPr>
        <w:t xml:space="preserve">Текущие </w:t>
      </w:r>
      <w:r w:rsidR="00AB37C5" w:rsidRPr="00232640">
        <w:rPr>
          <w:lang w:val="ru-RU" w:eastAsia="zh-CN"/>
        </w:rPr>
        <w:t>расходы</w:t>
      </w:r>
      <w:r w:rsidRPr="00232640">
        <w:rPr>
          <w:lang w:val="ru-RU" w:eastAsia="zh-CN"/>
        </w:rPr>
        <w:t xml:space="preserve"> (см.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\</w:instrText>
      </w:r>
      <w:r w:rsidR="00D81752">
        <w:instrText>l</w:instrText>
      </w:r>
      <w:r w:rsidR="00D81752" w:rsidRPr="00D81752">
        <w:rPr>
          <w:lang w:val="ru-RU"/>
        </w:rPr>
        <w:instrText xml:space="preserve"> "</w:instrText>
      </w:r>
      <w:r w:rsidR="00D81752">
        <w:instrText>AnnexB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232640">
        <w:rPr>
          <w:rStyle w:val="Hyperlink"/>
          <w:rFonts w:asciiTheme="minorHAnsi" w:hAnsiTheme="minorHAnsi" w:cstheme="minorHAnsi"/>
          <w:szCs w:val="22"/>
          <w:lang w:val="ru-RU" w:eastAsia="zh-CN"/>
        </w:rPr>
        <w:t>Приложение B</w:t>
      </w:r>
      <w:r w:rsidR="00D81752">
        <w:rPr>
          <w:rStyle w:val="Hyperlink"/>
          <w:rFonts w:asciiTheme="minorHAnsi" w:hAnsiTheme="minorHAnsi" w:cstheme="minorHAnsi"/>
          <w:szCs w:val="22"/>
          <w:lang w:val="ru-RU" w:eastAsia="zh-CN"/>
        </w:rPr>
        <w:fldChar w:fldCharType="end"/>
      </w:r>
      <w:r w:rsidRPr="00232640">
        <w:rPr>
          <w:lang w:val="ru-RU" w:eastAsia="zh-CN"/>
        </w:rPr>
        <w:t>) связаны исключительно с выплатами консорциуму</w:t>
      </w:r>
      <w:r w:rsidRPr="00DB6F2C">
        <w:rPr>
          <w:lang w:val="ru-RU" w:eastAsia="zh-CN"/>
        </w:rPr>
        <w:t xml:space="preserve"> </w:t>
      </w:r>
      <w:r w:rsidR="00650367" w:rsidRPr="00DB6F2C">
        <w:rPr>
          <w:lang w:val="ru-RU" w:eastAsia="zh-CN"/>
        </w:rPr>
        <w:t>архитекторов</w:t>
      </w:r>
      <w:r w:rsidRPr="00DB6F2C">
        <w:rPr>
          <w:lang w:val="ru-RU" w:eastAsia="zh-CN"/>
        </w:rPr>
        <w:t xml:space="preserve"> CDTK</w:t>
      </w:r>
      <w:r w:rsidR="003F78E8" w:rsidRPr="00DB6F2C">
        <w:rPr>
          <w:lang w:val="ru-RU" w:eastAsia="zh-CN"/>
        </w:rPr>
        <w:t xml:space="preserve"> </w:t>
      </w:r>
      <w:r w:rsidRPr="00DB6F2C">
        <w:rPr>
          <w:lang w:val="ru-RU" w:eastAsia="zh-CN"/>
        </w:rPr>
        <w:t xml:space="preserve">и </w:t>
      </w:r>
      <w:r w:rsidR="00650367" w:rsidRPr="00DB6F2C">
        <w:rPr>
          <w:lang w:val="ru-RU" w:eastAsia="zh-CN"/>
        </w:rPr>
        <w:t xml:space="preserve">компании </w:t>
      </w:r>
      <w:r w:rsidRPr="00DB6F2C">
        <w:rPr>
          <w:lang w:val="ru-RU" w:eastAsia="zh-CN"/>
        </w:rPr>
        <w:t xml:space="preserve">Hill </w:t>
      </w:r>
      <w:proofErr w:type="spellStart"/>
      <w:r w:rsidRPr="00DB6F2C">
        <w:rPr>
          <w:lang w:val="ru-RU" w:eastAsia="zh-CN"/>
        </w:rPr>
        <w:t>int</w:t>
      </w:r>
      <w:proofErr w:type="spellEnd"/>
      <w:r w:rsidRPr="00DB6F2C">
        <w:rPr>
          <w:lang w:val="ru-RU" w:eastAsia="zh-CN"/>
        </w:rPr>
        <w:t xml:space="preserve">., </w:t>
      </w:r>
      <w:r w:rsidR="00650367" w:rsidRPr="00DB6F2C">
        <w:rPr>
          <w:lang w:val="ru-RU" w:eastAsia="zh-CN"/>
        </w:rPr>
        <w:t>оказывающей</w:t>
      </w:r>
      <w:r w:rsidRPr="00DB6F2C">
        <w:rPr>
          <w:lang w:val="ru-RU" w:eastAsia="zh-CN"/>
        </w:rPr>
        <w:t xml:space="preserve"> поддержку в управлении проектом.</w:t>
      </w:r>
      <w:r w:rsidR="003F78E8" w:rsidRPr="00DB6F2C">
        <w:rPr>
          <w:lang w:val="ru-RU" w:eastAsia="zh-CN"/>
        </w:rPr>
        <w:t xml:space="preserve"> </w:t>
      </w:r>
      <w:r w:rsidR="007A5158" w:rsidRPr="00DB6F2C">
        <w:rPr>
          <w:lang w:val="ru-RU" w:eastAsia="zh-CN"/>
        </w:rPr>
        <w:t>Размер</w:t>
      </w:r>
      <w:r w:rsidR="003F78E8" w:rsidRPr="00DB6F2C">
        <w:rPr>
          <w:lang w:val="ru-RU" w:eastAsia="zh-CN"/>
        </w:rPr>
        <w:t xml:space="preserve"> </w:t>
      </w:r>
      <w:r w:rsidR="00AB37C5" w:rsidRPr="00DB6F2C">
        <w:rPr>
          <w:lang w:val="ru-RU" w:eastAsia="zh-CN"/>
        </w:rPr>
        <w:t>расходов</w:t>
      </w:r>
      <w:r w:rsidR="003F78E8" w:rsidRPr="00DB6F2C">
        <w:rPr>
          <w:lang w:val="ru-RU" w:eastAsia="zh-CN"/>
        </w:rPr>
        <w:t xml:space="preserve"> на настоящий момент соответствует прогнозируемым</w:t>
      </w:r>
      <w:r w:rsidRPr="00DB6F2C">
        <w:rPr>
          <w:lang w:val="ru-RU" w:eastAsia="zh-CN"/>
        </w:rPr>
        <w:t xml:space="preserve"> </w:t>
      </w:r>
      <w:r w:rsidR="007A5158" w:rsidRPr="00DB6F2C">
        <w:rPr>
          <w:lang w:val="ru-RU" w:eastAsia="zh-CN"/>
        </w:rPr>
        <w:t>расходам</w:t>
      </w:r>
      <w:r w:rsidR="003F78E8" w:rsidRPr="00DB6F2C">
        <w:rPr>
          <w:lang w:val="ru-RU" w:eastAsia="zh-CN"/>
        </w:rPr>
        <w:t xml:space="preserve">, отчет по которым на ежеквартальной основе направляется стране пребывания; </w:t>
      </w:r>
      <w:r w:rsidR="00AA257B" w:rsidRPr="00DB6F2C">
        <w:rPr>
          <w:lang w:val="ru-RU" w:eastAsia="zh-CN"/>
        </w:rPr>
        <w:t xml:space="preserve">также </w:t>
      </w:r>
      <w:r w:rsidR="003F78E8" w:rsidRPr="00DB6F2C">
        <w:rPr>
          <w:lang w:val="ru-RU" w:eastAsia="zh-CN"/>
        </w:rPr>
        <w:t xml:space="preserve">каждый квартал </w:t>
      </w:r>
      <w:r w:rsidR="00AA257B" w:rsidRPr="00DB6F2C">
        <w:rPr>
          <w:lang w:val="ru-RU" w:eastAsia="zh-CN"/>
        </w:rPr>
        <w:t>направляются</w:t>
      </w:r>
      <w:r w:rsidR="003F78E8" w:rsidRPr="00DB6F2C">
        <w:rPr>
          <w:lang w:val="ru-RU" w:eastAsia="zh-CN"/>
        </w:rPr>
        <w:t xml:space="preserve"> </w:t>
      </w:r>
      <w:r w:rsidR="00AA257B" w:rsidRPr="00DB6F2C">
        <w:rPr>
          <w:lang w:val="ru-RU" w:eastAsia="zh-CN"/>
        </w:rPr>
        <w:t>заявки на предоставление средств для покрытия текущих расходов по проекту.</w:t>
      </w:r>
      <w:r w:rsidR="003F78E8" w:rsidRPr="00DB6F2C">
        <w:rPr>
          <w:lang w:val="ru-RU" w:eastAsia="zh-CN"/>
        </w:rPr>
        <w:t xml:space="preserve"> </w:t>
      </w:r>
    </w:p>
    <w:p w14:paraId="58EE82B4" w14:textId="46A0C956" w:rsidR="00F90867" w:rsidRPr="00DB6F2C" w:rsidRDefault="00AD2DC8" w:rsidP="00EE62FF">
      <w:pPr>
        <w:rPr>
          <w:lang w:val="ru-RU" w:eastAsia="zh-CN"/>
        </w:rPr>
      </w:pPr>
      <w:r w:rsidRPr="00DB6F2C">
        <w:rPr>
          <w:lang w:val="ru-RU" w:eastAsia="zh-CN"/>
        </w:rPr>
        <w:t xml:space="preserve">После проверки и подтверждения сметных сумм требуемый объем средств </w:t>
      </w:r>
      <w:r w:rsidR="000E324D" w:rsidRPr="00DB6F2C">
        <w:rPr>
          <w:lang w:val="ru-RU" w:eastAsia="zh-CN"/>
        </w:rPr>
        <w:t>поступает</w:t>
      </w:r>
      <w:r w:rsidRPr="00DB6F2C">
        <w:rPr>
          <w:lang w:val="ru-RU" w:eastAsia="zh-CN"/>
        </w:rPr>
        <w:t xml:space="preserve"> на банковский счет МСЭ. </w:t>
      </w:r>
    </w:p>
    <w:p w14:paraId="51192654" w14:textId="2BDBC57B" w:rsidR="00F90867" w:rsidRPr="00DB6F2C" w:rsidRDefault="00AD2DC8" w:rsidP="00EE62FF">
      <w:pPr>
        <w:rPr>
          <w:lang w:val="ru-RU" w:eastAsia="zh-CN"/>
        </w:rPr>
      </w:pPr>
      <w:r w:rsidRPr="00DB6F2C">
        <w:rPr>
          <w:lang w:val="ru-RU" w:eastAsia="zh-CN"/>
        </w:rPr>
        <w:t xml:space="preserve">Привлечение средств, </w:t>
      </w:r>
      <w:r w:rsidR="000E324D" w:rsidRPr="00DB6F2C">
        <w:rPr>
          <w:lang w:val="ru-RU" w:eastAsia="zh-CN"/>
        </w:rPr>
        <w:t>отраженное</w:t>
      </w:r>
      <w:r w:rsidR="003C72D2" w:rsidRPr="00DB6F2C">
        <w:rPr>
          <w:lang w:val="ru-RU" w:eastAsia="zh-CN"/>
        </w:rPr>
        <w:t xml:space="preserve"> </w:t>
      </w:r>
      <w:r w:rsidRPr="00DB6F2C">
        <w:rPr>
          <w:lang w:val="ru-RU" w:eastAsia="zh-CN"/>
        </w:rPr>
        <w:t xml:space="preserve">в таблице ниже, осуществляется на ежеквартальной основе, как </w:t>
      </w:r>
      <w:r w:rsidR="000E324D" w:rsidRPr="00DB6F2C">
        <w:rPr>
          <w:lang w:val="ru-RU" w:eastAsia="zh-CN"/>
        </w:rPr>
        <w:t>указано</w:t>
      </w:r>
      <w:r w:rsidRPr="00DB6F2C">
        <w:rPr>
          <w:lang w:val="ru-RU" w:eastAsia="zh-CN"/>
        </w:rPr>
        <w:t xml:space="preserve"> выше. Оно </w:t>
      </w:r>
      <w:r w:rsidR="007A5158" w:rsidRPr="00DB6F2C">
        <w:rPr>
          <w:lang w:val="ru-RU" w:eastAsia="zh-CN"/>
        </w:rPr>
        <w:t>осуществляется</w:t>
      </w:r>
      <w:r w:rsidR="003C72D2" w:rsidRPr="00DB6F2C">
        <w:rPr>
          <w:lang w:val="ru-RU" w:eastAsia="zh-CN"/>
        </w:rPr>
        <w:t xml:space="preserve"> не только </w:t>
      </w:r>
      <w:r w:rsidR="00087C03" w:rsidRPr="00DB6F2C">
        <w:rPr>
          <w:lang w:val="ru-RU" w:eastAsia="zh-CN"/>
        </w:rPr>
        <w:t>в рамках</w:t>
      </w:r>
      <w:r w:rsidR="007A5158" w:rsidRPr="00DB6F2C">
        <w:rPr>
          <w:lang w:val="ru-RU" w:eastAsia="zh-CN"/>
        </w:rPr>
        <w:t xml:space="preserve"> графика</w:t>
      </w:r>
      <w:r w:rsidR="003C72D2" w:rsidRPr="00DB6F2C">
        <w:rPr>
          <w:lang w:val="ru-RU" w:eastAsia="zh-CN"/>
        </w:rPr>
        <w:t xml:space="preserve">, </w:t>
      </w:r>
      <w:r w:rsidR="00087C03" w:rsidRPr="00DB6F2C">
        <w:rPr>
          <w:lang w:val="ru-RU" w:eastAsia="zh-CN"/>
        </w:rPr>
        <w:t>представленного</w:t>
      </w:r>
      <w:r w:rsidR="003C72D2" w:rsidRPr="00DB6F2C">
        <w:rPr>
          <w:lang w:val="ru-RU" w:eastAsia="zh-CN"/>
        </w:rPr>
        <w:t xml:space="preserve"> поставщиками услуг (</w:t>
      </w:r>
      <w:r w:rsidR="007A5158" w:rsidRPr="00DB6F2C">
        <w:rPr>
          <w:lang w:val="ru-RU" w:eastAsia="zh-CN"/>
        </w:rPr>
        <w:t xml:space="preserve">CDTK и HILL International), но и для финансирования потенциальных </w:t>
      </w:r>
      <w:r w:rsidR="00AB37C5" w:rsidRPr="00DB6F2C">
        <w:rPr>
          <w:lang w:val="ru-RU" w:eastAsia="zh-CN"/>
        </w:rPr>
        <w:t>расходов</w:t>
      </w:r>
      <w:r w:rsidR="007A5158" w:rsidRPr="00DB6F2C">
        <w:rPr>
          <w:lang w:val="ru-RU" w:eastAsia="zh-CN"/>
        </w:rPr>
        <w:t xml:space="preserve"> (на проведение анализа, бурение скважин, топографические исследования и т.</w:t>
      </w:r>
      <w:r w:rsidR="00975F3F" w:rsidRPr="00DB6F2C">
        <w:rPr>
          <w:lang w:val="ru-RU" w:eastAsia="zh-CN"/>
        </w:rPr>
        <w:t> </w:t>
      </w:r>
      <w:r w:rsidR="007A5158" w:rsidRPr="00DB6F2C">
        <w:rPr>
          <w:lang w:val="ru-RU" w:eastAsia="zh-CN"/>
        </w:rPr>
        <w:t xml:space="preserve">д.), которые могут потребоваться на этапе проектирования, финансируемом за счет первого транша ссуды. </w:t>
      </w:r>
    </w:p>
    <w:p w14:paraId="4CE056C8" w14:textId="12D8AE06" w:rsidR="00F90867" w:rsidRPr="00DB6F2C" w:rsidRDefault="00F90867" w:rsidP="00EE62FF">
      <w:pPr>
        <w:pStyle w:val="Heading2"/>
        <w:rPr>
          <w:lang w:val="ru-RU"/>
        </w:rPr>
      </w:pPr>
      <w:r w:rsidRPr="00DB6F2C">
        <w:rPr>
          <w:lang w:val="ru-RU"/>
        </w:rPr>
        <w:t>4.4</w:t>
      </w:r>
      <w:r w:rsidRPr="00DB6F2C">
        <w:rPr>
          <w:lang w:val="ru-RU"/>
        </w:rPr>
        <w:tab/>
      </w:r>
      <w:r w:rsidR="00A150AF" w:rsidRPr="00DB6F2C">
        <w:rPr>
          <w:lang w:val="ru-RU"/>
        </w:rPr>
        <w:t xml:space="preserve">Предусмотренные </w:t>
      </w:r>
      <w:r w:rsidR="00AB37C5" w:rsidRPr="00DB6F2C">
        <w:rPr>
          <w:lang w:val="ru-RU"/>
        </w:rPr>
        <w:t>расходы</w:t>
      </w:r>
      <w:r w:rsidR="00A150AF" w:rsidRPr="00DB6F2C">
        <w:rPr>
          <w:lang w:val="ru-RU"/>
        </w:rPr>
        <w:t xml:space="preserve"> против фактических</w:t>
      </w:r>
      <w:r w:rsidR="00E815FF" w:rsidRPr="00DB6F2C">
        <w:rPr>
          <w:lang w:val="ru-RU"/>
        </w:rPr>
        <w:t xml:space="preserve"> расходов</w:t>
      </w:r>
    </w:p>
    <w:p w14:paraId="556E1092" w14:textId="35B453AA" w:rsidR="00F90867" w:rsidRPr="00232640" w:rsidRDefault="00E815FF" w:rsidP="00EE62FF">
      <w:pPr>
        <w:rPr>
          <w:b/>
          <w:bCs/>
          <w:color w:val="000000" w:themeColor="text1"/>
          <w:lang w:val="ru-RU"/>
        </w:rPr>
      </w:pPr>
      <w:r w:rsidRPr="00232640">
        <w:rPr>
          <w:lang w:val="ru-RU" w:eastAsia="zh-CN"/>
        </w:rPr>
        <w:t xml:space="preserve">В графике, приведенном в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\</w:instrText>
      </w:r>
      <w:r w:rsidR="00D81752">
        <w:instrText>l</w:instrText>
      </w:r>
      <w:r w:rsidR="00D81752" w:rsidRPr="00D81752">
        <w:rPr>
          <w:lang w:val="ru-RU"/>
        </w:rPr>
        <w:instrText xml:space="preserve"> "</w:instrText>
      </w:r>
      <w:r w:rsidR="00D81752">
        <w:instrText>AnnexC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232640">
        <w:rPr>
          <w:rStyle w:val="Hyperlink"/>
          <w:rFonts w:asciiTheme="minorHAnsi" w:hAnsiTheme="minorHAnsi" w:cstheme="minorHAnsi"/>
          <w:szCs w:val="22"/>
          <w:lang w:val="ru-RU" w:eastAsia="zh-CN"/>
        </w:rPr>
        <w:t>Приложении C</w:t>
      </w:r>
      <w:r w:rsidR="00D81752">
        <w:rPr>
          <w:rStyle w:val="Hyperlink"/>
          <w:rFonts w:asciiTheme="minorHAnsi" w:hAnsiTheme="minorHAnsi" w:cstheme="minorHAnsi"/>
          <w:szCs w:val="22"/>
          <w:lang w:val="ru-RU" w:eastAsia="zh-CN"/>
        </w:rPr>
        <w:fldChar w:fldCharType="end"/>
      </w:r>
      <w:r w:rsidRPr="00232640">
        <w:rPr>
          <w:lang w:val="ru-RU" w:eastAsia="zh-CN"/>
        </w:rPr>
        <w:t xml:space="preserve">, представлены фактические </w:t>
      </w:r>
      <w:r w:rsidR="00AB37C5" w:rsidRPr="00232640">
        <w:rPr>
          <w:lang w:val="ru-RU" w:eastAsia="zh-CN"/>
        </w:rPr>
        <w:t>расходы</w:t>
      </w:r>
      <w:r w:rsidRPr="00232640">
        <w:rPr>
          <w:lang w:val="ru-RU" w:eastAsia="zh-CN"/>
        </w:rPr>
        <w:t xml:space="preserve"> (красные столбики) в сопоставлении с планируемыми </w:t>
      </w:r>
      <w:r w:rsidR="00AB37C5" w:rsidRPr="00232640">
        <w:rPr>
          <w:lang w:val="ru-RU" w:eastAsia="zh-CN"/>
        </w:rPr>
        <w:t xml:space="preserve">расходами </w:t>
      </w:r>
      <w:r w:rsidRPr="00232640">
        <w:rPr>
          <w:lang w:val="ru-RU" w:eastAsia="zh-CN"/>
        </w:rPr>
        <w:t xml:space="preserve">(синие столбики). Данный график позволяет осуществлять </w:t>
      </w:r>
      <w:r w:rsidR="00087C03" w:rsidRPr="00232640">
        <w:rPr>
          <w:lang w:val="ru-RU" w:eastAsia="zh-CN"/>
        </w:rPr>
        <w:t>ежемесячный контроль</w:t>
      </w:r>
      <w:r w:rsidRPr="00232640">
        <w:rPr>
          <w:lang w:val="ru-RU" w:eastAsia="zh-CN"/>
        </w:rPr>
        <w:t xml:space="preserve"> </w:t>
      </w:r>
      <w:r w:rsidR="00AB37C5" w:rsidRPr="00232640">
        <w:rPr>
          <w:lang w:val="ru-RU" w:eastAsia="zh-CN"/>
        </w:rPr>
        <w:t xml:space="preserve">расходов </w:t>
      </w:r>
      <w:r w:rsidR="00087C03" w:rsidRPr="00232640">
        <w:rPr>
          <w:lang w:val="ru-RU" w:eastAsia="zh-CN"/>
        </w:rPr>
        <w:t>с измеримыми показателями</w:t>
      </w:r>
      <w:r w:rsidRPr="00232640">
        <w:rPr>
          <w:lang w:val="ru-RU" w:eastAsia="zh-CN"/>
        </w:rPr>
        <w:t xml:space="preserve">, </w:t>
      </w:r>
      <w:r w:rsidR="00087C03" w:rsidRPr="00232640">
        <w:rPr>
          <w:lang w:val="ru-RU" w:eastAsia="zh-CN"/>
        </w:rPr>
        <w:t>для того</w:t>
      </w:r>
      <w:r w:rsidRPr="00232640">
        <w:rPr>
          <w:lang w:val="ru-RU" w:eastAsia="zh-CN"/>
        </w:rPr>
        <w:t xml:space="preserve"> чтобы</w:t>
      </w:r>
      <w:r w:rsidR="005637D6" w:rsidRPr="00232640">
        <w:rPr>
          <w:lang w:val="ru-RU" w:eastAsia="zh-CN"/>
        </w:rPr>
        <w:t>,</w:t>
      </w:r>
      <w:r w:rsidRPr="00232640">
        <w:rPr>
          <w:lang w:val="ru-RU" w:eastAsia="zh-CN"/>
        </w:rPr>
        <w:t xml:space="preserve"> при необходимости</w:t>
      </w:r>
      <w:r w:rsidR="005637D6" w:rsidRPr="00232640">
        <w:rPr>
          <w:lang w:val="ru-RU" w:eastAsia="zh-CN"/>
        </w:rPr>
        <w:t>,</w:t>
      </w:r>
      <w:r w:rsidRPr="00232640">
        <w:rPr>
          <w:lang w:val="ru-RU" w:eastAsia="zh-CN"/>
        </w:rPr>
        <w:t xml:space="preserve"> принять меры реагирования</w:t>
      </w:r>
      <w:r w:rsidR="00F726D7" w:rsidRPr="00232640">
        <w:rPr>
          <w:lang w:val="ru-RU" w:eastAsia="zh-CN"/>
        </w:rPr>
        <w:t xml:space="preserve"> для исправления ситуации</w:t>
      </w:r>
      <w:r w:rsidRPr="00232640">
        <w:rPr>
          <w:lang w:val="ru-RU" w:eastAsia="zh-CN"/>
        </w:rPr>
        <w:t xml:space="preserve">. </w:t>
      </w:r>
      <w:r w:rsidR="00F726D7" w:rsidRPr="00232640">
        <w:rPr>
          <w:lang w:val="ru-RU" w:eastAsia="zh-CN"/>
        </w:rPr>
        <w:t xml:space="preserve">Кроме того, он позволяет отслеживать объем средств </w:t>
      </w:r>
      <w:r w:rsidR="00087C03" w:rsidRPr="00232640">
        <w:rPr>
          <w:lang w:val="ru-RU" w:eastAsia="zh-CN"/>
        </w:rPr>
        <w:t>применительно</w:t>
      </w:r>
      <w:r w:rsidR="00F726D7" w:rsidRPr="00232640">
        <w:rPr>
          <w:lang w:val="ru-RU" w:eastAsia="zh-CN"/>
        </w:rPr>
        <w:t xml:space="preserve"> к реестру рисков (черная пунктирная линия) по </w:t>
      </w:r>
      <w:r w:rsidR="00087C03" w:rsidRPr="00232640">
        <w:rPr>
          <w:lang w:val="ru-RU" w:eastAsia="zh-CN"/>
        </w:rPr>
        <w:t>ходу</w:t>
      </w:r>
      <w:r w:rsidR="00F726D7" w:rsidRPr="00232640">
        <w:rPr>
          <w:lang w:val="ru-RU" w:eastAsia="zh-CN"/>
        </w:rPr>
        <w:t xml:space="preserve"> осуществления проекта. Размер резер</w:t>
      </w:r>
      <w:r w:rsidR="00087C03" w:rsidRPr="00232640">
        <w:rPr>
          <w:lang w:val="ru-RU" w:eastAsia="zh-CN"/>
        </w:rPr>
        <w:t xml:space="preserve">ва средств на покрытие непредвиденных расходов </w:t>
      </w:r>
      <w:r w:rsidR="00F726D7" w:rsidRPr="00232640">
        <w:rPr>
          <w:lang w:val="ru-RU" w:eastAsia="zh-CN"/>
        </w:rPr>
        <w:t xml:space="preserve">(зеленая линия) будет меняться </w:t>
      </w:r>
      <w:r w:rsidR="00087C03" w:rsidRPr="00232640">
        <w:rPr>
          <w:lang w:val="ru-RU" w:eastAsia="zh-CN"/>
        </w:rPr>
        <w:t>в зависимости от того</w:t>
      </w:r>
      <w:r w:rsidR="00F726D7" w:rsidRPr="00232640">
        <w:rPr>
          <w:lang w:val="ru-RU" w:eastAsia="zh-CN"/>
        </w:rPr>
        <w:t>, как и ко</w:t>
      </w:r>
      <w:r w:rsidR="00087C03" w:rsidRPr="00232640">
        <w:rPr>
          <w:lang w:val="ru-RU" w:eastAsia="zh-CN"/>
        </w:rPr>
        <w:t>гда мы будем обращаться к нему в рамках подхода, изложенного</w:t>
      </w:r>
      <w:r w:rsidR="00F726D7" w:rsidRPr="00232640">
        <w:rPr>
          <w:lang w:val="ru-RU" w:eastAsia="zh-CN"/>
        </w:rPr>
        <w:t xml:space="preserve"> в главе 3.8. </w:t>
      </w:r>
    </w:p>
    <w:p w14:paraId="7A7E89AD" w14:textId="1D98E8D5" w:rsidR="00F90867" w:rsidRPr="00232640" w:rsidRDefault="00F90867" w:rsidP="00EE62FF">
      <w:pPr>
        <w:pStyle w:val="Heading2"/>
        <w:rPr>
          <w:lang w:val="ru-RU"/>
        </w:rPr>
      </w:pPr>
      <w:r w:rsidRPr="00232640">
        <w:rPr>
          <w:lang w:val="ru-RU"/>
        </w:rPr>
        <w:t>4.5</w:t>
      </w:r>
      <w:r w:rsidRPr="00232640">
        <w:rPr>
          <w:lang w:val="ru-RU"/>
        </w:rPr>
        <w:tab/>
      </w:r>
      <w:r w:rsidR="00F726D7" w:rsidRPr="00232640">
        <w:rPr>
          <w:lang w:val="ru-RU"/>
        </w:rPr>
        <w:t>Косвенные затраты по проекту</w:t>
      </w:r>
    </w:p>
    <w:p w14:paraId="6374AD7A" w14:textId="0D42F461" w:rsidR="00F90867" w:rsidRPr="00232640" w:rsidRDefault="00F726D7" w:rsidP="00EE62FF">
      <w:pPr>
        <w:rPr>
          <w:lang w:val="ru-RU" w:eastAsia="zh-CN"/>
        </w:rPr>
      </w:pPr>
      <w:r w:rsidRPr="00232640">
        <w:rPr>
          <w:lang w:val="ru-RU" w:eastAsia="zh-CN"/>
        </w:rPr>
        <w:t xml:space="preserve">В соответствии с Решением 619 </w:t>
      </w:r>
      <w:r w:rsidR="00087C03" w:rsidRPr="00232640">
        <w:rPr>
          <w:lang w:val="ru-RU" w:eastAsia="zh-CN"/>
        </w:rPr>
        <w:t xml:space="preserve">Совета </w:t>
      </w:r>
      <w:r w:rsidRPr="00232640">
        <w:rPr>
          <w:lang w:val="ru-RU" w:eastAsia="zh-CN"/>
        </w:rPr>
        <w:t xml:space="preserve">и таблицей, представленной в РГС-ФЛР в феврале 2020 года, на покрытие косвенных затрат будет выделено 935 тыс. швейцарских франков. Таблица данных по косвенным затратам по проекту приведена в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\</w:instrText>
      </w:r>
      <w:r w:rsidR="00D81752">
        <w:instrText>l</w:instrText>
      </w:r>
      <w:r w:rsidR="00D81752" w:rsidRPr="00D81752">
        <w:rPr>
          <w:lang w:val="ru-RU"/>
        </w:rPr>
        <w:instrText xml:space="preserve"> "</w:instrText>
      </w:r>
      <w:r w:rsidR="00D81752">
        <w:instrText>AnnexD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232640">
        <w:rPr>
          <w:rStyle w:val="Hyperlink"/>
          <w:rFonts w:asciiTheme="minorHAnsi" w:hAnsiTheme="minorHAnsi" w:cstheme="minorHAnsi"/>
          <w:szCs w:val="22"/>
          <w:lang w:val="ru-RU"/>
        </w:rPr>
        <w:t>Приложении D</w:t>
      </w:r>
      <w:r w:rsidR="00D81752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Pr="00232640">
        <w:rPr>
          <w:lang w:val="ru-RU" w:eastAsia="zh-CN"/>
        </w:rPr>
        <w:t>.</w:t>
      </w:r>
    </w:p>
    <w:p w14:paraId="65D9767D" w14:textId="4F5BA836" w:rsidR="00F90867" w:rsidRPr="00232640" w:rsidRDefault="00087C03" w:rsidP="00EE62FF">
      <w:pPr>
        <w:rPr>
          <w:lang w:val="ru-RU" w:eastAsia="zh-CN"/>
        </w:rPr>
      </w:pPr>
      <w:r w:rsidRPr="00232640">
        <w:rPr>
          <w:lang w:val="ru-RU" w:eastAsia="zh-CN"/>
        </w:rPr>
        <w:t>О</w:t>
      </w:r>
      <w:r w:rsidR="00371EF9" w:rsidRPr="00232640">
        <w:rPr>
          <w:lang w:val="ru-RU" w:eastAsia="zh-CN"/>
        </w:rPr>
        <w:t xml:space="preserve">беспечение косвенных затрат </w:t>
      </w:r>
      <w:r w:rsidR="00345BC1" w:rsidRPr="00232640">
        <w:rPr>
          <w:lang w:val="ru-RU" w:eastAsia="zh-CN"/>
        </w:rPr>
        <w:t>производится</w:t>
      </w:r>
      <w:r w:rsidR="00371EF9" w:rsidRPr="00232640">
        <w:rPr>
          <w:lang w:val="ru-RU" w:eastAsia="zh-CN"/>
        </w:rPr>
        <w:t xml:space="preserve"> ежегодно </w:t>
      </w:r>
      <w:r w:rsidRPr="00232640">
        <w:rPr>
          <w:lang w:val="ru-RU" w:eastAsia="zh-CN"/>
        </w:rPr>
        <w:t xml:space="preserve">согласно указаниям, представленным в таблице ниже, </w:t>
      </w:r>
      <w:r w:rsidR="00371EF9" w:rsidRPr="00232640">
        <w:rPr>
          <w:lang w:val="ru-RU" w:eastAsia="zh-CN"/>
        </w:rPr>
        <w:t xml:space="preserve">и включается в оперативный бюджет МСЭ </w:t>
      </w:r>
      <w:r w:rsidR="00EC5E83" w:rsidRPr="00232640">
        <w:rPr>
          <w:lang w:val="ru-RU" w:eastAsia="zh-CN"/>
        </w:rPr>
        <w:t xml:space="preserve">на </w:t>
      </w:r>
      <w:r w:rsidR="00371EF9" w:rsidRPr="00232640">
        <w:rPr>
          <w:lang w:val="ru-RU" w:eastAsia="zh-CN"/>
        </w:rPr>
        <w:t>период осуществления проекта</w:t>
      </w:r>
      <w:r w:rsidR="00EC5E83" w:rsidRPr="00232640">
        <w:rPr>
          <w:lang w:val="ru-RU" w:eastAsia="zh-CN"/>
        </w:rPr>
        <w:t>.</w:t>
      </w:r>
    </w:p>
    <w:p w14:paraId="62A39544" w14:textId="56E19B0B" w:rsidR="00F90867" w:rsidRPr="00DB6F2C" w:rsidRDefault="00EE62FF" w:rsidP="00EE62FF">
      <w:pPr>
        <w:pStyle w:val="Heading1"/>
        <w:rPr>
          <w:lang w:val="ru-RU" w:eastAsia="ja-JP"/>
        </w:rPr>
      </w:pPr>
      <w:r w:rsidRPr="00232640">
        <w:rPr>
          <w:lang w:val="ru-RU" w:eastAsia="ja-JP"/>
        </w:rPr>
        <w:t>5</w:t>
      </w:r>
      <w:r w:rsidRPr="00232640">
        <w:rPr>
          <w:lang w:val="ru-RU" w:eastAsia="ja-JP"/>
        </w:rPr>
        <w:tab/>
      </w:r>
      <w:r w:rsidR="00FA2A52" w:rsidRPr="00232640">
        <w:rPr>
          <w:lang w:val="ru-RU" w:eastAsia="ja-JP"/>
        </w:rPr>
        <w:t>Определение выплат за сервитут</w:t>
      </w:r>
      <w:r w:rsidR="00EC5E83" w:rsidRPr="00232640">
        <w:rPr>
          <w:lang w:val="ru-RU" w:eastAsia="ja-JP"/>
        </w:rPr>
        <w:t>ы</w:t>
      </w:r>
      <w:r w:rsidR="00FA2A52" w:rsidRPr="00232640">
        <w:rPr>
          <w:lang w:val="ru-RU" w:eastAsia="ja-JP"/>
        </w:rPr>
        <w:t xml:space="preserve"> перед подачей </w:t>
      </w:r>
      <w:r w:rsidR="00EC5E83" w:rsidRPr="00232640">
        <w:rPr>
          <w:lang w:val="ru-RU" w:eastAsia="ja-JP"/>
        </w:rPr>
        <w:t>заявления о выдаче</w:t>
      </w:r>
      <w:r w:rsidR="00FA2A52" w:rsidRPr="00DB6F2C">
        <w:rPr>
          <w:lang w:val="ru-RU" w:eastAsia="ja-JP"/>
        </w:rPr>
        <w:t xml:space="preserve"> разрешения на строительство</w:t>
      </w:r>
    </w:p>
    <w:p w14:paraId="38A23535" w14:textId="01BD1AD7" w:rsidR="00F90867" w:rsidRPr="00DB6F2C" w:rsidRDefault="00EC5E83" w:rsidP="00EE62FF">
      <w:pPr>
        <w:rPr>
          <w:lang w:val="ru-RU" w:eastAsia="zh-CN"/>
        </w:rPr>
      </w:pPr>
      <w:r w:rsidRPr="00DB6F2C">
        <w:rPr>
          <w:lang w:val="ru-RU" w:eastAsia="zh-CN"/>
        </w:rPr>
        <w:t>До того как будет подано заявление о</w:t>
      </w:r>
      <w:r w:rsidR="00345BC1" w:rsidRPr="00DB6F2C">
        <w:rPr>
          <w:lang w:val="ru-RU" w:eastAsia="zh-CN"/>
        </w:rPr>
        <w:t xml:space="preserve"> </w:t>
      </w:r>
      <w:r w:rsidRPr="00DB6F2C">
        <w:rPr>
          <w:lang w:val="ru-RU" w:eastAsia="zh-CN"/>
        </w:rPr>
        <w:t>выдаче</w:t>
      </w:r>
      <w:r w:rsidR="00345BC1" w:rsidRPr="00DB6F2C">
        <w:rPr>
          <w:lang w:val="ru-RU" w:eastAsia="zh-CN"/>
        </w:rPr>
        <w:t xml:space="preserve"> разрешения на строительство</w:t>
      </w:r>
      <w:r w:rsidRPr="00DB6F2C">
        <w:rPr>
          <w:lang w:val="ru-RU" w:eastAsia="zh-CN"/>
        </w:rPr>
        <w:t>,</w:t>
      </w:r>
      <w:r w:rsidR="00345BC1" w:rsidRPr="00DB6F2C">
        <w:rPr>
          <w:lang w:val="ru-RU" w:eastAsia="zh-CN"/>
        </w:rPr>
        <w:t xml:space="preserve"> должны быть </w:t>
      </w:r>
      <w:r w:rsidR="00FA2A52" w:rsidRPr="00DB6F2C">
        <w:rPr>
          <w:lang w:val="ru-RU" w:eastAsia="zh-CN"/>
        </w:rPr>
        <w:t>определены и урегулированы вопросы, касающиеся существующих и новых выплат за сервитут</w:t>
      </w:r>
      <w:r w:rsidRPr="00DB6F2C">
        <w:rPr>
          <w:lang w:val="ru-RU" w:eastAsia="zh-CN"/>
        </w:rPr>
        <w:t>ы</w:t>
      </w:r>
      <w:r w:rsidR="00FA2A52" w:rsidRPr="00DB6F2C">
        <w:rPr>
          <w:lang w:val="ru-RU" w:eastAsia="zh-CN"/>
        </w:rPr>
        <w:t xml:space="preserve">. </w:t>
      </w:r>
      <w:r w:rsidR="00804E15" w:rsidRPr="00DB6F2C">
        <w:rPr>
          <w:lang w:val="ru-RU" w:eastAsia="zh-CN"/>
        </w:rPr>
        <w:t>В</w:t>
      </w:r>
      <w:r w:rsidR="00DD5E5B" w:rsidRPr="00DB6F2C">
        <w:rPr>
          <w:lang w:val="ru-RU" w:eastAsia="zh-CN"/>
        </w:rPr>
        <w:t> </w:t>
      </w:r>
      <w:r w:rsidR="00804E15" w:rsidRPr="00DB6F2C">
        <w:rPr>
          <w:lang w:val="ru-RU" w:eastAsia="zh-CN"/>
        </w:rPr>
        <w:t>настоящее время Секретариат</w:t>
      </w:r>
      <w:r w:rsidR="00FA2A52" w:rsidRPr="00DB6F2C">
        <w:rPr>
          <w:lang w:val="ru-RU" w:eastAsia="zh-CN"/>
        </w:rPr>
        <w:t xml:space="preserve"> </w:t>
      </w:r>
      <w:r w:rsidR="00427438" w:rsidRPr="00DB6F2C">
        <w:rPr>
          <w:lang w:val="ru-RU" w:eastAsia="zh-CN"/>
        </w:rPr>
        <w:t>ведет работу по назначению</w:t>
      </w:r>
      <w:r w:rsidR="00FA2A52" w:rsidRPr="00DB6F2C">
        <w:rPr>
          <w:lang w:val="ru-RU" w:eastAsia="zh-CN"/>
        </w:rPr>
        <w:t xml:space="preserve"> нотариуса, </w:t>
      </w:r>
      <w:r w:rsidR="00804E15" w:rsidRPr="00DB6F2C">
        <w:rPr>
          <w:lang w:val="ru-RU" w:eastAsia="zh-CN"/>
        </w:rPr>
        <w:t>знакомого с</w:t>
      </w:r>
      <w:r w:rsidR="00FA2A52" w:rsidRPr="00DB6F2C">
        <w:rPr>
          <w:lang w:val="ru-RU" w:eastAsia="zh-CN"/>
        </w:rPr>
        <w:t xml:space="preserve"> </w:t>
      </w:r>
      <w:r w:rsidR="00804E15" w:rsidRPr="00DB6F2C">
        <w:rPr>
          <w:lang w:val="ru-RU" w:eastAsia="zh-CN"/>
        </w:rPr>
        <w:t>историей</w:t>
      </w:r>
      <w:r w:rsidR="00FA2A52" w:rsidRPr="00DB6F2C">
        <w:rPr>
          <w:lang w:val="ru-RU" w:eastAsia="zh-CN"/>
        </w:rPr>
        <w:t xml:space="preserve"> зданий МСЭ, а также </w:t>
      </w:r>
      <w:r w:rsidR="00804E15" w:rsidRPr="00DB6F2C">
        <w:rPr>
          <w:lang w:val="ru-RU" w:eastAsia="zh-CN"/>
        </w:rPr>
        <w:t xml:space="preserve">с </w:t>
      </w:r>
      <w:r w:rsidR="00427438" w:rsidRPr="00DB6F2C">
        <w:rPr>
          <w:lang w:val="ru-RU" w:eastAsia="zh-CN"/>
        </w:rPr>
        <w:t>аспектами</w:t>
      </w:r>
      <w:r w:rsidR="00804E15" w:rsidRPr="00DB6F2C">
        <w:rPr>
          <w:lang w:val="ru-RU" w:eastAsia="zh-CN"/>
        </w:rPr>
        <w:t xml:space="preserve"> его</w:t>
      </w:r>
      <w:r w:rsidR="00FA2A52" w:rsidRPr="00DB6F2C">
        <w:rPr>
          <w:lang w:val="ru-RU" w:eastAsia="zh-CN"/>
        </w:rPr>
        <w:t xml:space="preserve"> статуса, привилегий и иммунитетов. Перед </w:t>
      </w:r>
      <w:r w:rsidR="00804E15" w:rsidRPr="00DB6F2C">
        <w:rPr>
          <w:lang w:val="ru-RU" w:eastAsia="zh-CN"/>
        </w:rPr>
        <w:t>совершением</w:t>
      </w:r>
      <w:r w:rsidR="00FA2A52" w:rsidRPr="00DB6F2C">
        <w:rPr>
          <w:lang w:val="ru-RU" w:eastAsia="zh-CN"/>
        </w:rPr>
        <w:t xml:space="preserve"> </w:t>
      </w:r>
      <w:r w:rsidR="00804E15" w:rsidRPr="00DB6F2C">
        <w:rPr>
          <w:lang w:val="ru-RU" w:eastAsia="zh-CN"/>
        </w:rPr>
        <w:t xml:space="preserve">нотариальных действий </w:t>
      </w:r>
      <w:r w:rsidR="00FA2A52" w:rsidRPr="00DB6F2C">
        <w:rPr>
          <w:lang w:val="ru-RU" w:eastAsia="zh-CN"/>
        </w:rPr>
        <w:t xml:space="preserve">необходимо будет провести консультации с различными </w:t>
      </w:r>
      <w:r w:rsidR="00804E15" w:rsidRPr="00DB6F2C">
        <w:rPr>
          <w:lang w:val="ru-RU" w:eastAsia="zh-CN"/>
        </w:rPr>
        <w:t>собственниками земельных участков</w:t>
      </w:r>
      <w:r w:rsidR="00FA2A52" w:rsidRPr="00DB6F2C">
        <w:rPr>
          <w:lang w:val="ru-RU" w:eastAsia="zh-CN"/>
        </w:rPr>
        <w:t xml:space="preserve"> и/или </w:t>
      </w:r>
      <w:r w:rsidR="00804E15" w:rsidRPr="00DB6F2C">
        <w:rPr>
          <w:lang w:val="ru-RU" w:eastAsia="zh-CN"/>
        </w:rPr>
        <w:t>бенефициарами</w:t>
      </w:r>
      <w:r w:rsidR="00FA2A52" w:rsidRPr="00DB6F2C">
        <w:rPr>
          <w:lang w:val="ru-RU" w:eastAsia="zh-CN"/>
        </w:rPr>
        <w:t xml:space="preserve"> с целью согласовать </w:t>
      </w:r>
      <w:r w:rsidR="001D2A66" w:rsidRPr="00DB6F2C">
        <w:rPr>
          <w:lang w:val="ru-RU" w:eastAsia="zh-CN"/>
        </w:rPr>
        <w:t xml:space="preserve">условия </w:t>
      </w:r>
      <w:r w:rsidR="00804E15" w:rsidRPr="00DB6F2C">
        <w:rPr>
          <w:lang w:val="ru-RU" w:eastAsia="zh-CN"/>
        </w:rPr>
        <w:t>в форме</w:t>
      </w:r>
      <w:r w:rsidR="00427438" w:rsidRPr="00DB6F2C">
        <w:rPr>
          <w:lang w:val="ru-RU" w:eastAsia="zh-CN"/>
        </w:rPr>
        <w:t xml:space="preserve"> </w:t>
      </w:r>
      <w:r w:rsidR="001D2A66" w:rsidRPr="00DB6F2C">
        <w:rPr>
          <w:lang w:val="ru-RU" w:eastAsia="zh-CN"/>
        </w:rPr>
        <w:t xml:space="preserve">письменного соглашения, которое должно быть включено в </w:t>
      </w:r>
      <w:r w:rsidR="00804E15" w:rsidRPr="00DB6F2C">
        <w:rPr>
          <w:lang w:val="ru-RU" w:eastAsia="zh-CN"/>
        </w:rPr>
        <w:t>заявление о выдаче</w:t>
      </w:r>
      <w:r w:rsidR="001D2A66" w:rsidRPr="00DB6F2C">
        <w:rPr>
          <w:lang w:val="ru-RU" w:eastAsia="zh-CN"/>
        </w:rPr>
        <w:t xml:space="preserve"> разрешения. Нотариус заверит соглашение и затем приступит к </w:t>
      </w:r>
      <w:r w:rsidRPr="00DB6F2C">
        <w:rPr>
          <w:lang w:val="ru-RU" w:eastAsia="zh-CN"/>
        </w:rPr>
        <w:t>оформлению</w:t>
      </w:r>
      <w:r w:rsidR="001D2A66" w:rsidRPr="00DB6F2C">
        <w:rPr>
          <w:lang w:val="ru-RU" w:eastAsia="zh-CN"/>
        </w:rPr>
        <w:t xml:space="preserve"> всех выплат за сервитут</w:t>
      </w:r>
      <w:r w:rsidRPr="00DB6F2C">
        <w:rPr>
          <w:lang w:val="ru-RU" w:eastAsia="zh-CN"/>
        </w:rPr>
        <w:t>ы на индивидуальной основе</w:t>
      </w:r>
      <w:r w:rsidR="001D2A66" w:rsidRPr="00DB6F2C">
        <w:rPr>
          <w:lang w:val="ru-RU" w:eastAsia="zh-CN"/>
        </w:rPr>
        <w:t xml:space="preserve">. </w:t>
      </w:r>
    </w:p>
    <w:p w14:paraId="41E0147C" w14:textId="05FC038E" w:rsidR="00F90867" w:rsidRPr="00DB6F2C" w:rsidRDefault="00D943C0" w:rsidP="00EE62FF">
      <w:pPr>
        <w:pStyle w:val="Heading1"/>
        <w:rPr>
          <w:lang w:val="ru-RU" w:eastAsia="ja-JP"/>
        </w:rPr>
      </w:pPr>
      <w:r w:rsidRPr="00DB6F2C">
        <w:rPr>
          <w:lang w:val="ru-RU" w:eastAsia="ja-JP"/>
        </w:rPr>
        <w:lastRenderedPageBreak/>
        <w:t>6</w:t>
      </w:r>
      <w:r w:rsidR="00EE62FF" w:rsidRPr="00DB6F2C">
        <w:rPr>
          <w:lang w:val="ru-RU" w:eastAsia="ja-JP"/>
        </w:rPr>
        <w:tab/>
      </w:r>
      <w:r w:rsidR="001D2A66" w:rsidRPr="00DB6F2C">
        <w:rPr>
          <w:lang w:val="ru-RU" w:eastAsia="ja-JP"/>
        </w:rPr>
        <w:t xml:space="preserve">Разработка системы классификации файлов в целях </w:t>
      </w:r>
      <w:r w:rsidR="00804E15" w:rsidRPr="00DB6F2C">
        <w:rPr>
          <w:lang w:val="ru-RU" w:eastAsia="ja-JP"/>
        </w:rPr>
        <w:t>перехода к</w:t>
      </w:r>
      <w:r w:rsidR="009C7AC2" w:rsidRPr="00DB6F2C">
        <w:rPr>
          <w:lang w:val="ru-RU" w:eastAsia="ja-JP"/>
        </w:rPr>
        <w:t> </w:t>
      </w:r>
      <w:r w:rsidR="00804E15" w:rsidRPr="00DB6F2C">
        <w:rPr>
          <w:lang w:val="ru-RU" w:eastAsia="ja-JP"/>
        </w:rPr>
        <w:t>безбумажной</w:t>
      </w:r>
      <w:r w:rsidR="001D2A66" w:rsidRPr="00DB6F2C">
        <w:rPr>
          <w:lang w:val="ru-RU" w:eastAsia="ja-JP"/>
        </w:rPr>
        <w:t xml:space="preserve"> </w:t>
      </w:r>
      <w:r w:rsidR="00804E15" w:rsidRPr="00DB6F2C">
        <w:rPr>
          <w:lang w:val="ru-RU" w:eastAsia="ja-JP"/>
        </w:rPr>
        <w:t>среде</w:t>
      </w:r>
    </w:p>
    <w:p w14:paraId="4C7EB7E8" w14:textId="1858CA12" w:rsidR="00F90867" w:rsidRPr="00DB6F2C" w:rsidRDefault="00D943C0" w:rsidP="00EE62FF">
      <w:pPr>
        <w:rPr>
          <w:lang w:val="ru-RU" w:eastAsia="ja-JP"/>
        </w:rPr>
      </w:pPr>
      <w:r w:rsidRPr="00DB6F2C">
        <w:rPr>
          <w:lang w:val="ru-RU"/>
        </w:rPr>
        <w:t xml:space="preserve">По мере перемещения МСЭ в новое здание все </w:t>
      </w:r>
      <w:r w:rsidR="002505FD" w:rsidRPr="00DB6F2C">
        <w:rPr>
          <w:lang w:val="ru-RU"/>
        </w:rPr>
        <w:t xml:space="preserve">актуальнее становится потребность в гибких </w:t>
      </w:r>
      <w:r w:rsidRPr="00DB6F2C">
        <w:rPr>
          <w:lang w:val="ru-RU"/>
        </w:rPr>
        <w:t>рабочих процедурах</w:t>
      </w:r>
      <w:r w:rsidR="00C37CE6" w:rsidRPr="00DB6F2C">
        <w:rPr>
          <w:lang w:val="ru-RU"/>
        </w:rPr>
        <w:t xml:space="preserve"> на безбумажной основе; и хотя</w:t>
      </w:r>
      <w:r w:rsidRPr="00DB6F2C">
        <w:rPr>
          <w:lang w:val="ru-RU"/>
        </w:rPr>
        <w:t xml:space="preserve"> МСЭ внедряет электронные методы работы на протяжении многих лет, </w:t>
      </w:r>
      <w:r w:rsidR="00CD68C1" w:rsidRPr="00DB6F2C">
        <w:rPr>
          <w:lang w:val="ru-RU"/>
        </w:rPr>
        <w:t>большое число</w:t>
      </w:r>
      <w:r w:rsidR="00C37CE6" w:rsidRPr="00DB6F2C">
        <w:rPr>
          <w:lang w:val="ru-RU"/>
        </w:rPr>
        <w:t xml:space="preserve"> процесс</w:t>
      </w:r>
      <w:r w:rsidR="00CD68C1" w:rsidRPr="00DB6F2C">
        <w:rPr>
          <w:lang w:val="ru-RU"/>
        </w:rPr>
        <w:t>ов</w:t>
      </w:r>
      <w:r w:rsidRPr="00DB6F2C">
        <w:rPr>
          <w:lang w:val="ru-RU"/>
        </w:rPr>
        <w:t xml:space="preserve">, как </w:t>
      </w:r>
      <w:r w:rsidR="00804E15" w:rsidRPr="00DB6F2C">
        <w:rPr>
          <w:lang w:val="ru-RU"/>
        </w:rPr>
        <w:t>наглядно продемонстрировал</w:t>
      </w:r>
      <w:r w:rsidRPr="00DB6F2C">
        <w:rPr>
          <w:lang w:val="ru-RU"/>
        </w:rPr>
        <w:t xml:space="preserve"> </w:t>
      </w:r>
      <w:r w:rsidR="00C37CE6" w:rsidRPr="00DB6F2C">
        <w:rPr>
          <w:lang w:val="ru-RU"/>
        </w:rPr>
        <w:t>нынешний</w:t>
      </w:r>
      <w:r w:rsidRPr="00DB6F2C">
        <w:rPr>
          <w:lang w:val="ru-RU"/>
        </w:rPr>
        <w:t xml:space="preserve"> кризис, еще не стали полностью цифровыми. Необходимо, чтобы персонал, члены </w:t>
      </w:r>
      <w:r w:rsidR="00C37CE6" w:rsidRPr="00DB6F2C">
        <w:rPr>
          <w:lang w:val="ru-RU"/>
        </w:rPr>
        <w:t xml:space="preserve">МСЭ </w:t>
      </w:r>
      <w:r w:rsidRPr="00DB6F2C">
        <w:rPr>
          <w:lang w:val="ru-RU"/>
        </w:rPr>
        <w:t>и другие заинтересованные стороны получали и использовали</w:t>
      </w:r>
      <w:r w:rsidR="00C37CE6" w:rsidRPr="00DB6F2C">
        <w:rPr>
          <w:lang w:val="ru-RU"/>
        </w:rPr>
        <w:t xml:space="preserve"> информацию в онлайновом режиме</w:t>
      </w:r>
      <w:r w:rsidRPr="00DB6F2C">
        <w:rPr>
          <w:lang w:val="ru-RU"/>
        </w:rPr>
        <w:t xml:space="preserve"> из многих источников, в реальном времени и в любой момент (</w:t>
      </w:r>
      <w:r w:rsidR="00C37CE6" w:rsidRPr="00DB6F2C">
        <w:rPr>
          <w:lang w:val="ru-RU"/>
        </w:rPr>
        <w:t>на круглосуточной ежедневной основе);</w:t>
      </w:r>
      <w:r w:rsidRPr="00DB6F2C">
        <w:rPr>
          <w:lang w:val="ru-RU"/>
        </w:rPr>
        <w:t xml:space="preserve"> наряду с этим </w:t>
      </w:r>
      <w:r w:rsidR="00C37CE6" w:rsidRPr="00DB6F2C">
        <w:rPr>
          <w:lang w:val="ru-RU"/>
        </w:rPr>
        <w:t>расширяется</w:t>
      </w:r>
      <w:r w:rsidRPr="00DB6F2C">
        <w:rPr>
          <w:lang w:val="ru-RU"/>
        </w:rPr>
        <w:t xml:space="preserve"> спрос на инструменты </w:t>
      </w:r>
      <w:r w:rsidR="00C37CE6" w:rsidRPr="00DB6F2C">
        <w:rPr>
          <w:lang w:val="ru-RU"/>
        </w:rPr>
        <w:t>коллективной</w:t>
      </w:r>
      <w:r w:rsidRPr="00DB6F2C">
        <w:rPr>
          <w:lang w:val="ru-RU"/>
        </w:rPr>
        <w:t xml:space="preserve"> работы.</w:t>
      </w:r>
      <w:r w:rsidR="00BB31E2" w:rsidRPr="00DB6F2C">
        <w:rPr>
          <w:lang w:val="ru-RU"/>
        </w:rPr>
        <w:t xml:space="preserve"> </w:t>
      </w:r>
      <w:r w:rsidR="00C37CE6" w:rsidRPr="00DB6F2C">
        <w:rPr>
          <w:lang w:val="ru-RU"/>
        </w:rPr>
        <w:t xml:space="preserve">Более подробная информация содержится в </w:t>
      </w:r>
      <w:r w:rsidR="00D81752">
        <w:fldChar w:fldCharType="begin"/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md</w:instrText>
      </w:r>
      <w:r w:rsidR="00D81752" w:rsidRPr="00D81752">
        <w:rPr>
          <w:lang w:val="ru-RU"/>
        </w:rPr>
        <w:instrText>/</w:instrText>
      </w:r>
      <w:r w:rsidR="00D81752">
        <w:instrText>S</w:instrText>
      </w:r>
      <w:r w:rsidR="00D81752" w:rsidRPr="00D81752">
        <w:rPr>
          <w:lang w:val="ru-RU"/>
        </w:rPr>
        <w:instrText>20-</w:instrText>
      </w:r>
      <w:r w:rsidR="00D81752">
        <w:instrText>CL</w:instrText>
      </w:r>
      <w:r w:rsidR="00D81752" w:rsidRPr="00D81752">
        <w:rPr>
          <w:lang w:val="ru-RU"/>
        </w:rPr>
        <w:instrText>-</w:instrText>
      </w:r>
      <w:r w:rsidR="00D81752">
        <w:instrText>C</w:instrText>
      </w:r>
      <w:r w:rsidR="00D81752" w:rsidRPr="00D81752">
        <w:rPr>
          <w:lang w:val="ru-RU"/>
        </w:rPr>
        <w:instrText>-0053/</w:instrText>
      </w:r>
      <w:r w:rsidR="00D81752">
        <w:instrText>en</w:instrText>
      </w:r>
      <w:r w:rsidR="00D81752" w:rsidRPr="00D81752">
        <w:rPr>
          <w:lang w:val="ru-RU"/>
        </w:rPr>
        <w:instrText>"</w:instrText>
      </w:r>
      <w:r w:rsidR="00D81752">
        <w:fldChar w:fldCharType="separate"/>
      </w:r>
      <w:r w:rsidRPr="00DB6F2C">
        <w:rPr>
          <w:rStyle w:val="Hyperlink"/>
          <w:lang w:val="ru-RU"/>
        </w:rPr>
        <w:t>Документ</w:t>
      </w:r>
      <w:r w:rsidR="00C37CE6" w:rsidRPr="00DB6F2C">
        <w:rPr>
          <w:rStyle w:val="Hyperlink"/>
          <w:lang w:val="ru-RU"/>
        </w:rPr>
        <w:t>е</w:t>
      </w:r>
      <w:r w:rsidRPr="00DB6F2C">
        <w:rPr>
          <w:rStyle w:val="Hyperlink"/>
          <w:lang w:val="ru-RU"/>
        </w:rPr>
        <w:t xml:space="preserve"> C20/53</w:t>
      </w:r>
      <w:r w:rsidR="00D81752">
        <w:rPr>
          <w:rStyle w:val="Hyperlink"/>
          <w:lang w:val="ru-RU"/>
        </w:rPr>
        <w:fldChar w:fldCharType="end"/>
      </w:r>
      <w:r w:rsidR="00CD68C1" w:rsidRPr="00DB6F2C">
        <w:rPr>
          <w:lang w:val="ru-RU"/>
        </w:rPr>
        <w:t xml:space="preserve">, касающемся обеспечения </w:t>
      </w:r>
      <w:r w:rsidRPr="00DB6F2C">
        <w:rPr>
          <w:lang w:val="ru-RU"/>
        </w:rPr>
        <w:t>непрерывности деятельности</w:t>
      </w:r>
      <w:r w:rsidR="00CD68C1" w:rsidRPr="00DB6F2C">
        <w:rPr>
          <w:lang w:val="ru-RU"/>
        </w:rPr>
        <w:t xml:space="preserve"> и</w:t>
      </w:r>
      <w:r w:rsidRPr="00DB6F2C">
        <w:rPr>
          <w:lang w:val="ru-RU"/>
        </w:rPr>
        <w:t xml:space="preserve"> управлени</w:t>
      </w:r>
      <w:r w:rsidR="00CD68C1" w:rsidRPr="00DB6F2C">
        <w:rPr>
          <w:lang w:val="ru-RU"/>
        </w:rPr>
        <w:t>я</w:t>
      </w:r>
      <w:r w:rsidRPr="00DB6F2C">
        <w:rPr>
          <w:lang w:val="ru-RU"/>
        </w:rPr>
        <w:t xml:space="preserve"> информацией</w:t>
      </w:r>
      <w:r w:rsidR="00CD68C1" w:rsidRPr="00DB6F2C">
        <w:rPr>
          <w:lang w:val="ru-RU"/>
        </w:rPr>
        <w:t>,</w:t>
      </w:r>
      <w:r w:rsidRPr="00DB6F2C">
        <w:rPr>
          <w:lang w:val="ru-RU"/>
        </w:rPr>
        <w:t xml:space="preserve"> и</w:t>
      </w:r>
      <w:r w:rsidR="00F90867" w:rsidRPr="00DB6F2C">
        <w:rPr>
          <w:lang w:val="ru-RU"/>
        </w:rPr>
        <w:t xml:space="preserve">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md</w:instrText>
      </w:r>
      <w:r w:rsidR="00D81752" w:rsidRPr="00D81752">
        <w:rPr>
          <w:lang w:val="ru-RU"/>
        </w:rPr>
        <w:instrText>/</w:instrText>
      </w:r>
      <w:r w:rsidR="00D81752">
        <w:instrText>S</w:instrText>
      </w:r>
      <w:r w:rsidR="00D81752" w:rsidRPr="00D81752">
        <w:rPr>
          <w:lang w:val="ru-RU"/>
        </w:rPr>
        <w:instrText>20-</w:instrText>
      </w:r>
      <w:r w:rsidR="00D81752">
        <w:instrText>CL</w:instrText>
      </w:r>
      <w:r w:rsidR="00D81752" w:rsidRPr="00D81752">
        <w:rPr>
          <w:lang w:val="ru-RU"/>
        </w:rPr>
        <w:instrText>-</w:instrText>
      </w:r>
      <w:r w:rsidR="00D81752">
        <w:instrText>C</w:instrText>
      </w:r>
      <w:r w:rsidR="00D81752" w:rsidRPr="00D81752">
        <w:rPr>
          <w:lang w:val="ru-RU"/>
        </w:rPr>
        <w:instrText>-0015/</w:instrText>
      </w:r>
      <w:r w:rsidR="00D81752">
        <w:instrText>en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Pr="00DB6F2C">
        <w:rPr>
          <w:rStyle w:val="Hyperlink"/>
          <w:lang w:val="ru-RU"/>
        </w:rPr>
        <w:t>Документ</w:t>
      </w:r>
      <w:r w:rsidR="00C37CE6" w:rsidRPr="00DB6F2C">
        <w:rPr>
          <w:rStyle w:val="Hyperlink"/>
          <w:lang w:val="ru-RU"/>
        </w:rPr>
        <w:t>е</w:t>
      </w:r>
      <w:r w:rsidRPr="00DB6F2C">
        <w:rPr>
          <w:rStyle w:val="Hyperlink"/>
          <w:lang w:val="ru-RU"/>
        </w:rPr>
        <w:t xml:space="preserve"> C20/15</w:t>
      </w:r>
      <w:r w:rsidR="00D81752">
        <w:rPr>
          <w:rStyle w:val="Hyperlink"/>
          <w:lang w:val="ru-RU"/>
        </w:rPr>
        <w:fldChar w:fldCharType="end"/>
      </w:r>
      <w:r w:rsidR="00CD68C1" w:rsidRPr="00DB6F2C">
        <w:rPr>
          <w:lang w:val="ru-RU"/>
        </w:rPr>
        <w:t>, посвященном о</w:t>
      </w:r>
      <w:r w:rsidR="007D0FF6" w:rsidRPr="00DB6F2C">
        <w:rPr>
          <w:lang w:val="ru-RU"/>
        </w:rPr>
        <w:t>тчет</w:t>
      </w:r>
      <w:r w:rsidR="00CD68C1" w:rsidRPr="00DB6F2C">
        <w:rPr>
          <w:lang w:val="ru-RU"/>
        </w:rPr>
        <w:t>у</w:t>
      </w:r>
      <w:r w:rsidR="007D0FF6" w:rsidRPr="00DB6F2C">
        <w:rPr>
          <w:lang w:val="ru-RU"/>
        </w:rPr>
        <w:t xml:space="preserve"> о ходе работы </w:t>
      </w:r>
      <w:r w:rsidR="00CD68C1" w:rsidRPr="00DB6F2C">
        <w:rPr>
          <w:lang w:val="ru-RU"/>
        </w:rPr>
        <w:t xml:space="preserve">по </w:t>
      </w:r>
      <w:r w:rsidR="00914FEB" w:rsidRPr="00DB6F2C">
        <w:rPr>
          <w:lang w:val="ru-RU"/>
        </w:rPr>
        <w:t>Системе обеспечения организационной жизнеспособности (</w:t>
      </w:r>
      <w:r w:rsidR="00C37CE6" w:rsidRPr="00DB6F2C">
        <w:rPr>
          <w:lang w:val="ru-RU"/>
        </w:rPr>
        <w:t>ORMS</w:t>
      </w:r>
      <w:r w:rsidR="00914FEB" w:rsidRPr="00DB6F2C">
        <w:rPr>
          <w:lang w:val="ru-RU"/>
        </w:rPr>
        <w:t>)</w:t>
      </w:r>
      <w:r w:rsidR="00C37CE6" w:rsidRPr="00DB6F2C">
        <w:rPr>
          <w:lang w:val="ru-RU"/>
        </w:rPr>
        <w:t xml:space="preserve">. </w:t>
      </w:r>
    </w:p>
    <w:p w14:paraId="34621779" w14:textId="30211B5B" w:rsidR="00F90867" w:rsidRPr="00DB6F2C" w:rsidRDefault="00D943C0" w:rsidP="00D943C0">
      <w:pPr>
        <w:pStyle w:val="Heading1"/>
        <w:rPr>
          <w:lang w:val="ru-RU" w:eastAsia="ja-JP"/>
        </w:rPr>
      </w:pPr>
      <w:r w:rsidRPr="00DB6F2C">
        <w:rPr>
          <w:lang w:val="ru-RU" w:eastAsia="ja-JP"/>
        </w:rPr>
        <w:t>7</w:t>
      </w:r>
      <w:r w:rsidRPr="00DB6F2C">
        <w:rPr>
          <w:lang w:val="ru-RU" w:eastAsia="ja-JP"/>
        </w:rPr>
        <w:tab/>
      </w:r>
      <w:r w:rsidR="00E30BD9" w:rsidRPr="00DB6F2C">
        <w:rPr>
          <w:lang w:val="ru-RU" w:eastAsia="ja-JP"/>
        </w:rPr>
        <w:t xml:space="preserve">Обеспечение непрерывности деятельности – </w:t>
      </w:r>
      <w:r w:rsidR="00804E15" w:rsidRPr="00DB6F2C">
        <w:rPr>
          <w:lang w:val="ru-RU" w:eastAsia="ja-JP"/>
        </w:rPr>
        <w:t>работа конференций</w:t>
      </w:r>
      <w:r w:rsidR="00E30BD9" w:rsidRPr="00DB6F2C">
        <w:rPr>
          <w:lang w:val="ru-RU" w:eastAsia="ja-JP"/>
        </w:rPr>
        <w:t xml:space="preserve"> </w:t>
      </w:r>
      <w:r w:rsidR="00804E15" w:rsidRPr="00DB6F2C">
        <w:rPr>
          <w:lang w:val="ru-RU" w:eastAsia="ja-JP"/>
        </w:rPr>
        <w:t xml:space="preserve">в период сноса здания </w:t>
      </w:r>
      <w:r w:rsidR="003B4BE2" w:rsidRPr="00DB6F2C">
        <w:rPr>
          <w:lang w:val="ru-RU" w:eastAsia="ja-JP"/>
        </w:rPr>
        <w:t>"</w:t>
      </w:r>
      <w:proofErr w:type="spellStart"/>
      <w:r w:rsidR="00E30BD9" w:rsidRPr="00DB6F2C">
        <w:rPr>
          <w:lang w:val="ru-RU" w:eastAsia="ja-JP"/>
        </w:rPr>
        <w:t>Варембе</w:t>
      </w:r>
      <w:proofErr w:type="spellEnd"/>
      <w:r w:rsidR="003B4BE2" w:rsidRPr="00DB6F2C">
        <w:rPr>
          <w:lang w:val="ru-RU" w:eastAsia="ja-JP"/>
        </w:rPr>
        <w:t>"</w:t>
      </w:r>
      <w:r w:rsidR="00E30BD9" w:rsidRPr="00DB6F2C">
        <w:rPr>
          <w:lang w:val="ru-RU" w:eastAsia="ja-JP"/>
        </w:rPr>
        <w:t xml:space="preserve"> и строительства нового здания</w:t>
      </w:r>
    </w:p>
    <w:p w14:paraId="322B4EC8" w14:textId="662D283B" w:rsidR="00F90867" w:rsidRPr="00DB6F2C" w:rsidRDefault="00ED7711" w:rsidP="00C555E8">
      <w:pPr>
        <w:rPr>
          <w:lang w:val="ru-RU" w:eastAsia="en-GB"/>
        </w:rPr>
      </w:pPr>
      <w:r w:rsidRPr="00DB6F2C">
        <w:rPr>
          <w:lang w:val="ru-RU" w:eastAsia="zh-CN"/>
        </w:rPr>
        <w:t xml:space="preserve">После </w:t>
      </w:r>
      <w:r w:rsidR="00657ACE" w:rsidRPr="00DB6F2C">
        <w:rPr>
          <w:lang w:val="ru-RU" w:eastAsia="zh-CN"/>
        </w:rPr>
        <w:t>поступления</w:t>
      </w:r>
      <w:r w:rsidRPr="00DB6F2C">
        <w:rPr>
          <w:lang w:val="ru-RU" w:eastAsia="zh-CN"/>
        </w:rPr>
        <w:t xml:space="preserve"> требований к помещениям от всех секторов МСЭ </w:t>
      </w:r>
      <w:r w:rsidR="00657ACE" w:rsidRPr="00DB6F2C">
        <w:rPr>
          <w:lang w:val="ru-RU" w:eastAsia="zh-CN"/>
        </w:rPr>
        <w:t xml:space="preserve">установлено, что </w:t>
      </w:r>
      <w:r w:rsidRPr="00DB6F2C">
        <w:rPr>
          <w:lang w:val="ru-RU" w:eastAsia="zh-CN"/>
        </w:rPr>
        <w:t>на период с середины 2022 года до 2025</w:t>
      </w:r>
      <w:r w:rsidR="009C7AC2" w:rsidRPr="00DB6F2C">
        <w:rPr>
          <w:lang w:val="ru-RU" w:eastAsia="zh-CN"/>
        </w:rPr>
        <w:t>−</w:t>
      </w:r>
      <w:r w:rsidRPr="00DB6F2C">
        <w:rPr>
          <w:lang w:val="ru-RU" w:eastAsia="zh-CN"/>
        </w:rPr>
        <w:t xml:space="preserve">2026 годов рабочие сессии </w:t>
      </w:r>
      <w:r w:rsidR="00541007" w:rsidRPr="00DB6F2C">
        <w:rPr>
          <w:lang w:val="ru-RU" w:eastAsia="zh-CN"/>
        </w:rPr>
        <w:t xml:space="preserve">будут </w:t>
      </w:r>
      <w:r w:rsidR="00657ACE" w:rsidRPr="00DB6F2C">
        <w:rPr>
          <w:lang w:val="ru-RU" w:eastAsia="zh-CN"/>
        </w:rPr>
        <w:t>проводиться</w:t>
      </w:r>
      <w:r w:rsidRPr="00DB6F2C">
        <w:rPr>
          <w:lang w:val="ru-RU" w:eastAsia="zh-CN"/>
        </w:rPr>
        <w:t xml:space="preserve"> </w:t>
      </w:r>
      <w:r w:rsidR="00804E15" w:rsidRPr="00DB6F2C">
        <w:rPr>
          <w:lang w:val="ru-RU" w:eastAsia="zh-CN"/>
        </w:rPr>
        <w:t>совместно</w:t>
      </w:r>
      <w:r w:rsidRPr="00DB6F2C">
        <w:rPr>
          <w:lang w:val="ru-RU" w:eastAsia="zh-CN"/>
        </w:rPr>
        <w:t xml:space="preserve"> МСЭ и ФИПОИ</w:t>
      </w:r>
      <w:r w:rsidR="00914FEB" w:rsidRPr="00DB6F2C">
        <w:rPr>
          <w:lang w:val="ru-RU" w:eastAsia="zh-CN"/>
        </w:rPr>
        <w:t xml:space="preserve">/Международным центром конференций в Женеве </w:t>
      </w:r>
      <w:r w:rsidRPr="00DB6F2C">
        <w:rPr>
          <w:lang w:val="ru-RU" w:eastAsia="zh-CN"/>
        </w:rPr>
        <w:t>(МЦК</w:t>
      </w:r>
      <w:r w:rsidR="003B4BE2" w:rsidRPr="00DB6F2C">
        <w:rPr>
          <w:lang w:val="ru-RU" w:eastAsia="zh-CN"/>
        </w:rPr>
        <w:t>Ж</w:t>
      </w:r>
      <w:r w:rsidRPr="00DB6F2C">
        <w:rPr>
          <w:lang w:val="ru-RU" w:eastAsia="zh-CN"/>
        </w:rPr>
        <w:t xml:space="preserve">), с тем чтобы </w:t>
      </w:r>
      <w:r w:rsidR="00657ACE" w:rsidRPr="00DB6F2C">
        <w:rPr>
          <w:lang w:val="ru-RU" w:eastAsia="zh-CN"/>
        </w:rPr>
        <w:t>удовлетворить все заявки</w:t>
      </w:r>
      <w:r w:rsidRPr="00DB6F2C">
        <w:rPr>
          <w:lang w:val="ru-RU" w:eastAsia="zh-CN"/>
        </w:rPr>
        <w:t xml:space="preserve"> (за исключением </w:t>
      </w:r>
      <w:r w:rsidR="00541007" w:rsidRPr="00DB6F2C">
        <w:rPr>
          <w:lang w:val="ru-RU" w:eastAsia="zh-CN"/>
        </w:rPr>
        <w:t>собраний рабочих групп МСЭ-R и некоторых рабочих групп МСЭ-Т,</w:t>
      </w:r>
      <w:r w:rsidR="004D74B5" w:rsidRPr="00DB6F2C">
        <w:rPr>
          <w:lang w:val="ru-RU" w:eastAsia="zh-CN"/>
        </w:rPr>
        <w:t xml:space="preserve"> место проведения которых еще не определено). </w:t>
      </w:r>
      <w:r w:rsidR="00657ACE" w:rsidRPr="00DB6F2C">
        <w:rPr>
          <w:lang w:val="ru-RU" w:eastAsia="zh-CN"/>
        </w:rPr>
        <w:t>И</w:t>
      </w:r>
      <w:r w:rsidR="00873B36" w:rsidRPr="00DB6F2C">
        <w:rPr>
          <w:lang w:val="ru-RU" w:eastAsia="zh-CN"/>
        </w:rPr>
        <w:t xml:space="preserve">сследовательская работа </w:t>
      </w:r>
      <w:r w:rsidR="00657ACE" w:rsidRPr="00DB6F2C">
        <w:rPr>
          <w:lang w:val="ru-RU" w:eastAsia="zh-CN"/>
        </w:rPr>
        <w:t xml:space="preserve">по данному вопросу </w:t>
      </w:r>
      <w:r w:rsidR="00873B36" w:rsidRPr="00DB6F2C">
        <w:rPr>
          <w:lang w:val="ru-RU" w:eastAsia="zh-CN"/>
        </w:rPr>
        <w:t xml:space="preserve">уже завершена, и подборка всех этих предложений будет передана </w:t>
      </w:r>
      <w:r w:rsidR="00657ACE" w:rsidRPr="00DB6F2C">
        <w:rPr>
          <w:lang w:val="ru-RU" w:eastAsia="zh-CN"/>
        </w:rPr>
        <w:t xml:space="preserve">на рассмотрение </w:t>
      </w:r>
      <w:r w:rsidR="00873B36" w:rsidRPr="00DB6F2C">
        <w:rPr>
          <w:lang w:val="ru-RU" w:eastAsia="zh-CN"/>
        </w:rPr>
        <w:t>секторам МСЭ. Затем каждый сектор</w:t>
      </w:r>
      <w:r w:rsidR="00541007" w:rsidRPr="00DB6F2C">
        <w:rPr>
          <w:lang w:val="ru-RU" w:eastAsia="zh-CN"/>
        </w:rPr>
        <w:t xml:space="preserve"> </w:t>
      </w:r>
      <w:r w:rsidR="00873B36" w:rsidRPr="00DB6F2C">
        <w:rPr>
          <w:lang w:val="ru-RU" w:eastAsia="zh-CN"/>
        </w:rPr>
        <w:t xml:space="preserve">должен будет изучить предложения, касающиеся помещений и сроков, прежде чем </w:t>
      </w:r>
      <w:r w:rsidR="001C667A" w:rsidRPr="00DB6F2C">
        <w:rPr>
          <w:lang w:val="ru-RU" w:eastAsia="zh-CN"/>
        </w:rPr>
        <w:t xml:space="preserve">согласовывать их с </w:t>
      </w:r>
      <w:r w:rsidR="003B4BE2" w:rsidRPr="00DB6F2C">
        <w:rPr>
          <w:lang w:val="ru-RU" w:eastAsia="zh-CN"/>
        </w:rPr>
        <w:t xml:space="preserve">Департаментом конференций и публикаций </w:t>
      </w:r>
      <w:r w:rsidR="001C667A" w:rsidRPr="00DB6F2C">
        <w:rPr>
          <w:lang w:val="ru-RU" w:eastAsia="zh-CN"/>
        </w:rPr>
        <w:t xml:space="preserve">и, </w:t>
      </w:r>
      <w:r w:rsidR="00657ACE" w:rsidRPr="00DB6F2C">
        <w:rPr>
          <w:lang w:val="ru-RU" w:eastAsia="zh-CN"/>
        </w:rPr>
        <w:t>соответственно</w:t>
      </w:r>
      <w:r w:rsidR="001C667A" w:rsidRPr="00DB6F2C">
        <w:rPr>
          <w:lang w:val="ru-RU" w:eastAsia="zh-CN"/>
        </w:rPr>
        <w:t>, ФИПОИ</w:t>
      </w:r>
      <w:r w:rsidR="00914FEB" w:rsidRPr="00DB6F2C">
        <w:rPr>
          <w:lang w:val="ru-RU" w:eastAsia="zh-CN"/>
        </w:rPr>
        <w:t>/</w:t>
      </w:r>
      <w:r w:rsidR="003B4BE2" w:rsidRPr="00DB6F2C">
        <w:rPr>
          <w:lang w:val="ru-RU" w:eastAsia="zh-CN"/>
        </w:rPr>
        <w:t>МЦКЖ</w:t>
      </w:r>
      <w:r w:rsidR="001C667A" w:rsidRPr="00DB6F2C">
        <w:rPr>
          <w:lang w:val="ru-RU" w:eastAsia="zh-CN"/>
        </w:rPr>
        <w:t xml:space="preserve">. После утверждения сроки будут </w:t>
      </w:r>
      <w:r w:rsidR="00657ACE" w:rsidRPr="00DB6F2C">
        <w:rPr>
          <w:lang w:val="ru-RU" w:eastAsia="zh-CN"/>
        </w:rPr>
        <w:t>доведены до всеобщего сведения</w:t>
      </w:r>
      <w:r w:rsidR="001C667A" w:rsidRPr="00DB6F2C">
        <w:rPr>
          <w:lang w:val="ru-RU" w:eastAsia="zh-CN"/>
        </w:rPr>
        <w:t xml:space="preserve"> в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md</w:instrText>
      </w:r>
      <w:r w:rsidR="00D81752" w:rsidRPr="00D81752">
        <w:rPr>
          <w:lang w:val="ru-RU"/>
        </w:rPr>
        <w:instrText>/</w:instrText>
      </w:r>
      <w:r w:rsidR="00D81752">
        <w:instrText>S</w:instrText>
      </w:r>
      <w:r w:rsidR="00D81752" w:rsidRPr="00D81752">
        <w:rPr>
          <w:lang w:val="ru-RU"/>
        </w:rPr>
        <w:instrText>20-</w:instrText>
      </w:r>
      <w:r w:rsidR="00D81752">
        <w:instrText>CL</w:instrText>
      </w:r>
      <w:r w:rsidR="00D81752" w:rsidRPr="00D81752">
        <w:rPr>
          <w:lang w:val="ru-RU"/>
        </w:rPr>
        <w:instrText>-</w:instrText>
      </w:r>
      <w:r w:rsidR="00D81752">
        <w:instrText>C</w:instrText>
      </w:r>
      <w:r w:rsidR="00D81752" w:rsidRPr="00D81752">
        <w:rPr>
          <w:lang w:val="ru-RU"/>
        </w:rPr>
        <w:instrText>-0002/</w:instrText>
      </w:r>
      <w:r w:rsidR="00D81752">
        <w:instrText>en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="001C667A" w:rsidRPr="00DB6F2C">
        <w:rPr>
          <w:rStyle w:val="Hyperlink"/>
          <w:rFonts w:asciiTheme="minorHAnsi" w:hAnsiTheme="minorHAnsi" w:cstheme="minorHAnsi"/>
          <w:szCs w:val="22"/>
          <w:lang w:val="ru-RU" w:eastAsia="zh-CN"/>
        </w:rPr>
        <w:t>Документе</w:t>
      </w:r>
      <w:r w:rsidR="009C7AC2" w:rsidRPr="00DB6F2C">
        <w:rPr>
          <w:rStyle w:val="Hyperlink"/>
          <w:rFonts w:asciiTheme="minorHAnsi" w:hAnsiTheme="minorHAnsi" w:cstheme="minorHAnsi"/>
          <w:szCs w:val="22"/>
          <w:lang w:val="ru-RU" w:eastAsia="zh-CN"/>
        </w:rPr>
        <w:t> </w:t>
      </w:r>
      <w:r w:rsidR="001C667A" w:rsidRPr="00DB6F2C">
        <w:rPr>
          <w:rStyle w:val="Hyperlink"/>
          <w:rFonts w:asciiTheme="minorHAnsi" w:hAnsiTheme="minorHAnsi" w:cstheme="minorHAnsi"/>
          <w:szCs w:val="22"/>
          <w:lang w:val="ru-RU" w:eastAsia="zh-CN"/>
        </w:rPr>
        <w:t>C20/2</w:t>
      </w:r>
      <w:r w:rsidR="00D81752">
        <w:rPr>
          <w:rStyle w:val="Hyperlink"/>
          <w:rFonts w:asciiTheme="minorHAnsi" w:hAnsiTheme="minorHAnsi" w:cstheme="minorHAnsi"/>
          <w:szCs w:val="22"/>
          <w:lang w:val="ru-RU" w:eastAsia="zh-CN"/>
        </w:rPr>
        <w:fldChar w:fldCharType="end"/>
      </w:r>
      <w:r w:rsidR="001C667A" w:rsidRPr="00DB6F2C">
        <w:rPr>
          <w:lang w:val="ru-RU" w:eastAsia="zh-CN"/>
        </w:rPr>
        <w:t xml:space="preserve"> о предлагаемых датах и продолжительности сессий Совета 2021, 2022, 2023, 2024, 2025 и 2026 </w:t>
      </w:r>
      <w:r w:rsidR="00657ACE" w:rsidRPr="00DB6F2C">
        <w:rPr>
          <w:lang w:val="ru-RU" w:eastAsia="zh-CN"/>
        </w:rPr>
        <w:t>годов</w:t>
      </w:r>
      <w:r w:rsidR="001C667A" w:rsidRPr="00DB6F2C">
        <w:rPr>
          <w:lang w:val="ru-RU" w:eastAsia="zh-CN"/>
        </w:rPr>
        <w:t xml:space="preserve"> и блоков собраний РГС в 2020 и 2021 годах</w:t>
      </w:r>
      <w:r w:rsidR="003D03C1" w:rsidRPr="00DB6F2C">
        <w:rPr>
          <w:lang w:val="ru-RU" w:eastAsia="zh-CN"/>
        </w:rPr>
        <w:t>, а также</w:t>
      </w:r>
      <w:r w:rsidR="001C667A" w:rsidRPr="00DB6F2C">
        <w:rPr>
          <w:lang w:val="ru-RU" w:eastAsia="zh-CN"/>
        </w:rPr>
        <w:t xml:space="preserve"> в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md</w:instrText>
      </w:r>
      <w:r w:rsidR="00D81752" w:rsidRPr="00D81752">
        <w:rPr>
          <w:lang w:val="ru-RU"/>
        </w:rPr>
        <w:instrText>/</w:instrText>
      </w:r>
      <w:r w:rsidR="00D81752">
        <w:instrText>S</w:instrText>
      </w:r>
      <w:r w:rsidR="00D81752" w:rsidRPr="00D81752">
        <w:rPr>
          <w:lang w:val="ru-RU"/>
        </w:rPr>
        <w:instrText>20-</w:instrText>
      </w:r>
      <w:r w:rsidR="00D81752">
        <w:instrText>CL</w:instrText>
      </w:r>
      <w:r w:rsidR="00D81752" w:rsidRPr="00D81752">
        <w:rPr>
          <w:lang w:val="ru-RU"/>
        </w:rPr>
        <w:instrText>-</w:instrText>
      </w:r>
      <w:r w:rsidR="00D81752">
        <w:instrText>C</w:instrText>
      </w:r>
      <w:r w:rsidR="00D81752" w:rsidRPr="00D81752">
        <w:rPr>
          <w:lang w:val="ru-RU"/>
        </w:rPr>
        <w:instrText>-0037/</w:instrText>
      </w:r>
      <w:r w:rsidR="00D81752">
        <w:instrText>en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="001C667A" w:rsidRPr="00DB6F2C">
        <w:rPr>
          <w:rStyle w:val="Hyperlink"/>
          <w:rFonts w:asciiTheme="minorHAnsi" w:hAnsiTheme="minorHAnsi" w:cstheme="minorHAnsi"/>
          <w:szCs w:val="22"/>
          <w:lang w:val="ru-RU" w:eastAsia="zh-CN"/>
        </w:rPr>
        <w:t>Документе C20/37</w:t>
      </w:r>
      <w:r w:rsidR="00D81752">
        <w:rPr>
          <w:rStyle w:val="Hyperlink"/>
          <w:rFonts w:asciiTheme="minorHAnsi" w:hAnsiTheme="minorHAnsi" w:cstheme="minorHAnsi"/>
          <w:szCs w:val="22"/>
          <w:lang w:val="ru-RU" w:eastAsia="zh-CN"/>
        </w:rPr>
        <w:fldChar w:fldCharType="end"/>
      </w:r>
      <w:r w:rsidR="001C667A" w:rsidRPr="00DB6F2C">
        <w:rPr>
          <w:lang w:val="ru-RU" w:eastAsia="zh-CN"/>
        </w:rPr>
        <w:t xml:space="preserve"> о</w:t>
      </w:r>
      <w:r w:rsidR="009C7AC2" w:rsidRPr="00DB6F2C">
        <w:rPr>
          <w:lang w:val="ru-RU" w:eastAsia="zh-CN"/>
        </w:rPr>
        <w:t> </w:t>
      </w:r>
      <w:r w:rsidR="001C667A" w:rsidRPr="00DB6F2C">
        <w:rPr>
          <w:lang w:val="ru-RU" w:eastAsia="zh-CN"/>
        </w:rPr>
        <w:t>расписании будущих конференций, ассамблей и собраний Союза</w:t>
      </w:r>
      <w:r w:rsidR="00657ACE" w:rsidRPr="00DB6F2C">
        <w:rPr>
          <w:lang w:val="ru-RU" w:eastAsia="zh-CN"/>
        </w:rPr>
        <w:t xml:space="preserve"> на 2020</w:t>
      </w:r>
      <w:r w:rsidR="00C555E8" w:rsidRPr="00DB6F2C">
        <w:rPr>
          <w:lang w:val="ru-RU" w:eastAsia="zh-CN"/>
        </w:rPr>
        <w:t>−</w:t>
      </w:r>
      <w:r w:rsidR="00657ACE" w:rsidRPr="00DB6F2C">
        <w:rPr>
          <w:lang w:val="ru-RU" w:eastAsia="zh-CN"/>
        </w:rPr>
        <w:t>2023 годы.</w:t>
      </w:r>
    </w:p>
    <w:p w14:paraId="427A0F9F" w14:textId="6D6D4A34" w:rsidR="00F90867" w:rsidRPr="00DB6F2C" w:rsidRDefault="00D943C0" w:rsidP="00EE62FF">
      <w:pPr>
        <w:pStyle w:val="Heading1"/>
        <w:rPr>
          <w:lang w:val="ru-RU" w:eastAsia="ja-JP"/>
        </w:rPr>
      </w:pPr>
      <w:r w:rsidRPr="00DB6F2C">
        <w:rPr>
          <w:lang w:val="ru-RU" w:eastAsia="ja-JP"/>
        </w:rPr>
        <w:t>8</w:t>
      </w:r>
      <w:r w:rsidR="00EE62FF" w:rsidRPr="00DB6F2C">
        <w:rPr>
          <w:lang w:val="ru-RU" w:eastAsia="ja-JP"/>
        </w:rPr>
        <w:tab/>
      </w:r>
      <w:r w:rsidR="00AF0C1A" w:rsidRPr="00DB6F2C">
        <w:rPr>
          <w:lang w:val="ru-RU" w:eastAsia="ja-JP"/>
        </w:rPr>
        <w:t>Осуществление внутренних и внешних коммуникаций</w:t>
      </w:r>
      <w:r w:rsidR="002227B3" w:rsidRPr="00DB6F2C">
        <w:rPr>
          <w:lang w:val="ru-RU" w:eastAsia="ja-JP"/>
        </w:rPr>
        <w:t xml:space="preserve"> в </w:t>
      </w:r>
      <w:r w:rsidR="00AF0C1A" w:rsidRPr="00DB6F2C">
        <w:rPr>
          <w:lang w:val="ru-RU" w:eastAsia="ja-JP"/>
        </w:rPr>
        <w:t>условиях</w:t>
      </w:r>
      <w:r w:rsidR="002227B3" w:rsidRPr="00DB6F2C">
        <w:rPr>
          <w:lang w:val="ru-RU" w:eastAsia="ja-JP"/>
        </w:rPr>
        <w:t xml:space="preserve"> строительства нового здания</w:t>
      </w:r>
    </w:p>
    <w:p w14:paraId="5FB60CBE" w14:textId="14C4A6E0" w:rsidR="00F90867" w:rsidRPr="00DB6F2C" w:rsidRDefault="002227B3" w:rsidP="00EE62FF">
      <w:pPr>
        <w:rPr>
          <w:lang w:val="ru-RU" w:eastAsia="zh-CN"/>
        </w:rPr>
      </w:pPr>
      <w:r w:rsidRPr="00DB6F2C">
        <w:rPr>
          <w:lang w:val="ru-RU" w:eastAsia="zh-CN"/>
        </w:rPr>
        <w:t>МСЭ разработал стратегию в отношении внутренних и внешних коммуникаций</w:t>
      </w:r>
      <w:r w:rsidR="00AF0C1A" w:rsidRPr="00DB6F2C">
        <w:rPr>
          <w:lang w:val="ru-RU" w:eastAsia="zh-CN"/>
        </w:rPr>
        <w:t xml:space="preserve"> для решения вопросов, касающихся </w:t>
      </w:r>
      <w:r w:rsidRPr="00DB6F2C">
        <w:rPr>
          <w:lang w:val="ru-RU" w:eastAsia="zh-CN"/>
        </w:rPr>
        <w:t>будущей штаб-квартиры МСЭ</w:t>
      </w:r>
      <w:r w:rsidR="00AF0C1A" w:rsidRPr="00DB6F2C">
        <w:rPr>
          <w:lang w:val="ru-RU" w:eastAsia="zh-CN"/>
        </w:rPr>
        <w:t>,</w:t>
      </w:r>
      <w:r w:rsidRPr="00DB6F2C">
        <w:rPr>
          <w:lang w:val="ru-RU" w:eastAsia="zh-CN"/>
        </w:rPr>
        <w:t xml:space="preserve"> и связанных с ними вопросов управления изменениями в контексте </w:t>
      </w:r>
      <w:r w:rsidR="00707963" w:rsidRPr="00DB6F2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Стратегии по условиям работы персонала и Плана реализации.</w:t>
      </w:r>
      <w:r w:rsidR="00707963" w:rsidRPr="00DB6F2C">
        <w:rPr>
          <w:lang w:val="ru-RU" w:eastAsia="zh-CN"/>
        </w:rPr>
        <w:t xml:space="preserve"> </w:t>
      </w:r>
      <w:r w:rsidR="005B5D0E" w:rsidRPr="00DB6F2C">
        <w:rPr>
          <w:lang w:val="ru-RU" w:eastAsia="zh-CN"/>
        </w:rPr>
        <w:t xml:space="preserve">В настоящее время </w:t>
      </w:r>
      <w:r w:rsidR="00AF0C1A" w:rsidRPr="00DB6F2C">
        <w:rPr>
          <w:lang w:val="ru-RU" w:eastAsia="zh-CN"/>
        </w:rPr>
        <w:t>идет оформление</w:t>
      </w:r>
      <w:r w:rsidR="005B5D0E" w:rsidRPr="00DB6F2C">
        <w:rPr>
          <w:lang w:val="ru-RU" w:eastAsia="zh-CN"/>
        </w:rPr>
        <w:t xml:space="preserve"> временного сотрудника по внутренним и внешним коммуникациям категории Р3, который будет </w:t>
      </w:r>
      <w:r w:rsidR="00C01388" w:rsidRPr="00DB6F2C">
        <w:rPr>
          <w:lang w:val="ru-RU" w:eastAsia="zh-CN"/>
        </w:rPr>
        <w:t>содействовать осуществлению стратегии</w:t>
      </w:r>
      <w:r w:rsidR="005B5D0E" w:rsidRPr="00DB6F2C">
        <w:rPr>
          <w:lang w:val="ru-RU" w:eastAsia="zh-CN"/>
        </w:rPr>
        <w:t>.</w:t>
      </w:r>
    </w:p>
    <w:p w14:paraId="1FE83AC4" w14:textId="2933DCE5" w:rsidR="00F90867" w:rsidRPr="00DB6F2C" w:rsidRDefault="00F90867" w:rsidP="00A36BA5">
      <w:pPr>
        <w:pStyle w:val="Heading1"/>
        <w:rPr>
          <w:lang w:val="ru-RU" w:eastAsia="ja-JP"/>
        </w:rPr>
      </w:pPr>
      <w:r w:rsidRPr="00DB6F2C">
        <w:rPr>
          <w:lang w:val="ru-RU" w:eastAsia="ja-JP"/>
        </w:rPr>
        <w:t>9</w:t>
      </w:r>
      <w:r w:rsidRPr="00DB6F2C">
        <w:rPr>
          <w:lang w:val="ru-RU" w:eastAsia="ja-JP"/>
        </w:rPr>
        <w:tab/>
      </w:r>
      <w:r w:rsidR="00CC024D" w:rsidRPr="00DB6F2C">
        <w:rPr>
          <w:lang w:val="ru-RU" w:eastAsia="ja-JP"/>
        </w:rPr>
        <w:t>Влияние</w:t>
      </w:r>
      <w:r w:rsidR="00C01388" w:rsidRPr="00DB6F2C">
        <w:rPr>
          <w:lang w:val="ru-RU" w:eastAsia="ja-JP"/>
        </w:rPr>
        <w:t xml:space="preserve"> COVID-19</w:t>
      </w:r>
    </w:p>
    <w:p w14:paraId="2B2328E0" w14:textId="246B2E07" w:rsidR="00F90867" w:rsidRPr="00DB6F2C" w:rsidRDefault="00A903E3" w:rsidP="00EE62FF">
      <w:pPr>
        <w:rPr>
          <w:lang w:val="ru-RU" w:eastAsia="zh-CN"/>
        </w:rPr>
      </w:pPr>
      <w:r w:rsidRPr="00DB6F2C">
        <w:rPr>
          <w:lang w:val="ru-RU" w:eastAsia="zh-CN"/>
        </w:rPr>
        <w:t xml:space="preserve">Как и весь МСЭ, команда BPD с середины марта перешла на телеработу. </w:t>
      </w:r>
      <w:r w:rsidR="0061306C" w:rsidRPr="00DB6F2C">
        <w:rPr>
          <w:lang w:val="ru-RU" w:eastAsia="zh-CN"/>
        </w:rPr>
        <w:t>Все мероприятия по проектированию</w:t>
      </w:r>
      <w:r w:rsidRPr="00DB6F2C">
        <w:rPr>
          <w:lang w:val="ru-RU" w:eastAsia="zh-CN"/>
        </w:rPr>
        <w:t>, включая тематические семинары-практикумы, собрания по технической координации с CDTK и его субподрядчиками, внутре</w:t>
      </w:r>
      <w:r w:rsidR="0061306C" w:rsidRPr="00DB6F2C">
        <w:rPr>
          <w:lang w:val="ru-RU" w:eastAsia="zh-CN"/>
        </w:rPr>
        <w:t>нние консультации между заинтересованными сторонами в целях подтверждения функциональных, в особенности технических</w:t>
      </w:r>
      <w:r w:rsidR="00AF0C1A" w:rsidRPr="00DB6F2C">
        <w:rPr>
          <w:lang w:val="ru-RU" w:eastAsia="zh-CN"/>
        </w:rPr>
        <w:t>,</w:t>
      </w:r>
      <w:r w:rsidR="0061306C" w:rsidRPr="00DB6F2C">
        <w:rPr>
          <w:lang w:val="ru-RU" w:eastAsia="zh-CN"/>
        </w:rPr>
        <w:t xml:space="preserve"> требований, продолжают проходить дистанционно.</w:t>
      </w:r>
      <w:r w:rsidR="000C199E" w:rsidRPr="00DB6F2C">
        <w:rPr>
          <w:lang w:val="ru-RU" w:eastAsia="zh-CN"/>
        </w:rPr>
        <w:t xml:space="preserve"> Из-за заражения COVID-19 несколько членов команды со стороны подрядчика были вынуждены взять бюллетень по временной нетрудоспособности, поэтому BPD проявил максимальную гибкость, </w:t>
      </w:r>
      <w:r w:rsidR="00AF0C1A" w:rsidRPr="00DB6F2C">
        <w:rPr>
          <w:lang w:val="ru-RU" w:eastAsia="zh-CN"/>
        </w:rPr>
        <w:t>адаптируя график представляемых</w:t>
      </w:r>
      <w:r w:rsidR="000C199E" w:rsidRPr="00DB6F2C">
        <w:rPr>
          <w:lang w:val="ru-RU" w:eastAsia="zh-CN"/>
        </w:rPr>
        <w:t xml:space="preserve"> подрядчиком </w:t>
      </w:r>
      <w:r w:rsidR="000C4461" w:rsidRPr="00DB6F2C">
        <w:rPr>
          <w:lang w:val="ru-RU" w:eastAsia="zh-CN"/>
        </w:rPr>
        <w:t>результатов деятельности, чтобы обеспечить непрерывность</w:t>
      </w:r>
      <w:r w:rsidR="000C199E" w:rsidRPr="00DB6F2C">
        <w:rPr>
          <w:lang w:val="ru-RU" w:eastAsia="zh-CN"/>
        </w:rPr>
        <w:t xml:space="preserve"> деятельности.</w:t>
      </w:r>
    </w:p>
    <w:p w14:paraId="7EE3F1A3" w14:textId="1C9BC106" w:rsidR="00F90867" w:rsidRPr="00DB6F2C" w:rsidRDefault="000C4461" w:rsidP="00EE62FF">
      <w:pPr>
        <w:rPr>
          <w:lang w:val="ru-RU" w:eastAsia="zh-CN"/>
        </w:rPr>
      </w:pPr>
      <w:r w:rsidRPr="00DB6F2C">
        <w:rPr>
          <w:lang w:val="ru-RU" w:eastAsia="zh-CN"/>
        </w:rPr>
        <w:t>Другим</w:t>
      </w:r>
      <w:r w:rsidR="000C199E" w:rsidRPr="00DB6F2C">
        <w:rPr>
          <w:lang w:val="ru-RU" w:eastAsia="zh-CN"/>
        </w:rPr>
        <w:t xml:space="preserve"> </w:t>
      </w:r>
      <w:r w:rsidRPr="00DB6F2C">
        <w:rPr>
          <w:lang w:val="ru-RU" w:eastAsia="zh-CN"/>
        </w:rPr>
        <w:t>важнейшим</w:t>
      </w:r>
      <w:r w:rsidR="000C199E" w:rsidRPr="00DB6F2C">
        <w:rPr>
          <w:lang w:val="ru-RU" w:eastAsia="zh-CN"/>
        </w:rPr>
        <w:t xml:space="preserve"> моментом в этом году является подача </w:t>
      </w:r>
      <w:r w:rsidRPr="00DB6F2C">
        <w:rPr>
          <w:lang w:val="ru-RU" w:eastAsia="zh-CN"/>
        </w:rPr>
        <w:t>в конце 2020 года заявление на выдачу разрешения</w:t>
      </w:r>
      <w:r w:rsidR="000C199E" w:rsidRPr="00DB6F2C">
        <w:rPr>
          <w:lang w:val="ru-RU" w:eastAsia="zh-CN"/>
        </w:rPr>
        <w:t>.</w:t>
      </w:r>
      <w:r w:rsidR="00D13ECF" w:rsidRPr="00DB6F2C">
        <w:rPr>
          <w:lang w:val="ru-RU" w:eastAsia="zh-CN"/>
        </w:rPr>
        <w:t xml:space="preserve"> По этому </w:t>
      </w:r>
      <w:r w:rsidRPr="00DB6F2C">
        <w:rPr>
          <w:lang w:val="ru-RU" w:eastAsia="zh-CN"/>
        </w:rPr>
        <w:t>вопросу</w:t>
      </w:r>
      <w:r w:rsidR="00D13ECF" w:rsidRPr="00DB6F2C">
        <w:rPr>
          <w:lang w:val="ru-RU" w:eastAsia="zh-CN"/>
        </w:rPr>
        <w:t xml:space="preserve"> МСЭ должен </w:t>
      </w:r>
      <w:r w:rsidRPr="00DB6F2C">
        <w:rPr>
          <w:lang w:val="ru-RU" w:eastAsia="zh-CN"/>
        </w:rPr>
        <w:t>проводить консультации</w:t>
      </w:r>
      <w:r w:rsidR="00D13ECF" w:rsidRPr="00DB6F2C">
        <w:rPr>
          <w:lang w:val="ru-RU" w:eastAsia="zh-CN"/>
        </w:rPr>
        <w:t xml:space="preserve"> с местными органами власти, которые закрыты до дальнейшего уведомления. В зависимости от продолжительности</w:t>
      </w:r>
      <w:r w:rsidRPr="00DB6F2C">
        <w:rPr>
          <w:lang w:val="ru-RU" w:eastAsia="zh-CN"/>
        </w:rPr>
        <w:t xml:space="preserve"> их нерабочего</w:t>
      </w:r>
      <w:r w:rsidR="00D13ECF" w:rsidRPr="00DB6F2C">
        <w:rPr>
          <w:lang w:val="ru-RU" w:eastAsia="zh-CN"/>
        </w:rPr>
        <w:t xml:space="preserve"> </w:t>
      </w:r>
      <w:r w:rsidR="00D13ECF" w:rsidRPr="00DB6F2C">
        <w:rPr>
          <w:lang w:val="ru-RU" w:eastAsia="zh-CN"/>
        </w:rPr>
        <w:lastRenderedPageBreak/>
        <w:t xml:space="preserve">периода BPD придется откладывать процесс составления соглашения и, возможно, последующую подачу </w:t>
      </w:r>
      <w:r w:rsidRPr="00DB6F2C">
        <w:rPr>
          <w:lang w:val="ru-RU" w:eastAsia="zh-CN"/>
        </w:rPr>
        <w:t>заявления о выдаче</w:t>
      </w:r>
      <w:r w:rsidR="00D13ECF" w:rsidRPr="00DB6F2C">
        <w:rPr>
          <w:lang w:val="ru-RU" w:eastAsia="zh-CN"/>
        </w:rPr>
        <w:t xml:space="preserve"> разрешения.</w:t>
      </w:r>
      <w:r w:rsidR="000C199E" w:rsidRPr="00DB6F2C">
        <w:rPr>
          <w:lang w:val="ru-RU" w:eastAsia="zh-CN"/>
        </w:rPr>
        <w:t xml:space="preserve"> </w:t>
      </w:r>
    </w:p>
    <w:p w14:paraId="09B9F95F" w14:textId="09CB1464" w:rsidR="00F90867" w:rsidRPr="00DB6F2C" w:rsidRDefault="00D13ECF" w:rsidP="00EE62FF">
      <w:pPr>
        <w:rPr>
          <w:lang w:val="ru-RU" w:eastAsia="zh-CN"/>
        </w:rPr>
      </w:pPr>
      <w:r w:rsidRPr="00DB6F2C">
        <w:rPr>
          <w:color w:val="000000" w:themeColor="text1"/>
          <w:lang w:val="ru-RU"/>
        </w:rPr>
        <w:t xml:space="preserve">Кроме того, еще одним последствием чрезвычайной ситуации с COVID-19 является отмена весенней </w:t>
      </w:r>
      <w:r w:rsidR="00F4315C" w:rsidRPr="00DB6F2C">
        <w:rPr>
          <w:color w:val="000000" w:themeColor="text1"/>
          <w:lang w:val="ru-RU"/>
        </w:rPr>
        <w:t xml:space="preserve">парламентской </w:t>
      </w:r>
      <w:r w:rsidRPr="00DB6F2C">
        <w:rPr>
          <w:color w:val="000000" w:themeColor="text1"/>
          <w:lang w:val="ru-RU"/>
        </w:rPr>
        <w:t>сессии. Тем не менее страна пребывания подтвердила, что на данном этапе</w:t>
      </w:r>
      <w:r w:rsidR="00F4315C" w:rsidRPr="00DB6F2C">
        <w:rPr>
          <w:color w:val="000000" w:themeColor="text1"/>
          <w:lang w:val="ru-RU"/>
        </w:rPr>
        <w:t xml:space="preserve"> нет причин беспокоиться по поводу рассмотрения заявки МСЭ на ссуду. Обращение должно </w:t>
      </w:r>
      <w:r w:rsidR="000C4461" w:rsidRPr="00DB6F2C">
        <w:rPr>
          <w:color w:val="000000" w:themeColor="text1"/>
          <w:lang w:val="ru-RU"/>
        </w:rPr>
        <w:t>поступить</w:t>
      </w:r>
      <w:r w:rsidR="00F4315C" w:rsidRPr="00DB6F2C">
        <w:rPr>
          <w:color w:val="000000" w:themeColor="text1"/>
          <w:lang w:val="ru-RU"/>
        </w:rPr>
        <w:t xml:space="preserve"> </w:t>
      </w:r>
      <w:r w:rsidR="000C4461" w:rsidRPr="00DB6F2C">
        <w:rPr>
          <w:color w:val="000000" w:themeColor="text1"/>
          <w:lang w:val="ru-RU"/>
        </w:rPr>
        <w:t>в</w:t>
      </w:r>
      <w:r w:rsidR="00F4315C" w:rsidRPr="00DB6F2C">
        <w:rPr>
          <w:color w:val="000000" w:themeColor="text1"/>
          <w:lang w:val="ru-RU"/>
        </w:rPr>
        <w:t xml:space="preserve"> парламент осенью/зимой, и отмена весенней сессии никоим образом не повлияет на ход </w:t>
      </w:r>
      <w:r w:rsidR="000C4461" w:rsidRPr="00DB6F2C">
        <w:rPr>
          <w:color w:val="000000" w:themeColor="text1"/>
          <w:lang w:val="ru-RU"/>
        </w:rPr>
        <w:t xml:space="preserve">рассмотрения </w:t>
      </w:r>
      <w:r w:rsidR="00F4315C" w:rsidRPr="00DB6F2C">
        <w:rPr>
          <w:color w:val="000000" w:themeColor="text1"/>
          <w:lang w:val="ru-RU"/>
        </w:rPr>
        <w:t>обращения МСЭ.</w:t>
      </w:r>
    </w:p>
    <w:p w14:paraId="3EA06E6E" w14:textId="3F310636" w:rsidR="00F90867" w:rsidRPr="00DB6F2C" w:rsidRDefault="00CC024D" w:rsidP="00EE62FF">
      <w:pPr>
        <w:rPr>
          <w:lang w:val="ru-RU"/>
        </w:rPr>
      </w:pPr>
      <w:r w:rsidRPr="00DB6F2C">
        <w:rPr>
          <w:lang w:val="ru-RU" w:eastAsia="zh-CN"/>
        </w:rPr>
        <w:t xml:space="preserve">В свете изменившихся рисков реестр рисков также обновляется с учетом нынешнего кризиса; </w:t>
      </w:r>
      <w:r w:rsidR="008D3C20" w:rsidRPr="00DB6F2C">
        <w:rPr>
          <w:lang w:val="ru-RU" w:eastAsia="zh-CN"/>
        </w:rPr>
        <w:t xml:space="preserve">осуществляется переоценка вероятности, последствий и мер по их смягчению. С другой стороны, </w:t>
      </w:r>
      <w:r w:rsidR="000C4461" w:rsidRPr="00DB6F2C">
        <w:rPr>
          <w:lang w:val="ru-RU" w:eastAsia="zh-CN"/>
        </w:rPr>
        <w:t>из данной ситуации можно</w:t>
      </w:r>
      <w:r w:rsidR="008D3C20" w:rsidRPr="00DB6F2C">
        <w:rPr>
          <w:lang w:val="ru-RU" w:eastAsia="zh-CN"/>
        </w:rPr>
        <w:t xml:space="preserve"> извлечь ряд положительных </w:t>
      </w:r>
      <w:r w:rsidR="000C4461" w:rsidRPr="00DB6F2C">
        <w:rPr>
          <w:lang w:val="ru-RU" w:eastAsia="zh-CN"/>
        </w:rPr>
        <w:t>уроков</w:t>
      </w:r>
      <w:r w:rsidR="008D3C20" w:rsidRPr="00DB6F2C">
        <w:rPr>
          <w:lang w:val="ru-RU" w:eastAsia="zh-CN"/>
        </w:rPr>
        <w:t xml:space="preserve">, поскольку она продемонстрировала силу технологий и доказала, что МСЭ способен эффективно функционировать в режиме телеработы и с помощью электронных средств, </w:t>
      </w:r>
      <w:r w:rsidR="000C4461" w:rsidRPr="00DB6F2C">
        <w:rPr>
          <w:lang w:val="ru-RU" w:eastAsia="zh-CN"/>
        </w:rPr>
        <w:t>в той мере, насколько это возможно</w:t>
      </w:r>
      <w:r w:rsidR="008D3C20" w:rsidRPr="00DB6F2C">
        <w:rPr>
          <w:lang w:val="ru-RU" w:eastAsia="zh-CN"/>
        </w:rPr>
        <w:t xml:space="preserve">. </w:t>
      </w:r>
      <w:r w:rsidR="008F5460" w:rsidRPr="00DB6F2C">
        <w:rPr>
          <w:lang w:val="ru-RU" w:eastAsia="zh-CN"/>
        </w:rPr>
        <w:t>Государства-</w:t>
      </w:r>
      <w:r w:rsidR="00914FEB" w:rsidRPr="00DB6F2C">
        <w:rPr>
          <w:lang w:val="ru-RU" w:eastAsia="zh-CN"/>
        </w:rPr>
        <w:t xml:space="preserve">Члены </w:t>
      </w:r>
      <w:r w:rsidR="008F5460" w:rsidRPr="00DB6F2C">
        <w:rPr>
          <w:lang w:val="ru-RU" w:eastAsia="zh-CN"/>
        </w:rPr>
        <w:t xml:space="preserve">демонстрируют гибкий подход, проводя виртуальные собрания и принимая необходимые решения. Организационная жизнеспособность МСЭ проходит проверку, и об имеющихся нуждах и </w:t>
      </w:r>
      <w:r w:rsidR="000C4461" w:rsidRPr="00DB6F2C">
        <w:rPr>
          <w:lang w:val="ru-RU" w:eastAsia="zh-CN"/>
        </w:rPr>
        <w:t>требованиях</w:t>
      </w:r>
      <w:r w:rsidR="008F5460" w:rsidRPr="00DB6F2C">
        <w:rPr>
          <w:lang w:val="ru-RU" w:eastAsia="zh-CN"/>
        </w:rPr>
        <w:t xml:space="preserve"> </w:t>
      </w:r>
      <w:r w:rsidR="007D0FF6" w:rsidRPr="00DB6F2C">
        <w:rPr>
          <w:lang w:val="ru-RU" w:eastAsia="zh-CN"/>
        </w:rPr>
        <w:t xml:space="preserve">сообщается Совету 2020 года </w:t>
      </w:r>
      <w:r w:rsidR="008F5460" w:rsidRPr="00DB6F2C">
        <w:rPr>
          <w:lang w:val="ru-RU" w:eastAsia="zh-CN"/>
        </w:rPr>
        <w:t xml:space="preserve">(см. </w:t>
      </w:r>
      <w:r w:rsidR="00D81752">
        <w:fldChar w:fldCharType="begin"/>
      </w:r>
      <w:r w:rsidR="00D81752" w:rsidRPr="00D81752">
        <w:rPr>
          <w:lang w:val="ru-RU"/>
        </w:rPr>
        <w:instrText xml:space="preserve"> </w:instrText>
      </w:r>
      <w:r w:rsidR="00D81752">
        <w:instrText>HYPERLINK</w:instrText>
      </w:r>
      <w:r w:rsidR="00D81752" w:rsidRPr="00D81752">
        <w:rPr>
          <w:lang w:val="ru-RU"/>
        </w:rPr>
        <w:instrText xml:space="preserve"> "</w:instrText>
      </w:r>
      <w:r w:rsidR="00D81752">
        <w:instrText>https</w:instrText>
      </w:r>
      <w:r w:rsidR="00D81752" w:rsidRPr="00D81752">
        <w:rPr>
          <w:lang w:val="ru-RU"/>
        </w:rPr>
        <w:instrText>://</w:instrText>
      </w:r>
      <w:r w:rsidR="00D81752">
        <w:instrText>www</w:instrText>
      </w:r>
      <w:r w:rsidR="00D81752" w:rsidRPr="00D81752">
        <w:rPr>
          <w:lang w:val="ru-RU"/>
        </w:rPr>
        <w:instrText>.</w:instrText>
      </w:r>
      <w:r w:rsidR="00D81752">
        <w:instrText>itu</w:instrText>
      </w:r>
      <w:r w:rsidR="00D81752" w:rsidRPr="00D81752">
        <w:rPr>
          <w:lang w:val="ru-RU"/>
        </w:rPr>
        <w:instrText>.</w:instrText>
      </w:r>
      <w:r w:rsidR="00D81752">
        <w:instrText>int</w:instrText>
      </w:r>
      <w:r w:rsidR="00D81752" w:rsidRPr="00D81752">
        <w:rPr>
          <w:lang w:val="ru-RU"/>
        </w:rPr>
        <w:instrText>/</w:instrText>
      </w:r>
      <w:r w:rsidR="00D81752">
        <w:instrText>md</w:instrText>
      </w:r>
      <w:r w:rsidR="00D81752" w:rsidRPr="00D81752">
        <w:rPr>
          <w:lang w:val="ru-RU"/>
        </w:rPr>
        <w:instrText>/</w:instrText>
      </w:r>
      <w:r w:rsidR="00D81752">
        <w:instrText>S</w:instrText>
      </w:r>
      <w:r w:rsidR="00D81752" w:rsidRPr="00D81752">
        <w:rPr>
          <w:lang w:val="ru-RU"/>
        </w:rPr>
        <w:instrText>20-</w:instrText>
      </w:r>
      <w:r w:rsidR="00D81752">
        <w:instrText>CL</w:instrText>
      </w:r>
      <w:r w:rsidR="00D81752" w:rsidRPr="00D81752">
        <w:rPr>
          <w:lang w:val="ru-RU"/>
        </w:rPr>
        <w:instrText>-</w:instrText>
      </w:r>
      <w:r w:rsidR="00D81752">
        <w:instrText>C</w:instrText>
      </w:r>
      <w:r w:rsidR="00D81752" w:rsidRPr="00D81752">
        <w:rPr>
          <w:lang w:val="ru-RU"/>
        </w:rPr>
        <w:instrText>-0053/</w:instrText>
      </w:r>
      <w:r w:rsidR="00D81752">
        <w:instrText>en</w:instrText>
      </w:r>
      <w:r w:rsidR="00D81752" w:rsidRPr="00D81752">
        <w:rPr>
          <w:lang w:val="ru-RU"/>
        </w:rPr>
        <w:instrText xml:space="preserve">" </w:instrText>
      </w:r>
      <w:r w:rsidR="00D81752">
        <w:fldChar w:fldCharType="separate"/>
      </w:r>
      <w:r w:rsidR="00914FEB" w:rsidRPr="00DB6F2C">
        <w:rPr>
          <w:rStyle w:val="Hyperlink"/>
          <w:lang w:val="ru-RU"/>
        </w:rPr>
        <w:t>Документ</w:t>
      </w:r>
      <w:r w:rsidR="000B1E8A" w:rsidRPr="00DB6F2C">
        <w:rPr>
          <w:rStyle w:val="Hyperlink"/>
          <w:lang w:val="ru-RU"/>
        </w:rPr>
        <w:t xml:space="preserve"> C20/53</w:t>
      </w:r>
      <w:r w:rsidR="00D81752">
        <w:rPr>
          <w:rStyle w:val="Hyperlink"/>
          <w:lang w:val="ru-RU"/>
        </w:rPr>
        <w:fldChar w:fldCharType="end"/>
      </w:r>
      <w:r w:rsidR="00914FEB" w:rsidRPr="00DB6F2C">
        <w:rPr>
          <w:lang w:val="ru-RU" w:eastAsia="zh-CN"/>
        </w:rPr>
        <w:t xml:space="preserve">, касающийся обеспечения непрерывности деятельности и управления информацией, </w:t>
      </w:r>
      <w:r w:rsidR="000B1E8A" w:rsidRPr="00DB6F2C">
        <w:rPr>
          <w:lang w:val="ru-RU" w:eastAsia="zh-CN"/>
        </w:rPr>
        <w:t xml:space="preserve">и </w:t>
      </w:r>
      <w:hyperlink r:id="rId11" w:history="1">
        <w:r w:rsidR="00A36BA5" w:rsidRPr="00DB6F2C">
          <w:rPr>
            <w:rStyle w:val="Hyperlink"/>
            <w:lang w:val="ru-RU"/>
          </w:rPr>
          <w:t>Документ C20/15</w:t>
        </w:r>
      </w:hyperlink>
      <w:r w:rsidR="00914FEB" w:rsidRPr="00DB6F2C">
        <w:rPr>
          <w:lang w:val="ru-RU" w:eastAsia="zh-CN"/>
        </w:rPr>
        <w:t>, посвященный о</w:t>
      </w:r>
      <w:r w:rsidR="007D0FF6" w:rsidRPr="00DB6F2C">
        <w:rPr>
          <w:lang w:val="ru-RU" w:eastAsia="zh-CN"/>
        </w:rPr>
        <w:t>тчет</w:t>
      </w:r>
      <w:r w:rsidR="00914FEB" w:rsidRPr="00DB6F2C">
        <w:rPr>
          <w:lang w:val="ru-RU" w:eastAsia="zh-CN"/>
        </w:rPr>
        <w:t>у</w:t>
      </w:r>
      <w:r w:rsidR="007D0FF6" w:rsidRPr="00DB6F2C">
        <w:rPr>
          <w:lang w:val="ru-RU" w:eastAsia="zh-CN"/>
        </w:rPr>
        <w:t xml:space="preserve"> о ходе работы </w:t>
      </w:r>
      <w:r w:rsidR="00914FEB" w:rsidRPr="00DB6F2C">
        <w:rPr>
          <w:lang w:val="ru-RU" w:eastAsia="zh-CN"/>
        </w:rPr>
        <w:t xml:space="preserve">по </w:t>
      </w:r>
      <w:r w:rsidR="007D0FF6" w:rsidRPr="00DB6F2C">
        <w:rPr>
          <w:lang w:val="ru-RU" w:eastAsia="zh-CN"/>
        </w:rPr>
        <w:t xml:space="preserve">ORMS) в целях содействия повышению жизнеспособности и обеспечению непрерывности деятельности. Руководящий состав МСЭ </w:t>
      </w:r>
      <w:r w:rsidR="000C4461" w:rsidRPr="00DB6F2C">
        <w:rPr>
          <w:lang w:val="ru-RU" w:eastAsia="zh-CN"/>
        </w:rPr>
        <w:t>регулярно проводит</w:t>
      </w:r>
      <w:r w:rsidR="007D0FF6" w:rsidRPr="00DB6F2C">
        <w:rPr>
          <w:lang w:val="ru-RU" w:eastAsia="zh-CN"/>
        </w:rPr>
        <w:t xml:space="preserve"> виртуальные собрания, </w:t>
      </w:r>
      <w:r w:rsidR="000C4461" w:rsidRPr="00DB6F2C">
        <w:rPr>
          <w:lang w:val="ru-RU" w:eastAsia="zh-CN"/>
        </w:rPr>
        <w:t>минимизируя</w:t>
      </w:r>
      <w:r w:rsidR="007D0FF6" w:rsidRPr="00DB6F2C">
        <w:rPr>
          <w:lang w:val="ru-RU" w:eastAsia="zh-CN"/>
        </w:rPr>
        <w:t xml:space="preserve"> последствия для внутреннего </w:t>
      </w:r>
      <w:r w:rsidR="000C4461" w:rsidRPr="00DB6F2C">
        <w:rPr>
          <w:lang w:val="ru-RU" w:eastAsia="zh-CN"/>
        </w:rPr>
        <w:t xml:space="preserve">процесса </w:t>
      </w:r>
      <w:r w:rsidR="007D0FF6" w:rsidRPr="00DB6F2C">
        <w:rPr>
          <w:lang w:val="ru-RU" w:eastAsia="zh-CN"/>
        </w:rPr>
        <w:t>принятия решений.</w:t>
      </w:r>
    </w:p>
    <w:p w14:paraId="2BB93F4A" w14:textId="3535E087" w:rsidR="00F90867" w:rsidRPr="00DB6F2C" w:rsidRDefault="007D0FF6" w:rsidP="00EE62FF">
      <w:pPr>
        <w:rPr>
          <w:lang w:val="ru-RU" w:eastAsia="zh-CN"/>
        </w:rPr>
      </w:pPr>
      <w:r w:rsidRPr="00DB6F2C">
        <w:rPr>
          <w:lang w:val="ru-RU" w:eastAsia="zh-CN"/>
        </w:rPr>
        <w:t xml:space="preserve">Нынешнее ограничение доступа в здание </w:t>
      </w:r>
      <w:r w:rsidR="00914FEB" w:rsidRPr="00DB6F2C">
        <w:rPr>
          <w:lang w:val="ru-RU" w:eastAsia="zh-CN"/>
        </w:rPr>
        <w:t>"</w:t>
      </w:r>
      <w:proofErr w:type="spellStart"/>
      <w:r w:rsidRPr="00DB6F2C">
        <w:rPr>
          <w:lang w:val="ru-RU" w:eastAsia="zh-CN"/>
        </w:rPr>
        <w:t>Варембе</w:t>
      </w:r>
      <w:proofErr w:type="spellEnd"/>
      <w:r w:rsidR="00914FEB" w:rsidRPr="00DB6F2C">
        <w:rPr>
          <w:lang w:val="ru-RU" w:eastAsia="zh-CN"/>
        </w:rPr>
        <w:t>"</w:t>
      </w:r>
      <w:r w:rsidRPr="00DB6F2C">
        <w:rPr>
          <w:lang w:val="ru-RU" w:eastAsia="zh-CN"/>
        </w:rPr>
        <w:t xml:space="preserve"> может </w:t>
      </w:r>
      <w:r w:rsidR="00457369" w:rsidRPr="00DB6F2C">
        <w:rPr>
          <w:lang w:val="ru-RU" w:eastAsia="zh-CN"/>
        </w:rPr>
        <w:t>сказаться</w:t>
      </w:r>
      <w:r w:rsidRPr="00DB6F2C">
        <w:rPr>
          <w:lang w:val="ru-RU" w:eastAsia="zh-CN"/>
        </w:rPr>
        <w:t xml:space="preserve"> на возможности перемещения архива БР. </w:t>
      </w:r>
    </w:p>
    <w:p w14:paraId="7CBDBEBD" w14:textId="551DD636" w:rsidR="00F90867" w:rsidRPr="00DB6F2C" w:rsidRDefault="007D0FF6" w:rsidP="00EE62FF">
      <w:pPr>
        <w:rPr>
          <w:lang w:val="ru-RU" w:eastAsia="zh-CN"/>
        </w:rPr>
      </w:pPr>
      <w:r w:rsidRPr="00DB6F2C">
        <w:rPr>
          <w:lang w:val="ru-RU" w:eastAsia="zh-CN"/>
        </w:rPr>
        <w:t xml:space="preserve">К сожалению, в данный момент никто не может </w:t>
      </w:r>
      <w:r w:rsidR="00F933D5" w:rsidRPr="00DB6F2C">
        <w:rPr>
          <w:lang w:val="ru-RU" w:eastAsia="zh-CN"/>
        </w:rPr>
        <w:t>с точностью спрогнозировать</w:t>
      </w:r>
      <w:r w:rsidRPr="00DB6F2C">
        <w:rPr>
          <w:lang w:val="ru-RU" w:eastAsia="zh-CN"/>
        </w:rPr>
        <w:t>, какое влияние окажет COVID-19 на сроки проекта</w:t>
      </w:r>
      <w:r w:rsidR="00F933D5" w:rsidRPr="00DB6F2C">
        <w:rPr>
          <w:lang w:val="ru-RU" w:eastAsia="zh-CN"/>
        </w:rPr>
        <w:t xml:space="preserve"> и каковы в итоге будут его финансовые последствия. МСЭ будет делать все возможное для минимизации </w:t>
      </w:r>
      <w:r w:rsidR="00457369" w:rsidRPr="00DB6F2C">
        <w:rPr>
          <w:lang w:val="ru-RU" w:eastAsia="zh-CN"/>
        </w:rPr>
        <w:t>воздействия</w:t>
      </w:r>
      <w:r w:rsidR="00F933D5" w:rsidRPr="00DB6F2C">
        <w:rPr>
          <w:lang w:val="ru-RU" w:eastAsia="zh-CN"/>
        </w:rPr>
        <w:t xml:space="preserve"> пандемии, </w:t>
      </w:r>
      <w:r w:rsidR="00457369" w:rsidRPr="00DB6F2C">
        <w:rPr>
          <w:lang w:val="ru-RU" w:eastAsia="zh-CN"/>
        </w:rPr>
        <w:t>сокращая отставание от графика</w:t>
      </w:r>
      <w:r w:rsidR="00F933D5" w:rsidRPr="00DB6F2C">
        <w:rPr>
          <w:lang w:val="ru-RU" w:eastAsia="zh-CN"/>
        </w:rPr>
        <w:t xml:space="preserve"> в дальнейшем, когда станут понятны ее последствия. </w:t>
      </w:r>
    </w:p>
    <w:p w14:paraId="164B5618" w14:textId="56C81CAF" w:rsidR="00F90867" w:rsidRPr="00DB6F2C" w:rsidRDefault="00F933D5" w:rsidP="00EE62FF">
      <w:pPr>
        <w:rPr>
          <w:lang w:val="ru-RU" w:eastAsia="zh-CN"/>
        </w:rPr>
      </w:pPr>
      <w:r w:rsidRPr="00DB6F2C">
        <w:rPr>
          <w:lang w:val="ru-RU" w:eastAsia="zh-CN"/>
        </w:rPr>
        <w:t xml:space="preserve">Тем не менее в реестр рисков был </w:t>
      </w:r>
      <w:r w:rsidR="00457369" w:rsidRPr="00DB6F2C">
        <w:rPr>
          <w:lang w:val="ru-RU" w:eastAsia="zh-CN"/>
        </w:rPr>
        <w:t>внесен</w:t>
      </w:r>
      <w:r w:rsidRPr="00DB6F2C">
        <w:rPr>
          <w:lang w:val="ru-RU" w:eastAsia="zh-CN"/>
        </w:rPr>
        <w:t xml:space="preserve"> еще один пункт, </w:t>
      </w:r>
      <w:r w:rsidR="00457369" w:rsidRPr="00DB6F2C">
        <w:rPr>
          <w:lang w:val="ru-RU" w:eastAsia="zh-CN"/>
        </w:rPr>
        <w:t>призванный</w:t>
      </w:r>
      <w:r w:rsidRPr="00DB6F2C">
        <w:rPr>
          <w:lang w:val="ru-RU" w:eastAsia="zh-CN"/>
        </w:rPr>
        <w:t xml:space="preserve"> обеспечить покрытие и </w:t>
      </w:r>
      <w:r w:rsidR="00457369" w:rsidRPr="00DB6F2C">
        <w:rPr>
          <w:lang w:val="ru-RU" w:eastAsia="zh-CN"/>
        </w:rPr>
        <w:t>прогнозирование</w:t>
      </w:r>
      <w:r w:rsidRPr="00DB6F2C">
        <w:rPr>
          <w:lang w:val="ru-RU" w:eastAsia="zh-CN"/>
        </w:rPr>
        <w:t xml:space="preserve"> </w:t>
      </w:r>
      <w:r w:rsidR="00457369" w:rsidRPr="00DB6F2C">
        <w:rPr>
          <w:lang w:val="ru-RU" w:eastAsia="zh-CN"/>
        </w:rPr>
        <w:t xml:space="preserve">итоговых </w:t>
      </w:r>
      <w:r w:rsidRPr="00DB6F2C">
        <w:rPr>
          <w:lang w:val="ru-RU" w:eastAsia="zh-CN"/>
        </w:rPr>
        <w:t xml:space="preserve">изменений, которые могут быть внесены в проект </w:t>
      </w:r>
      <w:r w:rsidR="00457369" w:rsidRPr="00DB6F2C">
        <w:rPr>
          <w:lang w:val="ru-RU" w:eastAsia="zh-CN"/>
        </w:rPr>
        <w:t>после проведения</w:t>
      </w:r>
      <w:r w:rsidRPr="00DB6F2C">
        <w:rPr>
          <w:lang w:val="ru-RU" w:eastAsia="zh-CN"/>
        </w:rPr>
        <w:t xml:space="preserve"> анализа </w:t>
      </w:r>
      <w:r w:rsidR="00457369" w:rsidRPr="00DB6F2C">
        <w:rPr>
          <w:lang w:val="ru-RU" w:eastAsia="zh-CN"/>
        </w:rPr>
        <w:t>влияния</w:t>
      </w:r>
      <w:r w:rsidRPr="00DB6F2C">
        <w:rPr>
          <w:lang w:val="ru-RU" w:eastAsia="zh-CN"/>
        </w:rPr>
        <w:t xml:space="preserve"> COVID-19 </w:t>
      </w:r>
      <w:r w:rsidR="00457369" w:rsidRPr="00DB6F2C">
        <w:rPr>
          <w:lang w:val="ru-RU" w:eastAsia="zh-CN"/>
        </w:rPr>
        <w:t>в отношении требований</w:t>
      </w:r>
      <w:r w:rsidR="00186E87" w:rsidRPr="00DB6F2C">
        <w:rPr>
          <w:lang w:val="ru-RU" w:eastAsia="zh-CN"/>
        </w:rPr>
        <w:t xml:space="preserve"> к программе строительства нового здания.</w:t>
      </w:r>
    </w:p>
    <w:p w14:paraId="29C5427D" w14:textId="77777777" w:rsidR="00F90867" w:rsidRPr="00DB6F2C" w:rsidRDefault="00F90867" w:rsidP="00EE62FF">
      <w:pPr>
        <w:rPr>
          <w:lang w:val="ru-RU" w:eastAsia="zh-CN"/>
        </w:rPr>
      </w:pPr>
    </w:p>
    <w:p w14:paraId="2A328B77" w14:textId="77777777" w:rsidR="00F90867" w:rsidRPr="00DB6F2C" w:rsidRDefault="00F90867" w:rsidP="00EE62FF">
      <w:pPr>
        <w:rPr>
          <w:lang w:val="ru-RU"/>
        </w:rPr>
        <w:sectPr w:rsidR="00F90867" w:rsidRPr="00DB6F2C" w:rsidSect="00A36BA5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134" w:left="1134" w:header="720" w:footer="720" w:gutter="0"/>
          <w:cols w:space="720"/>
          <w:titlePg/>
        </w:sectPr>
      </w:pPr>
    </w:p>
    <w:p w14:paraId="4C546598" w14:textId="7282955F" w:rsidR="0040127D" w:rsidRPr="00DB6F2C" w:rsidRDefault="000F7EE3" w:rsidP="008F11F8">
      <w:pPr>
        <w:pStyle w:val="AnnexNo"/>
        <w:spacing w:before="0"/>
        <w:rPr>
          <w:lang w:val="ru-RU"/>
        </w:rPr>
      </w:pPr>
      <w:bookmarkStart w:id="5" w:name="AnnexA"/>
      <w:r w:rsidRPr="00DB6F2C">
        <w:rPr>
          <w:lang w:val="ru-RU"/>
        </w:rPr>
        <w:lastRenderedPageBreak/>
        <w:t>ПРИЛОЖЕНИЕ A</w:t>
      </w:r>
      <w:bookmarkEnd w:id="5"/>
    </w:p>
    <w:p w14:paraId="4C7257E5" w14:textId="77777777" w:rsidR="00270AA6" w:rsidRPr="00DB6F2C" w:rsidRDefault="00270AA6" w:rsidP="00270AA6">
      <w:pPr>
        <w:pStyle w:val="FigureNo"/>
        <w:rPr>
          <w:lang w:val="ru-RU"/>
        </w:rPr>
      </w:pPr>
      <w:r w:rsidRPr="00DB6F2C">
        <w:rPr>
          <w:lang w:val="ru-RU"/>
        </w:rPr>
        <w:t>Рисунок A</w:t>
      </w:r>
    </w:p>
    <w:p w14:paraId="7A1B4B9F" w14:textId="0425D2EF" w:rsidR="00270AA6" w:rsidRPr="00DB6F2C" w:rsidRDefault="00270AA6" w:rsidP="00DB6F2C">
      <w:pPr>
        <w:pStyle w:val="Figuretitle"/>
        <w:spacing w:after="120"/>
        <w:rPr>
          <w:lang w:val="ru-RU"/>
        </w:rPr>
      </w:pPr>
      <w:r w:rsidRPr="00DB6F2C">
        <w:rPr>
          <w:lang w:val="ru-RU"/>
        </w:rPr>
        <w:t>Взаимосвязь принципов управления рисками, рамочного механизма и процесса</w:t>
      </w:r>
    </w:p>
    <w:p w14:paraId="2F366A2A" w14:textId="3019E570" w:rsidR="006A241E" w:rsidRPr="00DB6F2C" w:rsidRDefault="00F14750" w:rsidP="006A241E">
      <w:pPr>
        <w:pStyle w:val="Annextitle"/>
        <w:rPr>
          <w:lang w:val="ru-RU"/>
        </w:rPr>
      </w:pPr>
      <w:r w:rsidRPr="00DB6F2C"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C83BBC6" wp14:editId="1179A891">
                <wp:simplePos x="0" y="0"/>
                <wp:positionH relativeFrom="column">
                  <wp:posOffset>318135</wp:posOffset>
                </wp:positionH>
                <wp:positionV relativeFrom="paragraph">
                  <wp:posOffset>252095</wp:posOffset>
                </wp:positionV>
                <wp:extent cx="8536623" cy="4168640"/>
                <wp:effectExtent l="0" t="0" r="0" b="381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6623" cy="4168640"/>
                          <a:chOff x="0" y="159020"/>
                          <a:chExt cx="8536623" cy="416864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0" y="192398"/>
                            <a:ext cx="1908810" cy="402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263336" w14:textId="77777777" w:rsidR="005C0E5F" w:rsidRPr="00347058" w:rsidRDefault="005C0E5F" w:rsidP="006A241E">
                              <w:pPr>
                                <w:spacing w:before="0" w:after="240"/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 w:rsidRPr="00347058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  <w:t>Принципы</w:t>
                              </w:r>
                            </w:p>
                            <w:p w14:paraId="02875C96" w14:textId="3B99AE1F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Создает стоимость</w:t>
                              </w:r>
                            </w:p>
                            <w:p w14:paraId="1DF7A24A" w14:textId="113A75C5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Является составной частью организационных процессов</w:t>
                              </w:r>
                            </w:p>
                            <w:p w14:paraId="4019A26A" w14:textId="1B96011D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Является частью процесса принятия решений</w:t>
                              </w:r>
                            </w:p>
                            <w:p w14:paraId="32788976" w14:textId="375FD2F7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Имеет четкой целью устранение неопределенности</w:t>
                              </w:r>
                            </w:p>
                            <w:p w14:paraId="553E3C3F" w14:textId="287416AE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Характеризуется систематичностью, структурированностью и определенностью по времени</w:t>
                              </w:r>
                            </w:p>
                            <w:p w14:paraId="4F9A288F" w14:textId="0ABEFF2F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Опирается на наиболее надежную информацию</w:t>
                              </w:r>
                            </w:p>
                            <w:p w14:paraId="6812D076" w14:textId="2D0A1DDF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g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Носит адресный характер</w:t>
                              </w:r>
                            </w:p>
                            <w:p w14:paraId="34D428E4" w14:textId="7AF7522D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Учитывает человеческий и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 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культурный факторы</w:t>
                              </w:r>
                            </w:p>
                            <w:p w14:paraId="4A318D7E" w14:textId="2D243234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proofErr w:type="spellStart"/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Характеризуется прозрачностью и всеохватностью</w:t>
                              </w:r>
                            </w:p>
                            <w:p w14:paraId="6A0DEC5E" w14:textId="69654C2D" w:rsidR="005C0E5F" w:rsidRPr="00DB6F2C" w:rsidRDefault="005C0E5F" w:rsidP="006A241E">
                              <w:pPr>
                                <w:tabs>
                                  <w:tab w:val="clear" w:pos="794"/>
                                  <w:tab w:val="left" w:pos="284"/>
                                </w:tabs>
                                <w:spacing w:before="80"/>
                                <w:ind w:left="284" w:hanging="284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j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)</w:t>
                              </w:r>
                              <w:r w:rsidRPr="00DB6F2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>Способствует непрерывному усовершенствованию и укреплению деятельности организации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486025" y="166971"/>
                            <a:ext cx="266700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B6F7CC" w14:textId="77777777" w:rsidR="005C0E5F" w:rsidRPr="00347058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 w:rsidRPr="00347058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  <w:t>Рамочный механизм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838825" y="159020"/>
                            <a:ext cx="26384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B98B80" w14:textId="77777777" w:rsidR="005C0E5F" w:rsidRPr="00347058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 w:rsidRPr="00347058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  <w:t>Процесс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228975" y="646207"/>
                            <a:ext cx="1143000" cy="419100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78282C" w14:textId="77777777" w:rsidR="005C0E5F" w:rsidRPr="00B42A19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B42A19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 xml:space="preserve">Мандат </w:t>
                              </w:r>
                              <w:r w:rsidRPr="00B42A19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br/>
                                <w:t>и обязательства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196307" y="1582533"/>
                            <a:ext cx="1200814" cy="704289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AA2236" w14:textId="49A0814F" w:rsidR="005C0E5F" w:rsidRPr="006A23F5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 xml:space="preserve">Разработка </w:t>
                              </w:r>
                              <w:proofErr w:type="spellStart"/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рамоч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-</w:t>
                              </w:r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ного</w:t>
                              </w:r>
                              <w:proofErr w:type="spellEnd"/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 xml:space="preserve"> механизма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br/>
                              </w:r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для управления рисками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466975" y="2640161"/>
                            <a:ext cx="1143000" cy="648000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EF3FC5" w14:textId="77777777" w:rsidR="005C0E5F" w:rsidRPr="00B42A19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 xml:space="preserve">Постоянное </w:t>
                              </w:r>
                              <w:proofErr w:type="spellStart"/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усовершенство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вание</w:t>
                              </w:r>
                              <w:proofErr w:type="spellEnd"/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 xml:space="preserve"> рамочного механизма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4010025" y="267031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6E2D59" w14:textId="77777777" w:rsidR="005C0E5F" w:rsidRPr="00B42A19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Осуществление управления рисками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238500" y="3679960"/>
                            <a:ext cx="1143000" cy="647700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CEA5CC" w14:textId="77777777" w:rsidR="005C0E5F" w:rsidRPr="006A23F5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 w:rsidRPr="008B0F3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Контроль и рассмотрение работы рамочного механизма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6572250" y="1797158"/>
                            <a:ext cx="1143000" cy="361950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D74B54" w14:textId="77777777" w:rsidR="005C0E5F" w:rsidRPr="00B42A19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BC3BB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Выявление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6572250" y="3083033"/>
                            <a:ext cx="1143000" cy="361950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7D43E9" w14:textId="77777777" w:rsidR="005C0E5F" w:rsidRPr="00B42A19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BC3BB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Оценка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6572250" y="2435333"/>
                            <a:ext cx="1143000" cy="361950"/>
                          </a:xfrm>
                          <a:prstGeom prst="rect">
                            <a:avLst/>
                          </a:prstGeom>
                          <a:solidFill>
                            <a:srgbClr val="9FD2C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F8888C" w14:textId="77777777" w:rsidR="005C0E5F" w:rsidRPr="00B42A19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BC3BB3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Анализ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6419850" y="628812"/>
                            <a:ext cx="14573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E28556" w14:textId="77777777" w:rsidR="005C0E5F" w:rsidRPr="007A2F70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 w:rsidRPr="007A2F70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Контекст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6419850" y="1346416"/>
                            <a:ext cx="14573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D9A070" w14:textId="77777777" w:rsidR="005C0E5F" w:rsidRPr="007A2F70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 w:rsidRPr="007A2F70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Оценка риска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6410325" y="3975235"/>
                            <a:ext cx="14573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088C01" w14:textId="77777777" w:rsidR="005C0E5F" w:rsidRPr="007A2F70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 w:rsidRPr="007A2F70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Устранение риска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 rot="16200000">
                            <a:off x="4217353" y="2226627"/>
                            <a:ext cx="347599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61BC4C" w14:textId="77777777" w:rsidR="005C0E5F" w:rsidRPr="007A2F70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 w:rsidRPr="007A2F70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Коммуникация и консультации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 rot="16200000">
                            <a:off x="6636703" y="2217102"/>
                            <a:ext cx="347599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899741" w14:textId="77777777" w:rsidR="005C0E5F" w:rsidRPr="007A2F70" w:rsidRDefault="005C0E5F" w:rsidP="006A241E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</w:pPr>
                              <w:r w:rsidRPr="007A2F70">
                                <w:rPr>
                                  <w:b/>
                                  <w:bCs/>
                                  <w:sz w:val="20"/>
                                  <w:lang w:val="ru-RU"/>
                                </w:rPr>
                                <w:t>Контроль и рассмотрение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3BBC6" id="Group 44" o:spid="_x0000_s1026" style="position:absolute;left:0;text-align:left;margin-left:25.05pt;margin-top:19.85pt;width:672.2pt;height:328.25pt;z-index:251707392;mso-height-relative:margin" coordorigin=",1590" coordsize="85366,4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top:1923;width:19088;height:40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" fillcolor="white [3212]" stroked="f" strokeweight=".5pt">
                  <v:textbox inset="1mm,1mm,1mm,1mm">
                    <w:txbxContent>
                      <w:p w14:paraId="06263336" w14:textId="77777777" w:rsidR="005C0E5F" w:rsidRPr="00347058" w:rsidRDefault="005C0E5F" w:rsidP="006A241E">
                        <w:pPr>
                          <w:spacing w:before="0" w:after="24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</w:pPr>
                        <w:r w:rsidRPr="00347058"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  <w:t>Принципы</w:t>
                        </w:r>
                      </w:p>
                      <w:p w14:paraId="02875C96" w14:textId="3B99AE1F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Создает стоимость</w:t>
                        </w:r>
                      </w:p>
                      <w:p w14:paraId="1DF7A24A" w14:textId="113A75C5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Является составной частью организационных процессов</w:t>
                        </w:r>
                      </w:p>
                      <w:p w14:paraId="4019A26A" w14:textId="1B96011D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c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Является частью процесса принятия решений</w:t>
                        </w:r>
                      </w:p>
                      <w:p w14:paraId="32788976" w14:textId="375FD2F7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d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Имеет четкой целью устранение неопределенности</w:t>
                        </w:r>
                      </w:p>
                      <w:p w14:paraId="553E3C3F" w14:textId="287416AE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Характеризуется систематичностью, структурированностью и определенностью по времени</w:t>
                        </w:r>
                      </w:p>
                      <w:p w14:paraId="4F9A288F" w14:textId="0ABEFF2F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Опирается на наиболее надежную информацию</w:t>
                        </w:r>
                      </w:p>
                      <w:p w14:paraId="6812D076" w14:textId="2D0A1DDF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g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Носит адресный характер</w:t>
                        </w:r>
                      </w:p>
                      <w:p w14:paraId="34D428E4" w14:textId="7AF7522D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h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Учитывает человеческий и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 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культурный факторы</w:t>
                        </w:r>
                      </w:p>
                      <w:p w14:paraId="4A318D7E" w14:textId="2D243234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Характеризуется прозрачностью и всеохватностью</w:t>
                        </w:r>
                      </w:p>
                      <w:p w14:paraId="6A0DEC5E" w14:textId="69654C2D" w:rsidR="005C0E5F" w:rsidRPr="00DB6F2C" w:rsidRDefault="005C0E5F" w:rsidP="006A241E">
                        <w:pPr>
                          <w:tabs>
                            <w:tab w:val="clear" w:pos="794"/>
                            <w:tab w:val="left" w:pos="284"/>
                          </w:tabs>
                          <w:spacing w:before="80"/>
                          <w:ind w:left="284" w:hanging="284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j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DB6F2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  <w:t>Способствует непрерывному усовершенствованию и укреплению деятельности организации</w:t>
                        </w:r>
                      </w:p>
                    </w:txbxContent>
                  </v:textbox>
                </v:shape>
                <v:shape id="Text Box 23" o:spid="_x0000_s1028" type="#_x0000_t202" style="position:absolute;left:24860;top:1669;width:2667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" fillcolor="white [3212]" stroked="f" strokeweight=".5pt">
                  <v:textbox inset="1mm,1mm,1mm,1mm">
                    <w:txbxContent>
                      <w:p w14:paraId="3FB6F7CC" w14:textId="77777777" w:rsidR="005C0E5F" w:rsidRPr="00347058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</w:pPr>
                        <w:r w:rsidRPr="00347058"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  <w:t>Рамочный механизм</w:t>
                        </w:r>
                      </w:p>
                    </w:txbxContent>
                  </v:textbox>
                </v:shape>
                <v:shape id="Text Box 24" o:spid="_x0000_s1029" type="#_x0000_t202" style="position:absolute;left:58388;top:1590;width:263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" fillcolor="white [3212]" stroked="f" strokeweight=".5pt">
                  <v:textbox inset="1mm,1mm,1mm,1mm">
                    <w:txbxContent>
                      <w:p w14:paraId="4FB98B80" w14:textId="77777777" w:rsidR="005C0E5F" w:rsidRPr="00347058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</w:pPr>
                        <w:r w:rsidRPr="00347058"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  <w:t>Процесс</w:t>
                        </w:r>
                      </w:p>
                    </w:txbxContent>
                  </v:textbox>
                </v:shape>
                <v:shape id="Text Box 30" o:spid="_x0000_s1030" type="#_x0000_t202" style="position:absolute;left:32289;top:6462;width:1143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" fillcolor="#9fd2c5" stroked="f" strokeweight=".5pt">
                  <v:textbox inset="1mm,1mm,1mm,1mm">
                    <w:txbxContent>
                      <w:p w14:paraId="7C78282C" w14:textId="77777777" w:rsidR="005C0E5F" w:rsidRPr="00B42A19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B42A19">
                          <w:rPr>
                            <w:b/>
                            <w:bCs/>
                            <w:sz w:val="20"/>
                            <w:lang w:val="ru-RU"/>
                          </w:rPr>
                          <w:t xml:space="preserve">Мандат </w:t>
                        </w:r>
                        <w:r w:rsidRPr="00B42A19">
                          <w:rPr>
                            <w:b/>
                            <w:bCs/>
                            <w:sz w:val="20"/>
                            <w:lang w:val="ru-RU"/>
                          </w:rPr>
                          <w:br/>
                          <w:t>и обязательства</w:t>
                        </w:r>
                      </w:p>
                    </w:txbxContent>
                  </v:textbox>
                </v:shape>
                <v:shape id="Text Box 31" o:spid="_x0000_s1031" type="#_x0000_t202" style="position:absolute;left:31963;top:15825;width:12008;height: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" fillcolor="#9fd2c5" stroked="f" strokeweight=".5pt">
                  <v:textbox inset="0,1mm,0,1mm">
                    <w:txbxContent>
                      <w:p w14:paraId="28AA2236" w14:textId="49A0814F" w:rsidR="005C0E5F" w:rsidRPr="006A23F5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 xml:space="preserve">Разработка </w:t>
                        </w:r>
                        <w:proofErr w:type="spellStart"/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>рамоч</w:t>
                        </w:r>
                        <w:r>
                          <w:rPr>
                            <w:b/>
                            <w:bCs/>
                            <w:sz w:val="20"/>
                            <w:lang w:val="ru-RU"/>
                          </w:rPr>
                          <w:t>-</w:t>
                        </w:r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>ного</w:t>
                        </w:r>
                        <w:proofErr w:type="spellEnd"/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 xml:space="preserve"> механизма </w:t>
                        </w:r>
                        <w:r>
                          <w:rPr>
                            <w:b/>
                            <w:bCs/>
                            <w:sz w:val="20"/>
                            <w:lang w:val="ru-RU"/>
                          </w:rPr>
                          <w:br/>
                        </w:r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>для управления рисками</w:t>
                        </w:r>
                      </w:p>
                    </w:txbxContent>
                  </v:textbox>
                </v:shape>
                <v:shape id="Text Box 32" o:spid="_x0000_s1032" type="#_x0000_t202" style="position:absolute;left:24669;top:26401;width:1143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" fillcolor="#9fd2c5" stroked="f" strokeweight=".5pt">
                  <v:textbox inset="1mm,0,1mm,0">
                    <w:txbxContent>
                      <w:p w14:paraId="21EF3FC5" w14:textId="77777777" w:rsidR="005C0E5F" w:rsidRPr="00B42A19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 xml:space="preserve">Постоянное </w:t>
                        </w:r>
                        <w:proofErr w:type="spellStart"/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>усовершенство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lang w:val="en-US"/>
                          </w:rPr>
                          <w:t>-</w:t>
                        </w:r>
                        <w:proofErr w:type="spellStart"/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>вание</w:t>
                        </w:r>
                        <w:proofErr w:type="spellEnd"/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 xml:space="preserve"> рамочного механизма</w:t>
                        </w:r>
                      </w:p>
                    </w:txbxContent>
                  </v:textbox>
                </v:shape>
                <v:shape id="Text Box 33" o:spid="_x0000_s1033" type="#_x0000_t202" style="position:absolute;left:40100;top:26703;width:1143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" fillcolor="#9fd2c5" stroked="f" strokeweight=".5pt">
                  <v:textbox inset="1mm,1mm,1mm,1mm">
                    <w:txbxContent>
                      <w:p w14:paraId="726E2D59" w14:textId="77777777" w:rsidR="005C0E5F" w:rsidRPr="00B42A19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>Осуществление управления рисками</w:t>
                        </w:r>
                      </w:p>
                    </w:txbxContent>
                  </v:textbox>
                </v:shape>
                <v:shape id="Text Box 34" o:spid="_x0000_s1034" type="#_x0000_t202" style="position:absolute;left:32385;top:36799;width:11430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" fillcolor="#9fd2c5" stroked="f" strokeweight=".5pt">
                  <v:textbox inset="1mm,0,1mm,0">
                    <w:txbxContent>
                      <w:p w14:paraId="07CEA5CC" w14:textId="77777777" w:rsidR="005C0E5F" w:rsidRPr="006A23F5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 w:rsidRPr="008B0F33">
                          <w:rPr>
                            <w:b/>
                            <w:bCs/>
                            <w:sz w:val="20"/>
                            <w:lang w:val="ru-RU"/>
                          </w:rPr>
                          <w:t>Контроль и рассмотрение работы рамочного механизма</w:t>
                        </w:r>
                      </w:p>
                    </w:txbxContent>
                  </v:textbox>
                </v:shape>
                <v:shape id="Text Box 36" o:spid="_x0000_s1035" type="#_x0000_t202" style="position:absolute;left:65722;top:17971;width:11430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" fillcolor="#9fd2c5" stroked="f" strokeweight=".5pt">
                  <v:textbox inset="1mm,1mm,1mm,1mm">
                    <w:txbxContent>
                      <w:p w14:paraId="63D74B54" w14:textId="77777777" w:rsidR="005C0E5F" w:rsidRPr="00B42A19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BC3BB3">
                          <w:rPr>
                            <w:b/>
                            <w:bCs/>
                            <w:sz w:val="20"/>
                            <w:lang w:val="ru-RU"/>
                          </w:rPr>
                          <w:t>Выявление</w:t>
                        </w:r>
                      </w:p>
                    </w:txbxContent>
                  </v:textbox>
                </v:shape>
                <v:shape id="Text Box 37" o:spid="_x0000_s1036" type="#_x0000_t202" style="position:absolute;left:65722;top:30830;width:1143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" fillcolor="#9fd2c5" stroked="f" strokeweight=".5pt">
                  <v:textbox inset="1mm,1mm,1mm,1mm">
                    <w:txbxContent>
                      <w:p w14:paraId="087D43E9" w14:textId="77777777" w:rsidR="005C0E5F" w:rsidRPr="00B42A19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BC3BB3">
                          <w:rPr>
                            <w:b/>
                            <w:bCs/>
                            <w:sz w:val="20"/>
                            <w:lang w:val="ru-RU"/>
                          </w:rPr>
                          <w:t>Оценка</w:t>
                        </w:r>
                      </w:p>
                    </w:txbxContent>
                  </v:textbox>
                </v:shape>
                <v:shape id="Text Box 38" o:spid="_x0000_s1037" type="#_x0000_t202" style="position:absolute;left:65722;top:24353;width:1143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" fillcolor="#9fd2c5" stroked="f" strokeweight=".5pt">
                  <v:textbox inset="1mm,1mm,1mm,1mm">
                    <w:txbxContent>
                      <w:p w14:paraId="2FF8888C" w14:textId="77777777" w:rsidR="005C0E5F" w:rsidRPr="00B42A19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BC3BB3">
                          <w:rPr>
                            <w:b/>
                            <w:bCs/>
                            <w:sz w:val="20"/>
                            <w:lang w:val="ru-RU"/>
                          </w:rPr>
                          <w:t>Анализ</w:t>
                        </w:r>
                      </w:p>
                    </w:txbxContent>
                  </v:textbox>
                </v:shape>
                <v:shape id="Text Box 39" o:spid="_x0000_s1038" type="#_x0000_t202" style="position:absolute;left:64198;top:6288;width:14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" fillcolor="white [3212]" stroked="f" strokeweight=".5pt">
                  <v:textbox inset="1mm,1mm,1mm,1mm">
                    <w:txbxContent>
                      <w:p w14:paraId="15E28556" w14:textId="77777777" w:rsidR="005C0E5F" w:rsidRPr="007A2F70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 w:rsidRPr="007A2F70">
                          <w:rPr>
                            <w:b/>
                            <w:bCs/>
                            <w:sz w:val="20"/>
                            <w:lang w:val="ru-RU"/>
                          </w:rPr>
                          <w:t>Контекст</w:t>
                        </w:r>
                      </w:p>
                    </w:txbxContent>
                  </v:textbox>
                </v:shape>
                <v:shape id="Text Box 40" o:spid="_x0000_s1039" type="#_x0000_t202" style="position:absolute;left:64198;top:13464;width:14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" fillcolor="white [3212]" stroked="f" strokeweight=".5pt">
                  <v:textbox inset="1mm,1mm,1mm,1mm">
                    <w:txbxContent>
                      <w:p w14:paraId="69D9A070" w14:textId="77777777" w:rsidR="005C0E5F" w:rsidRPr="007A2F70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 w:rsidRPr="007A2F70">
                          <w:rPr>
                            <w:b/>
                            <w:bCs/>
                            <w:sz w:val="20"/>
                            <w:lang w:val="ru-RU"/>
                          </w:rPr>
                          <w:t>Оценка риска</w:t>
                        </w:r>
                      </w:p>
                    </w:txbxContent>
                  </v:textbox>
                </v:shape>
                <v:shape id="Text Box 41" o:spid="_x0000_s1040" type="#_x0000_t202" style="position:absolute;left:64103;top:39752;width:14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" fillcolor="white [3212]" stroked="f" strokeweight=".5pt">
                  <v:textbox inset="1mm,1mm,1mm,1mm">
                    <w:txbxContent>
                      <w:p w14:paraId="07088C01" w14:textId="77777777" w:rsidR="005C0E5F" w:rsidRPr="007A2F70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 w:rsidRPr="007A2F70">
                          <w:rPr>
                            <w:b/>
                            <w:bCs/>
                            <w:sz w:val="20"/>
                            <w:lang w:val="ru-RU"/>
                          </w:rPr>
                          <w:t>Устранение риска</w:t>
                        </w:r>
                      </w:p>
                    </w:txbxContent>
                  </v:textbox>
                </v:shape>
                <v:shape id="Text Box 42" o:spid="_x0000_s1041" type="#_x0000_t202" style="position:absolute;left:42173;top:22266;width:34760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" fillcolor="white [3212]" stroked="f" strokeweight=".5pt">
                  <v:textbox inset="1mm,1mm,1mm,1mm">
                    <w:txbxContent>
                      <w:p w14:paraId="2161BC4C" w14:textId="77777777" w:rsidR="005C0E5F" w:rsidRPr="007A2F70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 w:rsidRPr="007A2F70">
                          <w:rPr>
                            <w:b/>
                            <w:bCs/>
                            <w:sz w:val="20"/>
                            <w:lang w:val="ru-RU"/>
                          </w:rPr>
                          <w:t>Коммуникация и консультации</w:t>
                        </w:r>
                      </w:p>
                    </w:txbxContent>
                  </v:textbox>
                </v:shape>
                <v:shape id="Text Box 43" o:spid="_x0000_s1042" type="#_x0000_t202" style="position:absolute;left:66367;top:22170;width:34760;height:323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" fillcolor="white [3212]" stroked="f" strokeweight=".5pt">
                  <v:textbox inset="1mm,1mm,1mm,1mm">
                    <w:txbxContent>
                      <w:p w14:paraId="27899741" w14:textId="77777777" w:rsidR="005C0E5F" w:rsidRPr="007A2F70" w:rsidRDefault="005C0E5F" w:rsidP="006A241E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lang w:val="ru-RU"/>
                          </w:rPr>
                        </w:pPr>
                        <w:r w:rsidRPr="007A2F70">
                          <w:rPr>
                            <w:b/>
                            <w:bCs/>
                            <w:sz w:val="20"/>
                            <w:lang w:val="ru-RU"/>
                          </w:rPr>
                          <w:t>Контроль и рассмотрение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241E" w:rsidRPr="00DB6F2C">
        <w:rPr>
          <w:noProof/>
          <w:lang w:val="ru-RU"/>
        </w:rPr>
        <w:drawing>
          <wp:inline distT="0" distB="0" distL="0" distR="0" wp14:anchorId="10F2F47A" wp14:editId="0C2B63DA">
            <wp:extent cx="8886437" cy="4610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5891" cy="46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DBC8" w14:textId="3D023784" w:rsidR="000F7EE3" w:rsidRPr="00DB6F2C" w:rsidRDefault="000F7EE3" w:rsidP="00270AA6">
      <w:pPr>
        <w:rPr>
          <w:lang w:val="ru-RU"/>
        </w:rPr>
      </w:pPr>
      <w:r w:rsidRPr="00DB6F2C">
        <w:rPr>
          <w:lang w:val="ru-RU"/>
        </w:rPr>
        <w:br w:type="page"/>
      </w:r>
    </w:p>
    <w:p w14:paraId="26E67782" w14:textId="1EB1E9CA" w:rsidR="00B13F41" w:rsidRPr="00DB6F2C" w:rsidRDefault="00B13F41" w:rsidP="00B13F41">
      <w:pPr>
        <w:pStyle w:val="AnnexNo"/>
        <w:spacing w:before="0"/>
        <w:rPr>
          <w:lang w:val="ru-RU"/>
        </w:rPr>
      </w:pPr>
      <w:bookmarkStart w:id="6" w:name="lt_pId018"/>
      <w:bookmarkStart w:id="7" w:name="AnnexB"/>
      <w:r w:rsidRPr="00DB6F2C">
        <w:rPr>
          <w:lang w:val="ru-RU"/>
        </w:rPr>
        <w:lastRenderedPageBreak/>
        <w:t>ПРИЛОЖЕНИЕ B</w:t>
      </w:r>
      <w:bookmarkEnd w:id="6"/>
      <w:bookmarkEnd w:id="7"/>
    </w:p>
    <w:p w14:paraId="6503F64E" w14:textId="77777777" w:rsidR="00270AA6" w:rsidRPr="00DB6F2C" w:rsidRDefault="00521126" w:rsidP="00270AA6">
      <w:pPr>
        <w:pStyle w:val="FigureNo"/>
        <w:rPr>
          <w:lang w:val="ru-RU"/>
        </w:rPr>
      </w:pPr>
      <w:r w:rsidRPr="00DB6F2C">
        <w:rPr>
          <w:lang w:val="ru-RU"/>
        </w:rPr>
        <w:t>Рисунок B</w:t>
      </w:r>
    </w:p>
    <w:p w14:paraId="31168F61" w14:textId="295920D0" w:rsidR="00521126" w:rsidRPr="00DB6F2C" w:rsidRDefault="003A5811" w:rsidP="00DB6F2C">
      <w:pPr>
        <w:pStyle w:val="Figuretitle"/>
        <w:spacing w:after="120"/>
        <w:rPr>
          <w:lang w:val="ru-RU"/>
        </w:rPr>
      </w:pPr>
      <w:r w:rsidRPr="00DB6F2C">
        <w:rPr>
          <w:lang w:val="ru-RU"/>
        </w:rPr>
        <w:t>Движение денежных средств</w:t>
      </w:r>
      <w:r w:rsidR="00DB6F2C" w:rsidRPr="00DB6F2C">
        <w:rPr>
          <w:lang w:val="ru-RU"/>
        </w:rPr>
        <w:t>,</w:t>
      </w:r>
      <w:r w:rsidRPr="00DB6F2C">
        <w:rPr>
          <w:lang w:val="ru-RU"/>
        </w:rPr>
        <w:t xml:space="preserve"> в </w:t>
      </w:r>
      <w:proofErr w:type="spellStart"/>
      <w:r w:rsidRPr="00DB6F2C">
        <w:rPr>
          <w:lang w:val="ru-RU"/>
        </w:rPr>
        <w:t>шв</w:t>
      </w:r>
      <w:proofErr w:type="spellEnd"/>
      <w:r w:rsidRPr="00DB6F2C">
        <w:rPr>
          <w:lang w:val="ru-RU"/>
        </w:rPr>
        <w:t>.</w:t>
      </w:r>
      <w:r w:rsidR="00914FEB" w:rsidRPr="00DB6F2C">
        <w:rPr>
          <w:lang w:val="ru-RU"/>
        </w:rPr>
        <w:t xml:space="preserve"> </w:t>
      </w:r>
      <w:r w:rsidRPr="00DB6F2C">
        <w:rPr>
          <w:lang w:val="ru-RU"/>
        </w:rPr>
        <w:t xml:space="preserve">фр. </w:t>
      </w:r>
      <w:r w:rsidR="00521126" w:rsidRPr="00DB6F2C">
        <w:rPr>
          <w:lang w:val="ru-RU"/>
        </w:rPr>
        <w:t>(март 2020 г.)</w:t>
      </w:r>
    </w:p>
    <w:tbl>
      <w:tblPr>
        <w:tblW w:w="1456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8"/>
        <w:gridCol w:w="858"/>
        <w:gridCol w:w="859"/>
        <w:gridCol w:w="859"/>
        <w:gridCol w:w="835"/>
        <w:gridCol w:w="835"/>
        <w:gridCol w:w="835"/>
        <w:gridCol w:w="844"/>
        <w:gridCol w:w="845"/>
        <w:gridCol w:w="845"/>
        <w:gridCol w:w="868"/>
        <w:gridCol w:w="854"/>
        <w:gridCol w:w="868"/>
        <w:gridCol w:w="1007"/>
        <w:gridCol w:w="210"/>
        <w:gridCol w:w="980"/>
        <w:gridCol w:w="210"/>
        <w:gridCol w:w="1092"/>
      </w:tblGrid>
      <w:tr w:rsidR="00521126" w:rsidRPr="00DB6F2C" w14:paraId="075A44E1" w14:textId="77777777" w:rsidTr="0079010E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31C4379" w14:textId="23B93941" w:rsidR="00521126" w:rsidRPr="00DB6F2C" w:rsidRDefault="003A5811" w:rsidP="00521126">
            <w:pPr>
              <w:pStyle w:val="Tablehead"/>
              <w:rPr>
                <w:sz w:val="16"/>
                <w:szCs w:val="16"/>
                <w:lang w:val="ru-RU"/>
              </w:rPr>
            </w:pPr>
            <w:bookmarkStart w:id="8" w:name="lt_pId252"/>
            <w:r w:rsidRPr="00DB6F2C">
              <w:rPr>
                <w:sz w:val="16"/>
                <w:szCs w:val="16"/>
                <w:lang w:val="ru-RU"/>
              </w:rPr>
              <w:t>Период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E5547DB" w14:textId="0C005769" w:rsidR="00521126" w:rsidRPr="00DB6F2C" w:rsidRDefault="0087276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Платежи в</w:t>
            </w:r>
            <w:r w:rsidR="00521126" w:rsidRPr="00DB6F2C">
              <w:rPr>
                <w:sz w:val="16"/>
                <w:szCs w:val="16"/>
                <w:lang w:val="ru-RU"/>
              </w:rPr>
              <w:t xml:space="preserve"> </w:t>
            </w:r>
            <w:r w:rsidR="008B5DC3">
              <w:rPr>
                <w:sz w:val="16"/>
                <w:szCs w:val="16"/>
              </w:rPr>
              <w:t>I</w:t>
            </w:r>
            <w:r w:rsidR="008B5DC3">
              <w:rPr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sz w:val="16"/>
                <w:szCs w:val="16"/>
                <w:lang w:val="ru-RU"/>
              </w:rPr>
              <w:t>квартале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8B280AB" w14:textId="745A24FA" w:rsidR="00521126" w:rsidRPr="00DB6F2C" w:rsidRDefault="0087276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 xml:space="preserve">Платежи во </w:t>
            </w:r>
            <w:r w:rsidR="00320E53" w:rsidRPr="00DB6F2C">
              <w:rPr>
                <w:sz w:val="16"/>
                <w:szCs w:val="16"/>
                <w:lang w:val="ru-RU"/>
              </w:rPr>
              <w:t>II</w:t>
            </w:r>
            <w:r w:rsidRPr="00DB6F2C">
              <w:rPr>
                <w:sz w:val="16"/>
                <w:szCs w:val="16"/>
                <w:lang w:val="ru-RU"/>
              </w:rPr>
              <w:t xml:space="preserve"> квартале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2FEC702" w14:textId="7B6CD574" w:rsidR="00521126" w:rsidRPr="00DB6F2C" w:rsidRDefault="0087276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 xml:space="preserve">Платежи в </w:t>
            </w:r>
            <w:r w:rsidR="00320E53" w:rsidRPr="00DB6F2C">
              <w:rPr>
                <w:sz w:val="16"/>
                <w:szCs w:val="16"/>
                <w:lang w:val="ru-RU"/>
              </w:rPr>
              <w:t>III</w:t>
            </w:r>
            <w:r w:rsidRPr="00DB6F2C">
              <w:rPr>
                <w:sz w:val="16"/>
                <w:szCs w:val="16"/>
                <w:lang w:val="ru-RU"/>
              </w:rPr>
              <w:t xml:space="preserve"> квартале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3257BFB" w14:textId="370BF5FE" w:rsidR="00521126" w:rsidRPr="00DB6F2C" w:rsidRDefault="0087276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 xml:space="preserve">Платежи в </w:t>
            </w:r>
            <w:r w:rsidR="00320E53" w:rsidRPr="00DB6F2C">
              <w:rPr>
                <w:sz w:val="16"/>
                <w:szCs w:val="16"/>
                <w:lang w:val="ru-RU"/>
              </w:rPr>
              <w:t>IV</w:t>
            </w:r>
            <w:r w:rsidRPr="00DB6F2C">
              <w:rPr>
                <w:sz w:val="16"/>
                <w:szCs w:val="16"/>
                <w:lang w:val="ru-RU"/>
              </w:rPr>
              <w:t xml:space="preserve"> квартале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0122760" w14:textId="7CF48371" w:rsidR="00521126" w:rsidRPr="00DB6F2C" w:rsidRDefault="00B439C2" w:rsidP="0087276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Общая сумма платежей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237D4387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794479F" w14:textId="569BC70D" w:rsidR="00521126" w:rsidRPr="00DB6F2C" w:rsidRDefault="00811CB3" w:rsidP="00811CB3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Средства, получен</w:t>
            </w:r>
            <w:r w:rsidR="006A25D9" w:rsidRPr="00DB6F2C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B6F2C">
              <w:rPr>
                <w:sz w:val="16"/>
                <w:szCs w:val="16"/>
                <w:lang w:val="ru-RU"/>
              </w:rPr>
              <w:t>ные</w:t>
            </w:r>
            <w:proofErr w:type="spellEnd"/>
            <w:r w:rsidRPr="00DB6F2C">
              <w:rPr>
                <w:sz w:val="16"/>
                <w:szCs w:val="16"/>
                <w:lang w:val="ru-RU"/>
              </w:rPr>
              <w:t xml:space="preserve"> от</w:t>
            </w:r>
            <w:r w:rsidR="00521126" w:rsidRPr="00DB6F2C">
              <w:rPr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sz w:val="16"/>
                <w:szCs w:val="16"/>
                <w:lang w:val="ru-RU"/>
              </w:rPr>
              <w:t>ФИПОИ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2E8C4D5E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780E83D" w14:textId="03FA041E" w:rsidR="00521126" w:rsidRPr="00DB6F2C" w:rsidRDefault="00872766" w:rsidP="00521126">
            <w:pPr>
              <w:pStyle w:val="Tablehead"/>
              <w:rPr>
                <w:sz w:val="16"/>
                <w:szCs w:val="16"/>
                <w:highlight w:val="cyan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Счет</w:t>
            </w:r>
          </w:p>
        </w:tc>
      </w:tr>
      <w:tr w:rsidR="00521126" w:rsidRPr="00DB6F2C" w14:paraId="4DC68433" w14:textId="77777777" w:rsidTr="0070015D"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0D70E514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F10DD73" w14:textId="26BBB81B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50C4C90" w14:textId="0F8FB360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3E1E43D" w14:textId="4F524ECD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5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BFDCD47" w14:textId="51C63CB1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2B903D1" w14:textId="2EB7F1D6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ED45FC2" w14:textId="31EA17A4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844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46A98D3" w14:textId="4A50984F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8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875C086" w14:textId="207B1CF4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867C7C6" w14:textId="32FEC2C9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68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067AA69" w14:textId="17BA6370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012973" w14:textId="61C7FEE4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BA02087" w14:textId="6ED1302D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Декабрь</w:t>
            </w: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790CCFB4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7B89258C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5772611F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5A04C671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043DB146" w14:textId="77777777" w:rsidR="00521126" w:rsidRPr="00DB6F2C" w:rsidRDefault="00521126" w:rsidP="00521126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</w:tr>
      <w:tr w:rsidR="00DA6B91" w:rsidRPr="00DB6F2C" w14:paraId="10EB51A4" w14:textId="77777777" w:rsidTr="0070015D"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3CA7417" w14:textId="63B2A61D" w:rsidR="00521126" w:rsidRPr="00DB6F2C" w:rsidRDefault="00521126" w:rsidP="005211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2017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18D46ED9" w14:textId="0FB84B52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28AD422A" w14:textId="4D35458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19D01C1A" w14:textId="674B4224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5FD2D8ED" w14:textId="2CAC6259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36D8E0E1" w14:textId="6C45BFC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3937D6FA" w14:textId="4ADA3DA2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12 341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2E3F1A59" w14:textId="317B46B2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38 033</w:t>
            </w: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45E2A6E4" w14:textId="6153E225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18 371</w:t>
            </w: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23295B83" w14:textId="6A178A38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6 045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04A86C89" w14:textId="241E6BF3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1 374</w:t>
            </w:r>
          </w:p>
        </w:tc>
        <w:tc>
          <w:tcPr>
            <w:tcW w:w="8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4C58833C" w14:textId="3E20087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92 134</w:t>
            </w:r>
          </w:p>
        </w:tc>
        <w:tc>
          <w:tcPr>
            <w:tcW w:w="8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7AAF68DD" w14:textId="6DF0B59C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160 095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3656DED8" w14:textId="4674045A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328 410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3DAFE859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20717D0B" w14:textId="6BD7D313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720 000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3CD6D940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19594651" w14:textId="51C96CB3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391</w:t>
            </w:r>
            <w:r w:rsidR="00426BB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590</w:t>
            </w:r>
          </w:p>
        </w:tc>
      </w:tr>
      <w:tr w:rsidR="00DA6B91" w:rsidRPr="00DB6F2C" w14:paraId="4809C824" w14:textId="77777777" w:rsidTr="0070015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21B57E6" w14:textId="01DEF381" w:rsidR="00521126" w:rsidRPr="00DB6F2C" w:rsidRDefault="00521126" w:rsidP="005211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3E07D77D" w14:textId="375BDEFA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307 590</w:t>
            </w: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4DE2B472" w14:textId="5A85EF64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52 541</w:t>
            </w: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0D3151AF" w14:textId="5F3DAF9C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38175900" w14:textId="5C86DD2B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204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72BE3834" w14:textId="3CDFB13C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76 020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067F0F9E" w14:textId="6C9F12E0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15 573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5386C317" w14:textId="2DA4118A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73F72703" w14:textId="0A419FD8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6BA0A03D" w14:textId="129DEA9A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594 020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0C3031A2" w14:textId="4F3DD436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75 396</w:t>
            </w:r>
          </w:p>
        </w:tc>
        <w:tc>
          <w:tcPr>
            <w:tcW w:w="8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2FECD5DD" w14:textId="1202F349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628 780</w:t>
            </w:r>
          </w:p>
        </w:tc>
        <w:tc>
          <w:tcPr>
            <w:tcW w:w="8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2BD55A1A" w14:textId="163BFEEE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734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32EE509E" w14:textId="16AFA7E9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1 750 878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7B978793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7F390BDC" w14:textId="6BC9590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1 667 000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4A88E1B2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00473D5D" w14:textId="26686085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−83</w:t>
            </w:r>
            <w:r w:rsidR="00426BB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878</w:t>
            </w:r>
          </w:p>
        </w:tc>
      </w:tr>
      <w:tr w:rsidR="00DA6B91" w:rsidRPr="00DB6F2C" w14:paraId="3C0AD9D6" w14:textId="77777777" w:rsidTr="001B10C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E8458E8" w14:textId="6008954D" w:rsidR="00521126" w:rsidRPr="00DB6F2C" w:rsidRDefault="00521126" w:rsidP="005211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6653A195" w14:textId="0D4B8A30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38 879</w:t>
            </w: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316AC126" w14:textId="26010BEF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6780977C" w14:textId="1133A805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699 165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4B40513A" w14:textId="05C1734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35 065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7D790E76" w14:textId="69702BC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224 787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282CB064" w14:textId="0F4B7776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15 780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5577B8FB" w14:textId="5D32B65E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2 425</w:t>
            </w: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6D00480D" w14:textId="7D8B1F7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427 824</w:t>
            </w: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3ED916E1" w14:textId="5D423673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493 162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294F8ED4" w14:textId="502FB21E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157 592</w:t>
            </w:r>
          </w:p>
        </w:tc>
        <w:tc>
          <w:tcPr>
            <w:tcW w:w="8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6C2733BA" w14:textId="50D108A8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511 636</w:t>
            </w:r>
          </w:p>
        </w:tc>
        <w:tc>
          <w:tcPr>
            <w:tcW w:w="8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36F8692C" w14:textId="7E45F41D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86 613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72E78789" w14:textId="5CB2E9A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2 692 928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374788B5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4E545DFF" w14:textId="56B9B14F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3 249 777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15A6DC1A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3D568A77" w14:textId="2CD40C2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556</w:t>
            </w:r>
            <w:r w:rsidR="00426BB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849</w:t>
            </w:r>
          </w:p>
        </w:tc>
      </w:tr>
      <w:tr w:rsidR="00DA6B91" w:rsidRPr="00DB6F2C" w14:paraId="6338A6AA" w14:textId="77777777" w:rsidTr="001B10C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07D96A8" w14:textId="26EEAA00" w:rsidR="00521126" w:rsidRPr="00DB6F2C" w:rsidRDefault="00521126" w:rsidP="005211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2020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7D09883D" w14:textId="5DE2EF96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86 594</w:t>
            </w: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71BC8ADC" w14:textId="660E28E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918 119</w:t>
            </w:r>
          </w:p>
        </w:tc>
        <w:tc>
          <w:tcPr>
            <w:tcW w:w="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6928201E" w14:textId="484416D6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65 618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  <w:hideMark/>
          </w:tcPr>
          <w:p w14:paraId="43650507" w14:textId="772CDF50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65 598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157EA720" w14:textId="787DD75D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36DE3857" w14:textId="2033A641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0624208D" w14:textId="76A7D8C3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33016484" w14:textId="0FF9A126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5779E4A2" w14:textId="4B4422D8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7A44FC08" w14:textId="071BA98C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4385AF4C" w14:textId="04749242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tcMar>
              <w:left w:w="85" w:type="dxa"/>
              <w:right w:w="85" w:type="dxa"/>
            </w:tcMar>
            <w:vAlign w:val="bottom"/>
          </w:tcPr>
          <w:p w14:paraId="7AA2E221" w14:textId="2C2E3A05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55C9FEED" w14:textId="0F7FFC86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1 135 928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4145BC83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2B5DD571" w14:textId="3C0748EB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352 795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49D22073" w14:textId="77777777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1D33B1CC" w14:textId="7E852799" w:rsidR="00521126" w:rsidRPr="00DB6F2C" w:rsidRDefault="00521126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−783</w:t>
            </w:r>
            <w:r w:rsidR="00426BB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133</w:t>
            </w:r>
          </w:p>
        </w:tc>
      </w:tr>
      <w:tr w:rsidR="008B5DC3" w:rsidRPr="00DB6F2C" w14:paraId="0D966A20" w14:textId="77777777" w:rsidTr="0070015D">
        <w:tc>
          <w:tcPr>
            <w:tcW w:w="1106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BB4F9C9" w14:textId="1C4EE624" w:rsidR="008B5DC3" w:rsidRPr="00DB6F2C" w:rsidRDefault="008B5DC3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ОБЩАЯ СУММА ПЛАТЕЖЕЙ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38DF3A4F" w14:textId="554D1CAE" w:rsidR="008B5DC3" w:rsidRPr="00DB6F2C" w:rsidRDefault="008B5DC3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5 908 145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66CCBB91" w14:textId="77777777" w:rsidR="008B5DC3" w:rsidRPr="00DB6F2C" w:rsidRDefault="008B5DC3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5744A5D5" w14:textId="0A52220C" w:rsidR="008B5DC3" w:rsidRPr="00DB6F2C" w:rsidRDefault="008B5DC3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5 989 572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7F9AB564" w14:textId="77777777" w:rsidR="008B5DC3" w:rsidRPr="00DB6F2C" w:rsidRDefault="008B5DC3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14:paraId="6D2DB570" w14:textId="0BF0C9E1" w:rsidR="008B5DC3" w:rsidRPr="00DB6F2C" w:rsidRDefault="008B5DC3" w:rsidP="00412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81 427</w:t>
            </w:r>
          </w:p>
        </w:tc>
      </w:tr>
    </w:tbl>
    <w:p w14:paraId="34BD0167" w14:textId="77777777" w:rsidR="00DB6F2C" w:rsidRPr="00DB6F2C" w:rsidRDefault="00006B52" w:rsidP="00DB6F2C">
      <w:pPr>
        <w:pStyle w:val="FigureNo"/>
        <w:rPr>
          <w:lang w:val="ru-RU"/>
        </w:rPr>
      </w:pPr>
      <w:bookmarkStart w:id="9" w:name="lt_pId253"/>
      <w:bookmarkEnd w:id="8"/>
      <w:r w:rsidRPr="00DB6F2C">
        <w:rPr>
          <w:lang w:val="ru-RU"/>
        </w:rPr>
        <w:t>Рисунок C</w:t>
      </w:r>
    </w:p>
    <w:p w14:paraId="5C4F02CC" w14:textId="5B4C94C4" w:rsidR="00006B52" w:rsidRPr="00DB6F2C" w:rsidRDefault="008732C2" w:rsidP="00DB6F2C">
      <w:pPr>
        <w:pStyle w:val="Figuretitle"/>
        <w:spacing w:after="120"/>
        <w:rPr>
          <w:lang w:val="ru-RU"/>
        </w:rPr>
      </w:pPr>
      <w:r w:rsidRPr="00DB6F2C">
        <w:rPr>
          <w:lang w:val="ru-RU"/>
        </w:rPr>
        <w:t xml:space="preserve">Финансовое планирование </w:t>
      </w:r>
      <w:r w:rsidR="00811CB3" w:rsidRPr="00DB6F2C">
        <w:rPr>
          <w:lang w:val="ru-RU"/>
        </w:rPr>
        <w:t xml:space="preserve">первой </w:t>
      </w:r>
      <w:r w:rsidR="00872766" w:rsidRPr="00DB6F2C">
        <w:rPr>
          <w:lang w:val="ru-RU"/>
        </w:rPr>
        <w:t>ссуды</w:t>
      </w:r>
      <w:r w:rsidR="00811CB3" w:rsidRPr="00DB6F2C">
        <w:rPr>
          <w:lang w:val="ru-RU"/>
        </w:rPr>
        <w:t xml:space="preserve"> </w:t>
      </w:r>
      <w:r w:rsidR="00006B52" w:rsidRPr="00DB6F2C">
        <w:rPr>
          <w:lang w:val="ru-RU"/>
        </w:rPr>
        <w:t>(март 2020 г.)</w:t>
      </w:r>
      <w:bookmarkEnd w:id="9"/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2"/>
        <w:gridCol w:w="1045"/>
        <w:gridCol w:w="1045"/>
        <w:gridCol w:w="1046"/>
        <w:gridCol w:w="1065"/>
        <w:gridCol w:w="1065"/>
        <w:gridCol w:w="1066"/>
        <w:gridCol w:w="1051"/>
        <w:gridCol w:w="1051"/>
        <w:gridCol w:w="1052"/>
        <w:gridCol w:w="1007"/>
        <w:gridCol w:w="40"/>
        <w:gridCol w:w="1048"/>
        <w:gridCol w:w="1048"/>
        <w:gridCol w:w="1105"/>
      </w:tblGrid>
      <w:tr w:rsidR="008E214A" w:rsidRPr="00DB6F2C" w14:paraId="44775793" w14:textId="152A5B97" w:rsidTr="001B10CE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EA3C" w14:textId="2A8A13BD" w:rsidR="007007F3" w:rsidRPr="00DB6F2C" w:rsidRDefault="00914FEB" w:rsidP="003808BB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Период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0FBB97" w14:textId="3093664E" w:rsidR="007007F3" w:rsidRPr="00DB6F2C" w:rsidRDefault="00320E53" w:rsidP="003808BB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I</w:t>
            </w:r>
            <w:r w:rsidR="00872766" w:rsidRPr="00DB6F2C">
              <w:rPr>
                <w:sz w:val="16"/>
                <w:szCs w:val="16"/>
                <w:lang w:val="ru-RU"/>
              </w:rPr>
              <w:t xml:space="preserve"> квартал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39C67BF" w14:textId="54B206EA" w:rsidR="007007F3" w:rsidRPr="00DB6F2C" w:rsidRDefault="00320E53" w:rsidP="003808BB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II</w:t>
            </w:r>
            <w:r w:rsidR="00872766" w:rsidRPr="00DB6F2C">
              <w:rPr>
                <w:sz w:val="16"/>
                <w:szCs w:val="16"/>
                <w:lang w:val="ru-RU"/>
              </w:rPr>
              <w:t xml:space="preserve"> квартал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44E6B4" w14:textId="453FD3D7" w:rsidR="007007F3" w:rsidRPr="00DB6F2C" w:rsidRDefault="00320E53" w:rsidP="003808BB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III</w:t>
            </w:r>
            <w:r w:rsidR="00872766" w:rsidRPr="00DB6F2C">
              <w:rPr>
                <w:sz w:val="16"/>
                <w:szCs w:val="16"/>
                <w:lang w:val="ru-RU"/>
              </w:rPr>
              <w:t xml:space="preserve"> квартал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3279" w14:textId="2CD02827" w:rsidR="007007F3" w:rsidRPr="00DB6F2C" w:rsidRDefault="00320E53" w:rsidP="003808BB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IV</w:t>
            </w:r>
            <w:r w:rsidR="00872766" w:rsidRPr="00DB6F2C">
              <w:rPr>
                <w:sz w:val="16"/>
                <w:szCs w:val="16"/>
                <w:lang w:val="ru-RU"/>
              </w:rPr>
              <w:t xml:space="preserve"> квартал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36CE" w14:textId="13492001" w:rsidR="007007F3" w:rsidRPr="00DB6F2C" w:rsidRDefault="00811CB3" w:rsidP="003808BB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Итого</w:t>
            </w:r>
          </w:p>
        </w:tc>
      </w:tr>
      <w:tr w:rsidR="009B68BC" w:rsidRPr="00DB6F2C" w14:paraId="528BA59C" w14:textId="1EBBDBA3" w:rsidTr="001B10CE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6F4DA" w14:textId="77777777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0FC3ADE" w14:textId="7EC6F5F1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10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76B3129" w14:textId="7ED3DEF1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10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649DBEB" w14:textId="680FEEF7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10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A86A109" w14:textId="6D28EF7E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10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9DCA7DE" w14:textId="6CE6AD78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20C211" w14:textId="6CF630ED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10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0C1FEE3" w14:textId="4A9F473D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10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D5C15D7" w14:textId="5DE16F0A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10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BECEF9" w14:textId="0A3BA491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316CF4B" w14:textId="010F757D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1B49DD" w14:textId="29D084DF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B8D" w14:textId="19C465F1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  <w:r w:rsidRPr="00DB6F2C">
              <w:rPr>
                <w:sz w:val="16"/>
                <w:szCs w:val="16"/>
                <w:lang w:val="ru-RU"/>
              </w:rPr>
              <w:t>Декабрь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F4A0" w14:textId="77777777" w:rsidR="001414A4" w:rsidRPr="00DB6F2C" w:rsidRDefault="001414A4" w:rsidP="001414A4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</w:tr>
      <w:tr w:rsidR="002C0F79" w:rsidRPr="00DB6F2C" w14:paraId="5E64D444" w14:textId="34802938" w:rsidTr="001B10CE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2BD" w14:textId="749215F9" w:rsidR="008E214A" w:rsidRPr="00DB6F2C" w:rsidRDefault="008E214A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2017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5ED62A2B" w14:textId="46BCAE48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591CA7D5" w14:textId="3E7918E4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</w:tcPr>
          <w:p w14:paraId="3B5F8C04" w14:textId="70B08206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5B8B5609" w14:textId="5C7ADE56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0B707648" w14:textId="683F3902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</w:tcPr>
          <w:p w14:paraId="747667EB" w14:textId="01139B73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7D7D9250" w14:textId="3F38CCBF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5562EF49" w14:textId="241E7344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</w:tcPr>
          <w:p w14:paraId="4F82B6D5" w14:textId="77236674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4ACF81F" w14:textId="1B41331D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7A0CFC1A" w14:textId="5D5183FC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720 000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1C1D7518" w14:textId="77777777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8EF" w14:textId="2FCB0F7A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720 000</w:t>
            </w:r>
          </w:p>
        </w:tc>
      </w:tr>
      <w:tr w:rsidR="002C0F79" w:rsidRPr="00DB6F2C" w14:paraId="4B86CCC3" w14:textId="2595CE73" w:rsidTr="001B10CE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719A" w14:textId="3C8ACEDF" w:rsidR="008E214A" w:rsidRPr="00DB6F2C" w:rsidRDefault="008E214A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4F3D1C47" w14:textId="36F75C02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7672A8E1" w14:textId="1D148321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</w:tcPr>
          <w:p w14:paraId="27C5BED2" w14:textId="4F76D69F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8363429" w14:textId="57B1133A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7B745813" w14:textId="46737DE2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746 000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4E9E9AD1" w14:textId="77777777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027BF9BE" w14:textId="279EE4A9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7D0B66B7" w14:textId="15B6F5FF" w:rsidR="008E214A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421 000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34435C47" w14:textId="6BFDA763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9289043" w14:textId="347AD757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45E98AD6" w14:textId="67F81CEE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500 000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5783A74A" w14:textId="77777777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AEB" w14:textId="5E2F4C01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1 667 000</w:t>
            </w:r>
          </w:p>
        </w:tc>
      </w:tr>
      <w:tr w:rsidR="002C0F79" w:rsidRPr="00DB6F2C" w14:paraId="4AE8F19A" w14:textId="530B8E0E" w:rsidTr="001B10CE">
        <w:tc>
          <w:tcPr>
            <w:tcW w:w="84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A45C" w14:textId="5E62AFF9" w:rsidR="008E214A" w:rsidRPr="00DB6F2C" w:rsidRDefault="008E214A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4FA95FF2" w14:textId="6D910799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EAEAEA"/>
            <w:vAlign w:val="bottom"/>
          </w:tcPr>
          <w:p w14:paraId="072F16F3" w14:textId="18040719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600 000</w:t>
            </w:r>
          </w:p>
        </w:tc>
        <w:tc>
          <w:tcPr>
            <w:tcW w:w="104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677999C5" w14:textId="77777777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2FD2B0F0" w14:textId="50DF1822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EAEAEA"/>
            <w:vAlign w:val="bottom"/>
          </w:tcPr>
          <w:p w14:paraId="1DF08332" w14:textId="42B91172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568 000</w:t>
            </w:r>
          </w:p>
        </w:tc>
        <w:tc>
          <w:tcPr>
            <w:tcW w:w="106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26169C80" w14:textId="77777777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40DAC1DA" w14:textId="2F49322C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88 444</w:t>
            </w:r>
          </w:p>
        </w:tc>
        <w:tc>
          <w:tcPr>
            <w:tcW w:w="10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234B99CB" w14:textId="2905A897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706 667</w:t>
            </w:r>
          </w:p>
        </w:tc>
        <w:tc>
          <w:tcPr>
            <w:tcW w:w="10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657D32B" w14:textId="592166E5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86 667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124CEAF8" w14:textId="71754850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1 026 812</w:t>
            </w: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2BDEF779" w14:textId="3B641F32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86 594</w:t>
            </w: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3C8AC75" w14:textId="0B0D9E01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86 594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3A0" w14:textId="35DF0771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2C0F79" w:rsidRPr="00DB6F2C" w14:paraId="198448A5" w14:textId="0F4247DD" w:rsidTr="001B10CE">
        <w:tc>
          <w:tcPr>
            <w:tcW w:w="84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9EA3" w14:textId="307A8032" w:rsidR="008E214A" w:rsidRPr="00DB6F2C" w:rsidRDefault="008E214A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0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30F8B1D" w14:textId="03A24B3D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5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14697634" w14:textId="6BFDD35B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600 000</w:t>
            </w:r>
          </w:p>
        </w:tc>
        <w:tc>
          <w:tcPr>
            <w:tcW w:w="104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56F59373" w14:textId="77777777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6589E58" w14:textId="2187753C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3F1766F8" w14:textId="5027CA44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568 000</w:t>
            </w:r>
          </w:p>
        </w:tc>
        <w:tc>
          <w:tcPr>
            <w:tcW w:w="106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2EFD713E" w14:textId="77777777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30BF6266" w14:textId="7A028159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00E66812" w14:textId="205DAE5B" w:rsidR="008E214A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881 777</w:t>
            </w:r>
          </w:p>
        </w:tc>
        <w:tc>
          <w:tcPr>
            <w:tcW w:w="10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70CDC807" w14:textId="30073A8B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392EA105" w14:textId="35837095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5C952D6E" w14:textId="52EB0262" w:rsidR="008E214A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1 200 000</w:t>
            </w:r>
          </w:p>
        </w:tc>
        <w:tc>
          <w:tcPr>
            <w:tcW w:w="10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68E6F062" w14:textId="2A4923B1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EF9" w14:textId="31A6D931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3 249 777</w:t>
            </w:r>
          </w:p>
        </w:tc>
      </w:tr>
      <w:tr w:rsidR="002C0F79" w:rsidRPr="00DB6F2C" w14:paraId="2E53795D" w14:textId="4FAD6CE2" w:rsidTr="001B10CE">
        <w:tc>
          <w:tcPr>
            <w:tcW w:w="84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277F" w14:textId="29991A96" w:rsidR="007007F3" w:rsidRPr="00DB6F2C" w:rsidRDefault="007007F3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2020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70870269" w14:textId="74B28948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65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598</w:t>
            </w:r>
          </w:p>
        </w:tc>
        <w:tc>
          <w:tcPr>
            <w:tcW w:w="104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067456BB" w14:textId="004992BC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221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599</w:t>
            </w:r>
          </w:p>
        </w:tc>
        <w:tc>
          <w:tcPr>
            <w:tcW w:w="104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382FFCA8" w14:textId="218EE847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65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598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23FC7FC4" w14:textId="0271A532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928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012</w:t>
            </w:r>
          </w:p>
        </w:tc>
        <w:tc>
          <w:tcPr>
            <w:tcW w:w="10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28BE47AA" w14:textId="5CDB0FE8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83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689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6D006D9" w14:textId="5AFE1F95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83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15A36E41" w14:textId="620E81FA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935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412</w:t>
            </w:r>
          </w:p>
        </w:tc>
        <w:tc>
          <w:tcPr>
            <w:tcW w:w="10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39C968AA" w14:textId="619D2E68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83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689</w:t>
            </w:r>
          </w:p>
        </w:tc>
        <w:tc>
          <w:tcPr>
            <w:tcW w:w="10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7EC10C4F" w14:textId="660A3CC5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83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689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4F0228A3" w14:textId="31CA4E79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928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012</w:t>
            </w: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20DDCB76" w14:textId="393149EE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83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689</w:t>
            </w: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77D323F6" w14:textId="32EDFE5D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83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689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A1C" w14:textId="482D3AF0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2C0F79" w:rsidRPr="00DB6F2C" w14:paraId="79D0D88B" w14:textId="2C412886" w:rsidTr="000F1FEE">
        <w:tc>
          <w:tcPr>
            <w:tcW w:w="84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BC9" w14:textId="0F18C325" w:rsidR="002C0F79" w:rsidRPr="00DB6F2C" w:rsidRDefault="002C0F79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2020 г.</w:t>
            </w:r>
          </w:p>
        </w:tc>
        <w:tc>
          <w:tcPr>
            <w:tcW w:w="10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DD45E32" w14:textId="6CE0FCD2" w:rsidR="002C0F79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5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05E76FAF" w14:textId="48B26D6C" w:rsidR="002C0F79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352 795</w:t>
            </w:r>
          </w:p>
        </w:tc>
        <w:tc>
          <w:tcPr>
            <w:tcW w:w="104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113417C1" w14:textId="2EAD4811" w:rsidR="002C0F79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472E6547" w14:textId="4B9EB13A" w:rsidR="002C0F79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648FB995" w14:textId="138FCA70" w:rsidR="002C0F79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1 095 390</w:t>
            </w:r>
          </w:p>
        </w:tc>
        <w:tc>
          <w:tcPr>
            <w:tcW w:w="106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0EC9EC42" w14:textId="724D1E49" w:rsidR="002C0F79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59F028B6" w14:textId="695DDB05" w:rsidR="002C0F79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4F216F1B" w14:textId="5024ECFE" w:rsidR="002C0F79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1 102 790</w:t>
            </w:r>
          </w:p>
        </w:tc>
        <w:tc>
          <w:tcPr>
            <w:tcW w:w="10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649A873D" w14:textId="39CEDDEF" w:rsidR="002C0F79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D56B8BD" w14:textId="0FA268C8" w:rsidR="002C0F79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5D3117A0" w14:textId="63BD095A" w:rsidR="002C0F79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1 095 390</w:t>
            </w:r>
          </w:p>
        </w:tc>
        <w:tc>
          <w:tcPr>
            <w:tcW w:w="10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4CAECE8F" w14:textId="590303FE" w:rsidR="002C0F79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16B5" w14:textId="48E9CEC9" w:rsidR="002C0F79" w:rsidRPr="00DB6F2C" w:rsidRDefault="002C0F79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3 646 366</w:t>
            </w:r>
          </w:p>
        </w:tc>
      </w:tr>
      <w:tr w:rsidR="002C0F79" w:rsidRPr="00DB6F2C" w14:paraId="4690648B" w14:textId="4E979CB7" w:rsidTr="000F1FEE">
        <w:tc>
          <w:tcPr>
            <w:tcW w:w="84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074" w14:textId="3DB09AFE" w:rsidR="007007F3" w:rsidRPr="00DB6F2C" w:rsidRDefault="007007F3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2021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0669F4FA" w14:textId="1CE24F4C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102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812</w:t>
            </w:r>
          </w:p>
        </w:tc>
        <w:tc>
          <w:tcPr>
            <w:tcW w:w="104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29E7BE57" w14:textId="3108D494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88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489</w:t>
            </w:r>
          </w:p>
        </w:tc>
        <w:tc>
          <w:tcPr>
            <w:tcW w:w="104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3A7DC6D4" w14:textId="3ACFED8F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88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064187D7" w14:textId="55D95ED7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260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088</w:t>
            </w:r>
          </w:p>
        </w:tc>
        <w:tc>
          <w:tcPr>
            <w:tcW w:w="10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  <w:hideMark/>
          </w:tcPr>
          <w:p w14:paraId="1B04E7E6" w14:textId="0F183A6C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88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489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6411D27" w14:textId="2F85EC52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88</w:t>
            </w:r>
            <w:r w:rsidR="003808BB"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489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</w:tcPr>
          <w:p w14:paraId="2B08164B" w14:textId="63283CCB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</w:tcPr>
          <w:p w14:paraId="704C0CC4" w14:textId="120BA0E5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</w:tcPr>
          <w:p w14:paraId="3092AD05" w14:textId="30B45AC9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</w:tcPr>
          <w:p w14:paraId="06046F5D" w14:textId="5262BB32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EAEAEA"/>
            <w:noWrap/>
            <w:vAlign w:val="bottom"/>
          </w:tcPr>
          <w:p w14:paraId="7330EE64" w14:textId="66D34749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</w:tcPr>
          <w:p w14:paraId="37366797" w14:textId="4F2C0547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F009" w14:textId="4A919C75" w:rsidR="007007F3" w:rsidRPr="00DB6F2C" w:rsidRDefault="007007F3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2C0F79" w:rsidRPr="00DB6F2C" w14:paraId="2D021BD7" w14:textId="540B5029" w:rsidTr="001B10CE">
        <w:tc>
          <w:tcPr>
            <w:tcW w:w="84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F5BC" w14:textId="53DB33A6" w:rsidR="008E214A" w:rsidRPr="00DB6F2C" w:rsidRDefault="008E214A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2021 г.</w:t>
            </w:r>
          </w:p>
        </w:tc>
        <w:tc>
          <w:tcPr>
            <w:tcW w:w="10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5D32FFF1" w14:textId="3275285E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5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49987E1B" w14:textId="31AE86A2" w:rsidR="008E214A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1 279 790</w:t>
            </w:r>
          </w:p>
        </w:tc>
        <w:tc>
          <w:tcPr>
            <w:tcW w:w="104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746E199A" w14:textId="390C8DF3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0891A7CE" w14:textId="1935FD66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128D05B0" w14:textId="4E00F97A" w:rsidR="008E214A" w:rsidRPr="00DB6F2C" w:rsidRDefault="002C0F79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color w:val="000000"/>
                <w:sz w:val="16"/>
                <w:szCs w:val="16"/>
                <w:lang w:val="ru-RU"/>
              </w:rPr>
              <w:t>1 437 067</w:t>
            </w:r>
          </w:p>
        </w:tc>
        <w:tc>
          <w:tcPr>
            <w:tcW w:w="106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2A62E806" w14:textId="6EFF2A26" w:rsidR="008E214A" w:rsidRPr="00DB6F2C" w:rsidRDefault="008E214A" w:rsidP="002C0F79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56DF48D9" w14:textId="39D48E46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225CC4B6" w14:textId="77777777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4F543567" w14:textId="77777777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000000" w:fill="EAEAEA"/>
            <w:noWrap/>
            <w:vAlign w:val="bottom"/>
          </w:tcPr>
          <w:p w14:paraId="4EFAA3D1" w14:textId="67A56658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dashSmallGap" w:sz="4" w:space="0" w:color="auto"/>
              <w:bottom w:val="single" w:sz="4" w:space="0" w:color="auto"/>
            </w:tcBorders>
            <w:shd w:val="clear" w:color="000000" w:fill="EAEAEA"/>
            <w:vAlign w:val="bottom"/>
          </w:tcPr>
          <w:p w14:paraId="79F6C836" w14:textId="77777777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bottom"/>
          </w:tcPr>
          <w:p w14:paraId="412DBDF3" w14:textId="77777777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3DA" w14:textId="2F649826" w:rsidR="008E214A" w:rsidRPr="00DB6F2C" w:rsidRDefault="008E214A" w:rsidP="002C0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2 716 857</w:t>
            </w:r>
          </w:p>
        </w:tc>
      </w:tr>
      <w:tr w:rsidR="008B5DC3" w:rsidRPr="00DB6F2C" w14:paraId="04080866" w14:textId="7B903244" w:rsidTr="000F1FEE">
        <w:tc>
          <w:tcPr>
            <w:tcW w:w="11335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7FB4AF" w14:textId="77777777" w:rsidR="008B5DC3" w:rsidRPr="00DB6F2C" w:rsidRDefault="008B5DC3" w:rsidP="00B70B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02F" w14:textId="18E2F9F4" w:rsidR="008B5DC3" w:rsidRPr="000F1FEE" w:rsidRDefault="008B5DC3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1FE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ОБЩАЯ СУММА РАСХОДОВ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00C" w14:textId="6BDC0FBF" w:rsidR="008B5DC3" w:rsidRPr="000F1FEE" w:rsidRDefault="008B5DC3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1FE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12 000 000</w:t>
            </w:r>
          </w:p>
        </w:tc>
      </w:tr>
      <w:tr w:rsidR="001B10CE" w:rsidRPr="00DB6F2C" w14:paraId="2F30502C" w14:textId="280608D3" w:rsidTr="000F1FEE">
        <w:trPr>
          <w:trHeight w:val="40"/>
        </w:trPr>
        <w:tc>
          <w:tcPr>
            <w:tcW w:w="11335" w:type="dxa"/>
            <w:gridSpan w:val="11"/>
            <w:vMerge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12692B" w14:textId="77777777" w:rsidR="001B10CE" w:rsidRPr="00DB6F2C" w:rsidRDefault="001B10CE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632D234B" w14:textId="77777777" w:rsidR="001B10CE" w:rsidRPr="000F1FEE" w:rsidRDefault="001B10CE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6"/>
                <w:szCs w:val="6"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FE6E3" w14:textId="77777777" w:rsidR="001B10CE" w:rsidRPr="000F1FEE" w:rsidRDefault="001B10CE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6"/>
                <w:szCs w:val="6"/>
                <w:lang w:val="ru-RU"/>
              </w:rPr>
            </w:pPr>
          </w:p>
        </w:tc>
      </w:tr>
      <w:tr w:rsidR="008B5DC3" w:rsidRPr="00DB6F2C" w14:paraId="7C0537B6" w14:textId="6A06D29C" w:rsidTr="000F1FEE">
        <w:trPr>
          <w:trHeight w:val="221"/>
        </w:trPr>
        <w:tc>
          <w:tcPr>
            <w:tcW w:w="11335" w:type="dxa"/>
            <w:gridSpan w:val="11"/>
            <w:vMerge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45AC96" w14:textId="77777777" w:rsidR="008B5DC3" w:rsidRPr="00DB6F2C" w:rsidRDefault="008B5DC3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D727" w14:textId="2871B9DE" w:rsidR="008B5DC3" w:rsidRPr="000F1FEE" w:rsidRDefault="008B5DC3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1FE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Первая ссуда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B2C9" w14:textId="2CAC785B" w:rsidR="008B5DC3" w:rsidRPr="000F1FEE" w:rsidRDefault="008B5DC3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1FE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12 000 000</w:t>
            </w:r>
          </w:p>
        </w:tc>
      </w:tr>
      <w:tr w:rsidR="001B10CE" w:rsidRPr="00DB6F2C" w14:paraId="5A3BAC6F" w14:textId="77777777" w:rsidTr="000F1FEE">
        <w:trPr>
          <w:trHeight w:val="47"/>
        </w:trPr>
        <w:tc>
          <w:tcPr>
            <w:tcW w:w="11335" w:type="dxa"/>
            <w:gridSpan w:val="11"/>
            <w:vMerge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7AF847" w14:textId="77777777" w:rsidR="001B10CE" w:rsidRPr="00DB6F2C" w:rsidRDefault="001B10CE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136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14:paraId="5593843F" w14:textId="77777777" w:rsidR="001B10CE" w:rsidRPr="000F1FEE" w:rsidRDefault="001B10CE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6"/>
                <w:szCs w:val="6"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55788" w14:textId="77777777" w:rsidR="001B10CE" w:rsidRPr="000F1FEE" w:rsidRDefault="001B10CE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6"/>
                <w:szCs w:val="6"/>
                <w:lang w:val="ru-RU"/>
              </w:rPr>
            </w:pPr>
          </w:p>
        </w:tc>
      </w:tr>
      <w:tr w:rsidR="008B5DC3" w:rsidRPr="00DB6F2C" w14:paraId="0745612D" w14:textId="6079D533" w:rsidTr="000F1FEE">
        <w:tc>
          <w:tcPr>
            <w:tcW w:w="11335" w:type="dxa"/>
            <w:gridSpan w:val="11"/>
            <w:vMerge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E97AC2" w14:textId="77777777" w:rsidR="008B5DC3" w:rsidRPr="00DB6F2C" w:rsidRDefault="008B5DC3" w:rsidP="00380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22F8" w14:textId="6CDF25CB" w:rsidR="008B5DC3" w:rsidRPr="000F1FEE" w:rsidRDefault="008B5DC3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1FE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Остаток на конец II кв. 2021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A4E" w14:textId="6F91F307" w:rsidR="008B5DC3" w:rsidRPr="000F1FEE" w:rsidRDefault="008B5DC3" w:rsidP="000F1F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1FE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</w:tbl>
    <w:p w14:paraId="3749E6C0" w14:textId="2926377B" w:rsidR="00B13F41" w:rsidRPr="008B5DC3" w:rsidRDefault="00B13F41" w:rsidP="001B10CE">
      <w:pPr>
        <w:spacing w:before="0"/>
      </w:pPr>
      <w:r w:rsidRPr="00DB6F2C">
        <w:rPr>
          <w:lang w:val="ru-RU"/>
        </w:rPr>
        <w:br w:type="page"/>
      </w:r>
    </w:p>
    <w:p w14:paraId="227A954D" w14:textId="4C602348" w:rsidR="00B13F41" w:rsidRPr="00DB6F2C" w:rsidRDefault="00B13F41" w:rsidP="000E58DF">
      <w:pPr>
        <w:pStyle w:val="AnnexNo"/>
        <w:spacing w:before="0" w:after="240"/>
        <w:rPr>
          <w:lang w:val="ru-RU"/>
        </w:rPr>
      </w:pPr>
      <w:bookmarkStart w:id="10" w:name="AnnexC"/>
      <w:r w:rsidRPr="00DB6F2C">
        <w:rPr>
          <w:lang w:val="ru-RU"/>
        </w:rPr>
        <w:lastRenderedPageBreak/>
        <w:t>ПРИЛОЖЕНИЕ C</w:t>
      </w:r>
      <w:bookmarkEnd w:id="10"/>
    </w:p>
    <w:p w14:paraId="3A2B3A75" w14:textId="6244BC1C" w:rsidR="00B13F41" w:rsidRPr="00DB6F2C" w:rsidRDefault="00EF082A" w:rsidP="00EF082A">
      <w:pPr>
        <w:jc w:val="center"/>
        <w:rPr>
          <w:lang w:val="ru-RU"/>
        </w:rPr>
      </w:pPr>
      <w:r w:rsidRPr="00DB6F2C">
        <w:rPr>
          <w:noProof/>
          <w:lang w:val="ru-RU" w:eastAsia="ru-RU"/>
        </w:rPr>
        <w:drawing>
          <wp:inline distT="0" distB="0" distL="0" distR="0" wp14:anchorId="01F15C10" wp14:editId="2B52D5AA">
            <wp:extent cx="8117457" cy="5141343"/>
            <wp:effectExtent l="0" t="0" r="17145" b="25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B1D1CCA" w14:textId="2F483EE2" w:rsidR="00B13F41" w:rsidRPr="00DB6F2C" w:rsidRDefault="00B13F41" w:rsidP="00B13F41">
      <w:pPr>
        <w:rPr>
          <w:caps/>
          <w:sz w:val="26"/>
          <w:lang w:val="ru-RU"/>
        </w:rPr>
      </w:pPr>
      <w:r w:rsidRPr="00DB6F2C">
        <w:rPr>
          <w:lang w:val="ru-RU"/>
        </w:rPr>
        <w:br w:type="page"/>
      </w:r>
    </w:p>
    <w:p w14:paraId="3EC7C2C8" w14:textId="409DA704" w:rsidR="000F7EE3" w:rsidRPr="00DB6F2C" w:rsidRDefault="000F7EE3" w:rsidP="005C7381">
      <w:pPr>
        <w:pStyle w:val="AnnexNo"/>
        <w:spacing w:before="0"/>
        <w:rPr>
          <w:lang w:val="ru-RU"/>
        </w:rPr>
      </w:pPr>
      <w:bookmarkStart w:id="11" w:name="AnnexD"/>
      <w:r w:rsidRPr="00DB6F2C">
        <w:rPr>
          <w:lang w:val="ru-RU"/>
        </w:rPr>
        <w:lastRenderedPageBreak/>
        <w:t>ПРИЛОЖЕНИЕ D</w:t>
      </w:r>
    </w:p>
    <w:bookmarkEnd w:id="11"/>
    <w:p w14:paraId="551CD624" w14:textId="7931ECD5" w:rsidR="000F7EE3" w:rsidRPr="00DB6F2C" w:rsidRDefault="003D4056" w:rsidP="00FF3247">
      <w:pPr>
        <w:pStyle w:val="Annextitle"/>
        <w:spacing w:before="160" w:after="160"/>
        <w:rPr>
          <w:lang w:val="ru-RU"/>
        </w:rPr>
      </w:pPr>
      <w:r w:rsidRPr="00DB6F2C">
        <w:rPr>
          <w:lang w:val="ru-RU"/>
        </w:rPr>
        <w:t>Таблица прогнозируемых косвенных затрат в 2020 году</w:t>
      </w:r>
    </w:p>
    <w:tbl>
      <w:tblPr>
        <w:tblW w:w="14581" w:type="dxa"/>
        <w:tblLayout w:type="fixed"/>
        <w:tblLook w:val="04A0" w:firstRow="1" w:lastRow="0" w:firstColumn="1" w:lastColumn="0" w:noHBand="0" w:noVBand="1"/>
      </w:tblPr>
      <w:tblGrid>
        <w:gridCol w:w="1577"/>
        <w:gridCol w:w="4974"/>
        <w:gridCol w:w="2658"/>
        <w:gridCol w:w="1701"/>
        <w:gridCol w:w="3671"/>
      </w:tblGrid>
      <w:tr w:rsidR="00DB2DE4" w:rsidRPr="00DB6F2C" w14:paraId="5CB2F127" w14:textId="77777777" w:rsidTr="005C4F06">
        <w:trPr>
          <w:trHeight w:val="26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ACD" w14:textId="5D5D1E22" w:rsidR="00DB2DE4" w:rsidRPr="00DB6F2C" w:rsidRDefault="003D4056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Департамент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4B1" w14:textId="6DE974FF" w:rsidR="00DB2DE4" w:rsidRPr="00DB6F2C" w:rsidRDefault="003D4056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216" w14:textId="276BDE5B" w:rsidR="00DB2DE4" w:rsidRPr="00DB6F2C" w:rsidRDefault="003D4056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Затраты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125" w14:textId="3B5A4213" w:rsidR="00DB2DE4" w:rsidRPr="00DB6F2C" w:rsidRDefault="003D4056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Требуется в</w:t>
            </w:r>
            <w:r w:rsidR="00DB2DE4"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2020</w:t>
            </w: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92E" w14:textId="183D84D4" w:rsidR="00DB2DE4" w:rsidRPr="00DB6F2C" w:rsidRDefault="003D4056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Примечание</w:t>
            </w:r>
          </w:p>
        </w:tc>
      </w:tr>
      <w:tr w:rsidR="00DB2DE4" w:rsidRPr="00D81752" w14:paraId="3B30FA7F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7D2E91" w14:textId="77777777" w:rsidR="00DB2DE4" w:rsidRPr="00DB6F2C" w:rsidRDefault="00DB2DE4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SPM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706950" w14:textId="1CEFC565" w:rsidR="00DB2DE4" w:rsidRPr="00DB6F2C" w:rsidRDefault="00B439C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Временная должность</w:t>
            </w:r>
            <w:r w:rsidR="00C76CF6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сотрудника категории Р3 по внутренним и внешним коммуникациям для осуществления предлагаемой стратегии в области коммуникаций в связи со</w:t>
            </w:r>
            <w:r w:rsidR="00FF3247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 </w:t>
            </w:r>
            <w:r w:rsidR="00C76CF6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строительством нового здания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84E69F" w14:textId="13FF3F00" w:rsidR="00DB2DE4" w:rsidRPr="00DB6F2C" w:rsidRDefault="00DB2DE4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1</w:t>
            </w:r>
            <w:r w:rsidR="00C76CF6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50 000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/</w:t>
            </w:r>
            <w:r w:rsidR="00C76CF6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904351" w14:textId="69BEE0A1" w:rsidR="00DB2DE4" w:rsidRPr="00DB6F2C" w:rsidRDefault="00DB2DE4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1</w:t>
            </w:r>
            <w:r w:rsidR="00C76CF6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73674D" w14:textId="69CD7B93" w:rsidR="00DB2DE4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Инициировать коммуникацию по статусу проекта и деятельности по управлению изменениями </w:t>
            </w:r>
          </w:p>
        </w:tc>
      </w:tr>
      <w:tr w:rsidR="00DB2DE4" w:rsidRPr="00DB6F2C" w14:paraId="76DE9243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FE5" w14:textId="77777777" w:rsidR="00DB2DE4" w:rsidRPr="00DB6F2C" w:rsidRDefault="00DB2DE4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ISD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227" w14:textId="544FDC85" w:rsidR="00DB2DE4" w:rsidRPr="00DB6F2C" w:rsidRDefault="00C76CF6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Дополнительная поддержка службы помощи для персонала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377" w14:textId="2BE24352" w:rsidR="00DB2DE4" w:rsidRPr="00DB6F2C" w:rsidRDefault="00DB2DE4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7</w:t>
            </w:r>
            <w:r w:rsidR="00C76CF6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0 000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/</w:t>
            </w:r>
            <w:r w:rsidR="00C76CF6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925" w14:textId="4692B63E" w:rsidR="00DB2DE4" w:rsidRPr="00DB6F2C" w:rsidRDefault="00FF3247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CEA" w14:textId="48287270" w:rsidR="00DB2DE4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 2020 году не требуется</w:t>
            </w:r>
          </w:p>
        </w:tc>
      </w:tr>
      <w:tr w:rsidR="00E44A02" w:rsidRPr="00DB6F2C" w14:paraId="07554FE1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9E0F85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ISD-SSD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C652D4" w14:textId="2F9E4069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Затраты на дополнительную охрану в период строительства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649656" w14:textId="088F333E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460 000/год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83CE2" w14:textId="2AFAA410" w:rsidR="00E44A02" w:rsidRPr="00DB6F2C" w:rsidRDefault="00FF3247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746333" w14:textId="6B43CA63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 2020 году не требуется</w:t>
            </w:r>
          </w:p>
        </w:tc>
      </w:tr>
      <w:tr w:rsidR="00E44A02" w:rsidRPr="00D81752" w14:paraId="52827C56" w14:textId="77777777" w:rsidTr="005C4F06"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EB2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HRMD</w:t>
            </w:r>
          </w:p>
        </w:tc>
        <w:tc>
          <w:tcPr>
            <w:tcW w:w="4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5934" w14:textId="489EE35E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Привлечение индивидуального консультанта (консультантов) для разработки документа "Стратегия по условиям работы персонала и План реализации" (</w:t>
            </w:r>
            <w:r w:rsidRPr="00C75D94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на </w:t>
            </w:r>
            <w:r w:rsidR="00DA30BA" w:rsidRPr="00C75D94">
              <w:rPr>
                <w:rFonts w:cs="Calibri"/>
                <w:color w:val="000000"/>
                <w:sz w:val="18"/>
                <w:szCs w:val="18"/>
                <w:lang w:val="ru-RU"/>
              </w:rPr>
              <w:t>период</w:t>
            </w:r>
            <w:r w:rsidR="00B439C2" w:rsidRPr="00C75D94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1 год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) и помощь индивидуального консультанта (консультантов) на период осуществления проекта (на </w:t>
            </w:r>
            <w:r w:rsidR="00DA30BA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трехлетний период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128" w14:textId="75249F2E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300 000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7707" w14:textId="39028A01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38F" w14:textId="3ACA2B68" w:rsidR="00E44A02" w:rsidRPr="00DB6F2C" w:rsidRDefault="00FD793B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Для </w:t>
            </w:r>
            <w:r w:rsidR="00C31D3C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запуска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процесса</w:t>
            </w:r>
            <w:r w:rsidR="009A08C0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будут </w:t>
            </w:r>
            <w:r w:rsidR="009A08C0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авансированы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средства 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из</w:t>
            </w:r>
            <w:r w:rsidR="009A08C0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следующего бюджетного цикла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E44A02" w:rsidRPr="00D81752" w14:paraId="1F9CC3AF" w14:textId="77777777" w:rsidTr="005C4F06"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C1CF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28D8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00C" w14:textId="54C5C6CD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Дополнительная работа </w:t>
            </w:r>
            <w:r w:rsidR="00FF3247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br/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по осуществлению будет обеспечиваться за счет наших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существующих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ресурсов HRMD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D36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BAF1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E44A02" w:rsidRPr="00DB6F2C" w14:paraId="1D1DC079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0BE47E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FRMD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49A065" w14:textId="3AEE0D5D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Выделение ресурсов на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процедуру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выставления счетов и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порядок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внесения изменений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на этапе строительства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9B2EBD" w14:textId="010C9FA3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Использование имеющихся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5CDFA8" w14:textId="579B0E57" w:rsidR="00E44A02" w:rsidRPr="00DB6F2C" w:rsidRDefault="00FF3247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FCDF15" w14:textId="2DDE40F1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 2020 году не требуется</w:t>
            </w:r>
          </w:p>
        </w:tc>
      </w:tr>
      <w:tr w:rsidR="00E44A02" w:rsidRPr="00DB6F2C" w14:paraId="4D2C2807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10D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C&amp;P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0F4" w14:textId="484AAFA7" w:rsidR="00E44A02" w:rsidRPr="00DB6F2C" w:rsidRDefault="00C31D3C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Координатор конференци</w:t>
            </w:r>
            <w:r w:rsidR="00DD5E5B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й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и собраний для взаимодействия с персоналом и командой проекта на этапе строительства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115" w14:textId="3CE2C9EC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Использование имеющихся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E32" w14:textId="01E63E16" w:rsidR="00E44A02" w:rsidRPr="00DB6F2C" w:rsidRDefault="00FF3247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D83" w14:textId="6A5A6A9A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 2020 году не требуется</w:t>
            </w:r>
          </w:p>
        </w:tc>
      </w:tr>
      <w:tr w:rsidR="00E44A02" w:rsidRPr="00DB6F2C" w14:paraId="1D935994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086398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ISD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89E6" w14:textId="4867C87B" w:rsidR="00E44A02" w:rsidRPr="00DB6F2C" w:rsidRDefault="00643B5D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Специалист/консультант по аудио- и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видеооборудованию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для взаимодействия со строительной компанией и поставщиком оборудования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740191" w14:textId="0CB01063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Использование имеющихся ресурсов, насколько это возможно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6CD651" w14:textId="0BBC999E" w:rsidR="00E44A02" w:rsidRPr="00DB6F2C" w:rsidRDefault="00FF3247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66B592" w14:textId="09902782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 2020 году не требуется</w:t>
            </w:r>
          </w:p>
        </w:tc>
      </w:tr>
      <w:tr w:rsidR="00E44A02" w:rsidRPr="00D81752" w14:paraId="6D2370BF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485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ISD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D2C" w14:textId="7E9D986F" w:rsidR="00E44A02" w:rsidRPr="00DB6F2C" w:rsidRDefault="00CC1E10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Разработка классификации файлов и политики хранения для перехода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к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безбумажной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среде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. Затраты на сканирование документов, подлежащих хранению и сохранению в виде электронных версий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611" w14:textId="69507D03" w:rsidR="00E44A02" w:rsidRPr="00DB6F2C" w:rsidRDefault="00643B5D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1 070 000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625" w14:textId="5CA17F33" w:rsidR="00E44A02" w:rsidRPr="00DB6F2C" w:rsidRDefault="00643B5D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535 000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FD4" w14:textId="26C2940C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1 070 000 – примерная сумма </w:t>
            </w:r>
            <w:r w:rsidR="00FF3247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br/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на двухлетний период</w:t>
            </w:r>
            <w:r w:rsidR="00E44A0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E44A02" w:rsidRPr="00D81752" w14:paraId="47BDD2B0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A93944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JUR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68C25" w14:textId="598E410F" w:rsidR="00E44A02" w:rsidRPr="00DB6F2C" w:rsidRDefault="00CC1E10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Оплата услуг нотариуса за содействие в </w:t>
            </w:r>
            <w:r w:rsidR="00DD5E5B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оформлении новых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выплат за сервитут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3B21E3" w14:textId="5A85CCD2" w:rsidR="00E44A02" w:rsidRPr="00DB6F2C" w:rsidRDefault="00CC1E10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100 000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8FCF03" w14:textId="22444BF7" w:rsidR="00E44A02" w:rsidRPr="00DB6F2C" w:rsidRDefault="00CC1E10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05A637" w14:textId="536820BE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Вопросы установления выплат за сервитут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ы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в рамках </w:t>
            </w:r>
            <w:r w:rsidR="00B439C2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заявления о выдаче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разрешения на строительство и правовые аспекты продажи здания </w:t>
            </w:r>
            <w:r w:rsidR="00DD5E5B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"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Башня</w:t>
            </w:r>
            <w:r w:rsidR="00DD5E5B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"</w:t>
            </w:r>
            <w:r w:rsidR="00A52059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, требующие решения 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</w:t>
            </w:r>
            <w:r w:rsidR="00A52059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2020 г.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E44A02" w:rsidRPr="00D81752" w14:paraId="2703BB58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683" w14:textId="77777777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FMD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1DA" w14:textId="06AAA671" w:rsidR="00E44A02" w:rsidRPr="00DB6F2C" w:rsidRDefault="00CC1E10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Затраты на вывоз мусора/старой мебели и т.</w:t>
            </w:r>
            <w:r w:rsidR="00FF3247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д.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879" w14:textId="330BFE22" w:rsidR="00E44A02" w:rsidRPr="00DB6F2C" w:rsidRDefault="00CC1E10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Включены в регулярный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298" w14:textId="77163668" w:rsidR="00E44A02" w:rsidRPr="00DB6F2C" w:rsidRDefault="00FF3247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CDA" w14:textId="5CBCEB98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 2020</w:t>
            </w:r>
            <w:r w:rsidR="00DD5E5B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году 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начнется составление описи на работы по вывозу мусора и не пригодной к повторному использованию мебели </w:t>
            </w:r>
          </w:p>
        </w:tc>
      </w:tr>
      <w:tr w:rsidR="00E44A02" w:rsidRPr="00DB6F2C" w14:paraId="369B3D69" w14:textId="77777777" w:rsidTr="005C4F06"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36D657" w14:textId="250BE7BB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Непредвиденные расходы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C9AA5D" w14:textId="0C4E9535" w:rsidR="00E44A02" w:rsidRPr="00DB6F2C" w:rsidRDefault="00A52059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Не могут быть</w:t>
            </w:r>
            <w:r w:rsidR="00DA30BA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спрогнозированы</w:t>
            </w:r>
            <w:r w:rsidR="00DA30BA"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Бюро/ГС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9974B2" w14:textId="2C943F7D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100 000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1EB25F" w14:textId="64658C41" w:rsidR="00E44A02" w:rsidRPr="00DB6F2C" w:rsidRDefault="00FF3247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ADBAF5" w14:textId="3EDBA67B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color w:val="000000"/>
                <w:sz w:val="18"/>
                <w:szCs w:val="18"/>
                <w:lang w:val="ru-RU"/>
              </w:rPr>
              <w:t>В 2020 году не требуется</w:t>
            </w:r>
          </w:p>
        </w:tc>
      </w:tr>
      <w:tr w:rsidR="00E44A02" w:rsidRPr="00DB6F2C" w14:paraId="34125BC9" w14:textId="77777777" w:rsidTr="005C4F06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EC1" w14:textId="5331F039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B9C" w14:textId="03A33333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F22" w14:textId="57014141" w:rsidR="00E44A02" w:rsidRPr="00DB6F2C" w:rsidRDefault="00DA30BA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B6F2C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935 000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5C9" w14:textId="26EFE6DF" w:rsidR="00E44A02" w:rsidRPr="00DB6F2C" w:rsidRDefault="00E44A02" w:rsidP="00FF32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5795DA6B" w14:textId="4FD2B4B7" w:rsidR="00006B52" w:rsidRPr="00DB6F2C" w:rsidRDefault="00006B52" w:rsidP="00FF3247">
      <w:pPr>
        <w:spacing w:before="80"/>
        <w:jc w:val="center"/>
        <w:rPr>
          <w:lang w:val="ru-RU"/>
        </w:rPr>
      </w:pPr>
      <w:r w:rsidRPr="00DB6F2C">
        <w:rPr>
          <w:lang w:val="ru-RU"/>
        </w:rPr>
        <w:t>______________</w:t>
      </w:r>
    </w:p>
    <w:sectPr w:rsidR="00006B52" w:rsidRPr="00DB6F2C" w:rsidSect="00FF3247">
      <w:headerReference w:type="first" r:id="rId17"/>
      <w:footerReference w:type="first" r:id="rId18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1CE7" w14:textId="77777777" w:rsidR="005C0E5F" w:rsidRDefault="005C0E5F">
      <w:r>
        <w:separator/>
      </w:r>
    </w:p>
  </w:endnote>
  <w:endnote w:type="continuationSeparator" w:id="0">
    <w:p w14:paraId="7F9AFA1D" w14:textId="77777777" w:rsidR="005C0E5F" w:rsidRDefault="005C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B0C5" w14:textId="0F9C1092" w:rsidR="005C0E5F" w:rsidRPr="00D81752" w:rsidRDefault="005C0E5F" w:rsidP="00F90867">
    <w:pPr>
      <w:pStyle w:val="Footer"/>
      <w:rPr>
        <w:color w:val="D9D9D9" w:themeColor="background1" w:themeShade="D9"/>
      </w:rPr>
    </w:pPr>
    <w:r w:rsidRPr="00D81752">
      <w:rPr>
        <w:color w:val="D9D9D9" w:themeColor="background1" w:themeShade="D9"/>
        <w:lang w:val="en-US"/>
      </w:rPr>
      <w:fldChar w:fldCharType="begin"/>
    </w:r>
    <w:r w:rsidRPr="00D81752">
      <w:rPr>
        <w:color w:val="D9D9D9" w:themeColor="background1" w:themeShade="D9"/>
      </w:rPr>
      <w:instrText xml:space="preserve"> FILENAME \p  \* MERGEFORMAT </w:instrText>
    </w:r>
    <w:r w:rsidRPr="00D81752">
      <w:rPr>
        <w:color w:val="D9D9D9" w:themeColor="background1" w:themeShade="D9"/>
        <w:lang w:val="en-US"/>
      </w:rPr>
      <w:fldChar w:fldCharType="separate"/>
    </w:r>
    <w:r w:rsidRPr="00D81752">
      <w:rPr>
        <w:color w:val="D9D9D9" w:themeColor="background1" w:themeShade="D9"/>
      </w:rPr>
      <w:t>P:\RUS\SG\CONSEIL\C20\000\007R.docx</w:t>
    </w:r>
    <w:r w:rsidRPr="00D81752">
      <w:rPr>
        <w:color w:val="D9D9D9" w:themeColor="background1" w:themeShade="D9"/>
        <w:lang w:val="en-US"/>
      </w:rPr>
      <w:fldChar w:fldCharType="end"/>
    </w:r>
    <w:r w:rsidRPr="00D81752">
      <w:rPr>
        <w:color w:val="D9D9D9" w:themeColor="background1" w:themeShade="D9"/>
      </w:rPr>
      <w:t xml:space="preserve"> (467312)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C63B" w14:textId="0AD70F49" w:rsidR="005C0E5F" w:rsidRPr="0013531C" w:rsidRDefault="005C0E5F" w:rsidP="00D8175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C660" w14:textId="38EE6D34" w:rsidR="005C0E5F" w:rsidRPr="00D81752" w:rsidRDefault="005C0E5F" w:rsidP="0013531C">
    <w:pPr>
      <w:pStyle w:val="Footer"/>
      <w:rPr>
        <w:color w:val="D9D9D9" w:themeColor="background1" w:themeShade="D9"/>
      </w:rPr>
    </w:pPr>
    <w:r w:rsidRPr="00D81752">
      <w:rPr>
        <w:color w:val="D9D9D9" w:themeColor="background1" w:themeShade="D9"/>
        <w:lang w:val="en-US"/>
      </w:rPr>
      <w:fldChar w:fldCharType="begin"/>
    </w:r>
    <w:r w:rsidRPr="00D81752">
      <w:rPr>
        <w:color w:val="D9D9D9" w:themeColor="background1" w:themeShade="D9"/>
      </w:rPr>
      <w:instrText xml:space="preserve"> FILENAME \p  \* MERGEFORMAT </w:instrText>
    </w:r>
    <w:r w:rsidRPr="00D81752">
      <w:rPr>
        <w:color w:val="D9D9D9" w:themeColor="background1" w:themeShade="D9"/>
        <w:lang w:val="en-US"/>
      </w:rPr>
      <w:fldChar w:fldCharType="separate"/>
    </w:r>
    <w:r w:rsidRPr="00D81752">
      <w:rPr>
        <w:color w:val="D9D9D9" w:themeColor="background1" w:themeShade="D9"/>
      </w:rPr>
      <w:t>P:\RUS\SG\CONSEIL\C20\000\007R.docx</w:t>
    </w:r>
    <w:r w:rsidRPr="00D81752">
      <w:rPr>
        <w:color w:val="D9D9D9" w:themeColor="background1" w:themeShade="D9"/>
        <w:lang w:val="en-US"/>
      </w:rPr>
      <w:fldChar w:fldCharType="end"/>
    </w:r>
    <w:r w:rsidRPr="00D81752">
      <w:rPr>
        <w:color w:val="D9D9D9" w:themeColor="background1" w:themeShade="D9"/>
      </w:rPr>
      <w:t xml:space="preserve"> (467312)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A4412" w14:textId="77777777" w:rsidR="005C0E5F" w:rsidRDefault="005C0E5F">
      <w:r>
        <w:t>____________________</w:t>
      </w:r>
    </w:p>
  </w:footnote>
  <w:footnote w:type="continuationSeparator" w:id="0">
    <w:p w14:paraId="1F578936" w14:textId="77777777" w:rsidR="005C0E5F" w:rsidRDefault="005C0E5F">
      <w:r>
        <w:continuationSeparator/>
      </w:r>
    </w:p>
  </w:footnote>
  <w:footnote w:id="1">
    <w:p w14:paraId="24FD8F6D" w14:textId="6324B33A" w:rsidR="005C0E5F" w:rsidRPr="0076463D" w:rsidRDefault="005C0E5F" w:rsidP="00C2180C">
      <w:pPr>
        <w:pStyle w:val="FootnoteText"/>
        <w:rPr>
          <w:lang w:val="ru-RU"/>
        </w:rPr>
      </w:pPr>
      <w:r w:rsidRPr="004A20E7">
        <w:rPr>
          <w:rStyle w:val="FootnoteReference"/>
        </w:rPr>
        <w:footnoteRef/>
      </w:r>
      <w:r w:rsidRPr="00453DB0">
        <w:rPr>
          <w:lang w:val="ru-RU"/>
        </w:rPr>
        <w:tab/>
      </w:r>
      <w:r>
        <w:rPr>
          <w:lang w:val="ru-RU"/>
        </w:rPr>
        <w:t>В процессе</w:t>
      </w:r>
      <w:r w:rsidRPr="00453DB0">
        <w:rPr>
          <w:lang w:val="ru-RU"/>
        </w:rPr>
        <w:t xml:space="preserve"> </w:t>
      </w:r>
      <w:r>
        <w:rPr>
          <w:lang w:val="ru-RU"/>
        </w:rPr>
        <w:t>оптимизации</w:t>
      </w:r>
      <w:r w:rsidRPr="00453DB0">
        <w:rPr>
          <w:lang w:val="ru-RU"/>
        </w:rPr>
        <w:t xml:space="preserve"> </w:t>
      </w:r>
      <w:r>
        <w:rPr>
          <w:lang w:val="ru-RU"/>
        </w:rPr>
        <w:t>проектных</w:t>
      </w:r>
      <w:r w:rsidRPr="00453DB0">
        <w:rPr>
          <w:lang w:val="ru-RU"/>
        </w:rPr>
        <w:t xml:space="preserve"> </w:t>
      </w:r>
      <w:r>
        <w:rPr>
          <w:lang w:val="ru-RU"/>
        </w:rPr>
        <w:t>решений</w:t>
      </w:r>
      <w:r w:rsidRPr="00453DB0">
        <w:rPr>
          <w:lang w:val="ru-RU"/>
        </w:rPr>
        <w:t xml:space="preserve"> </w:t>
      </w:r>
      <w:r>
        <w:rPr>
          <w:lang w:val="ru-RU"/>
        </w:rPr>
        <w:t>поощряется</w:t>
      </w:r>
      <w:r w:rsidRPr="00453DB0">
        <w:rPr>
          <w:lang w:val="ru-RU"/>
        </w:rPr>
        <w:t xml:space="preserve"> </w:t>
      </w:r>
      <w:r>
        <w:rPr>
          <w:lang w:val="ru-RU"/>
        </w:rPr>
        <w:t>замена</w:t>
      </w:r>
      <w:r w:rsidRPr="00453DB0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453DB0">
        <w:rPr>
          <w:lang w:val="ru-RU"/>
        </w:rPr>
        <w:t xml:space="preserve"> </w:t>
      </w:r>
      <w:r>
        <w:rPr>
          <w:lang w:val="ru-RU"/>
        </w:rPr>
        <w:t>и</w:t>
      </w:r>
      <w:r w:rsidRPr="00453DB0">
        <w:rPr>
          <w:lang w:val="ru-RU"/>
        </w:rPr>
        <w:t xml:space="preserve"> </w:t>
      </w:r>
      <w:r>
        <w:rPr>
          <w:lang w:val="ru-RU"/>
        </w:rPr>
        <w:t>методов</w:t>
      </w:r>
      <w:r w:rsidRPr="00453DB0">
        <w:rPr>
          <w:lang w:val="ru-RU"/>
        </w:rPr>
        <w:t xml:space="preserve"> </w:t>
      </w:r>
      <w:r>
        <w:rPr>
          <w:lang w:val="ru-RU"/>
        </w:rPr>
        <w:t>на</w:t>
      </w:r>
      <w:r w:rsidRPr="00453DB0">
        <w:rPr>
          <w:lang w:val="ru-RU"/>
        </w:rPr>
        <w:t xml:space="preserve"> </w:t>
      </w:r>
      <w:r>
        <w:rPr>
          <w:lang w:val="ru-RU"/>
        </w:rPr>
        <w:t>менее</w:t>
      </w:r>
      <w:r w:rsidRPr="00453DB0">
        <w:rPr>
          <w:lang w:val="ru-RU"/>
        </w:rPr>
        <w:t xml:space="preserve"> </w:t>
      </w:r>
      <w:r>
        <w:rPr>
          <w:lang w:val="ru-RU"/>
        </w:rPr>
        <w:t>затратные альтернативные варианты без ущерба для функциональных характеристик.</w:t>
      </w:r>
    </w:p>
  </w:footnote>
  <w:footnote w:id="2">
    <w:p w14:paraId="1FBEDC33" w14:textId="3F46D173" w:rsidR="005C0E5F" w:rsidRPr="00503C14" w:rsidRDefault="005C0E5F" w:rsidP="00C555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8673B">
        <w:rPr>
          <w:lang w:val="ru-RU"/>
        </w:rPr>
        <w:tab/>
      </w:r>
      <w:r>
        <w:rPr>
          <w:lang w:val="ru-RU"/>
        </w:rPr>
        <w:t>Стоимость рассчитана на основании данных за декабрь 2019 года.</w:t>
      </w:r>
    </w:p>
  </w:footnote>
  <w:footnote w:id="3">
    <w:p w14:paraId="781245E0" w14:textId="37D7DCBD" w:rsidR="005C0E5F" w:rsidRPr="004769AB" w:rsidRDefault="005C0E5F" w:rsidP="00C555E8">
      <w:pPr>
        <w:pStyle w:val="FootnoteText"/>
        <w:rPr>
          <w:lang w:val="ru-RU"/>
        </w:rPr>
      </w:pPr>
      <w:r w:rsidRPr="000E3F43">
        <w:rPr>
          <w:rStyle w:val="FootnoteReference"/>
        </w:rPr>
        <w:footnoteRef/>
      </w:r>
      <w:r w:rsidRPr="004769AB">
        <w:rPr>
          <w:lang w:val="ru-RU"/>
        </w:rPr>
        <w:tab/>
      </w:r>
      <w:r>
        <w:rPr>
          <w:lang w:val="ru-RU"/>
        </w:rPr>
        <w:t>Расчет</w:t>
      </w:r>
      <w:r w:rsidRPr="004769AB">
        <w:rPr>
          <w:lang w:val="ru-RU"/>
        </w:rPr>
        <w:t xml:space="preserve"> </w:t>
      </w:r>
      <w:r>
        <w:rPr>
          <w:lang w:val="ru-RU"/>
        </w:rPr>
        <w:t>на</w:t>
      </w:r>
      <w:r w:rsidRPr="004769AB">
        <w:rPr>
          <w:lang w:val="ru-RU"/>
        </w:rPr>
        <w:t xml:space="preserve"> 10-</w:t>
      </w:r>
      <w:r>
        <w:rPr>
          <w:lang w:val="ru-RU"/>
        </w:rPr>
        <w:t>летний</w:t>
      </w:r>
      <w:r w:rsidRPr="004769AB">
        <w:rPr>
          <w:lang w:val="ru-RU"/>
        </w:rPr>
        <w:t xml:space="preserve"> </w:t>
      </w:r>
      <w:r>
        <w:rPr>
          <w:lang w:val="ru-RU"/>
        </w:rPr>
        <w:t>период</w:t>
      </w:r>
      <w:r w:rsidRPr="004769AB">
        <w:rPr>
          <w:lang w:val="ru-RU"/>
        </w:rPr>
        <w:t xml:space="preserve"> </w:t>
      </w:r>
      <w:r>
        <w:rPr>
          <w:lang w:val="ru-RU"/>
        </w:rPr>
        <w:t>с</w:t>
      </w:r>
      <w:r w:rsidRPr="004769AB">
        <w:rPr>
          <w:lang w:val="ru-RU"/>
        </w:rPr>
        <w:t xml:space="preserve"> 1 </w:t>
      </w:r>
      <w:r>
        <w:rPr>
          <w:lang w:val="ru-RU"/>
        </w:rPr>
        <w:t>апреля</w:t>
      </w:r>
      <w:r w:rsidRPr="004769AB">
        <w:rPr>
          <w:lang w:val="ru-RU"/>
        </w:rPr>
        <w:t xml:space="preserve"> 2020 </w:t>
      </w:r>
      <w:r>
        <w:rPr>
          <w:lang w:val="ru-RU"/>
        </w:rPr>
        <w:t>года</w:t>
      </w:r>
      <w:r w:rsidRPr="004769AB">
        <w:rPr>
          <w:lang w:val="ru-RU"/>
        </w:rPr>
        <w:t xml:space="preserve"> </w:t>
      </w:r>
      <w:r>
        <w:rPr>
          <w:lang w:val="ru-RU"/>
        </w:rPr>
        <w:t>по</w:t>
      </w:r>
      <w:r w:rsidRPr="004769AB">
        <w:rPr>
          <w:lang w:val="ru-RU"/>
        </w:rPr>
        <w:t xml:space="preserve"> 31 </w:t>
      </w:r>
      <w:r>
        <w:rPr>
          <w:lang w:val="ru-RU"/>
        </w:rPr>
        <w:t>марта</w:t>
      </w:r>
      <w:r w:rsidRPr="004769AB">
        <w:rPr>
          <w:lang w:val="ru-RU"/>
        </w:rPr>
        <w:t xml:space="preserve"> 2030 </w:t>
      </w:r>
      <w:r>
        <w:rPr>
          <w:lang w:val="ru-RU"/>
        </w:rPr>
        <w:t>года</w:t>
      </w:r>
      <w:r w:rsidRPr="004769AB"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D077E" w14:textId="0B897827" w:rsidR="005C0E5F" w:rsidRDefault="005C0E5F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154890" w14:textId="55AFBA43" w:rsidR="005C0E5F" w:rsidRDefault="005C0E5F" w:rsidP="00095CF3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7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ED33" w14:textId="402DED91" w:rsidR="005C0E5F" w:rsidRDefault="005C0E5F" w:rsidP="000F7EE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6686C5D" w14:textId="5B5551E1" w:rsidR="005C0E5F" w:rsidRDefault="005C0E5F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4FEA67"/>
    <w:multiLevelType w:val="hybridMultilevel"/>
    <w:tmpl w:val="224268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0012E3"/>
    <w:multiLevelType w:val="hybridMultilevel"/>
    <w:tmpl w:val="6CDE0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D45"/>
    <w:multiLevelType w:val="multilevel"/>
    <w:tmpl w:val="CDE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36C60"/>
    <w:multiLevelType w:val="hybridMultilevel"/>
    <w:tmpl w:val="5A387F8E"/>
    <w:lvl w:ilvl="0" w:tplc="D4323866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35E0A76"/>
    <w:multiLevelType w:val="hybridMultilevel"/>
    <w:tmpl w:val="812E3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7112F7"/>
    <w:multiLevelType w:val="hybridMultilevel"/>
    <w:tmpl w:val="8F8C8B5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27C7A03"/>
    <w:multiLevelType w:val="hybridMultilevel"/>
    <w:tmpl w:val="30D4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6677"/>
    <w:multiLevelType w:val="hybridMultilevel"/>
    <w:tmpl w:val="84C0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61349"/>
    <w:multiLevelType w:val="multilevel"/>
    <w:tmpl w:val="34B45F5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D456B4"/>
    <w:multiLevelType w:val="hybridMultilevel"/>
    <w:tmpl w:val="DDAC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C049E0"/>
    <w:multiLevelType w:val="hybridMultilevel"/>
    <w:tmpl w:val="C310B5E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34E41A7"/>
    <w:multiLevelType w:val="hybridMultilevel"/>
    <w:tmpl w:val="DA5E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2AF0"/>
    <w:multiLevelType w:val="hybridMultilevel"/>
    <w:tmpl w:val="F546445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86E4A73"/>
    <w:multiLevelType w:val="hybridMultilevel"/>
    <w:tmpl w:val="B012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0CF5"/>
    <w:multiLevelType w:val="hybridMultilevel"/>
    <w:tmpl w:val="9AD088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9196DAB"/>
    <w:multiLevelType w:val="hybridMultilevel"/>
    <w:tmpl w:val="1AA4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95A0E"/>
    <w:multiLevelType w:val="multilevel"/>
    <w:tmpl w:val="0AD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E2857"/>
    <w:multiLevelType w:val="hybridMultilevel"/>
    <w:tmpl w:val="E8FA7700"/>
    <w:lvl w:ilvl="0" w:tplc="AB185F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94AB7"/>
    <w:multiLevelType w:val="hybridMultilevel"/>
    <w:tmpl w:val="0608C92E"/>
    <w:lvl w:ilvl="0" w:tplc="F086E3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0F2146"/>
    <w:multiLevelType w:val="hybridMultilevel"/>
    <w:tmpl w:val="7CF67484"/>
    <w:lvl w:ilvl="0" w:tplc="0409000F">
      <w:start w:val="1"/>
      <w:numFmt w:val="decimal"/>
      <w:lvlText w:val="%1."/>
      <w:lvlJc w:val="left"/>
      <w:pPr>
        <w:ind w:left="9858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4772"/>
    <w:multiLevelType w:val="hybridMultilevel"/>
    <w:tmpl w:val="5E820E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18"/>
  </w:num>
  <w:num w:numId="5">
    <w:abstractNumId w:val="3"/>
  </w:num>
  <w:num w:numId="6">
    <w:abstractNumId w:val="2"/>
  </w:num>
  <w:num w:numId="7">
    <w:abstractNumId w:val="23"/>
  </w:num>
  <w:num w:numId="8">
    <w:abstractNumId w:val="12"/>
  </w:num>
  <w:num w:numId="9">
    <w:abstractNumId w:val="7"/>
  </w:num>
  <w:num w:numId="10">
    <w:abstractNumId w:val="14"/>
  </w:num>
  <w:num w:numId="11">
    <w:abstractNumId w:val="6"/>
  </w:num>
  <w:num w:numId="12">
    <w:abstractNumId w:val="13"/>
  </w:num>
  <w:num w:numId="13">
    <w:abstractNumId w:val="17"/>
  </w:num>
  <w:num w:numId="14">
    <w:abstractNumId w:val="21"/>
  </w:num>
  <w:num w:numId="15">
    <w:abstractNumId w:val="10"/>
  </w:num>
  <w:num w:numId="16">
    <w:abstractNumId w:val="4"/>
  </w:num>
  <w:num w:numId="17">
    <w:abstractNumId w:val="9"/>
  </w:num>
  <w:num w:numId="18">
    <w:abstractNumId w:val="8"/>
  </w:num>
  <w:num w:numId="19">
    <w:abstractNumId w:val="15"/>
  </w:num>
  <w:num w:numId="20">
    <w:abstractNumId w:val="20"/>
  </w:num>
  <w:num w:numId="21">
    <w:abstractNumId w:val="11"/>
  </w:num>
  <w:num w:numId="22">
    <w:abstractNumId w:val="16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D4"/>
    <w:rsid w:val="00006B52"/>
    <w:rsid w:val="0002183E"/>
    <w:rsid w:val="00026627"/>
    <w:rsid w:val="00026EBD"/>
    <w:rsid w:val="0003282B"/>
    <w:rsid w:val="0003587D"/>
    <w:rsid w:val="000569B4"/>
    <w:rsid w:val="00060689"/>
    <w:rsid w:val="0007052C"/>
    <w:rsid w:val="00080E82"/>
    <w:rsid w:val="0008127F"/>
    <w:rsid w:val="00081E50"/>
    <w:rsid w:val="0008209A"/>
    <w:rsid w:val="000821C5"/>
    <w:rsid w:val="000876E0"/>
    <w:rsid w:val="00087C03"/>
    <w:rsid w:val="000911BF"/>
    <w:rsid w:val="00095CF3"/>
    <w:rsid w:val="00097CD7"/>
    <w:rsid w:val="000A1705"/>
    <w:rsid w:val="000A6BB7"/>
    <w:rsid w:val="000A7675"/>
    <w:rsid w:val="000A7C2E"/>
    <w:rsid w:val="000B1E8A"/>
    <w:rsid w:val="000B509A"/>
    <w:rsid w:val="000C199E"/>
    <w:rsid w:val="000C4461"/>
    <w:rsid w:val="000C69F7"/>
    <w:rsid w:val="000D034F"/>
    <w:rsid w:val="000E12BF"/>
    <w:rsid w:val="000E324D"/>
    <w:rsid w:val="000E568E"/>
    <w:rsid w:val="000E58DF"/>
    <w:rsid w:val="000E7A11"/>
    <w:rsid w:val="000F1FEE"/>
    <w:rsid w:val="000F3779"/>
    <w:rsid w:val="000F6717"/>
    <w:rsid w:val="000F7EE3"/>
    <w:rsid w:val="001075E1"/>
    <w:rsid w:val="00107F4B"/>
    <w:rsid w:val="00113110"/>
    <w:rsid w:val="001155A7"/>
    <w:rsid w:val="001311FC"/>
    <w:rsid w:val="0013531C"/>
    <w:rsid w:val="0013713C"/>
    <w:rsid w:val="001414A4"/>
    <w:rsid w:val="00145B25"/>
    <w:rsid w:val="0014734F"/>
    <w:rsid w:val="0015097B"/>
    <w:rsid w:val="00154F0C"/>
    <w:rsid w:val="0015710D"/>
    <w:rsid w:val="00157A17"/>
    <w:rsid w:val="00163A32"/>
    <w:rsid w:val="00174896"/>
    <w:rsid w:val="001778B7"/>
    <w:rsid w:val="00177B05"/>
    <w:rsid w:val="00185D98"/>
    <w:rsid w:val="00186E87"/>
    <w:rsid w:val="00190265"/>
    <w:rsid w:val="00192B41"/>
    <w:rsid w:val="00193039"/>
    <w:rsid w:val="001A337F"/>
    <w:rsid w:val="001B0908"/>
    <w:rsid w:val="001B10CE"/>
    <w:rsid w:val="001B3BAA"/>
    <w:rsid w:val="001B7B09"/>
    <w:rsid w:val="001C00FF"/>
    <w:rsid w:val="001C3FCD"/>
    <w:rsid w:val="001C667A"/>
    <w:rsid w:val="001D1153"/>
    <w:rsid w:val="001D2A66"/>
    <w:rsid w:val="001E1B59"/>
    <w:rsid w:val="001E3E53"/>
    <w:rsid w:val="001E6719"/>
    <w:rsid w:val="001F2BE6"/>
    <w:rsid w:val="00201378"/>
    <w:rsid w:val="002227B3"/>
    <w:rsid w:val="00227054"/>
    <w:rsid w:val="002271BE"/>
    <w:rsid w:val="00227FF0"/>
    <w:rsid w:val="00232640"/>
    <w:rsid w:val="00234B3B"/>
    <w:rsid w:val="0024108D"/>
    <w:rsid w:val="002445EF"/>
    <w:rsid w:val="00247A60"/>
    <w:rsid w:val="002505FD"/>
    <w:rsid w:val="002536AC"/>
    <w:rsid w:val="00270AA6"/>
    <w:rsid w:val="00275986"/>
    <w:rsid w:val="0027730B"/>
    <w:rsid w:val="00281A5B"/>
    <w:rsid w:val="00284D95"/>
    <w:rsid w:val="00291A56"/>
    <w:rsid w:val="00291EB6"/>
    <w:rsid w:val="00294F12"/>
    <w:rsid w:val="002A0206"/>
    <w:rsid w:val="002A6A63"/>
    <w:rsid w:val="002B0D45"/>
    <w:rsid w:val="002C0F79"/>
    <w:rsid w:val="002D1361"/>
    <w:rsid w:val="002D2F57"/>
    <w:rsid w:val="002D48C5"/>
    <w:rsid w:val="002E2843"/>
    <w:rsid w:val="002E33CA"/>
    <w:rsid w:val="002F35DE"/>
    <w:rsid w:val="002F4FAA"/>
    <w:rsid w:val="00300CD9"/>
    <w:rsid w:val="00301CD4"/>
    <w:rsid w:val="003112F9"/>
    <w:rsid w:val="00320E53"/>
    <w:rsid w:val="00324237"/>
    <w:rsid w:val="003265A9"/>
    <w:rsid w:val="0033022E"/>
    <w:rsid w:val="00330BDD"/>
    <w:rsid w:val="00340D09"/>
    <w:rsid w:val="0034196E"/>
    <w:rsid w:val="00345BC1"/>
    <w:rsid w:val="00347058"/>
    <w:rsid w:val="00351373"/>
    <w:rsid w:val="0035220A"/>
    <w:rsid w:val="003628B3"/>
    <w:rsid w:val="0036661B"/>
    <w:rsid w:val="00367B42"/>
    <w:rsid w:val="003711ED"/>
    <w:rsid w:val="00371EF9"/>
    <w:rsid w:val="003808BB"/>
    <w:rsid w:val="0039009C"/>
    <w:rsid w:val="003A5811"/>
    <w:rsid w:val="003A6FDC"/>
    <w:rsid w:val="003B4BE2"/>
    <w:rsid w:val="003C0D0B"/>
    <w:rsid w:val="003C72D2"/>
    <w:rsid w:val="003D03C1"/>
    <w:rsid w:val="003D4056"/>
    <w:rsid w:val="003F099E"/>
    <w:rsid w:val="003F235E"/>
    <w:rsid w:val="003F47EE"/>
    <w:rsid w:val="003F6132"/>
    <w:rsid w:val="003F7018"/>
    <w:rsid w:val="003F757C"/>
    <w:rsid w:val="003F78E8"/>
    <w:rsid w:val="0040127D"/>
    <w:rsid w:val="004023E0"/>
    <w:rsid w:val="00403DD8"/>
    <w:rsid w:val="00411ED9"/>
    <w:rsid w:val="0041217B"/>
    <w:rsid w:val="00424CAB"/>
    <w:rsid w:val="004260B5"/>
    <w:rsid w:val="00426BB6"/>
    <w:rsid w:val="00427438"/>
    <w:rsid w:val="00434524"/>
    <w:rsid w:val="004407D3"/>
    <w:rsid w:val="00440A67"/>
    <w:rsid w:val="00453DB0"/>
    <w:rsid w:val="00455EC2"/>
    <w:rsid w:val="0045686C"/>
    <w:rsid w:val="00457369"/>
    <w:rsid w:val="00460CED"/>
    <w:rsid w:val="00462A6F"/>
    <w:rsid w:val="00462E9D"/>
    <w:rsid w:val="004654A3"/>
    <w:rsid w:val="004762C4"/>
    <w:rsid w:val="004769AB"/>
    <w:rsid w:val="00483D74"/>
    <w:rsid w:val="0049086D"/>
    <w:rsid w:val="004918C4"/>
    <w:rsid w:val="00497F55"/>
    <w:rsid w:val="004A20E7"/>
    <w:rsid w:val="004A34D2"/>
    <w:rsid w:val="004A45B5"/>
    <w:rsid w:val="004A52FC"/>
    <w:rsid w:val="004A7880"/>
    <w:rsid w:val="004C2E6D"/>
    <w:rsid w:val="004D0055"/>
    <w:rsid w:val="004D0129"/>
    <w:rsid w:val="004D74B5"/>
    <w:rsid w:val="004E6B41"/>
    <w:rsid w:val="004F08E5"/>
    <w:rsid w:val="004F7D05"/>
    <w:rsid w:val="00503C14"/>
    <w:rsid w:val="00515B7E"/>
    <w:rsid w:val="00521126"/>
    <w:rsid w:val="00527CB9"/>
    <w:rsid w:val="00527F2D"/>
    <w:rsid w:val="00541007"/>
    <w:rsid w:val="00550825"/>
    <w:rsid w:val="00554993"/>
    <w:rsid w:val="0055709E"/>
    <w:rsid w:val="005637D6"/>
    <w:rsid w:val="00566609"/>
    <w:rsid w:val="005800E8"/>
    <w:rsid w:val="00586000"/>
    <w:rsid w:val="00591288"/>
    <w:rsid w:val="005A64D5"/>
    <w:rsid w:val="005B3688"/>
    <w:rsid w:val="005B5D0E"/>
    <w:rsid w:val="005C0E5F"/>
    <w:rsid w:val="005C4F06"/>
    <w:rsid w:val="005C7381"/>
    <w:rsid w:val="005E3E81"/>
    <w:rsid w:val="005F4FB0"/>
    <w:rsid w:val="0060117D"/>
    <w:rsid w:val="00601994"/>
    <w:rsid w:val="0061306C"/>
    <w:rsid w:val="0062549C"/>
    <w:rsid w:val="00630F1B"/>
    <w:rsid w:val="00643438"/>
    <w:rsid w:val="00643B5D"/>
    <w:rsid w:val="00650367"/>
    <w:rsid w:val="00655846"/>
    <w:rsid w:val="00657ACE"/>
    <w:rsid w:val="006719D8"/>
    <w:rsid w:val="006767C1"/>
    <w:rsid w:val="006827AE"/>
    <w:rsid w:val="00687F2F"/>
    <w:rsid w:val="006927CF"/>
    <w:rsid w:val="006A0FBF"/>
    <w:rsid w:val="006A23F5"/>
    <w:rsid w:val="006A241E"/>
    <w:rsid w:val="006A25D9"/>
    <w:rsid w:val="006A46E8"/>
    <w:rsid w:val="006C4727"/>
    <w:rsid w:val="006D478E"/>
    <w:rsid w:val="006E2D42"/>
    <w:rsid w:val="006E41C5"/>
    <w:rsid w:val="0070015D"/>
    <w:rsid w:val="007007F3"/>
    <w:rsid w:val="00703676"/>
    <w:rsid w:val="00707304"/>
    <w:rsid w:val="00707963"/>
    <w:rsid w:val="00726A16"/>
    <w:rsid w:val="00732269"/>
    <w:rsid w:val="00732C65"/>
    <w:rsid w:val="00743089"/>
    <w:rsid w:val="00743B7C"/>
    <w:rsid w:val="0075197A"/>
    <w:rsid w:val="00754E23"/>
    <w:rsid w:val="0076463D"/>
    <w:rsid w:val="0077223C"/>
    <w:rsid w:val="007820E9"/>
    <w:rsid w:val="00785ABD"/>
    <w:rsid w:val="0079010E"/>
    <w:rsid w:val="00790ED4"/>
    <w:rsid w:val="007A2DD4"/>
    <w:rsid w:val="007A2F70"/>
    <w:rsid w:val="007A5158"/>
    <w:rsid w:val="007A6567"/>
    <w:rsid w:val="007B3219"/>
    <w:rsid w:val="007B4BF4"/>
    <w:rsid w:val="007B52F7"/>
    <w:rsid w:val="007B56F4"/>
    <w:rsid w:val="007C0355"/>
    <w:rsid w:val="007C1317"/>
    <w:rsid w:val="007C58F0"/>
    <w:rsid w:val="007D0FF6"/>
    <w:rsid w:val="007D38B5"/>
    <w:rsid w:val="007F51BE"/>
    <w:rsid w:val="007F5DBD"/>
    <w:rsid w:val="007F76AF"/>
    <w:rsid w:val="00804E15"/>
    <w:rsid w:val="00807255"/>
    <w:rsid w:val="0081023E"/>
    <w:rsid w:val="00811CB3"/>
    <w:rsid w:val="008145C2"/>
    <w:rsid w:val="008173AA"/>
    <w:rsid w:val="00836D77"/>
    <w:rsid w:val="00840A14"/>
    <w:rsid w:val="0085652B"/>
    <w:rsid w:val="008608EF"/>
    <w:rsid w:val="00861C0A"/>
    <w:rsid w:val="00872766"/>
    <w:rsid w:val="008732C2"/>
    <w:rsid w:val="00873B36"/>
    <w:rsid w:val="00881968"/>
    <w:rsid w:val="0088761A"/>
    <w:rsid w:val="008949E8"/>
    <w:rsid w:val="008A2DF6"/>
    <w:rsid w:val="008A6339"/>
    <w:rsid w:val="008B0F33"/>
    <w:rsid w:val="008B28E0"/>
    <w:rsid w:val="008B5DC3"/>
    <w:rsid w:val="008C4070"/>
    <w:rsid w:val="008C52CD"/>
    <w:rsid w:val="008C596F"/>
    <w:rsid w:val="008D2D7B"/>
    <w:rsid w:val="008D3558"/>
    <w:rsid w:val="008D3C20"/>
    <w:rsid w:val="008E0737"/>
    <w:rsid w:val="008E214A"/>
    <w:rsid w:val="008E4700"/>
    <w:rsid w:val="008F11F8"/>
    <w:rsid w:val="008F5460"/>
    <w:rsid w:val="008F632F"/>
    <w:rsid w:val="008F7C2C"/>
    <w:rsid w:val="009051A8"/>
    <w:rsid w:val="00913A28"/>
    <w:rsid w:val="00914FEB"/>
    <w:rsid w:val="00931FB9"/>
    <w:rsid w:val="0093280E"/>
    <w:rsid w:val="0093760E"/>
    <w:rsid w:val="00940E96"/>
    <w:rsid w:val="00943BE4"/>
    <w:rsid w:val="009514F5"/>
    <w:rsid w:val="00954127"/>
    <w:rsid w:val="009621DF"/>
    <w:rsid w:val="009629FF"/>
    <w:rsid w:val="009654EB"/>
    <w:rsid w:val="00975F3F"/>
    <w:rsid w:val="00985301"/>
    <w:rsid w:val="00986065"/>
    <w:rsid w:val="0098673B"/>
    <w:rsid w:val="00986D71"/>
    <w:rsid w:val="009A0155"/>
    <w:rsid w:val="009A08C0"/>
    <w:rsid w:val="009B0BAE"/>
    <w:rsid w:val="009B0F08"/>
    <w:rsid w:val="009B3E39"/>
    <w:rsid w:val="009B68BC"/>
    <w:rsid w:val="009B6D52"/>
    <w:rsid w:val="009B731D"/>
    <w:rsid w:val="009C0C9C"/>
    <w:rsid w:val="009C7AC2"/>
    <w:rsid w:val="009E08C6"/>
    <w:rsid w:val="009E7C5D"/>
    <w:rsid w:val="00A064C2"/>
    <w:rsid w:val="00A150AF"/>
    <w:rsid w:val="00A31E8E"/>
    <w:rsid w:val="00A34572"/>
    <w:rsid w:val="00A36BA5"/>
    <w:rsid w:val="00A52059"/>
    <w:rsid w:val="00A561DB"/>
    <w:rsid w:val="00A64526"/>
    <w:rsid w:val="00A64DB7"/>
    <w:rsid w:val="00A702D0"/>
    <w:rsid w:val="00A71773"/>
    <w:rsid w:val="00A80965"/>
    <w:rsid w:val="00A903E3"/>
    <w:rsid w:val="00A92C7C"/>
    <w:rsid w:val="00A95F0F"/>
    <w:rsid w:val="00AA19E8"/>
    <w:rsid w:val="00AA257B"/>
    <w:rsid w:val="00AA3091"/>
    <w:rsid w:val="00AA458C"/>
    <w:rsid w:val="00AB37C5"/>
    <w:rsid w:val="00AB4918"/>
    <w:rsid w:val="00AD2DC8"/>
    <w:rsid w:val="00AD5949"/>
    <w:rsid w:val="00AE2C85"/>
    <w:rsid w:val="00AF0C1A"/>
    <w:rsid w:val="00B036EC"/>
    <w:rsid w:val="00B052F3"/>
    <w:rsid w:val="00B05785"/>
    <w:rsid w:val="00B13F41"/>
    <w:rsid w:val="00B21ADD"/>
    <w:rsid w:val="00B301D4"/>
    <w:rsid w:val="00B3579C"/>
    <w:rsid w:val="00B36F5C"/>
    <w:rsid w:val="00B439C2"/>
    <w:rsid w:val="00B53AD7"/>
    <w:rsid w:val="00B547EE"/>
    <w:rsid w:val="00B63EF2"/>
    <w:rsid w:val="00B64B7B"/>
    <w:rsid w:val="00B66180"/>
    <w:rsid w:val="00B70B4A"/>
    <w:rsid w:val="00B824A4"/>
    <w:rsid w:val="00B85C69"/>
    <w:rsid w:val="00BA1343"/>
    <w:rsid w:val="00BB2190"/>
    <w:rsid w:val="00BB31E2"/>
    <w:rsid w:val="00BC0D39"/>
    <w:rsid w:val="00BC3BB3"/>
    <w:rsid w:val="00BC7392"/>
    <w:rsid w:val="00BC7BC0"/>
    <w:rsid w:val="00BD515D"/>
    <w:rsid w:val="00BD57B7"/>
    <w:rsid w:val="00BD7455"/>
    <w:rsid w:val="00BE63E2"/>
    <w:rsid w:val="00BE6A32"/>
    <w:rsid w:val="00BF51CC"/>
    <w:rsid w:val="00BF737F"/>
    <w:rsid w:val="00C01388"/>
    <w:rsid w:val="00C03686"/>
    <w:rsid w:val="00C078D4"/>
    <w:rsid w:val="00C2180C"/>
    <w:rsid w:val="00C31174"/>
    <w:rsid w:val="00C31D3C"/>
    <w:rsid w:val="00C37CE6"/>
    <w:rsid w:val="00C50904"/>
    <w:rsid w:val="00C555E8"/>
    <w:rsid w:val="00C63253"/>
    <w:rsid w:val="00C75D94"/>
    <w:rsid w:val="00C76CF6"/>
    <w:rsid w:val="00C856C1"/>
    <w:rsid w:val="00C9153A"/>
    <w:rsid w:val="00CB37D3"/>
    <w:rsid w:val="00CB6349"/>
    <w:rsid w:val="00CC024D"/>
    <w:rsid w:val="00CC041C"/>
    <w:rsid w:val="00CC1BF2"/>
    <w:rsid w:val="00CC1E10"/>
    <w:rsid w:val="00CC36EA"/>
    <w:rsid w:val="00CC4FBC"/>
    <w:rsid w:val="00CC6689"/>
    <w:rsid w:val="00CD1823"/>
    <w:rsid w:val="00CD68C1"/>
    <w:rsid w:val="00CE5BAE"/>
    <w:rsid w:val="00CF13C3"/>
    <w:rsid w:val="00CF629C"/>
    <w:rsid w:val="00D106DB"/>
    <w:rsid w:val="00D10E35"/>
    <w:rsid w:val="00D13ECF"/>
    <w:rsid w:val="00D327C4"/>
    <w:rsid w:val="00D3699D"/>
    <w:rsid w:val="00D43DA4"/>
    <w:rsid w:val="00D51A77"/>
    <w:rsid w:val="00D56917"/>
    <w:rsid w:val="00D73061"/>
    <w:rsid w:val="00D755DE"/>
    <w:rsid w:val="00D81752"/>
    <w:rsid w:val="00D943C0"/>
    <w:rsid w:val="00D95FDB"/>
    <w:rsid w:val="00DA2950"/>
    <w:rsid w:val="00DA30BA"/>
    <w:rsid w:val="00DA3D2A"/>
    <w:rsid w:val="00DA5D4E"/>
    <w:rsid w:val="00DA6B91"/>
    <w:rsid w:val="00DB2DE4"/>
    <w:rsid w:val="00DB633B"/>
    <w:rsid w:val="00DB6F2C"/>
    <w:rsid w:val="00DC7136"/>
    <w:rsid w:val="00DC7846"/>
    <w:rsid w:val="00DD5E5B"/>
    <w:rsid w:val="00E00F84"/>
    <w:rsid w:val="00E013AD"/>
    <w:rsid w:val="00E027A5"/>
    <w:rsid w:val="00E14BBD"/>
    <w:rsid w:val="00E170BA"/>
    <w:rsid w:val="00E176BA"/>
    <w:rsid w:val="00E30820"/>
    <w:rsid w:val="00E30BD9"/>
    <w:rsid w:val="00E423EC"/>
    <w:rsid w:val="00E44A02"/>
    <w:rsid w:val="00E4626E"/>
    <w:rsid w:val="00E6402F"/>
    <w:rsid w:val="00E721C7"/>
    <w:rsid w:val="00E815FF"/>
    <w:rsid w:val="00E903B7"/>
    <w:rsid w:val="00E93A84"/>
    <w:rsid w:val="00EA2A1C"/>
    <w:rsid w:val="00EC5E83"/>
    <w:rsid w:val="00ED4012"/>
    <w:rsid w:val="00ED7711"/>
    <w:rsid w:val="00EE62FF"/>
    <w:rsid w:val="00EF082A"/>
    <w:rsid w:val="00EF0CBC"/>
    <w:rsid w:val="00EF18A1"/>
    <w:rsid w:val="00EF398E"/>
    <w:rsid w:val="00EF5EC0"/>
    <w:rsid w:val="00F00BBD"/>
    <w:rsid w:val="00F14750"/>
    <w:rsid w:val="00F17EE9"/>
    <w:rsid w:val="00F32A91"/>
    <w:rsid w:val="00F35898"/>
    <w:rsid w:val="00F4315C"/>
    <w:rsid w:val="00F4665E"/>
    <w:rsid w:val="00F468E4"/>
    <w:rsid w:val="00F47204"/>
    <w:rsid w:val="00F5225B"/>
    <w:rsid w:val="00F5737D"/>
    <w:rsid w:val="00F60F11"/>
    <w:rsid w:val="00F63611"/>
    <w:rsid w:val="00F70D70"/>
    <w:rsid w:val="00F71C0B"/>
    <w:rsid w:val="00F7264A"/>
    <w:rsid w:val="00F726D7"/>
    <w:rsid w:val="00F8059B"/>
    <w:rsid w:val="00F850CE"/>
    <w:rsid w:val="00F85DAA"/>
    <w:rsid w:val="00F90867"/>
    <w:rsid w:val="00F933D5"/>
    <w:rsid w:val="00F944C7"/>
    <w:rsid w:val="00FA2A52"/>
    <w:rsid w:val="00FA71BA"/>
    <w:rsid w:val="00FB28E0"/>
    <w:rsid w:val="00FC4BA5"/>
    <w:rsid w:val="00FC5A45"/>
    <w:rsid w:val="00FD793B"/>
    <w:rsid w:val="00FE2760"/>
    <w:rsid w:val="00FE5701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6F30198"/>
  <w15:docId w15:val="{846E3EA7-6FE6-4562-B7AF-C7C02FE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36BA5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55EC2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A20E7"/>
    <w:pPr>
      <w:spacing w:before="24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13531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3531C"/>
    <w:pPr>
      <w:outlineLvl w:val="4"/>
    </w:pPr>
  </w:style>
  <w:style w:type="paragraph" w:styleId="Heading6">
    <w:name w:val="heading 6"/>
    <w:basedOn w:val="Heading4"/>
    <w:next w:val="Normal"/>
    <w:qFormat/>
    <w:rsid w:val="0013531C"/>
    <w:pPr>
      <w:outlineLvl w:val="5"/>
    </w:pPr>
  </w:style>
  <w:style w:type="paragraph" w:styleId="Heading7">
    <w:name w:val="heading 7"/>
    <w:basedOn w:val="Heading6"/>
    <w:next w:val="Normal"/>
    <w:qFormat/>
    <w:rsid w:val="0013531C"/>
    <w:pPr>
      <w:outlineLvl w:val="6"/>
    </w:pPr>
  </w:style>
  <w:style w:type="paragraph" w:styleId="Heading8">
    <w:name w:val="heading 8"/>
    <w:basedOn w:val="Heading6"/>
    <w:next w:val="Normal"/>
    <w:qFormat/>
    <w:rsid w:val="0013531C"/>
    <w:pPr>
      <w:outlineLvl w:val="7"/>
    </w:pPr>
  </w:style>
  <w:style w:type="paragraph" w:styleId="Heading9">
    <w:name w:val="heading 9"/>
    <w:basedOn w:val="Heading6"/>
    <w:next w:val="Normal"/>
    <w:qFormat/>
    <w:rsid w:val="001353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531C"/>
  </w:style>
  <w:style w:type="paragraph" w:styleId="TOC4">
    <w:name w:val="toc 4"/>
    <w:basedOn w:val="TOC3"/>
    <w:rsid w:val="0013531C"/>
    <w:pPr>
      <w:spacing w:before="80"/>
    </w:pPr>
  </w:style>
  <w:style w:type="paragraph" w:styleId="TOC3">
    <w:name w:val="toc 3"/>
    <w:basedOn w:val="TOC2"/>
    <w:rsid w:val="0013531C"/>
  </w:style>
  <w:style w:type="paragraph" w:styleId="TOC2">
    <w:name w:val="toc 2"/>
    <w:basedOn w:val="TOC1"/>
    <w:rsid w:val="0013531C"/>
    <w:pPr>
      <w:spacing w:before="160"/>
    </w:pPr>
  </w:style>
  <w:style w:type="paragraph" w:styleId="TOC1">
    <w:name w:val="toc 1"/>
    <w:basedOn w:val="Normal"/>
    <w:rsid w:val="0013531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3531C"/>
  </w:style>
  <w:style w:type="paragraph" w:styleId="TOC6">
    <w:name w:val="toc 6"/>
    <w:basedOn w:val="TOC4"/>
    <w:rsid w:val="0013531C"/>
  </w:style>
  <w:style w:type="paragraph" w:styleId="TOC5">
    <w:name w:val="toc 5"/>
    <w:basedOn w:val="TOC4"/>
    <w:rsid w:val="0013531C"/>
  </w:style>
  <w:style w:type="paragraph" w:styleId="Index7">
    <w:name w:val="index 7"/>
    <w:basedOn w:val="Normal"/>
    <w:next w:val="Normal"/>
    <w:rsid w:val="0013531C"/>
    <w:pPr>
      <w:ind w:left="1698"/>
    </w:pPr>
  </w:style>
  <w:style w:type="paragraph" w:styleId="Index6">
    <w:name w:val="index 6"/>
    <w:basedOn w:val="Normal"/>
    <w:next w:val="Normal"/>
    <w:rsid w:val="0013531C"/>
    <w:pPr>
      <w:ind w:left="1415"/>
    </w:pPr>
  </w:style>
  <w:style w:type="paragraph" w:styleId="Index5">
    <w:name w:val="index 5"/>
    <w:basedOn w:val="Normal"/>
    <w:next w:val="Normal"/>
    <w:rsid w:val="0013531C"/>
    <w:pPr>
      <w:ind w:left="1132"/>
    </w:pPr>
  </w:style>
  <w:style w:type="paragraph" w:styleId="Index4">
    <w:name w:val="index 4"/>
    <w:basedOn w:val="Normal"/>
    <w:next w:val="Normal"/>
    <w:rsid w:val="0013531C"/>
    <w:pPr>
      <w:ind w:left="849"/>
    </w:pPr>
  </w:style>
  <w:style w:type="paragraph" w:styleId="Index3">
    <w:name w:val="index 3"/>
    <w:basedOn w:val="Normal"/>
    <w:next w:val="Normal"/>
    <w:rsid w:val="0013531C"/>
    <w:pPr>
      <w:ind w:left="566"/>
    </w:pPr>
  </w:style>
  <w:style w:type="paragraph" w:styleId="Index2">
    <w:name w:val="index 2"/>
    <w:basedOn w:val="Normal"/>
    <w:next w:val="Normal"/>
    <w:rsid w:val="0013531C"/>
    <w:pPr>
      <w:ind w:left="283"/>
    </w:pPr>
  </w:style>
  <w:style w:type="paragraph" w:styleId="Index1">
    <w:name w:val="index 1"/>
    <w:basedOn w:val="Normal"/>
    <w:next w:val="Normal"/>
    <w:rsid w:val="0013531C"/>
  </w:style>
  <w:style w:type="character" w:styleId="LineNumber">
    <w:name w:val="line number"/>
    <w:basedOn w:val="DefaultParagraphFont"/>
    <w:rsid w:val="0013531C"/>
  </w:style>
  <w:style w:type="paragraph" w:styleId="IndexHeading">
    <w:name w:val="index heading"/>
    <w:basedOn w:val="Normal"/>
    <w:next w:val="Index1"/>
    <w:rsid w:val="0013531C"/>
  </w:style>
  <w:style w:type="paragraph" w:styleId="Footer">
    <w:name w:val="footer"/>
    <w:basedOn w:val="Normal"/>
    <w:link w:val="FooterChar"/>
    <w:rsid w:val="001353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13531C"/>
    <w:rPr>
      <w:position w:val="6"/>
      <w:sz w:val="16"/>
    </w:rPr>
  </w:style>
  <w:style w:type="paragraph" w:styleId="FootnoteText">
    <w:name w:val="footnote text"/>
    <w:basedOn w:val="Normal"/>
    <w:rsid w:val="004260B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3531C"/>
    <w:pPr>
      <w:ind w:left="794"/>
    </w:pPr>
  </w:style>
  <w:style w:type="paragraph" w:customStyle="1" w:styleId="enumlev1">
    <w:name w:val="enumlev1"/>
    <w:basedOn w:val="Normal"/>
    <w:rsid w:val="0013531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3531C"/>
    <w:pPr>
      <w:ind w:left="1191" w:hanging="397"/>
    </w:pPr>
  </w:style>
  <w:style w:type="paragraph" w:customStyle="1" w:styleId="enumlev3">
    <w:name w:val="enumlev3"/>
    <w:basedOn w:val="enumlev2"/>
    <w:rsid w:val="0013531C"/>
    <w:pPr>
      <w:ind w:left="1588"/>
    </w:pPr>
  </w:style>
  <w:style w:type="paragraph" w:customStyle="1" w:styleId="Normalaftertitle">
    <w:name w:val="Normal after title"/>
    <w:basedOn w:val="Normal"/>
    <w:next w:val="Normal"/>
    <w:rsid w:val="0013531C"/>
    <w:pPr>
      <w:spacing w:before="320"/>
    </w:pPr>
  </w:style>
  <w:style w:type="paragraph" w:customStyle="1" w:styleId="Equation">
    <w:name w:val="Equation"/>
    <w:basedOn w:val="Normal"/>
    <w:rsid w:val="0013531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3531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3531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3531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3531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3531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3531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3531C"/>
  </w:style>
  <w:style w:type="paragraph" w:customStyle="1" w:styleId="Data">
    <w:name w:val="Data"/>
    <w:basedOn w:val="Subject"/>
    <w:next w:val="Subject"/>
    <w:rsid w:val="0013531C"/>
  </w:style>
  <w:style w:type="paragraph" w:customStyle="1" w:styleId="Reasons">
    <w:name w:val="Reasons"/>
    <w:basedOn w:val="Normal"/>
    <w:qFormat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3531C"/>
    <w:rPr>
      <w:color w:val="0000FF"/>
      <w:u w:val="single"/>
    </w:rPr>
  </w:style>
  <w:style w:type="paragraph" w:customStyle="1" w:styleId="FirstFooter">
    <w:name w:val="FirstFooter"/>
    <w:basedOn w:val="Footer"/>
    <w:rsid w:val="0013531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3531C"/>
  </w:style>
  <w:style w:type="paragraph" w:customStyle="1" w:styleId="Headingb">
    <w:name w:val="Heading_b"/>
    <w:basedOn w:val="Heading3"/>
    <w:next w:val="Normal"/>
    <w:rsid w:val="00F468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13531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353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3531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531C"/>
    <w:rPr>
      <w:b/>
    </w:rPr>
  </w:style>
  <w:style w:type="paragraph" w:customStyle="1" w:styleId="dnum">
    <w:name w:val="dnum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353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353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3531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3531C"/>
  </w:style>
  <w:style w:type="paragraph" w:customStyle="1" w:styleId="Appendixtitle">
    <w:name w:val="Appendix_title"/>
    <w:basedOn w:val="Annextitle"/>
    <w:next w:val="Appendixref"/>
    <w:rsid w:val="0013531C"/>
  </w:style>
  <w:style w:type="paragraph" w:customStyle="1" w:styleId="Appendixref">
    <w:name w:val="Appendix_ref"/>
    <w:basedOn w:val="Annexref"/>
    <w:next w:val="Normalaftertitle"/>
    <w:rsid w:val="0013531C"/>
  </w:style>
  <w:style w:type="paragraph" w:customStyle="1" w:styleId="Call">
    <w:name w:val="Call"/>
    <w:basedOn w:val="Normal"/>
    <w:next w:val="Normal"/>
    <w:rsid w:val="0013531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3531C"/>
    <w:rPr>
      <w:vertAlign w:val="superscript"/>
    </w:rPr>
  </w:style>
  <w:style w:type="paragraph" w:customStyle="1" w:styleId="Equationlegend">
    <w:name w:val="Equation_legend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3531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3531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3531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3531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353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353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3531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3531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3531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3531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3531C"/>
  </w:style>
  <w:style w:type="paragraph" w:customStyle="1" w:styleId="Parttitle">
    <w:name w:val="Part_title"/>
    <w:basedOn w:val="Annextitle"/>
    <w:next w:val="Partref"/>
    <w:rsid w:val="0013531C"/>
  </w:style>
  <w:style w:type="paragraph" w:customStyle="1" w:styleId="Partref">
    <w:name w:val="Part_ref"/>
    <w:basedOn w:val="Annexref"/>
    <w:next w:val="Normalaftertitle"/>
    <w:rsid w:val="0013531C"/>
  </w:style>
  <w:style w:type="paragraph" w:customStyle="1" w:styleId="RecNo">
    <w:name w:val="Rec_No"/>
    <w:basedOn w:val="Normal"/>
    <w:next w:val="Rectitle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3531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3531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3531C"/>
  </w:style>
  <w:style w:type="paragraph" w:customStyle="1" w:styleId="QuestionNo">
    <w:name w:val="Question_No"/>
    <w:basedOn w:val="RecNo"/>
    <w:next w:val="Questiontitle"/>
    <w:rsid w:val="0013531C"/>
  </w:style>
  <w:style w:type="paragraph" w:customStyle="1" w:styleId="Questionref">
    <w:name w:val="Question_ref"/>
    <w:basedOn w:val="Recref"/>
    <w:next w:val="Questiondate"/>
    <w:rsid w:val="0013531C"/>
  </w:style>
  <w:style w:type="paragraph" w:customStyle="1" w:styleId="Questiontitle">
    <w:name w:val="Question_title"/>
    <w:basedOn w:val="Rectitle"/>
    <w:next w:val="Questionref"/>
    <w:rsid w:val="0013531C"/>
  </w:style>
  <w:style w:type="paragraph" w:customStyle="1" w:styleId="Reftext">
    <w:name w:val="Ref_text"/>
    <w:basedOn w:val="Normal"/>
    <w:rsid w:val="0013531C"/>
    <w:pPr>
      <w:ind w:left="794" w:hanging="794"/>
    </w:pPr>
  </w:style>
  <w:style w:type="paragraph" w:customStyle="1" w:styleId="Reftitle">
    <w:name w:val="Ref_title"/>
    <w:basedOn w:val="Normal"/>
    <w:next w:val="Reftext"/>
    <w:rsid w:val="0013531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3531C"/>
  </w:style>
  <w:style w:type="paragraph" w:customStyle="1" w:styleId="RepNo">
    <w:name w:val="Rep_No"/>
    <w:basedOn w:val="RecNo"/>
    <w:next w:val="Reptitle"/>
    <w:rsid w:val="0013531C"/>
  </w:style>
  <w:style w:type="paragraph" w:customStyle="1" w:styleId="Reptitle">
    <w:name w:val="Rep_title"/>
    <w:basedOn w:val="Rectitle"/>
    <w:next w:val="Repref"/>
    <w:rsid w:val="0013531C"/>
  </w:style>
  <w:style w:type="paragraph" w:customStyle="1" w:styleId="Repref">
    <w:name w:val="Rep_ref"/>
    <w:basedOn w:val="Recref"/>
    <w:next w:val="Repdate"/>
    <w:rsid w:val="0013531C"/>
  </w:style>
  <w:style w:type="paragraph" w:customStyle="1" w:styleId="Resdate">
    <w:name w:val="Res_date"/>
    <w:basedOn w:val="Recdate"/>
    <w:next w:val="Normalaftertitle"/>
    <w:rsid w:val="0013531C"/>
  </w:style>
  <w:style w:type="paragraph" w:customStyle="1" w:styleId="ResNo">
    <w:name w:val="Res_No"/>
    <w:basedOn w:val="RecNo"/>
    <w:next w:val="Restitle"/>
    <w:rsid w:val="0013531C"/>
  </w:style>
  <w:style w:type="paragraph" w:customStyle="1" w:styleId="Restitle">
    <w:name w:val="Res_title"/>
    <w:basedOn w:val="Rectitle"/>
    <w:next w:val="Resref"/>
    <w:rsid w:val="0013531C"/>
  </w:style>
  <w:style w:type="paragraph" w:customStyle="1" w:styleId="Resref">
    <w:name w:val="Res_ref"/>
    <w:basedOn w:val="Recref"/>
    <w:next w:val="Resdate"/>
    <w:rsid w:val="0013531C"/>
  </w:style>
  <w:style w:type="paragraph" w:customStyle="1" w:styleId="SectionNo">
    <w:name w:val="Section_No"/>
    <w:basedOn w:val="AnnexNo"/>
    <w:next w:val="Sectiontitle"/>
    <w:rsid w:val="0013531C"/>
  </w:style>
  <w:style w:type="paragraph" w:customStyle="1" w:styleId="Sectiontitle">
    <w:name w:val="Section_title"/>
    <w:basedOn w:val="Normal"/>
    <w:next w:val="Normalaftertitle"/>
    <w:rsid w:val="0013531C"/>
    <w:rPr>
      <w:sz w:val="26"/>
    </w:rPr>
  </w:style>
  <w:style w:type="paragraph" w:customStyle="1" w:styleId="SpecialFooter">
    <w:name w:val="Special Footer"/>
    <w:basedOn w:val="Footer"/>
    <w:rsid w:val="001353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3531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3531C"/>
    <w:pPr>
      <w:spacing w:before="120"/>
    </w:pPr>
  </w:style>
  <w:style w:type="paragraph" w:customStyle="1" w:styleId="Tableref">
    <w:name w:val="Table_ref"/>
    <w:basedOn w:val="Normal"/>
    <w:next w:val="Tabletitle"/>
    <w:rsid w:val="0013531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3531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531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3531C"/>
    <w:rPr>
      <w:b/>
    </w:rPr>
  </w:style>
  <w:style w:type="paragraph" w:customStyle="1" w:styleId="Chaptitle">
    <w:name w:val="Chap_title"/>
    <w:basedOn w:val="Arttitle"/>
    <w:next w:val="Normalaftertitle"/>
    <w:rsid w:val="0013531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90E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90ED4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A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3531C"/>
    <w:rPr>
      <w:rFonts w:ascii="Calibri" w:hAnsi="Calibri"/>
      <w:caps/>
      <w:noProof/>
      <w:sz w:val="16"/>
      <w:lang w:val="fr-FR" w:eastAsia="en-US"/>
    </w:rPr>
  </w:style>
  <w:style w:type="paragraph" w:customStyle="1" w:styleId="BodyA">
    <w:name w:val="Body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086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0867"/>
    <w:rPr>
      <w:rFonts w:ascii="Courier New" w:hAnsi="Courier New" w:cs="Courier New"/>
      <w:lang w:val="en-GB" w:eastAsia="en-GB"/>
    </w:rPr>
  </w:style>
  <w:style w:type="table" w:styleId="TableGrid">
    <w:name w:val="Table Grid"/>
    <w:basedOn w:val="TableNormal"/>
    <w:uiPriority w:val="39"/>
    <w:rsid w:val="00F90867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E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-C-0015/e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ФАКТИЧЕСКИЕ ОБЯЗАТЕЛЬСТВА</a:t>
            </a:r>
            <a:r>
              <a:rPr lang="ru-RU" sz="1100" b="1" baseline="0">
                <a:solidFill>
                  <a:sysClr val="windowText" lastClr="000000"/>
                </a:solidFill>
              </a:rPr>
              <a:t> ПРОТИВ ПЛАНИРУЕМЫХ ОБЯЗАТЕЛЬСТВ</a:t>
            </a:r>
            <a:endParaRPr lang="fr-CH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5656725436896072"/>
          <c:y val="1.4822134387351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179480828640183"/>
          <c:y val="5.2589057282033454E-2"/>
          <c:w val="0.82701415732870032"/>
          <c:h val="0.7810190945000143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Sheet1!$A$5</c:f>
              <c:strCache>
                <c:ptCount val="1"/>
                <c:pt idx="0">
                  <c:v>Планируемые ежемесячные расходы (тыс. шв. фр.)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Sheet1!$B$3:$AE$3</c:f>
              <c:strCache>
                <c:ptCount val="30"/>
                <c:pt idx="0">
                  <c:v>Июль-19</c:v>
                </c:pt>
                <c:pt idx="1">
                  <c:v>Авг.-19</c:v>
                </c:pt>
                <c:pt idx="2">
                  <c:v>Сент.-19</c:v>
                </c:pt>
                <c:pt idx="3">
                  <c:v>Окт.-19</c:v>
                </c:pt>
                <c:pt idx="4">
                  <c:v>Нояб.-19</c:v>
                </c:pt>
                <c:pt idx="5">
                  <c:v>Дек.-19</c:v>
                </c:pt>
                <c:pt idx="6">
                  <c:v>Янв.-20</c:v>
                </c:pt>
                <c:pt idx="7">
                  <c:v>Февр.-20</c:v>
                </c:pt>
                <c:pt idx="8">
                  <c:v>Март-20</c:v>
                </c:pt>
                <c:pt idx="9">
                  <c:v>Апр.-20</c:v>
                </c:pt>
                <c:pt idx="10">
                  <c:v>Май-20</c:v>
                </c:pt>
                <c:pt idx="11">
                  <c:v>Июнь-20</c:v>
                </c:pt>
                <c:pt idx="12">
                  <c:v>Июль-20</c:v>
                </c:pt>
                <c:pt idx="13">
                  <c:v>Авг.-20</c:v>
                </c:pt>
                <c:pt idx="14">
                  <c:v>Сент.-20</c:v>
                </c:pt>
                <c:pt idx="15">
                  <c:v>Окт.-20</c:v>
                </c:pt>
                <c:pt idx="16">
                  <c:v>Нояб.-20</c:v>
                </c:pt>
                <c:pt idx="17">
                  <c:v>Дек.-20</c:v>
                </c:pt>
                <c:pt idx="18">
                  <c:v>Янв.-21</c:v>
                </c:pt>
                <c:pt idx="19">
                  <c:v>Февр.-21</c:v>
                </c:pt>
                <c:pt idx="20">
                  <c:v>Март-21</c:v>
                </c:pt>
                <c:pt idx="21">
                  <c:v>Апр.-21</c:v>
                </c:pt>
                <c:pt idx="22">
                  <c:v>Май-21</c:v>
                </c:pt>
                <c:pt idx="23">
                  <c:v>Июнь-21</c:v>
                </c:pt>
                <c:pt idx="24">
                  <c:v>Июль-21</c:v>
                </c:pt>
                <c:pt idx="25">
                  <c:v>Авг.-21</c:v>
                </c:pt>
                <c:pt idx="26">
                  <c:v>Сент.-21</c:v>
                </c:pt>
                <c:pt idx="27">
                  <c:v>Окт.-21</c:v>
                </c:pt>
                <c:pt idx="28">
                  <c:v>Нояб.-21</c:v>
                </c:pt>
                <c:pt idx="29">
                  <c:v>Дек.-21</c:v>
                </c:pt>
              </c:strCache>
            </c:strRef>
          </c:cat>
          <c:val>
            <c:numRef>
              <c:f>Sheet1!$B$5:$AE$5</c:f>
              <c:numCache>
                <c:formatCode>#,##0_ ;\-#,##0\ </c:formatCode>
                <c:ptCount val="30"/>
                <c:pt idx="0">
                  <c:v>2.4247800000000201</c:v>
                </c:pt>
                <c:pt idx="1">
                  <c:v>427.82420000000002</c:v>
                </c:pt>
                <c:pt idx="2">
                  <c:v>493.16217</c:v>
                </c:pt>
                <c:pt idx="3">
                  <c:v>157.59156999999999</c:v>
                </c:pt>
                <c:pt idx="4">
                  <c:v>511.63555000000002</c:v>
                </c:pt>
                <c:pt idx="5">
                  <c:v>86.61345</c:v>
                </c:pt>
                <c:pt idx="6">
                  <c:v>94.013450000000006</c:v>
                </c:pt>
                <c:pt idx="7">
                  <c:v>918.11913000000004</c:v>
                </c:pt>
                <c:pt idx="8">
                  <c:v>65.617500000000007</c:v>
                </c:pt>
                <c:pt idx="9">
                  <c:v>65.597499999999997</c:v>
                </c:pt>
                <c:pt idx="10">
                  <c:v>909.92012999999997</c:v>
                </c:pt>
                <c:pt idx="11">
                  <c:v>65.597499999999997</c:v>
                </c:pt>
                <c:pt idx="12">
                  <c:v>65.597499999999997</c:v>
                </c:pt>
                <c:pt idx="13">
                  <c:v>909.92012999999997</c:v>
                </c:pt>
                <c:pt idx="14">
                  <c:v>65.597499999999997</c:v>
                </c:pt>
                <c:pt idx="15">
                  <c:v>65.597499999999997</c:v>
                </c:pt>
                <c:pt idx="16">
                  <c:v>909.92012999999997</c:v>
                </c:pt>
                <c:pt idx="17">
                  <c:v>65.597499999999997</c:v>
                </c:pt>
                <c:pt idx="18">
                  <c:v>65.597499999999997</c:v>
                </c:pt>
                <c:pt idx="19">
                  <c:v>914.72080000000005</c:v>
                </c:pt>
                <c:pt idx="20">
                  <c:v>70.398169999999993</c:v>
                </c:pt>
                <c:pt idx="21">
                  <c:v>70.398169999999993</c:v>
                </c:pt>
                <c:pt idx="22">
                  <c:v>1944.0487600000001</c:v>
                </c:pt>
                <c:pt idx="23">
                  <c:v>70.398169999999993</c:v>
                </c:pt>
                <c:pt idx="24">
                  <c:v>70.398169999999993</c:v>
                </c:pt>
                <c:pt idx="25">
                  <c:v>772.44957999999997</c:v>
                </c:pt>
                <c:pt idx="26">
                  <c:v>70.398169999999993</c:v>
                </c:pt>
                <c:pt idx="27">
                  <c:v>70.398169999999993</c:v>
                </c:pt>
                <c:pt idx="28">
                  <c:v>772.44957999999997</c:v>
                </c:pt>
                <c:pt idx="29">
                  <c:v>70.398169999999993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11-47F6-8B15-258D1CEDEF54}"/>
            </c:ext>
          </c:extLst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Фактические ежемесячные расходы (тыс. шв. фр.)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Sheet1!$B$3:$AE$3</c:f>
              <c:strCache>
                <c:ptCount val="30"/>
                <c:pt idx="0">
                  <c:v>Июль-19</c:v>
                </c:pt>
                <c:pt idx="1">
                  <c:v>Авг.-19</c:v>
                </c:pt>
                <c:pt idx="2">
                  <c:v>Сент.-19</c:v>
                </c:pt>
                <c:pt idx="3">
                  <c:v>Окт.-19</c:v>
                </c:pt>
                <c:pt idx="4">
                  <c:v>Нояб.-19</c:v>
                </c:pt>
                <c:pt idx="5">
                  <c:v>Дек.-19</c:v>
                </c:pt>
                <c:pt idx="6">
                  <c:v>Янв.-20</c:v>
                </c:pt>
                <c:pt idx="7">
                  <c:v>Февр.-20</c:v>
                </c:pt>
                <c:pt idx="8">
                  <c:v>Март-20</c:v>
                </c:pt>
                <c:pt idx="9">
                  <c:v>Апр.-20</c:v>
                </c:pt>
                <c:pt idx="10">
                  <c:v>Май-20</c:v>
                </c:pt>
                <c:pt idx="11">
                  <c:v>Июнь-20</c:v>
                </c:pt>
                <c:pt idx="12">
                  <c:v>Июль-20</c:v>
                </c:pt>
                <c:pt idx="13">
                  <c:v>Авг.-20</c:v>
                </c:pt>
                <c:pt idx="14">
                  <c:v>Сент.-20</c:v>
                </c:pt>
                <c:pt idx="15">
                  <c:v>Окт.-20</c:v>
                </c:pt>
                <c:pt idx="16">
                  <c:v>Нояб.-20</c:v>
                </c:pt>
                <c:pt idx="17">
                  <c:v>Дек.-20</c:v>
                </c:pt>
                <c:pt idx="18">
                  <c:v>Янв.-21</c:v>
                </c:pt>
                <c:pt idx="19">
                  <c:v>Февр.-21</c:v>
                </c:pt>
                <c:pt idx="20">
                  <c:v>Март-21</c:v>
                </c:pt>
                <c:pt idx="21">
                  <c:v>Апр.-21</c:v>
                </c:pt>
                <c:pt idx="22">
                  <c:v>Май-21</c:v>
                </c:pt>
                <c:pt idx="23">
                  <c:v>Июнь-21</c:v>
                </c:pt>
                <c:pt idx="24">
                  <c:v>Июль-21</c:v>
                </c:pt>
                <c:pt idx="25">
                  <c:v>Авг.-21</c:v>
                </c:pt>
                <c:pt idx="26">
                  <c:v>Сент.-21</c:v>
                </c:pt>
                <c:pt idx="27">
                  <c:v>Окт.-21</c:v>
                </c:pt>
                <c:pt idx="28">
                  <c:v>Нояб.-21</c:v>
                </c:pt>
                <c:pt idx="29">
                  <c:v>Дек.-21</c:v>
                </c:pt>
              </c:strCache>
            </c:strRef>
          </c:cat>
          <c:val>
            <c:numRef>
              <c:f>Sheet1!$B$6:$AE$6</c:f>
              <c:numCache>
                <c:formatCode>#,##0_ ;\-#,##0\ </c:formatCode>
                <c:ptCount val="30"/>
                <c:pt idx="0">
                  <c:v>2.4247800000000201</c:v>
                </c:pt>
                <c:pt idx="1">
                  <c:v>427.82420000000002</c:v>
                </c:pt>
                <c:pt idx="2">
                  <c:v>493.16217</c:v>
                </c:pt>
                <c:pt idx="3">
                  <c:v>157.59156999999999</c:v>
                </c:pt>
                <c:pt idx="4">
                  <c:v>511.63555000000002</c:v>
                </c:pt>
                <c:pt idx="5">
                  <c:v>86.61345</c:v>
                </c:pt>
                <c:pt idx="6">
                  <c:v>86.61345</c:v>
                </c:pt>
                <c:pt idx="7">
                  <c:v>918.11913000000004</c:v>
                </c:pt>
                <c:pt idx="8">
                  <c:v>65.617500000000007</c:v>
                </c:pt>
                <c:pt idx="9">
                  <c:v>65.597499999999997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11-47F6-8B15-258D1CEDE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3792632"/>
        <c:axId val="533777872"/>
      </c:barChart>
      <c:lineChart>
        <c:grouping val="standard"/>
        <c:varyColors val="0"/>
        <c:ser>
          <c:idx val="3"/>
          <c:order val="3"/>
          <c:tx>
            <c:strRef>
              <c:f>Sheet1!$A$7</c:f>
              <c:strCache>
                <c:ptCount val="1"/>
                <c:pt idx="0">
                  <c:v>Планируемые совокупные расходы (тыс. шв. фр.)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Sheet1!$B$3:$AE$3</c:f>
              <c:strCache>
                <c:ptCount val="30"/>
                <c:pt idx="0">
                  <c:v>Июль-19</c:v>
                </c:pt>
                <c:pt idx="1">
                  <c:v>Авг.-19</c:v>
                </c:pt>
                <c:pt idx="2">
                  <c:v>Сент.-19</c:v>
                </c:pt>
                <c:pt idx="3">
                  <c:v>Окт.-19</c:v>
                </c:pt>
                <c:pt idx="4">
                  <c:v>Нояб.-19</c:v>
                </c:pt>
                <c:pt idx="5">
                  <c:v>Дек.-19</c:v>
                </c:pt>
                <c:pt idx="6">
                  <c:v>Янв.-20</c:v>
                </c:pt>
                <c:pt idx="7">
                  <c:v>Февр.-20</c:v>
                </c:pt>
                <c:pt idx="8">
                  <c:v>Март-20</c:v>
                </c:pt>
                <c:pt idx="9">
                  <c:v>Апр.-20</c:v>
                </c:pt>
                <c:pt idx="10">
                  <c:v>Май-20</c:v>
                </c:pt>
                <c:pt idx="11">
                  <c:v>Июнь-20</c:v>
                </c:pt>
                <c:pt idx="12">
                  <c:v>Июль-20</c:v>
                </c:pt>
                <c:pt idx="13">
                  <c:v>Авг.-20</c:v>
                </c:pt>
                <c:pt idx="14">
                  <c:v>Сент.-20</c:v>
                </c:pt>
                <c:pt idx="15">
                  <c:v>Окт.-20</c:v>
                </c:pt>
                <c:pt idx="16">
                  <c:v>Нояб.-20</c:v>
                </c:pt>
                <c:pt idx="17">
                  <c:v>Дек.-20</c:v>
                </c:pt>
                <c:pt idx="18">
                  <c:v>Янв.-21</c:v>
                </c:pt>
                <c:pt idx="19">
                  <c:v>Февр.-21</c:v>
                </c:pt>
                <c:pt idx="20">
                  <c:v>Март-21</c:v>
                </c:pt>
                <c:pt idx="21">
                  <c:v>Апр.-21</c:v>
                </c:pt>
                <c:pt idx="22">
                  <c:v>Май-21</c:v>
                </c:pt>
                <c:pt idx="23">
                  <c:v>Июнь-21</c:v>
                </c:pt>
                <c:pt idx="24">
                  <c:v>Июль-21</c:v>
                </c:pt>
                <c:pt idx="25">
                  <c:v>Авг.-21</c:v>
                </c:pt>
                <c:pt idx="26">
                  <c:v>Сент.-21</c:v>
                </c:pt>
                <c:pt idx="27">
                  <c:v>Окт.-21</c:v>
                </c:pt>
                <c:pt idx="28">
                  <c:v>Нояб.-21</c:v>
                </c:pt>
                <c:pt idx="29">
                  <c:v>Дек.-21</c:v>
                </c:pt>
              </c:strCache>
            </c:strRef>
          </c:cat>
          <c:val>
            <c:numRef>
              <c:f>Sheet1!$B$7:$AE$7</c:f>
              <c:numCache>
                <c:formatCode>#,##0_ ;\-#,##0\ </c:formatCode>
                <c:ptCount val="30"/>
                <c:pt idx="0">
                  <c:v>3095.3897400000005</c:v>
                </c:pt>
                <c:pt idx="1">
                  <c:v>3523.2139400000005</c:v>
                </c:pt>
                <c:pt idx="2">
                  <c:v>4016.3761100000006</c:v>
                </c:pt>
                <c:pt idx="3">
                  <c:v>4173.9676800000007</c:v>
                </c:pt>
                <c:pt idx="4">
                  <c:v>4685.6032300000006</c:v>
                </c:pt>
                <c:pt idx="5">
                  <c:v>4772.2166800000005</c:v>
                </c:pt>
                <c:pt idx="6">
                  <c:v>4866.2301300000008</c:v>
                </c:pt>
                <c:pt idx="7">
                  <c:v>5784.3492600000009</c:v>
                </c:pt>
                <c:pt idx="8">
                  <c:v>5849.9667600000012</c:v>
                </c:pt>
                <c:pt idx="9">
                  <c:v>5915.564260000001</c:v>
                </c:pt>
                <c:pt idx="10">
                  <c:v>6825.4843900000014</c:v>
                </c:pt>
                <c:pt idx="11">
                  <c:v>6891.0818900000013</c:v>
                </c:pt>
                <c:pt idx="12">
                  <c:v>6956.6793900000011</c:v>
                </c:pt>
                <c:pt idx="13">
                  <c:v>7866.5995200000016</c:v>
                </c:pt>
                <c:pt idx="14">
                  <c:v>7932.1970200000014</c:v>
                </c:pt>
                <c:pt idx="15">
                  <c:v>7997.7945200000013</c:v>
                </c:pt>
                <c:pt idx="16">
                  <c:v>8907.7146500000017</c:v>
                </c:pt>
                <c:pt idx="17">
                  <c:v>8973.3121500000016</c:v>
                </c:pt>
                <c:pt idx="18">
                  <c:v>9038.9096500000014</c:v>
                </c:pt>
                <c:pt idx="19">
                  <c:v>9953.6304500000006</c:v>
                </c:pt>
                <c:pt idx="20">
                  <c:v>10024.028620000001</c:v>
                </c:pt>
                <c:pt idx="21">
                  <c:v>10094.426790000001</c:v>
                </c:pt>
                <c:pt idx="22">
                  <c:v>12038.475550000001</c:v>
                </c:pt>
                <c:pt idx="23">
                  <c:v>12108.873720000001</c:v>
                </c:pt>
                <c:pt idx="24">
                  <c:v>12179.271890000002</c:v>
                </c:pt>
                <c:pt idx="25">
                  <c:v>12951.721470000002</c:v>
                </c:pt>
                <c:pt idx="26">
                  <c:v>13022.119640000003</c:v>
                </c:pt>
                <c:pt idx="27">
                  <c:v>13092.517810000003</c:v>
                </c:pt>
                <c:pt idx="28">
                  <c:v>13864.967390000003</c:v>
                </c:pt>
                <c:pt idx="29">
                  <c:v>13935.365560000004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11-47F6-8B15-258D1CEDEF54}"/>
            </c:ext>
          </c:extLst>
        </c:ser>
        <c:ser>
          <c:idx val="4"/>
          <c:order val="4"/>
          <c:tx>
            <c:strRef>
              <c:f>Sheet1!$A$8</c:f>
              <c:strCache>
                <c:ptCount val="1"/>
                <c:pt idx="0">
                  <c:v>Фактические совокупные расходы (тыс. шв. фр.)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38100" cap="rnd">
                <a:solidFill>
                  <a:srgbClr val="C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E011-47F6-8B15-258D1CEDEF54}"/>
              </c:ext>
            </c:extLst>
          </c:dPt>
          <c:cat>
            <c:strRef>
              <c:f>Sheet1!$B$3:$AE$3</c:f>
              <c:strCache>
                <c:ptCount val="30"/>
                <c:pt idx="0">
                  <c:v>Июль-19</c:v>
                </c:pt>
                <c:pt idx="1">
                  <c:v>Авг.-19</c:v>
                </c:pt>
                <c:pt idx="2">
                  <c:v>Сент.-19</c:v>
                </c:pt>
                <c:pt idx="3">
                  <c:v>Окт.-19</c:v>
                </c:pt>
                <c:pt idx="4">
                  <c:v>Нояб.-19</c:v>
                </c:pt>
                <c:pt idx="5">
                  <c:v>Дек.-19</c:v>
                </c:pt>
                <c:pt idx="6">
                  <c:v>Янв.-20</c:v>
                </c:pt>
                <c:pt idx="7">
                  <c:v>Февр.-20</c:v>
                </c:pt>
                <c:pt idx="8">
                  <c:v>Март-20</c:v>
                </c:pt>
                <c:pt idx="9">
                  <c:v>Апр.-20</c:v>
                </c:pt>
                <c:pt idx="10">
                  <c:v>Май-20</c:v>
                </c:pt>
                <c:pt idx="11">
                  <c:v>Июнь-20</c:v>
                </c:pt>
                <c:pt idx="12">
                  <c:v>Июль-20</c:v>
                </c:pt>
                <c:pt idx="13">
                  <c:v>Авг.-20</c:v>
                </c:pt>
                <c:pt idx="14">
                  <c:v>Сент.-20</c:v>
                </c:pt>
                <c:pt idx="15">
                  <c:v>Окт.-20</c:v>
                </c:pt>
                <c:pt idx="16">
                  <c:v>Нояб.-20</c:v>
                </c:pt>
                <c:pt idx="17">
                  <c:v>Дек.-20</c:v>
                </c:pt>
                <c:pt idx="18">
                  <c:v>Янв.-21</c:v>
                </c:pt>
                <c:pt idx="19">
                  <c:v>Февр.-21</c:v>
                </c:pt>
                <c:pt idx="20">
                  <c:v>Март-21</c:v>
                </c:pt>
                <c:pt idx="21">
                  <c:v>Апр.-21</c:v>
                </c:pt>
                <c:pt idx="22">
                  <c:v>Май-21</c:v>
                </c:pt>
                <c:pt idx="23">
                  <c:v>Июнь-21</c:v>
                </c:pt>
                <c:pt idx="24">
                  <c:v>Июль-21</c:v>
                </c:pt>
                <c:pt idx="25">
                  <c:v>Авг.-21</c:v>
                </c:pt>
                <c:pt idx="26">
                  <c:v>Сент.-21</c:v>
                </c:pt>
                <c:pt idx="27">
                  <c:v>Окт.-21</c:v>
                </c:pt>
                <c:pt idx="28">
                  <c:v>Нояб.-21</c:v>
                </c:pt>
                <c:pt idx="29">
                  <c:v>Дек.-21</c:v>
                </c:pt>
              </c:strCache>
            </c:strRef>
          </c:cat>
          <c:val>
            <c:numRef>
              <c:f>Sheet1!$B$8:$AE$8</c:f>
              <c:numCache>
                <c:formatCode>#,##0_ ;\-#,##0\ </c:formatCode>
                <c:ptCount val="30"/>
                <c:pt idx="0">
                  <c:v>3095.3897400000005</c:v>
                </c:pt>
                <c:pt idx="1">
                  <c:v>3523.2139400000005</c:v>
                </c:pt>
                <c:pt idx="2">
                  <c:v>4016.3761100000006</c:v>
                </c:pt>
                <c:pt idx="3">
                  <c:v>4173.9676800000007</c:v>
                </c:pt>
                <c:pt idx="4">
                  <c:v>4685.6032300000006</c:v>
                </c:pt>
                <c:pt idx="5">
                  <c:v>4772.2166800000005</c:v>
                </c:pt>
                <c:pt idx="6">
                  <c:v>4858.8301300000003</c:v>
                </c:pt>
                <c:pt idx="7">
                  <c:v>5776.9492600000003</c:v>
                </c:pt>
                <c:pt idx="8">
                  <c:v>5842.5667600000006</c:v>
                </c:pt>
                <c:pt idx="9">
                  <c:v>5908.1642600000005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011-47F6-8B15-258D1CEDEF54}"/>
            </c:ext>
          </c:extLst>
        </c:ser>
        <c:ser>
          <c:idx val="6"/>
          <c:order val="6"/>
          <c:tx>
            <c:strRef>
              <c:f>Sheet1!$A$10</c:f>
              <c:strCache>
                <c:ptCount val="1"/>
                <c:pt idx="0">
                  <c:v>Резерв средств на покрытие непредвиденных расходов (тыс. шв. фр.)</c:v>
                </c:pt>
              </c:strCache>
            </c:strRef>
          </c:tx>
          <c:spPr>
            <a:ln w="508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6-E011-47F6-8B15-258D1CEDEF54}"/>
              </c:ext>
            </c:extLst>
          </c:dPt>
          <c:dLbls>
            <c:dLbl>
              <c:idx val="3"/>
              <c:layout>
                <c:manualLayout>
                  <c:x val="-3.4326460828326508E-2"/>
                  <c:y val="5.9372970979544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11-47F6-8B15-258D1CEDEF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19050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Sheet1!$B$3:$AE$3</c:f>
              <c:strCache>
                <c:ptCount val="30"/>
                <c:pt idx="0">
                  <c:v>Июль-19</c:v>
                </c:pt>
                <c:pt idx="1">
                  <c:v>Авг.-19</c:v>
                </c:pt>
                <c:pt idx="2">
                  <c:v>Сент.-19</c:v>
                </c:pt>
                <c:pt idx="3">
                  <c:v>Окт.-19</c:v>
                </c:pt>
                <c:pt idx="4">
                  <c:v>Нояб.-19</c:v>
                </c:pt>
                <c:pt idx="5">
                  <c:v>Дек.-19</c:v>
                </c:pt>
                <c:pt idx="6">
                  <c:v>Янв.-20</c:v>
                </c:pt>
                <c:pt idx="7">
                  <c:v>Февр.-20</c:v>
                </c:pt>
                <c:pt idx="8">
                  <c:v>Март-20</c:v>
                </c:pt>
                <c:pt idx="9">
                  <c:v>Апр.-20</c:v>
                </c:pt>
                <c:pt idx="10">
                  <c:v>Май-20</c:v>
                </c:pt>
                <c:pt idx="11">
                  <c:v>Июнь-20</c:v>
                </c:pt>
                <c:pt idx="12">
                  <c:v>Июль-20</c:v>
                </c:pt>
                <c:pt idx="13">
                  <c:v>Авг.-20</c:v>
                </c:pt>
                <c:pt idx="14">
                  <c:v>Сент.-20</c:v>
                </c:pt>
                <c:pt idx="15">
                  <c:v>Окт.-20</c:v>
                </c:pt>
                <c:pt idx="16">
                  <c:v>Нояб.-20</c:v>
                </c:pt>
                <c:pt idx="17">
                  <c:v>Дек.-20</c:v>
                </c:pt>
                <c:pt idx="18">
                  <c:v>Янв.-21</c:v>
                </c:pt>
                <c:pt idx="19">
                  <c:v>Февр.-21</c:v>
                </c:pt>
                <c:pt idx="20">
                  <c:v>Март-21</c:v>
                </c:pt>
                <c:pt idx="21">
                  <c:v>Апр.-21</c:v>
                </c:pt>
                <c:pt idx="22">
                  <c:v>Май-21</c:v>
                </c:pt>
                <c:pt idx="23">
                  <c:v>Июнь-21</c:v>
                </c:pt>
                <c:pt idx="24">
                  <c:v>Июль-21</c:v>
                </c:pt>
                <c:pt idx="25">
                  <c:v>Авг.-21</c:v>
                </c:pt>
                <c:pt idx="26">
                  <c:v>Сент.-21</c:v>
                </c:pt>
                <c:pt idx="27">
                  <c:v>Окт.-21</c:v>
                </c:pt>
                <c:pt idx="28">
                  <c:v>Нояб.-21</c:v>
                </c:pt>
                <c:pt idx="29">
                  <c:v>Дек.-21</c:v>
                </c:pt>
              </c:strCache>
            </c:strRef>
          </c:cat>
          <c:val>
            <c:numRef>
              <c:f>Sheet1!$B$10:$AE$10</c:f>
              <c:numCache>
                <c:formatCode>#,##0_ ;\-#,##0\ </c:formatCode>
                <c:ptCount val="30"/>
                <c:pt idx="0">
                  <c:v>12600</c:v>
                </c:pt>
                <c:pt idx="1">
                  <c:v>12600</c:v>
                </c:pt>
                <c:pt idx="2">
                  <c:v>12600</c:v>
                </c:pt>
                <c:pt idx="3">
                  <c:v>12600</c:v>
                </c:pt>
                <c:pt idx="4">
                  <c:v>12600</c:v>
                </c:pt>
                <c:pt idx="5">
                  <c:v>12600</c:v>
                </c:pt>
                <c:pt idx="6">
                  <c:v>12600</c:v>
                </c:pt>
                <c:pt idx="7">
                  <c:v>12600</c:v>
                </c:pt>
                <c:pt idx="8">
                  <c:v>12600</c:v>
                </c:pt>
                <c:pt idx="9">
                  <c:v>12600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011-47F6-8B15-258D1CEDEF54}"/>
            </c:ext>
          </c:extLst>
        </c:ser>
        <c:ser>
          <c:idx val="5"/>
          <c:order val="5"/>
          <c:tx>
            <c:strRef>
              <c:f>Sheet1!$A$9</c:f>
              <c:strCache>
                <c:ptCount val="1"/>
                <c:pt idx="0">
                  <c:v>Примерная стоимость рисков (тыс. шв. фр.)</c:v>
                </c:pt>
              </c:strCache>
            </c:strRef>
          </c:tx>
          <c:spPr>
            <a:ln w="28575" cap="rnd">
              <a:solidFill>
                <a:schemeClr val="tx1">
                  <a:lumMod val="95000"/>
                  <a:lumOff val="5000"/>
                </a:schemeClr>
              </a:solidFill>
              <a:prstDash val="lgDash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011-47F6-8B15-258D1CEDEF5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011-47F6-8B15-258D1CEDEF5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011-47F6-8B15-258D1CEDEF54}"/>
                </c:ext>
              </c:extLst>
            </c:dLbl>
            <c:dLbl>
              <c:idx val="3"/>
              <c:layout>
                <c:manualLayout>
                  <c:x val="2.590899138904908E-2"/>
                  <c:y val="-7.732293895010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011-47F6-8B15-258D1CEDEF54}"/>
                </c:ext>
              </c:extLst>
            </c:dLbl>
            <c:dLbl>
              <c:idx val="4"/>
              <c:layout>
                <c:manualLayout>
                  <c:x val="2.8722477180513475E-2"/>
                  <c:y val="-3.5899935941119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011-47F6-8B15-258D1CEDEF5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011-47F6-8B15-258D1CEDEF54}"/>
                </c:ext>
              </c:extLst>
            </c:dLbl>
            <c:dLbl>
              <c:idx val="6"/>
              <c:layout>
                <c:manualLayout>
                  <c:x val="-3.6788408288153103E-3"/>
                  <c:y val="2.7615335339322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011-47F6-8B15-258D1CEDEF54}"/>
                </c:ext>
              </c:extLst>
            </c:dLbl>
            <c:dLbl>
              <c:idx val="7"/>
              <c:layout>
                <c:manualLayout>
                  <c:x val="1.2044909785376565E-2"/>
                  <c:y val="-3.8661469475052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011-47F6-8B15-258D1CEDEF54}"/>
                </c:ext>
              </c:extLst>
            </c:dLbl>
            <c:dLbl>
              <c:idx val="8"/>
              <c:layout>
                <c:manualLayout>
                  <c:x val="1.8530630439040974E-3"/>
                  <c:y val="-2.7615335339322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011-47F6-8B15-258D1CEDEF54}"/>
                </c:ext>
              </c:extLst>
            </c:dLbl>
            <c:dLbl>
              <c:idx val="9"/>
              <c:layout>
                <c:manualLayout>
                  <c:x val="2.8722477180513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011-47F6-8B15-258D1CEDEF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Sheet1!$B$3:$AE$3</c:f>
              <c:strCache>
                <c:ptCount val="30"/>
                <c:pt idx="0">
                  <c:v>Июль-19</c:v>
                </c:pt>
                <c:pt idx="1">
                  <c:v>Авг.-19</c:v>
                </c:pt>
                <c:pt idx="2">
                  <c:v>Сент.-19</c:v>
                </c:pt>
                <c:pt idx="3">
                  <c:v>Окт.-19</c:v>
                </c:pt>
                <c:pt idx="4">
                  <c:v>Нояб.-19</c:v>
                </c:pt>
                <c:pt idx="5">
                  <c:v>Дек.-19</c:v>
                </c:pt>
                <c:pt idx="6">
                  <c:v>Янв.-20</c:v>
                </c:pt>
                <c:pt idx="7">
                  <c:v>Февр.-20</c:v>
                </c:pt>
                <c:pt idx="8">
                  <c:v>Март-20</c:v>
                </c:pt>
                <c:pt idx="9">
                  <c:v>Апр.-20</c:v>
                </c:pt>
                <c:pt idx="10">
                  <c:v>Май-20</c:v>
                </c:pt>
                <c:pt idx="11">
                  <c:v>Июнь-20</c:v>
                </c:pt>
                <c:pt idx="12">
                  <c:v>Июль-20</c:v>
                </c:pt>
                <c:pt idx="13">
                  <c:v>Авг.-20</c:v>
                </c:pt>
                <c:pt idx="14">
                  <c:v>Сент.-20</c:v>
                </c:pt>
                <c:pt idx="15">
                  <c:v>Окт.-20</c:v>
                </c:pt>
                <c:pt idx="16">
                  <c:v>Нояб.-20</c:v>
                </c:pt>
                <c:pt idx="17">
                  <c:v>Дек.-20</c:v>
                </c:pt>
                <c:pt idx="18">
                  <c:v>Янв.-21</c:v>
                </c:pt>
                <c:pt idx="19">
                  <c:v>Февр.-21</c:v>
                </c:pt>
                <c:pt idx="20">
                  <c:v>Март-21</c:v>
                </c:pt>
                <c:pt idx="21">
                  <c:v>Апр.-21</c:v>
                </c:pt>
                <c:pt idx="22">
                  <c:v>Май-21</c:v>
                </c:pt>
                <c:pt idx="23">
                  <c:v>Июнь-21</c:v>
                </c:pt>
                <c:pt idx="24">
                  <c:v>Июль-21</c:v>
                </c:pt>
                <c:pt idx="25">
                  <c:v>Авг.-21</c:v>
                </c:pt>
                <c:pt idx="26">
                  <c:v>Сент.-21</c:v>
                </c:pt>
                <c:pt idx="27">
                  <c:v>Окт.-21</c:v>
                </c:pt>
                <c:pt idx="28">
                  <c:v>Нояб.-21</c:v>
                </c:pt>
                <c:pt idx="29">
                  <c:v>Дек.-21</c:v>
                </c:pt>
              </c:strCache>
            </c:strRef>
          </c:cat>
          <c:val>
            <c:numRef>
              <c:f>Sheet1!$B$9:$AE$9</c:f>
              <c:numCache>
                <c:formatCode>#,##0_ ;\-#,##0\ </c:formatCode>
                <c:ptCount val="30"/>
                <c:pt idx="0">
                  <c:v>19274.683000000001</c:v>
                </c:pt>
                <c:pt idx="1">
                  <c:v>19274.683000000001</c:v>
                </c:pt>
                <c:pt idx="2">
                  <c:v>13405.797</c:v>
                </c:pt>
                <c:pt idx="3">
                  <c:v>13405.797</c:v>
                </c:pt>
                <c:pt idx="4">
                  <c:v>13003.637000000001</c:v>
                </c:pt>
                <c:pt idx="5">
                  <c:v>13003.637000000001</c:v>
                </c:pt>
                <c:pt idx="6">
                  <c:v>12353.357</c:v>
                </c:pt>
                <c:pt idx="7">
                  <c:v>12856.136</c:v>
                </c:pt>
                <c:pt idx="8">
                  <c:v>15297.387000000001</c:v>
                </c:pt>
                <c:pt idx="9">
                  <c:v>15297.387000000001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011-47F6-8B15-258D1CEDE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9224216"/>
        <c:axId val="64595131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  <c:pt idx="0">
                        <c:v>Available budget (тыс. шв. фр.)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Sheet1!$B$3:$AE$3</c15:sqref>
                        </c15:formulaRef>
                      </c:ext>
                    </c:extLst>
                    <c:strCache>
                      <c:ptCount val="30"/>
                      <c:pt idx="0">
                        <c:v>Июль-19</c:v>
                      </c:pt>
                      <c:pt idx="1">
                        <c:v>Авг.-19</c:v>
                      </c:pt>
                      <c:pt idx="2">
                        <c:v>Сент.-19</c:v>
                      </c:pt>
                      <c:pt idx="3">
                        <c:v>Окт.-19</c:v>
                      </c:pt>
                      <c:pt idx="4">
                        <c:v>Нояб.-19</c:v>
                      </c:pt>
                      <c:pt idx="5">
                        <c:v>Дек.-19</c:v>
                      </c:pt>
                      <c:pt idx="6">
                        <c:v>Янв.-20</c:v>
                      </c:pt>
                      <c:pt idx="7">
                        <c:v>Февр.-20</c:v>
                      </c:pt>
                      <c:pt idx="8">
                        <c:v>Март-20</c:v>
                      </c:pt>
                      <c:pt idx="9">
                        <c:v>Апр.-20</c:v>
                      </c:pt>
                      <c:pt idx="10">
                        <c:v>Май-20</c:v>
                      </c:pt>
                      <c:pt idx="11">
                        <c:v>Июнь-20</c:v>
                      </c:pt>
                      <c:pt idx="12">
                        <c:v>Июль-20</c:v>
                      </c:pt>
                      <c:pt idx="13">
                        <c:v>Авг.-20</c:v>
                      </c:pt>
                      <c:pt idx="14">
                        <c:v>Сент.-20</c:v>
                      </c:pt>
                      <c:pt idx="15">
                        <c:v>Окт.-20</c:v>
                      </c:pt>
                      <c:pt idx="16">
                        <c:v>Нояб.-20</c:v>
                      </c:pt>
                      <c:pt idx="17">
                        <c:v>Дек.-20</c:v>
                      </c:pt>
                      <c:pt idx="18">
                        <c:v>Янв.-21</c:v>
                      </c:pt>
                      <c:pt idx="19">
                        <c:v>Февр.-21</c:v>
                      </c:pt>
                      <c:pt idx="20">
                        <c:v>Март-21</c:v>
                      </c:pt>
                      <c:pt idx="21">
                        <c:v>Апр.-21</c:v>
                      </c:pt>
                      <c:pt idx="22">
                        <c:v>Май-21</c:v>
                      </c:pt>
                      <c:pt idx="23">
                        <c:v>Июнь-21</c:v>
                      </c:pt>
                      <c:pt idx="24">
                        <c:v>Июль-21</c:v>
                      </c:pt>
                      <c:pt idx="25">
                        <c:v>Авг.-21</c:v>
                      </c:pt>
                      <c:pt idx="26">
                        <c:v>Сент.-21</c:v>
                      </c:pt>
                      <c:pt idx="27">
                        <c:v>Окт.-21</c:v>
                      </c:pt>
                      <c:pt idx="28">
                        <c:v>Нояб.-21</c:v>
                      </c:pt>
                      <c:pt idx="29">
                        <c:v>Дек.-21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Sheet1!$B$4:$AE$4</c15:sqref>
                        </c15:formulaRef>
                      </c:ext>
                    </c:extLst>
                    <c:numCache>
                      <c:formatCode>#,##0_ ;\-#,##0\ </c:formatCode>
                      <c:ptCount val="30"/>
                      <c:pt idx="0">
                        <c:v>170139</c:v>
                      </c:pt>
                      <c:pt idx="1">
                        <c:v>170139</c:v>
                      </c:pt>
                      <c:pt idx="2">
                        <c:v>170139</c:v>
                      </c:pt>
                      <c:pt idx="3">
                        <c:v>170139</c:v>
                      </c:pt>
                      <c:pt idx="4">
                        <c:v>170139</c:v>
                      </c:pt>
                      <c:pt idx="5">
                        <c:v>170139</c:v>
                      </c:pt>
                      <c:pt idx="6">
                        <c:v>170139</c:v>
                      </c:pt>
                      <c:pt idx="7">
                        <c:v>170139</c:v>
                      </c:pt>
                      <c:pt idx="8">
                        <c:v>170139</c:v>
                      </c:pt>
                      <c:pt idx="9">
                        <c:v>170139</c:v>
                      </c:pt>
                      <c:pt idx="10">
                        <c:v>170139</c:v>
                      </c:pt>
                      <c:pt idx="11">
                        <c:v>170139</c:v>
                      </c:pt>
                      <c:pt idx="12">
                        <c:v>170139</c:v>
                      </c:pt>
                      <c:pt idx="13">
                        <c:v>170139</c:v>
                      </c:pt>
                      <c:pt idx="14">
                        <c:v>170139</c:v>
                      </c:pt>
                      <c:pt idx="15">
                        <c:v>170139</c:v>
                      </c:pt>
                      <c:pt idx="16">
                        <c:v>170139</c:v>
                      </c:pt>
                      <c:pt idx="17">
                        <c:v>170139</c:v>
                      </c:pt>
                      <c:pt idx="18">
                        <c:v>170139</c:v>
                      </c:pt>
                      <c:pt idx="19">
                        <c:v>170139</c:v>
                      </c:pt>
                      <c:pt idx="20">
                        <c:v>170139</c:v>
                      </c:pt>
                      <c:pt idx="21">
                        <c:v>170139</c:v>
                      </c:pt>
                      <c:pt idx="22">
                        <c:v>170139</c:v>
                      </c:pt>
                      <c:pt idx="23">
                        <c:v>170139</c:v>
                      </c:pt>
                      <c:pt idx="24">
                        <c:v>170139</c:v>
                      </c:pt>
                      <c:pt idx="25">
                        <c:v>170139</c:v>
                      </c:pt>
                      <c:pt idx="26">
                        <c:v>170139</c:v>
                      </c:pt>
                      <c:pt idx="27">
                        <c:v>170139</c:v>
                      </c:pt>
                      <c:pt idx="28">
                        <c:v>170139</c:v>
                      </c:pt>
                      <c:pt idx="29">
                        <c:v>170139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4-E011-47F6-8B15-258D1CEDEF54}"/>
                  </c:ext>
                </c:extLst>
              </c15:ser>
            </c15:filteredLineSeries>
          </c:ext>
        </c:extLst>
      </c:lineChart>
      <c:valAx>
        <c:axId val="533777872"/>
        <c:scaling>
          <c:orientation val="minMax"/>
          <c:max val="20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Ось значений ежемесячных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обязательств</a:t>
                </a:r>
                <a:r>
                  <a:rPr lang="en-US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US">
                    <a:solidFill>
                      <a:sysClr val="windowText" lastClr="000000"/>
                    </a:solidFill>
                  </a:rPr>
                  <a:t>(</a:t>
                </a:r>
                <a:r>
                  <a:rPr lang="ru-RU">
                    <a:solidFill>
                      <a:sysClr val="windowText" lastClr="000000"/>
                    </a:solidFill>
                  </a:rPr>
                  <a:t>тыс.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шв. фр.</a:t>
                </a:r>
                <a:r>
                  <a:rPr lang="en-US">
                    <a:solidFill>
                      <a:sysClr val="windowText" lastClr="000000"/>
                    </a:solidFill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97365780462609974"/>
              <c:y val="0.238945644393265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_ ;\-#,##0\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792632"/>
        <c:crosses val="max"/>
        <c:crossBetween val="between"/>
        <c:majorUnit val="100"/>
      </c:valAx>
      <c:catAx>
        <c:axId val="533792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777872"/>
        <c:crosses val="autoZero"/>
        <c:auto val="0"/>
        <c:lblAlgn val="ctr"/>
        <c:lblOffset val="100"/>
        <c:noMultiLvlLbl val="1"/>
      </c:catAx>
      <c:valAx>
        <c:axId val="645951312"/>
        <c:scaling>
          <c:orientation val="minMax"/>
          <c:max val="2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Ось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значений кривой: </a:t>
                </a:r>
                <a:r>
                  <a:rPr lang="ru-RU">
                    <a:solidFill>
                      <a:sysClr val="windowText" lastClr="000000"/>
                    </a:solidFill>
                  </a:rPr>
                  <a:t>Резерв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средств </a:t>
                </a:r>
                <a:r>
                  <a:rPr lang="ru-RU">
                    <a:solidFill>
                      <a:sysClr val="windowText" lastClr="000000"/>
                    </a:solidFill>
                  </a:rPr>
                  <a:t>для покрытия непредвиденых расхоов, </a:t>
                </a:r>
                <a:br>
                  <a:rPr lang="en-US">
                    <a:solidFill>
                      <a:sysClr val="windowText" lastClr="000000"/>
                    </a:solidFill>
                  </a:rPr>
                </a:br>
                <a:r>
                  <a:rPr lang="ru-RU">
                    <a:solidFill>
                      <a:sysClr val="windowText" lastClr="000000"/>
                    </a:solidFill>
                  </a:rPr>
                  <a:t>примерная стоимость рисков и совокупных обязательств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US">
                    <a:solidFill>
                      <a:sysClr val="windowText" lastClr="000000"/>
                    </a:solidFill>
                  </a:rPr>
                  <a:t>(</a:t>
                </a:r>
                <a:r>
                  <a:rPr lang="ru-RU">
                    <a:solidFill>
                      <a:sysClr val="windowText" lastClr="000000"/>
                    </a:solidFill>
                  </a:rPr>
                  <a:t>тыс.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шв. фр.</a:t>
                </a:r>
                <a:r>
                  <a:rPr lang="en-US">
                    <a:solidFill>
                      <a:sysClr val="windowText" lastClr="000000"/>
                    </a:solidFill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7.6890998810551182E-3"/>
              <c:y val="9.420555693878186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_ ;\-#,##0\ " sourceLinked="1"/>
        <c:majorTickMark val="out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224216"/>
        <c:crosses val="autoZero"/>
        <c:crossBetween val="between"/>
        <c:majorUnit val="1000"/>
      </c:valAx>
      <c:catAx>
        <c:axId val="639224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5951312"/>
        <c:crosses val="autoZero"/>
        <c:auto val="0"/>
        <c:lblAlgn val="ctr"/>
        <c:lblOffset val="100"/>
        <c:tickLblSkip val="1"/>
        <c:tickMarkSkip val="1"/>
        <c:noMultiLvlLbl val="1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7723812046150933E-2"/>
          <c:y val="0.92887709688462861"/>
          <c:w val="0.92190402977379526"/>
          <c:h val="7.11229031153714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10711-B3A0-4E72-B804-FCDE26EFA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BCCAA-2F8C-44FB-A6EB-80C15A7EC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0D0A7-E72C-4AD9-972C-8D7E655AD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14</Pages>
  <Words>4496</Words>
  <Characters>31199</Characters>
  <Application>Microsoft Office Word</Application>
  <DocSecurity>4</DocSecurity>
  <Lines>259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35624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on the Union's headquarters premises project</dc:title>
  <dc:subject>Council 2020</dc:subject>
  <dc:creator>Antipina, Nadezda</dc:creator>
  <cp:keywords>C2020, C20</cp:keywords>
  <dc:description/>
  <cp:lastModifiedBy>Brouard, Ricarda</cp:lastModifiedBy>
  <cp:revision>2</cp:revision>
  <cp:lastPrinted>2014-03-30T15:25:00Z</cp:lastPrinted>
  <dcterms:created xsi:type="dcterms:W3CDTF">2020-05-27T06:14:00Z</dcterms:created>
  <dcterms:modified xsi:type="dcterms:W3CDTF">2020-05-27T06:14:00Z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