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D75BAB" w:rsidRPr="00D75BAB" w14:paraId="30FBD362" w14:textId="77777777" w:rsidTr="009F66A3">
        <w:trPr>
          <w:cantSplit/>
          <w:trHeight w:val="1276"/>
        </w:trPr>
        <w:tc>
          <w:tcPr>
            <w:tcW w:w="6911" w:type="dxa"/>
          </w:tcPr>
          <w:p w14:paraId="570B4D36" w14:textId="72E61AF8" w:rsidR="002A2188" w:rsidRPr="00D75BAB" w:rsidRDefault="002A2188" w:rsidP="007F73CF">
            <w:pPr>
              <w:spacing w:before="360" w:after="48" w:line="276" w:lineRule="auto"/>
              <w:rPr>
                <w:rFonts w:asciiTheme="minorHAnsi" w:hAnsiTheme="minorHAnsi" w:cstheme="minorHAnsi"/>
                <w:color w:val="000000" w:themeColor="text1"/>
                <w:position w:val="6"/>
              </w:rPr>
            </w:pPr>
            <w:r w:rsidRPr="00D75BAB">
              <w:rPr>
                <w:rFonts w:asciiTheme="minorHAnsi" w:hAnsiTheme="minorHAnsi" w:cstheme="minorHAnsi"/>
                <w:b/>
                <w:bCs/>
                <w:color w:val="000000" w:themeColor="text1"/>
                <w:position w:val="6"/>
                <w:sz w:val="30"/>
                <w:szCs w:val="30"/>
                <w:lang w:val="fr-CH"/>
              </w:rPr>
              <w:t>C</w:t>
            </w:r>
            <w:r w:rsidR="009F66A3" w:rsidRPr="00D75BAB">
              <w:rPr>
                <w:rFonts w:asciiTheme="minorHAnsi" w:hAnsiTheme="minorHAnsi" w:cstheme="minorHAnsi"/>
                <w:b/>
                <w:bCs/>
                <w:color w:val="000000" w:themeColor="text1"/>
                <w:position w:val="6"/>
                <w:sz w:val="30"/>
                <w:szCs w:val="30"/>
                <w:lang w:val="fr-CH"/>
              </w:rPr>
              <w:t>ouncil 2020</w:t>
            </w:r>
            <w:r w:rsidRPr="00D75BAB">
              <w:rPr>
                <w:rFonts w:asciiTheme="minorHAnsi" w:hAnsiTheme="minorHAnsi" w:cstheme="minorHAnsi"/>
                <w:b/>
                <w:color w:val="000000" w:themeColor="text1"/>
                <w:position w:val="6"/>
                <w:sz w:val="26"/>
                <w:szCs w:val="26"/>
                <w:lang w:val="en-US"/>
              </w:rPr>
              <w:br/>
            </w:r>
            <w:r w:rsidR="009F66A3" w:rsidRPr="00D75BAB">
              <w:rPr>
                <w:rFonts w:asciiTheme="minorHAnsi" w:hAnsiTheme="minorHAnsi" w:cstheme="minorHAnsi"/>
                <w:b/>
                <w:bCs/>
                <w:color w:val="000000" w:themeColor="text1"/>
                <w:position w:val="6"/>
                <w:szCs w:val="24"/>
                <w:lang w:val="fr-CH"/>
              </w:rPr>
              <w:t>Geneva, 9</w:t>
            </w:r>
            <w:r w:rsidRPr="00D75BAB">
              <w:rPr>
                <w:rFonts w:asciiTheme="minorHAnsi" w:hAnsiTheme="minorHAnsi" w:cstheme="minorHAnsi"/>
                <w:b/>
                <w:bCs/>
                <w:color w:val="000000" w:themeColor="text1"/>
                <w:position w:val="6"/>
                <w:szCs w:val="24"/>
                <w:lang w:val="fr-CH"/>
              </w:rPr>
              <w:t>-</w:t>
            </w:r>
            <w:r w:rsidR="009F66A3" w:rsidRPr="00D75BAB">
              <w:rPr>
                <w:rFonts w:asciiTheme="minorHAnsi" w:hAnsiTheme="minorHAnsi" w:cstheme="minorHAnsi"/>
                <w:b/>
                <w:bCs/>
                <w:color w:val="000000" w:themeColor="text1"/>
                <w:position w:val="6"/>
                <w:szCs w:val="24"/>
                <w:lang w:val="fr-CH"/>
              </w:rPr>
              <w:t>19</w:t>
            </w:r>
            <w:r w:rsidRPr="00D75BAB">
              <w:rPr>
                <w:rFonts w:asciiTheme="minorHAnsi" w:hAnsiTheme="minorHAnsi" w:cstheme="minorHAnsi"/>
                <w:b/>
                <w:bCs/>
                <w:color w:val="000000" w:themeColor="text1"/>
                <w:position w:val="6"/>
                <w:szCs w:val="24"/>
                <w:lang w:val="fr-CH"/>
              </w:rPr>
              <w:t xml:space="preserve"> </w:t>
            </w:r>
            <w:r w:rsidR="009F66A3" w:rsidRPr="00D75BAB">
              <w:rPr>
                <w:rFonts w:asciiTheme="minorHAnsi" w:hAnsiTheme="minorHAnsi" w:cstheme="minorHAnsi"/>
                <w:b/>
                <w:bCs/>
                <w:color w:val="000000" w:themeColor="text1"/>
                <w:position w:val="6"/>
                <w:szCs w:val="24"/>
                <w:lang w:val="fr-CH"/>
              </w:rPr>
              <w:t>Jun</w:t>
            </w:r>
            <w:r w:rsidR="00FB1279" w:rsidRPr="00D75BAB">
              <w:rPr>
                <w:rFonts w:asciiTheme="minorHAnsi" w:hAnsiTheme="minorHAnsi" w:cstheme="minorHAnsi"/>
                <w:b/>
                <w:bCs/>
                <w:color w:val="000000" w:themeColor="text1"/>
                <w:position w:val="6"/>
                <w:szCs w:val="24"/>
                <w:lang w:val="fr-CH"/>
              </w:rPr>
              <w:t>e</w:t>
            </w:r>
            <w:r w:rsidRPr="00D75BAB">
              <w:rPr>
                <w:rFonts w:asciiTheme="minorHAnsi" w:hAnsiTheme="minorHAnsi" w:cstheme="minorHAnsi"/>
                <w:b/>
                <w:bCs/>
                <w:color w:val="000000" w:themeColor="text1"/>
                <w:position w:val="6"/>
                <w:szCs w:val="24"/>
                <w:lang w:val="fr-CH"/>
              </w:rPr>
              <w:t xml:space="preserve"> 20</w:t>
            </w:r>
            <w:r w:rsidR="009F66A3" w:rsidRPr="00D75BAB">
              <w:rPr>
                <w:rFonts w:asciiTheme="minorHAnsi" w:hAnsiTheme="minorHAnsi" w:cstheme="minorHAnsi"/>
                <w:b/>
                <w:bCs/>
                <w:color w:val="000000" w:themeColor="text1"/>
                <w:position w:val="6"/>
                <w:szCs w:val="24"/>
                <w:lang w:val="fr-CH"/>
              </w:rPr>
              <w:t>20</w:t>
            </w:r>
          </w:p>
        </w:tc>
        <w:tc>
          <w:tcPr>
            <w:tcW w:w="3120" w:type="dxa"/>
            <w:vAlign w:val="center"/>
          </w:tcPr>
          <w:p w14:paraId="679DEF8D" w14:textId="77777777" w:rsidR="002A2188" w:rsidRPr="00D75BAB" w:rsidRDefault="009F66A3" w:rsidP="007F73CF">
            <w:pPr>
              <w:spacing w:before="0" w:line="276" w:lineRule="auto"/>
              <w:rPr>
                <w:rFonts w:asciiTheme="minorHAnsi" w:hAnsiTheme="minorHAnsi" w:cstheme="minorHAnsi"/>
                <w:color w:val="000000" w:themeColor="text1"/>
              </w:rPr>
            </w:pPr>
            <w:bookmarkStart w:id="0" w:name="ditulogo"/>
            <w:bookmarkEnd w:id="0"/>
            <w:r w:rsidRPr="00D75BAB">
              <w:rPr>
                <w:rFonts w:asciiTheme="minorHAnsi" w:hAnsiTheme="minorHAnsi" w:cstheme="minorHAnsi"/>
                <w:noProof/>
                <w:color w:val="000000" w:themeColor="text1"/>
                <w:lang w:val="es-ES" w:eastAsia="es-ES"/>
              </w:rPr>
              <w:drawing>
                <wp:inline distT="0" distB="0" distL="0" distR="0" wp14:anchorId="59C7BDE0" wp14:editId="5ECC1BA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D75BAB" w:rsidRPr="00D75BAB" w14:paraId="056F0050" w14:textId="77777777" w:rsidTr="0017596B">
        <w:trPr>
          <w:cantSplit/>
        </w:trPr>
        <w:tc>
          <w:tcPr>
            <w:tcW w:w="6911" w:type="dxa"/>
            <w:tcBorders>
              <w:bottom w:val="single" w:sz="12" w:space="0" w:color="auto"/>
            </w:tcBorders>
          </w:tcPr>
          <w:p w14:paraId="47E9244D" w14:textId="77777777" w:rsidR="002A2188" w:rsidRPr="00D75BAB" w:rsidRDefault="002A2188" w:rsidP="00A71303">
            <w:pPr>
              <w:spacing w:before="0"/>
              <w:rPr>
                <w:rFonts w:asciiTheme="minorHAnsi" w:hAnsiTheme="minorHAnsi" w:cstheme="minorHAnsi"/>
                <w:b/>
                <w:smallCaps/>
                <w:color w:val="000000" w:themeColor="text1"/>
                <w:szCs w:val="24"/>
              </w:rPr>
            </w:pPr>
          </w:p>
        </w:tc>
        <w:tc>
          <w:tcPr>
            <w:tcW w:w="3120" w:type="dxa"/>
            <w:tcBorders>
              <w:bottom w:val="single" w:sz="12" w:space="0" w:color="auto"/>
            </w:tcBorders>
          </w:tcPr>
          <w:p w14:paraId="562285AC" w14:textId="77777777" w:rsidR="002A2188" w:rsidRPr="00D75BAB" w:rsidRDefault="002A2188" w:rsidP="00A71303">
            <w:pPr>
              <w:spacing w:before="0"/>
              <w:rPr>
                <w:rFonts w:asciiTheme="minorHAnsi" w:hAnsiTheme="minorHAnsi" w:cstheme="minorHAnsi"/>
                <w:color w:val="000000" w:themeColor="text1"/>
                <w:szCs w:val="24"/>
              </w:rPr>
            </w:pPr>
          </w:p>
        </w:tc>
      </w:tr>
      <w:tr w:rsidR="00D75BAB" w:rsidRPr="00D75BAB" w14:paraId="7CE872C5" w14:textId="77777777" w:rsidTr="0017596B">
        <w:trPr>
          <w:cantSplit/>
        </w:trPr>
        <w:tc>
          <w:tcPr>
            <w:tcW w:w="6911" w:type="dxa"/>
            <w:tcBorders>
              <w:top w:val="single" w:sz="12" w:space="0" w:color="auto"/>
            </w:tcBorders>
          </w:tcPr>
          <w:p w14:paraId="0E6BB4F6" w14:textId="77777777" w:rsidR="002A2188" w:rsidRPr="00D75BAB" w:rsidRDefault="002A2188" w:rsidP="00A71303">
            <w:pPr>
              <w:spacing w:before="0"/>
              <w:rPr>
                <w:rFonts w:asciiTheme="minorHAnsi" w:hAnsiTheme="minorHAnsi" w:cstheme="minorHAnsi"/>
                <w:b/>
                <w:smallCaps/>
                <w:color w:val="000000" w:themeColor="text1"/>
                <w:szCs w:val="24"/>
              </w:rPr>
            </w:pPr>
          </w:p>
        </w:tc>
        <w:tc>
          <w:tcPr>
            <w:tcW w:w="3120" w:type="dxa"/>
            <w:tcBorders>
              <w:top w:val="single" w:sz="12" w:space="0" w:color="auto"/>
            </w:tcBorders>
          </w:tcPr>
          <w:p w14:paraId="550A082C" w14:textId="77777777" w:rsidR="002A2188" w:rsidRPr="00D75BAB" w:rsidRDefault="002A2188" w:rsidP="00A71303">
            <w:pPr>
              <w:spacing w:before="0"/>
              <w:rPr>
                <w:rFonts w:asciiTheme="minorHAnsi" w:hAnsiTheme="minorHAnsi" w:cstheme="minorHAnsi"/>
                <w:color w:val="000000" w:themeColor="text1"/>
                <w:szCs w:val="24"/>
              </w:rPr>
            </w:pPr>
          </w:p>
        </w:tc>
      </w:tr>
      <w:tr w:rsidR="00D75BAB" w:rsidRPr="00D75BAB" w14:paraId="04140831" w14:textId="77777777" w:rsidTr="0017596B">
        <w:trPr>
          <w:cantSplit/>
          <w:trHeight w:val="23"/>
        </w:trPr>
        <w:tc>
          <w:tcPr>
            <w:tcW w:w="6911" w:type="dxa"/>
            <w:vMerge w:val="restart"/>
          </w:tcPr>
          <w:p w14:paraId="7C87FA41" w14:textId="0F9E7A54" w:rsidR="002A2188" w:rsidRPr="00D75BAB" w:rsidRDefault="00163C86" w:rsidP="007F73CF">
            <w:pPr>
              <w:tabs>
                <w:tab w:val="left" w:pos="851"/>
              </w:tabs>
              <w:spacing w:line="276" w:lineRule="auto"/>
              <w:rPr>
                <w:rFonts w:asciiTheme="minorHAnsi" w:hAnsiTheme="minorHAnsi" w:cstheme="minorHAnsi"/>
                <w:b/>
                <w:color w:val="000000" w:themeColor="text1"/>
              </w:rPr>
            </w:pPr>
            <w:bookmarkStart w:id="1" w:name="dmeeting" w:colFirst="0" w:colLast="0"/>
            <w:bookmarkStart w:id="2" w:name="dnum" w:colFirst="1" w:colLast="1"/>
            <w:r>
              <w:rPr>
                <w:rFonts w:asciiTheme="minorHAnsi" w:hAnsiTheme="minorHAnsi" w:cstheme="minorHAnsi"/>
                <w:b/>
                <w:color w:val="000000" w:themeColor="text1"/>
              </w:rPr>
              <w:t>Agenda item: ADM 20</w:t>
            </w:r>
          </w:p>
        </w:tc>
        <w:tc>
          <w:tcPr>
            <w:tcW w:w="3120" w:type="dxa"/>
          </w:tcPr>
          <w:p w14:paraId="07989836" w14:textId="1380C39A" w:rsidR="002A2188" w:rsidRPr="00D75BAB" w:rsidRDefault="009F66A3" w:rsidP="007F73CF">
            <w:pPr>
              <w:tabs>
                <w:tab w:val="left" w:pos="851"/>
              </w:tabs>
              <w:spacing w:before="0" w:line="276" w:lineRule="auto"/>
              <w:rPr>
                <w:rFonts w:asciiTheme="minorHAnsi" w:hAnsiTheme="minorHAnsi" w:cstheme="minorHAnsi"/>
                <w:b/>
                <w:color w:val="000000" w:themeColor="text1"/>
              </w:rPr>
            </w:pPr>
            <w:r w:rsidRPr="00D75BAB">
              <w:rPr>
                <w:rFonts w:asciiTheme="minorHAnsi" w:hAnsiTheme="minorHAnsi" w:cstheme="minorHAnsi"/>
                <w:b/>
                <w:color w:val="000000" w:themeColor="text1"/>
              </w:rPr>
              <w:t>Document C20</w:t>
            </w:r>
            <w:r w:rsidR="002A2188" w:rsidRPr="00D75BAB">
              <w:rPr>
                <w:rFonts w:asciiTheme="minorHAnsi" w:hAnsiTheme="minorHAnsi" w:cstheme="minorHAnsi"/>
                <w:b/>
                <w:color w:val="000000" w:themeColor="text1"/>
              </w:rPr>
              <w:t>/</w:t>
            </w:r>
            <w:r w:rsidR="00340492">
              <w:rPr>
                <w:rFonts w:asciiTheme="minorHAnsi" w:hAnsiTheme="minorHAnsi" w:cstheme="minorHAnsi"/>
                <w:b/>
                <w:color w:val="000000" w:themeColor="text1"/>
              </w:rPr>
              <w:t>7</w:t>
            </w:r>
            <w:r w:rsidR="002A2188" w:rsidRPr="00D75BAB">
              <w:rPr>
                <w:rFonts w:asciiTheme="minorHAnsi" w:hAnsiTheme="minorHAnsi" w:cstheme="minorHAnsi"/>
                <w:b/>
                <w:color w:val="000000" w:themeColor="text1"/>
              </w:rPr>
              <w:t>-E</w:t>
            </w:r>
          </w:p>
        </w:tc>
      </w:tr>
      <w:tr w:rsidR="00D75BAB" w:rsidRPr="00D75BAB" w14:paraId="1A0958DC" w14:textId="77777777" w:rsidTr="0017596B">
        <w:trPr>
          <w:cantSplit/>
          <w:trHeight w:val="23"/>
        </w:trPr>
        <w:tc>
          <w:tcPr>
            <w:tcW w:w="6911" w:type="dxa"/>
            <w:vMerge/>
          </w:tcPr>
          <w:p w14:paraId="0F8AF89A" w14:textId="77777777" w:rsidR="002A2188" w:rsidRPr="00D75BAB" w:rsidRDefault="002A2188" w:rsidP="007F73CF">
            <w:pPr>
              <w:tabs>
                <w:tab w:val="left" w:pos="851"/>
              </w:tabs>
              <w:spacing w:line="276" w:lineRule="auto"/>
              <w:rPr>
                <w:rFonts w:asciiTheme="minorHAnsi" w:hAnsiTheme="minorHAnsi" w:cstheme="minorHAnsi"/>
                <w:b/>
                <w:color w:val="000000" w:themeColor="text1"/>
              </w:rPr>
            </w:pPr>
            <w:bookmarkStart w:id="3" w:name="ddate" w:colFirst="1" w:colLast="1"/>
            <w:bookmarkEnd w:id="1"/>
            <w:bookmarkEnd w:id="2"/>
          </w:p>
        </w:tc>
        <w:tc>
          <w:tcPr>
            <w:tcW w:w="3120" w:type="dxa"/>
          </w:tcPr>
          <w:p w14:paraId="616FD348" w14:textId="3B140A59" w:rsidR="002A2188" w:rsidRPr="00D75BAB" w:rsidRDefault="00163C86" w:rsidP="007F73CF">
            <w:pPr>
              <w:tabs>
                <w:tab w:val="left" w:pos="993"/>
              </w:tabs>
              <w:spacing w:before="0" w:line="276" w:lineRule="auto"/>
              <w:rPr>
                <w:rFonts w:asciiTheme="minorHAnsi" w:hAnsiTheme="minorHAnsi" w:cstheme="minorHAnsi"/>
                <w:b/>
                <w:color w:val="000000" w:themeColor="text1"/>
              </w:rPr>
            </w:pPr>
            <w:r>
              <w:rPr>
                <w:rFonts w:asciiTheme="minorHAnsi" w:hAnsiTheme="minorHAnsi" w:cstheme="minorHAnsi"/>
                <w:b/>
                <w:color w:val="000000" w:themeColor="text1"/>
              </w:rPr>
              <w:t xml:space="preserve">29 April </w:t>
            </w:r>
            <w:r w:rsidR="002A2188" w:rsidRPr="00D75BAB">
              <w:rPr>
                <w:rFonts w:asciiTheme="minorHAnsi" w:hAnsiTheme="minorHAnsi" w:cstheme="minorHAnsi"/>
                <w:b/>
                <w:color w:val="000000" w:themeColor="text1"/>
              </w:rPr>
              <w:t>20</w:t>
            </w:r>
            <w:r w:rsidR="009F66A3" w:rsidRPr="00D75BAB">
              <w:rPr>
                <w:rFonts w:asciiTheme="minorHAnsi" w:hAnsiTheme="minorHAnsi" w:cstheme="minorHAnsi"/>
                <w:b/>
                <w:color w:val="000000" w:themeColor="text1"/>
              </w:rPr>
              <w:t>20</w:t>
            </w:r>
          </w:p>
        </w:tc>
      </w:tr>
      <w:tr w:rsidR="00D75BAB" w:rsidRPr="00D75BAB" w14:paraId="4145E03E" w14:textId="77777777" w:rsidTr="0017596B">
        <w:trPr>
          <w:cantSplit/>
          <w:trHeight w:val="23"/>
        </w:trPr>
        <w:tc>
          <w:tcPr>
            <w:tcW w:w="6911" w:type="dxa"/>
            <w:vMerge/>
          </w:tcPr>
          <w:p w14:paraId="73A2B261" w14:textId="77777777" w:rsidR="002A2188" w:rsidRPr="00D75BAB" w:rsidRDefault="002A2188" w:rsidP="007F73CF">
            <w:pPr>
              <w:tabs>
                <w:tab w:val="left" w:pos="851"/>
              </w:tabs>
              <w:spacing w:line="276" w:lineRule="auto"/>
              <w:rPr>
                <w:rFonts w:asciiTheme="minorHAnsi" w:hAnsiTheme="minorHAnsi" w:cstheme="minorHAnsi"/>
                <w:b/>
                <w:color w:val="000000" w:themeColor="text1"/>
              </w:rPr>
            </w:pPr>
            <w:bookmarkStart w:id="4" w:name="dorlang" w:colFirst="1" w:colLast="1"/>
            <w:bookmarkEnd w:id="3"/>
          </w:p>
        </w:tc>
        <w:tc>
          <w:tcPr>
            <w:tcW w:w="3120" w:type="dxa"/>
          </w:tcPr>
          <w:p w14:paraId="43A237DD" w14:textId="77777777" w:rsidR="002A2188" w:rsidRPr="00D75BAB" w:rsidRDefault="002A2188" w:rsidP="007F73CF">
            <w:pPr>
              <w:tabs>
                <w:tab w:val="left" w:pos="993"/>
              </w:tabs>
              <w:spacing w:before="0" w:line="276" w:lineRule="auto"/>
              <w:rPr>
                <w:rFonts w:asciiTheme="minorHAnsi" w:hAnsiTheme="minorHAnsi" w:cstheme="minorHAnsi"/>
                <w:b/>
                <w:color w:val="000000" w:themeColor="text1"/>
              </w:rPr>
            </w:pPr>
            <w:r w:rsidRPr="00D75BAB">
              <w:rPr>
                <w:rFonts w:asciiTheme="minorHAnsi" w:hAnsiTheme="minorHAnsi" w:cstheme="minorHAnsi"/>
                <w:b/>
                <w:color w:val="000000" w:themeColor="text1"/>
              </w:rPr>
              <w:t>Original: English</w:t>
            </w:r>
          </w:p>
        </w:tc>
      </w:tr>
      <w:tr w:rsidR="00D75BAB" w:rsidRPr="00D75BAB" w14:paraId="31CED48E" w14:textId="77777777" w:rsidTr="0017596B">
        <w:trPr>
          <w:cantSplit/>
        </w:trPr>
        <w:tc>
          <w:tcPr>
            <w:tcW w:w="10031" w:type="dxa"/>
            <w:gridSpan w:val="2"/>
          </w:tcPr>
          <w:p w14:paraId="30B884E3" w14:textId="44F7D2D0" w:rsidR="002F5F77" w:rsidRPr="00D75BAB" w:rsidRDefault="00163C86" w:rsidP="007F73CF">
            <w:pPr>
              <w:pStyle w:val="Source"/>
              <w:spacing w:line="276" w:lineRule="auto"/>
              <w:rPr>
                <w:rFonts w:asciiTheme="minorHAnsi" w:hAnsiTheme="minorHAnsi" w:cstheme="minorHAnsi"/>
                <w:color w:val="000000" w:themeColor="text1"/>
              </w:rPr>
            </w:pPr>
            <w:bookmarkStart w:id="5" w:name="dsource" w:colFirst="0" w:colLast="0"/>
            <w:bookmarkEnd w:id="4"/>
            <w:r>
              <w:rPr>
                <w:rFonts w:asciiTheme="minorHAnsi" w:hAnsiTheme="minorHAnsi" w:cstheme="minorHAnsi"/>
                <w:color w:val="000000" w:themeColor="text1"/>
                <w:szCs w:val="32"/>
              </w:rPr>
              <w:t>Report by the Secretary-General</w:t>
            </w:r>
          </w:p>
        </w:tc>
      </w:tr>
      <w:tr w:rsidR="00D75BAB" w:rsidRPr="00D75BAB" w14:paraId="7CEDAAD5" w14:textId="77777777" w:rsidTr="0017596B">
        <w:trPr>
          <w:cantSplit/>
        </w:trPr>
        <w:tc>
          <w:tcPr>
            <w:tcW w:w="10031" w:type="dxa"/>
            <w:gridSpan w:val="2"/>
          </w:tcPr>
          <w:p w14:paraId="66BD0820" w14:textId="5705A1A7" w:rsidR="002F5F77" w:rsidRPr="00D75BAB" w:rsidRDefault="002F5F77" w:rsidP="007F73CF">
            <w:pPr>
              <w:pStyle w:val="Title1"/>
              <w:spacing w:line="276" w:lineRule="auto"/>
              <w:rPr>
                <w:rFonts w:asciiTheme="minorHAnsi" w:hAnsiTheme="minorHAnsi" w:cstheme="minorHAnsi"/>
                <w:color w:val="000000" w:themeColor="text1"/>
              </w:rPr>
            </w:pPr>
            <w:bookmarkStart w:id="6" w:name="dtitle1" w:colFirst="0" w:colLast="0"/>
            <w:bookmarkEnd w:id="5"/>
            <w:r w:rsidRPr="00D75BAB">
              <w:rPr>
                <w:rFonts w:asciiTheme="minorHAnsi" w:hAnsiTheme="minorHAnsi" w:cstheme="minorHAnsi"/>
                <w:color w:val="000000" w:themeColor="text1"/>
                <w:szCs w:val="28"/>
                <w:lang w:eastAsia="ja-JP"/>
              </w:rPr>
              <w:t>PROGRESS REPORT ON</w:t>
            </w:r>
            <w:r w:rsidRPr="00D75BAB">
              <w:rPr>
                <w:rFonts w:asciiTheme="minorHAnsi" w:hAnsiTheme="minorHAnsi" w:cstheme="minorHAnsi"/>
                <w:color w:val="000000" w:themeColor="text1"/>
                <w:szCs w:val="28"/>
                <w:lang w:eastAsia="ja-JP"/>
              </w:rPr>
              <w:br/>
            </w:r>
            <w:r w:rsidRPr="00D75BAB">
              <w:rPr>
                <w:rFonts w:asciiTheme="minorHAnsi" w:hAnsiTheme="minorHAnsi" w:cstheme="minorHAnsi"/>
                <w:color w:val="000000" w:themeColor="text1"/>
                <w:szCs w:val="28"/>
                <w:lang w:eastAsia="ja-JP" w:bidi="he-IL"/>
              </w:rPr>
              <w:t>THE UNION’S HEADQUAR</w:t>
            </w:r>
            <w:r w:rsidRPr="00D75BAB">
              <w:rPr>
                <w:rFonts w:asciiTheme="minorHAnsi" w:hAnsiTheme="minorHAnsi" w:cstheme="minorHAnsi"/>
                <w:color w:val="000000" w:themeColor="text1"/>
                <w:szCs w:val="28"/>
                <w:lang w:eastAsia="ja-JP"/>
              </w:rPr>
              <w:t>TERS PREMISES PROJECT</w:t>
            </w:r>
          </w:p>
        </w:tc>
      </w:tr>
      <w:bookmarkEnd w:id="6"/>
    </w:tbl>
    <w:p w14:paraId="44BFAD35" w14:textId="77777777" w:rsidR="002A2188" w:rsidRPr="00D75BAB" w:rsidRDefault="002A2188" w:rsidP="007F73CF">
      <w:pPr>
        <w:spacing w:line="276" w:lineRule="auto"/>
        <w:rPr>
          <w:rFonts w:asciiTheme="minorHAnsi" w:hAnsiTheme="minorHAnsi" w:cstheme="minorHAnsi"/>
          <w:color w:val="000000" w:themeColor="text1"/>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D75BAB" w14:paraId="5E5C5BA6" w14:textId="77777777" w:rsidTr="0017596B">
        <w:trPr>
          <w:trHeight w:val="3372"/>
        </w:trPr>
        <w:tc>
          <w:tcPr>
            <w:tcW w:w="8080" w:type="dxa"/>
            <w:tcBorders>
              <w:top w:val="single" w:sz="12" w:space="0" w:color="auto"/>
              <w:left w:val="single" w:sz="12" w:space="0" w:color="auto"/>
              <w:bottom w:val="single" w:sz="12" w:space="0" w:color="auto"/>
              <w:right w:val="single" w:sz="12" w:space="0" w:color="auto"/>
            </w:tcBorders>
          </w:tcPr>
          <w:p w14:paraId="08649F9A" w14:textId="2914EF1B" w:rsidR="002A2188" w:rsidRPr="00D75BAB" w:rsidRDefault="002A2188" w:rsidP="007F73CF">
            <w:pPr>
              <w:pStyle w:val="Headingb"/>
              <w:spacing w:line="276" w:lineRule="auto"/>
              <w:rPr>
                <w:rFonts w:asciiTheme="minorHAnsi" w:hAnsiTheme="minorHAnsi" w:cstheme="minorHAnsi"/>
                <w:color w:val="000000" w:themeColor="text1"/>
              </w:rPr>
            </w:pPr>
            <w:r w:rsidRPr="00D75BAB">
              <w:rPr>
                <w:rFonts w:asciiTheme="minorHAnsi" w:hAnsiTheme="minorHAnsi" w:cstheme="minorHAnsi"/>
                <w:color w:val="000000" w:themeColor="text1"/>
              </w:rPr>
              <w:t>Summary</w:t>
            </w:r>
            <w:r w:rsidR="00A27441" w:rsidRPr="00D75BAB">
              <w:rPr>
                <w:rFonts w:asciiTheme="minorHAnsi" w:hAnsiTheme="minorHAnsi" w:cstheme="minorHAnsi"/>
                <w:color w:val="000000" w:themeColor="text1"/>
              </w:rPr>
              <w:t xml:space="preserve"> </w:t>
            </w:r>
          </w:p>
          <w:p w14:paraId="174B8627" w14:textId="10201146" w:rsidR="002A2188" w:rsidRPr="00D75BAB" w:rsidRDefault="00A27441" w:rsidP="007F73CF">
            <w:pPr>
              <w:spacing w:line="276" w:lineRule="auto"/>
              <w:jc w:val="both"/>
              <w:rPr>
                <w:rFonts w:asciiTheme="minorHAnsi" w:hAnsiTheme="minorHAnsi" w:cstheme="minorHAnsi"/>
                <w:color w:val="000000" w:themeColor="text1"/>
                <w:lang w:eastAsia="zh-CN"/>
              </w:rPr>
            </w:pPr>
            <w:r w:rsidRPr="00D75BAB">
              <w:rPr>
                <w:rFonts w:asciiTheme="minorHAnsi" w:hAnsiTheme="minorHAnsi" w:cstheme="minorHAnsi"/>
                <w:color w:val="000000" w:themeColor="text1"/>
              </w:rPr>
              <w:t xml:space="preserve">To provide a progress report </w:t>
            </w:r>
            <w:r w:rsidR="00111E12" w:rsidRPr="00D75BAB">
              <w:rPr>
                <w:rFonts w:asciiTheme="minorHAnsi" w:hAnsiTheme="minorHAnsi" w:cstheme="minorHAnsi"/>
                <w:color w:val="000000" w:themeColor="text1"/>
              </w:rPr>
              <w:t xml:space="preserve">and </w:t>
            </w:r>
            <w:r w:rsidRPr="00D75BAB">
              <w:rPr>
                <w:rFonts w:asciiTheme="minorHAnsi" w:hAnsiTheme="minorHAnsi" w:cstheme="minorHAnsi"/>
                <w:color w:val="000000" w:themeColor="text1"/>
              </w:rPr>
              <w:t>follow-up</w:t>
            </w:r>
            <w:r w:rsidR="00A4346C">
              <w:rPr>
                <w:rFonts w:asciiTheme="minorHAnsi" w:hAnsiTheme="minorHAnsi" w:cstheme="minorHAnsi"/>
                <w:color w:val="000000" w:themeColor="text1"/>
              </w:rPr>
              <w:t>,</w:t>
            </w:r>
            <w:r w:rsidRPr="00D75BAB">
              <w:rPr>
                <w:rFonts w:asciiTheme="minorHAnsi" w:hAnsiTheme="minorHAnsi" w:cstheme="minorHAnsi"/>
                <w:color w:val="000000" w:themeColor="text1"/>
              </w:rPr>
              <w:t xml:space="preserve"> </w:t>
            </w:r>
            <w:r w:rsidR="00111E12" w:rsidRPr="00D75BAB">
              <w:rPr>
                <w:rFonts w:asciiTheme="minorHAnsi" w:hAnsiTheme="minorHAnsi" w:cstheme="minorHAnsi"/>
                <w:color w:val="000000" w:themeColor="text1"/>
              </w:rPr>
              <w:t>on the progress made to date for the design and construction of the Union’s Headquarters Premises Project</w:t>
            </w:r>
            <w:r w:rsidRPr="00D75BAB">
              <w:rPr>
                <w:rFonts w:asciiTheme="minorHAnsi" w:hAnsiTheme="minorHAnsi" w:cstheme="minorHAnsi"/>
                <w:color w:val="000000" w:themeColor="text1"/>
              </w:rPr>
              <w:t>.</w:t>
            </w:r>
          </w:p>
          <w:p w14:paraId="47664A47" w14:textId="77777777" w:rsidR="002A2188" w:rsidRPr="00D75BAB" w:rsidRDefault="002A2188" w:rsidP="007F73CF">
            <w:pPr>
              <w:pStyle w:val="Headingb"/>
              <w:spacing w:line="276" w:lineRule="auto"/>
              <w:rPr>
                <w:rFonts w:asciiTheme="minorHAnsi" w:hAnsiTheme="minorHAnsi" w:cstheme="minorHAnsi"/>
                <w:color w:val="000000" w:themeColor="text1"/>
              </w:rPr>
            </w:pPr>
            <w:r w:rsidRPr="00D75BAB">
              <w:rPr>
                <w:rFonts w:asciiTheme="minorHAnsi" w:hAnsiTheme="minorHAnsi" w:cstheme="minorHAnsi"/>
                <w:color w:val="000000" w:themeColor="text1"/>
              </w:rPr>
              <w:t>Action required</w:t>
            </w:r>
          </w:p>
          <w:p w14:paraId="3A3C63E7" w14:textId="0D2F930D" w:rsidR="002A2188" w:rsidRPr="00536BF2" w:rsidRDefault="00037EC4" w:rsidP="007F73CF">
            <w:pPr>
              <w:spacing w:line="276" w:lineRule="auto"/>
              <w:jc w:val="both"/>
              <w:rPr>
                <w:rFonts w:asciiTheme="minorHAnsi" w:hAnsiTheme="minorHAnsi" w:cstheme="minorHAnsi"/>
                <w:color w:val="000000" w:themeColor="text1"/>
                <w:lang w:eastAsia="zh-CN"/>
              </w:rPr>
            </w:pPr>
            <w:r w:rsidRPr="00D75BAB">
              <w:rPr>
                <w:rFonts w:asciiTheme="minorHAnsi" w:hAnsiTheme="minorHAnsi" w:cstheme="minorHAnsi"/>
                <w:color w:val="000000" w:themeColor="text1"/>
              </w:rPr>
              <w:t xml:space="preserve">The Council is invited </w:t>
            </w:r>
            <w:r w:rsidRPr="00D75BAB">
              <w:rPr>
                <w:rFonts w:asciiTheme="minorHAnsi" w:hAnsiTheme="minorHAnsi" w:cstheme="minorHAnsi"/>
                <w:b/>
                <w:bCs/>
                <w:color w:val="000000" w:themeColor="text1"/>
              </w:rPr>
              <w:t xml:space="preserve">to </w:t>
            </w:r>
            <w:r w:rsidR="00712FC5">
              <w:rPr>
                <w:rFonts w:asciiTheme="minorHAnsi" w:hAnsiTheme="minorHAnsi" w:cstheme="minorHAnsi"/>
                <w:b/>
                <w:bCs/>
                <w:color w:val="000000" w:themeColor="text1"/>
              </w:rPr>
              <w:t>consider</w:t>
            </w:r>
            <w:r w:rsidR="00536BF2">
              <w:rPr>
                <w:rFonts w:asciiTheme="minorHAnsi" w:hAnsiTheme="minorHAnsi" w:cstheme="minorHAnsi"/>
                <w:b/>
                <w:bCs/>
                <w:color w:val="000000" w:themeColor="text1"/>
              </w:rPr>
              <w:t xml:space="preserve"> </w:t>
            </w:r>
            <w:r w:rsidR="00536BF2" w:rsidRPr="00CA7181">
              <w:rPr>
                <w:rFonts w:asciiTheme="minorHAnsi" w:hAnsiTheme="minorHAnsi" w:cstheme="minorHAnsi"/>
                <w:color w:val="000000" w:themeColor="text1"/>
              </w:rPr>
              <w:t>this report</w:t>
            </w:r>
            <w:r w:rsidR="00712FC5" w:rsidRPr="00CA7181">
              <w:rPr>
                <w:rFonts w:asciiTheme="minorHAnsi" w:hAnsiTheme="minorHAnsi" w:cstheme="minorHAnsi"/>
                <w:color w:val="000000" w:themeColor="text1"/>
              </w:rPr>
              <w:t>.</w:t>
            </w:r>
          </w:p>
          <w:p w14:paraId="3361D0D7" w14:textId="77777777" w:rsidR="002A2188" w:rsidRPr="00D75BAB" w:rsidRDefault="002A2188" w:rsidP="007F73CF">
            <w:pPr>
              <w:pStyle w:val="Headingb"/>
              <w:spacing w:line="276" w:lineRule="auto"/>
              <w:ind w:left="0" w:firstLine="0"/>
              <w:rPr>
                <w:rFonts w:asciiTheme="minorHAnsi" w:hAnsiTheme="minorHAnsi" w:cstheme="minorHAnsi"/>
                <w:color w:val="000000" w:themeColor="text1"/>
              </w:rPr>
            </w:pPr>
            <w:r w:rsidRPr="00D75BAB">
              <w:rPr>
                <w:rFonts w:asciiTheme="minorHAnsi" w:hAnsiTheme="minorHAnsi" w:cstheme="minorHAnsi"/>
                <w:color w:val="000000" w:themeColor="text1"/>
              </w:rPr>
              <w:t>References</w:t>
            </w:r>
          </w:p>
          <w:p w14:paraId="652883FD" w14:textId="26AD3145" w:rsidR="002A2188" w:rsidRPr="00D75BAB" w:rsidRDefault="00CD1434" w:rsidP="007A65D0">
            <w:pPr>
              <w:spacing w:after="120"/>
              <w:rPr>
                <w:rFonts w:asciiTheme="minorHAnsi" w:hAnsiTheme="minorHAnsi" w:cstheme="minorHAnsi"/>
                <w:i/>
                <w:iCs/>
                <w:color w:val="000000" w:themeColor="text1"/>
              </w:rPr>
            </w:pPr>
            <w:hyperlink r:id="rId12" w:history="1">
              <w:r w:rsidR="00B63555" w:rsidRPr="00A71303">
                <w:rPr>
                  <w:rStyle w:val="Hyperlink"/>
                </w:rPr>
                <w:t>Council Decision 588</w:t>
              </w:r>
            </w:hyperlink>
            <w:r w:rsidR="00B63555" w:rsidRPr="00A71303">
              <w:rPr>
                <w:rStyle w:val="Hyperlink"/>
                <w:u w:val="none"/>
              </w:rPr>
              <w:t xml:space="preserve">; </w:t>
            </w:r>
            <w:hyperlink r:id="rId13" w:history="1">
              <w:r w:rsidR="00B63555" w:rsidRPr="00A71303">
                <w:rPr>
                  <w:rStyle w:val="Hyperlink"/>
                </w:rPr>
                <w:t>Resolution 212 (Dubai, 2018)</w:t>
              </w:r>
            </w:hyperlink>
            <w:r w:rsidR="00B63555" w:rsidRPr="00A71303">
              <w:rPr>
                <w:rStyle w:val="Hyperlink"/>
                <w:u w:val="none"/>
              </w:rPr>
              <w:t xml:space="preserve">; </w:t>
            </w:r>
            <w:hyperlink r:id="rId14" w:history="1">
              <w:r w:rsidR="00B63555" w:rsidRPr="00A71303">
                <w:rPr>
                  <w:rStyle w:val="Hyperlink"/>
                </w:rPr>
                <w:t>C18/123+Add 1</w:t>
              </w:r>
            </w:hyperlink>
            <w:r w:rsidR="00B63555" w:rsidRPr="00A71303">
              <w:rPr>
                <w:rStyle w:val="Hyperlink"/>
                <w:u w:val="none"/>
              </w:rPr>
              <w:t xml:space="preserve">; </w:t>
            </w:r>
            <w:hyperlink r:id="rId15" w:history="1">
              <w:r w:rsidR="00B63555" w:rsidRPr="00A71303">
                <w:rPr>
                  <w:rStyle w:val="Hyperlink"/>
                </w:rPr>
                <w:t>DL/12</w:t>
              </w:r>
            </w:hyperlink>
            <w:r w:rsidR="00B63555" w:rsidRPr="00A71303">
              <w:rPr>
                <w:rStyle w:val="Hyperlink"/>
                <w:u w:val="none"/>
              </w:rPr>
              <w:t xml:space="preserve">, </w:t>
            </w:r>
            <w:hyperlink r:id="rId16" w:history="1">
              <w:r w:rsidR="00B63555" w:rsidRPr="00A71303">
                <w:rPr>
                  <w:rStyle w:val="Hyperlink"/>
                </w:rPr>
                <w:t>C16/7</w:t>
              </w:r>
            </w:hyperlink>
            <w:r w:rsidR="00B63555" w:rsidRPr="00A71303">
              <w:rPr>
                <w:rStyle w:val="Hyperlink"/>
                <w:u w:val="none"/>
              </w:rPr>
              <w:t xml:space="preserve">; </w:t>
            </w:r>
            <w:hyperlink r:id="rId17" w:history="1">
              <w:r w:rsidR="00B63555" w:rsidRPr="00A71303">
                <w:rPr>
                  <w:rStyle w:val="Hyperlink"/>
                </w:rPr>
                <w:t>C19-ADD/2(Rev.1)</w:t>
              </w:r>
            </w:hyperlink>
            <w:r w:rsidR="00B63555" w:rsidRPr="007A65D0">
              <w:rPr>
                <w:rStyle w:val="Hyperlink"/>
                <w:u w:val="none"/>
              </w:rPr>
              <w:t xml:space="preserve">; </w:t>
            </w:r>
            <w:hyperlink r:id="rId18" w:history="1">
              <w:r w:rsidR="00B63555" w:rsidRPr="00A71303">
                <w:rPr>
                  <w:rStyle w:val="Hyperlink"/>
                </w:rPr>
                <w:t>Council Decision 619</w:t>
              </w:r>
            </w:hyperlink>
            <w:r w:rsidR="00B63555" w:rsidRPr="00A71303">
              <w:rPr>
                <w:rStyle w:val="Hyperlink"/>
                <w:u w:val="none"/>
              </w:rPr>
              <w:t>;</w:t>
            </w:r>
            <w:r w:rsidR="00B63555" w:rsidRPr="00D75BAB">
              <w:rPr>
                <w:rFonts w:asciiTheme="minorHAnsi" w:hAnsiTheme="minorHAnsi" w:cstheme="minorHAnsi"/>
                <w:color w:val="000000" w:themeColor="text1"/>
              </w:rPr>
              <w:t xml:space="preserve"> </w:t>
            </w:r>
            <w:hyperlink r:id="rId19" w:history="1">
              <w:r w:rsidR="00A91F12" w:rsidRPr="00163C86">
                <w:rPr>
                  <w:rStyle w:val="Hyperlink"/>
                  <w:rFonts w:asciiTheme="minorHAnsi" w:hAnsiTheme="minorHAnsi" w:cstheme="minorHAnsi"/>
                  <w:szCs w:val="22"/>
                  <w:lang w:eastAsia="zh-CN"/>
                </w:rPr>
                <w:t xml:space="preserve">Document </w:t>
              </w:r>
              <w:r w:rsidR="00163C86" w:rsidRPr="00163C86">
                <w:rPr>
                  <w:rStyle w:val="Hyperlink"/>
                  <w:rFonts w:asciiTheme="minorHAnsi" w:hAnsiTheme="minorHAnsi" w:cstheme="minorHAnsi"/>
                  <w:szCs w:val="22"/>
                  <w:lang w:eastAsia="zh-CN"/>
                </w:rPr>
                <w:t>C</w:t>
              </w:r>
              <w:r w:rsidR="00A91F12" w:rsidRPr="00163C86">
                <w:rPr>
                  <w:rStyle w:val="Hyperlink"/>
                  <w:rFonts w:asciiTheme="minorHAnsi" w:hAnsiTheme="minorHAnsi" w:cstheme="minorHAnsi"/>
                  <w:szCs w:val="22"/>
                  <w:lang w:eastAsia="zh-CN"/>
                </w:rPr>
                <w:t>20/37</w:t>
              </w:r>
            </w:hyperlink>
            <w:r w:rsidR="00A91F12" w:rsidRPr="007A65D0">
              <w:rPr>
                <w:rFonts w:asciiTheme="minorHAnsi" w:hAnsiTheme="minorHAnsi" w:cstheme="minorHAnsi"/>
                <w:color w:val="000000"/>
                <w:szCs w:val="22"/>
                <w:lang w:eastAsia="zh-CN"/>
              </w:rPr>
              <w:t>;</w:t>
            </w:r>
            <w:r w:rsidR="006E3341" w:rsidRPr="007A65D0">
              <w:rPr>
                <w:rFonts w:asciiTheme="minorHAnsi" w:hAnsiTheme="minorHAnsi" w:cstheme="minorHAnsi"/>
              </w:rPr>
              <w:t xml:space="preserve"> </w:t>
            </w:r>
            <w:hyperlink r:id="rId20" w:history="1">
              <w:r w:rsidR="008749D5" w:rsidRPr="00163C86">
                <w:rPr>
                  <w:rStyle w:val="Hyperlink"/>
                  <w:rFonts w:asciiTheme="minorHAnsi" w:hAnsiTheme="minorHAnsi" w:cstheme="minorHAnsi"/>
                </w:rPr>
                <w:t>Document</w:t>
              </w:r>
              <w:r w:rsidR="007A65D0">
                <w:rPr>
                  <w:rStyle w:val="Hyperlink"/>
                  <w:rFonts w:asciiTheme="minorHAnsi" w:hAnsiTheme="minorHAnsi" w:cstheme="minorHAnsi"/>
                </w:rPr>
                <w:t> </w:t>
              </w:r>
              <w:r w:rsidR="006E3341" w:rsidRPr="00163C86">
                <w:rPr>
                  <w:rStyle w:val="Hyperlink"/>
                  <w:rFonts w:asciiTheme="minorHAnsi" w:hAnsiTheme="minorHAnsi" w:cstheme="minorHAnsi"/>
                </w:rPr>
                <w:t>C20/29</w:t>
              </w:r>
            </w:hyperlink>
            <w:r w:rsidR="00043736">
              <w:rPr>
                <w:rFonts w:asciiTheme="minorHAnsi" w:hAnsiTheme="minorHAnsi" w:cstheme="minorHAnsi"/>
              </w:rPr>
              <w:t xml:space="preserve">; </w:t>
            </w:r>
            <w:hyperlink r:id="rId21" w:history="1">
              <w:r w:rsidR="008749D5" w:rsidRPr="00163C86">
                <w:rPr>
                  <w:rStyle w:val="Hyperlink"/>
                </w:rPr>
                <w:t>Document C20/53</w:t>
              </w:r>
            </w:hyperlink>
            <w:r w:rsidR="008749D5">
              <w:t xml:space="preserve">; </w:t>
            </w:r>
            <w:hyperlink r:id="rId22" w:history="1">
              <w:r w:rsidR="008749D5" w:rsidRPr="00163C86">
                <w:rPr>
                  <w:rStyle w:val="Hyperlink"/>
                </w:rPr>
                <w:t>Document C20/15</w:t>
              </w:r>
            </w:hyperlink>
          </w:p>
        </w:tc>
      </w:tr>
    </w:tbl>
    <w:p w14:paraId="1834C7DF" w14:textId="77777777" w:rsidR="00264425" w:rsidRPr="00D75BAB" w:rsidRDefault="00264425" w:rsidP="007F73CF">
      <w:pPr>
        <w:spacing w:line="276" w:lineRule="auto"/>
        <w:rPr>
          <w:rFonts w:asciiTheme="minorHAnsi" w:hAnsiTheme="minorHAnsi" w:cstheme="minorHAnsi"/>
          <w:color w:val="000000" w:themeColor="text1"/>
          <w:lang w:val="en-US"/>
        </w:rPr>
      </w:pPr>
      <w:bookmarkStart w:id="7" w:name="dstart"/>
      <w:bookmarkStart w:id="8" w:name="dbreak"/>
      <w:bookmarkEnd w:id="7"/>
      <w:bookmarkEnd w:id="8"/>
    </w:p>
    <w:p w14:paraId="510F0327" w14:textId="5BA4D55B" w:rsidR="0086489C" w:rsidRPr="00D75BAB" w:rsidRDefault="0086489C" w:rsidP="007F73CF">
      <w:pPr>
        <w:pStyle w:val="ListParagraph"/>
        <w:numPr>
          <w:ilvl w:val="0"/>
          <w:numId w:val="2"/>
        </w:numPr>
        <w:spacing w:before="360" w:after="120" w:line="276" w:lineRule="auto"/>
        <w:ind w:left="0" w:firstLine="0"/>
        <w:jc w:val="both"/>
        <w:rPr>
          <w:rFonts w:asciiTheme="minorHAnsi" w:hAnsiTheme="minorHAnsi" w:cstheme="minorHAnsi"/>
          <w:b/>
          <w:bCs/>
          <w:color w:val="000000" w:themeColor="text1"/>
          <w:sz w:val="28"/>
          <w:szCs w:val="28"/>
          <w:lang w:val="en-GB" w:eastAsia="ja-JP"/>
        </w:rPr>
      </w:pPr>
      <w:r w:rsidRPr="00D75BAB">
        <w:rPr>
          <w:rFonts w:asciiTheme="minorHAnsi" w:hAnsiTheme="minorHAnsi" w:cstheme="minorHAnsi"/>
          <w:b/>
          <w:bCs/>
          <w:color w:val="000000" w:themeColor="text1"/>
          <w:sz w:val="28"/>
          <w:szCs w:val="28"/>
          <w:lang w:val="en-GB" w:eastAsia="ja-JP"/>
        </w:rPr>
        <w:t>Introduction</w:t>
      </w:r>
    </w:p>
    <w:p w14:paraId="47F8D0A6" w14:textId="6A03477B" w:rsidR="0086489C" w:rsidRPr="00D75BAB" w:rsidRDefault="0086489C" w:rsidP="00163C86">
      <w:pPr>
        <w:pStyle w:val="ListParagraph"/>
        <w:numPr>
          <w:ilvl w:val="1"/>
          <w:numId w:val="3"/>
        </w:numPr>
        <w:ind w:left="0" w:firstLine="0"/>
        <w:jc w:val="both"/>
        <w:rPr>
          <w:rFonts w:asciiTheme="minorHAnsi" w:hAnsiTheme="minorHAnsi" w:cstheme="minorHAnsi"/>
          <w:color w:val="000000" w:themeColor="text1"/>
          <w:sz w:val="24"/>
        </w:rPr>
      </w:pPr>
      <w:r w:rsidRPr="00D75BAB">
        <w:rPr>
          <w:rFonts w:asciiTheme="minorHAnsi" w:hAnsiTheme="minorHAnsi" w:cstheme="minorHAnsi"/>
          <w:color w:val="000000" w:themeColor="text1"/>
          <w:sz w:val="24"/>
        </w:rPr>
        <w:t xml:space="preserve">Decision 619 was adopted at the additional session of the Council held in Geneva on 27 September 2019, approving the final direct </w:t>
      </w:r>
      <w:r w:rsidR="00A4346C">
        <w:rPr>
          <w:rFonts w:asciiTheme="minorHAnsi" w:hAnsiTheme="minorHAnsi" w:cstheme="minorHAnsi"/>
          <w:color w:val="000000" w:themeColor="text1"/>
          <w:sz w:val="24"/>
        </w:rPr>
        <w:t>P</w:t>
      </w:r>
      <w:r w:rsidRPr="00D75BAB">
        <w:rPr>
          <w:rFonts w:asciiTheme="minorHAnsi" w:hAnsiTheme="minorHAnsi" w:cstheme="minorHAnsi"/>
          <w:color w:val="000000" w:themeColor="text1"/>
          <w:sz w:val="24"/>
        </w:rPr>
        <w:t>roject cost of the Union’s New Headquarters Building of CHF 170,139,000, as described in C19-ADD/2, financed entirely by the available funding of CHF 150,000,000 host country loan, CHF 15,140,000 sponsorships and donations, and CHF</w:t>
      </w:r>
      <w:r w:rsidR="007A65D0">
        <w:rPr>
          <w:rFonts w:asciiTheme="minorHAnsi" w:hAnsiTheme="minorHAnsi" w:cstheme="minorHAnsi"/>
          <w:color w:val="000000" w:themeColor="text1"/>
          <w:sz w:val="24"/>
        </w:rPr>
        <w:t> </w:t>
      </w:r>
      <w:r w:rsidRPr="00D75BAB">
        <w:rPr>
          <w:rFonts w:asciiTheme="minorHAnsi" w:hAnsiTheme="minorHAnsi" w:cstheme="minorHAnsi"/>
          <w:color w:val="000000" w:themeColor="text1"/>
          <w:sz w:val="24"/>
        </w:rPr>
        <w:t>5,000,000 new building fund;</w:t>
      </w:r>
    </w:p>
    <w:p w14:paraId="2F695635" w14:textId="77777777" w:rsidR="0086489C" w:rsidRPr="00D75BAB" w:rsidRDefault="0086489C" w:rsidP="007F73CF">
      <w:pPr>
        <w:pStyle w:val="ListParagraph"/>
        <w:numPr>
          <w:ilvl w:val="0"/>
          <w:numId w:val="2"/>
        </w:numPr>
        <w:spacing w:before="360" w:after="120" w:line="276" w:lineRule="auto"/>
        <w:ind w:left="0" w:firstLine="0"/>
        <w:jc w:val="both"/>
        <w:rPr>
          <w:rFonts w:asciiTheme="minorHAnsi" w:hAnsiTheme="minorHAnsi" w:cstheme="minorHAnsi"/>
          <w:b/>
          <w:bCs/>
          <w:color w:val="000000" w:themeColor="text1"/>
          <w:sz w:val="28"/>
          <w:szCs w:val="28"/>
          <w:lang w:val="en-GB" w:eastAsia="ja-JP"/>
        </w:rPr>
      </w:pPr>
      <w:r w:rsidRPr="00D75BAB">
        <w:rPr>
          <w:rFonts w:asciiTheme="minorHAnsi" w:hAnsiTheme="minorHAnsi" w:cstheme="minorHAnsi"/>
          <w:b/>
          <w:bCs/>
          <w:color w:val="000000" w:themeColor="text1"/>
          <w:sz w:val="28"/>
          <w:szCs w:val="28"/>
          <w:lang w:val="en-GB" w:eastAsia="ja-JP"/>
        </w:rPr>
        <w:t>Background</w:t>
      </w:r>
    </w:p>
    <w:p w14:paraId="771D0A4A" w14:textId="73782B24" w:rsidR="0086489C" w:rsidRPr="00D75BAB" w:rsidRDefault="0086489C" w:rsidP="007A65D0">
      <w:pPr>
        <w:pStyle w:val="ListParagraph"/>
        <w:ind w:left="0"/>
        <w:jc w:val="both"/>
        <w:rPr>
          <w:rFonts w:asciiTheme="minorHAnsi" w:hAnsiTheme="minorHAnsi" w:cstheme="minorHAnsi"/>
          <w:color w:val="000000" w:themeColor="text1"/>
          <w:sz w:val="24"/>
        </w:rPr>
      </w:pPr>
      <w:r w:rsidRPr="00D75BAB">
        <w:rPr>
          <w:rFonts w:asciiTheme="minorHAnsi" w:hAnsiTheme="minorHAnsi" w:cstheme="minorHAnsi"/>
          <w:b/>
          <w:bCs/>
          <w:color w:val="000000" w:themeColor="text1"/>
          <w:sz w:val="24"/>
        </w:rPr>
        <w:t>2.1</w:t>
      </w:r>
      <w:r w:rsidRPr="00D75BAB">
        <w:rPr>
          <w:rFonts w:asciiTheme="minorHAnsi" w:hAnsiTheme="minorHAnsi" w:cstheme="minorHAnsi"/>
          <w:color w:val="000000" w:themeColor="text1"/>
          <w:sz w:val="24"/>
        </w:rPr>
        <w:tab/>
        <w:t xml:space="preserve">At its extraordinary session, the Council instructed the Secretary-General to provide progress on activities that must be </w:t>
      </w:r>
      <w:r w:rsidR="00F20029">
        <w:rPr>
          <w:rFonts w:asciiTheme="minorHAnsi" w:hAnsiTheme="minorHAnsi" w:cstheme="minorHAnsi"/>
          <w:color w:val="000000" w:themeColor="text1"/>
          <w:sz w:val="24"/>
        </w:rPr>
        <w:t>p</w:t>
      </w:r>
      <w:r w:rsidR="009733D3">
        <w:rPr>
          <w:rFonts w:asciiTheme="minorHAnsi" w:hAnsiTheme="minorHAnsi" w:cstheme="minorHAnsi"/>
          <w:color w:val="000000" w:themeColor="text1"/>
          <w:sz w:val="24"/>
        </w:rPr>
        <w:t>u</w:t>
      </w:r>
      <w:r w:rsidR="00F20029">
        <w:rPr>
          <w:rFonts w:asciiTheme="minorHAnsi" w:hAnsiTheme="minorHAnsi" w:cstheme="minorHAnsi"/>
          <w:color w:val="000000" w:themeColor="text1"/>
          <w:sz w:val="24"/>
        </w:rPr>
        <w:t>rs</w:t>
      </w:r>
      <w:r w:rsidRPr="00D75BAB">
        <w:rPr>
          <w:rFonts w:asciiTheme="minorHAnsi" w:hAnsiTheme="minorHAnsi" w:cstheme="minorHAnsi"/>
          <w:color w:val="000000" w:themeColor="text1"/>
          <w:sz w:val="24"/>
        </w:rPr>
        <w:t>ued and to report back at the Council session in June 2020.</w:t>
      </w:r>
    </w:p>
    <w:p w14:paraId="3020AD53" w14:textId="77777777" w:rsidR="0086489C" w:rsidRPr="00D75BAB" w:rsidRDefault="0086489C" w:rsidP="007A65D0">
      <w:pPr>
        <w:pStyle w:val="ListParagraph"/>
        <w:keepNext/>
        <w:keepLines/>
        <w:numPr>
          <w:ilvl w:val="0"/>
          <w:numId w:val="2"/>
        </w:numPr>
        <w:spacing w:before="360" w:after="120" w:line="276" w:lineRule="auto"/>
        <w:ind w:left="0" w:firstLine="0"/>
        <w:jc w:val="both"/>
        <w:rPr>
          <w:rFonts w:asciiTheme="minorHAnsi" w:hAnsiTheme="minorHAnsi" w:cstheme="minorHAnsi"/>
          <w:b/>
          <w:bCs/>
          <w:color w:val="000000" w:themeColor="text1"/>
          <w:sz w:val="28"/>
          <w:szCs w:val="28"/>
          <w:lang w:val="en-GB" w:eastAsia="ja-JP"/>
        </w:rPr>
      </w:pPr>
      <w:r w:rsidRPr="00D75BAB">
        <w:rPr>
          <w:rFonts w:asciiTheme="minorHAnsi" w:hAnsiTheme="minorHAnsi" w:cstheme="minorHAnsi"/>
          <w:b/>
          <w:bCs/>
          <w:color w:val="000000" w:themeColor="text1"/>
          <w:sz w:val="28"/>
          <w:szCs w:val="28"/>
          <w:lang w:val="en-GB" w:eastAsia="ja-JP"/>
        </w:rPr>
        <w:lastRenderedPageBreak/>
        <w:t>Project Status Report</w:t>
      </w:r>
    </w:p>
    <w:p w14:paraId="70A6071E" w14:textId="212AEB4E" w:rsidR="0086489C" w:rsidRPr="00D75BAB" w:rsidRDefault="0086489C" w:rsidP="007F73CF">
      <w:pPr>
        <w:spacing w:before="240" w:after="120" w:line="276" w:lineRule="auto"/>
        <w:jc w:val="both"/>
        <w:rPr>
          <w:rFonts w:asciiTheme="minorHAnsi" w:hAnsiTheme="minorHAnsi" w:cstheme="minorHAnsi"/>
          <w:b/>
          <w:bCs/>
          <w:color w:val="000000" w:themeColor="text1"/>
        </w:rPr>
      </w:pPr>
      <w:r w:rsidRPr="00D75BAB">
        <w:rPr>
          <w:rFonts w:asciiTheme="minorHAnsi" w:hAnsiTheme="minorHAnsi" w:cstheme="minorHAnsi"/>
          <w:b/>
          <w:bCs/>
          <w:color w:val="000000" w:themeColor="text1"/>
        </w:rPr>
        <w:t>3.1</w:t>
      </w:r>
      <w:r w:rsidRPr="00D75BAB">
        <w:rPr>
          <w:rFonts w:asciiTheme="minorHAnsi" w:hAnsiTheme="minorHAnsi" w:cstheme="minorHAnsi"/>
          <w:b/>
          <w:bCs/>
          <w:color w:val="000000" w:themeColor="text1"/>
        </w:rPr>
        <w:tab/>
        <w:t>Design up-date</w:t>
      </w:r>
    </w:p>
    <w:p w14:paraId="45FFD497" w14:textId="040FB9DB" w:rsidR="005D7E0A" w:rsidRPr="00D75BAB" w:rsidRDefault="00DB4E2C" w:rsidP="007A65D0">
      <w:pPr>
        <w:spacing w:before="240" w:after="120"/>
        <w:jc w:val="both"/>
        <w:rPr>
          <w:rFonts w:asciiTheme="minorHAnsi" w:hAnsiTheme="minorHAnsi" w:cstheme="minorHAnsi"/>
          <w:color w:val="000000" w:themeColor="text1"/>
          <w:lang w:val="en-US"/>
        </w:rPr>
      </w:pPr>
      <w:r w:rsidRPr="00D75BAB">
        <w:rPr>
          <w:rFonts w:asciiTheme="minorHAnsi" w:hAnsiTheme="minorHAnsi" w:cstheme="minorHAnsi"/>
          <w:color w:val="000000" w:themeColor="text1"/>
          <w:lang w:val="en-US"/>
        </w:rPr>
        <w:t xml:space="preserve">Beginning </w:t>
      </w:r>
      <w:r w:rsidR="002D34A7" w:rsidRPr="00D75BAB">
        <w:rPr>
          <w:rFonts w:asciiTheme="minorHAnsi" w:hAnsiTheme="minorHAnsi" w:cstheme="minorHAnsi"/>
          <w:color w:val="000000" w:themeColor="text1"/>
          <w:lang w:val="en-US"/>
        </w:rPr>
        <w:t>January 2020</w:t>
      </w:r>
      <w:r w:rsidR="00117591" w:rsidRPr="00D75BAB">
        <w:rPr>
          <w:rFonts w:asciiTheme="minorHAnsi" w:hAnsiTheme="minorHAnsi" w:cstheme="minorHAnsi"/>
          <w:color w:val="000000" w:themeColor="text1"/>
          <w:lang w:val="en-US"/>
        </w:rPr>
        <w:t xml:space="preserve">, the Building Project Division (BPD) initiated the </w:t>
      </w:r>
      <w:r w:rsidR="00111E12" w:rsidRPr="00D75BAB">
        <w:rPr>
          <w:rFonts w:asciiTheme="minorHAnsi" w:hAnsiTheme="minorHAnsi" w:cstheme="minorHAnsi"/>
          <w:color w:val="000000" w:themeColor="text1"/>
          <w:lang w:val="en-US"/>
        </w:rPr>
        <w:t>successive</w:t>
      </w:r>
      <w:r w:rsidR="00451656" w:rsidRPr="00D75BAB">
        <w:rPr>
          <w:rFonts w:asciiTheme="minorHAnsi" w:hAnsiTheme="minorHAnsi" w:cstheme="minorHAnsi"/>
          <w:color w:val="000000" w:themeColor="text1"/>
          <w:lang w:val="en-US"/>
        </w:rPr>
        <w:t xml:space="preserve"> design stage</w:t>
      </w:r>
      <w:r w:rsidR="00D16568" w:rsidRPr="00D75BAB">
        <w:rPr>
          <w:rFonts w:asciiTheme="minorHAnsi" w:hAnsiTheme="minorHAnsi" w:cstheme="minorHAnsi"/>
          <w:color w:val="000000" w:themeColor="text1"/>
          <w:lang w:val="en-US"/>
        </w:rPr>
        <w:t>s</w:t>
      </w:r>
      <w:r w:rsidR="00451656" w:rsidRPr="00D75BAB">
        <w:rPr>
          <w:rFonts w:asciiTheme="minorHAnsi" w:hAnsiTheme="minorHAnsi" w:cstheme="minorHAnsi"/>
          <w:color w:val="000000" w:themeColor="text1"/>
          <w:lang w:val="en-US"/>
        </w:rPr>
        <w:t xml:space="preserve"> </w:t>
      </w:r>
      <w:r w:rsidR="005D7E0A" w:rsidRPr="00D75BAB">
        <w:rPr>
          <w:rFonts w:asciiTheme="minorHAnsi" w:hAnsiTheme="minorHAnsi" w:cstheme="minorHAnsi"/>
          <w:color w:val="000000" w:themeColor="text1"/>
          <w:lang w:val="en-US"/>
        </w:rPr>
        <w:t xml:space="preserve">in line with </w:t>
      </w:r>
      <w:r w:rsidR="00451656" w:rsidRPr="00D75BAB">
        <w:rPr>
          <w:rFonts w:asciiTheme="minorHAnsi" w:hAnsiTheme="minorHAnsi" w:cstheme="minorHAnsi"/>
          <w:color w:val="000000" w:themeColor="text1"/>
          <w:lang w:val="en-US"/>
        </w:rPr>
        <w:t>the SIA (</w:t>
      </w:r>
      <w:r w:rsidR="00D16568" w:rsidRPr="00D75BAB">
        <w:rPr>
          <w:rFonts w:asciiTheme="minorHAnsi" w:hAnsiTheme="minorHAnsi" w:cstheme="minorHAnsi"/>
          <w:color w:val="000000" w:themeColor="text1"/>
          <w:lang w:val="en-US"/>
        </w:rPr>
        <w:t>Swiss Society of Engineers and Architects</w:t>
      </w:r>
      <w:r w:rsidR="002A5D2E" w:rsidRPr="00D75BAB">
        <w:rPr>
          <w:rFonts w:asciiTheme="minorHAnsi" w:hAnsiTheme="minorHAnsi" w:cstheme="minorHAnsi"/>
          <w:color w:val="000000" w:themeColor="text1"/>
          <w:lang w:val="en-US"/>
        </w:rPr>
        <w:t>)</w:t>
      </w:r>
      <w:r w:rsidR="00451656" w:rsidRPr="00D75BAB">
        <w:rPr>
          <w:rFonts w:asciiTheme="minorHAnsi" w:hAnsiTheme="minorHAnsi" w:cstheme="minorHAnsi"/>
          <w:color w:val="000000" w:themeColor="text1"/>
          <w:lang w:val="en-US"/>
        </w:rPr>
        <w:t xml:space="preserve"> standard and local practice. </w:t>
      </w:r>
      <w:r w:rsidR="00935030" w:rsidRPr="00D75BAB">
        <w:rPr>
          <w:rFonts w:asciiTheme="minorHAnsi" w:hAnsiTheme="minorHAnsi" w:cstheme="minorHAnsi"/>
          <w:color w:val="000000" w:themeColor="text1"/>
          <w:lang w:val="en-US"/>
        </w:rPr>
        <w:t xml:space="preserve">Phases 4.32 and 4.33 will be developed in parallel as </w:t>
      </w:r>
      <w:r w:rsidR="00111E12" w:rsidRPr="00D75BAB">
        <w:rPr>
          <w:rFonts w:asciiTheme="minorHAnsi" w:hAnsiTheme="minorHAnsi" w:cstheme="minorHAnsi"/>
          <w:color w:val="000000" w:themeColor="text1"/>
          <w:lang w:val="en-US"/>
        </w:rPr>
        <w:t xml:space="preserve">the </w:t>
      </w:r>
      <w:r w:rsidR="00A4346C">
        <w:rPr>
          <w:rFonts w:asciiTheme="minorHAnsi" w:hAnsiTheme="minorHAnsi" w:cstheme="minorHAnsi"/>
          <w:color w:val="000000" w:themeColor="text1"/>
          <w:lang w:val="en-US"/>
        </w:rPr>
        <w:t>P</w:t>
      </w:r>
      <w:r w:rsidR="00111E12" w:rsidRPr="00D75BAB">
        <w:rPr>
          <w:rFonts w:asciiTheme="minorHAnsi" w:hAnsiTheme="minorHAnsi" w:cstheme="minorHAnsi"/>
          <w:color w:val="000000" w:themeColor="text1"/>
          <w:lang w:val="en-US"/>
        </w:rPr>
        <w:t>roject evolves.</w:t>
      </w:r>
    </w:p>
    <w:p w14:paraId="28FB20B3" w14:textId="6A59C92B" w:rsidR="00111E12" w:rsidRPr="00D75BAB" w:rsidRDefault="003523CE" w:rsidP="007A65D0">
      <w:pPr>
        <w:spacing w:before="240" w:after="120"/>
        <w:jc w:val="both"/>
        <w:rPr>
          <w:rFonts w:asciiTheme="minorHAnsi" w:hAnsiTheme="minorHAnsi" w:cstheme="minorHAnsi"/>
          <w:color w:val="000000" w:themeColor="text1"/>
          <w:szCs w:val="24"/>
          <w:lang w:val="en-US"/>
        </w:rPr>
      </w:pPr>
      <w:r>
        <w:rPr>
          <w:rFonts w:asciiTheme="minorHAnsi" w:hAnsiTheme="minorHAnsi" w:cstheme="minorHAnsi"/>
          <w:color w:val="000000" w:themeColor="text1"/>
          <w:szCs w:val="24"/>
          <w:shd w:val="clear" w:color="auto" w:fill="FFFFFF"/>
        </w:rPr>
        <w:t>Construction Project (</w:t>
      </w:r>
      <w:r w:rsidR="006909A6">
        <w:rPr>
          <w:rFonts w:asciiTheme="minorHAnsi" w:hAnsiTheme="minorHAnsi" w:cstheme="minorHAnsi"/>
          <w:color w:val="000000" w:themeColor="text1"/>
          <w:szCs w:val="24"/>
          <w:shd w:val="clear" w:color="auto" w:fill="FFFFFF"/>
        </w:rPr>
        <w:t xml:space="preserve">translation for </w:t>
      </w:r>
      <w:r w:rsidR="00EF38E2">
        <w:rPr>
          <w:rFonts w:asciiTheme="minorHAnsi" w:hAnsiTheme="minorHAnsi" w:cstheme="minorHAnsi"/>
          <w:color w:val="000000" w:themeColor="text1"/>
          <w:szCs w:val="24"/>
          <w:shd w:val="clear" w:color="auto" w:fill="FFFFFF"/>
        </w:rPr>
        <w:t>Detailed Design)</w:t>
      </w:r>
      <w:r w:rsidR="00111E12" w:rsidRPr="00D75BAB">
        <w:rPr>
          <w:rFonts w:asciiTheme="minorHAnsi" w:hAnsiTheme="minorHAnsi" w:cstheme="minorHAnsi"/>
          <w:color w:val="000000" w:themeColor="text1"/>
          <w:szCs w:val="24"/>
          <w:shd w:val="clear" w:color="auto" w:fill="FFFFFF"/>
        </w:rPr>
        <w:t> is the phase where the design is refined and plans, specifications and estimates are created. </w:t>
      </w:r>
      <w:r w:rsidR="00AC607B">
        <w:rPr>
          <w:rFonts w:asciiTheme="minorHAnsi" w:hAnsiTheme="minorHAnsi" w:cstheme="minorHAnsi"/>
          <w:color w:val="000000" w:themeColor="text1"/>
          <w:szCs w:val="24"/>
          <w:shd w:val="clear" w:color="auto" w:fill="FFFFFF"/>
        </w:rPr>
        <w:t>The Construction Project</w:t>
      </w:r>
      <w:r w:rsidR="00111E12" w:rsidRPr="00D75BAB">
        <w:rPr>
          <w:rFonts w:asciiTheme="minorHAnsi" w:hAnsiTheme="minorHAnsi" w:cstheme="minorHAnsi"/>
          <w:color w:val="000000" w:themeColor="text1"/>
          <w:szCs w:val="24"/>
          <w:shd w:val="clear" w:color="auto" w:fill="FFFFFF"/>
        </w:rPr>
        <w:t xml:space="preserve"> design will include outputs such as 2D and 3D </w:t>
      </w:r>
      <w:r w:rsidR="00BC3DB4">
        <w:rPr>
          <w:rFonts w:asciiTheme="minorHAnsi" w:hAnsiTheme="minorHAnsi" w:cstheme="minorHAnsi"/>
          <w:color w:val="000000" w:themeColor="text1"/>
          <w:szCs w:val="24"/>
          <w:shd w:val="clear" w:color="auto" w:fill="FFFFFF"/>
        </w:rPr>
        <w:t>drawings</w:t>
      </w:r>
      <w:r w:rsidR="00111E12" w:rsidRPr="00D75BAB">
        <w:rPr>
          <w:rFonts w:asciiTheme="minorHAnsi" w:hAnsiTheme="minorHAnsi" w:cstheme="minorHAnsi"/>
          <w:color w:val="000000" w:themeColor="text1"/>
          <w:szCs w:val="24"/>
          <w:shd w:val="clear" w:color="auto" w:fill="FFFFFF"/>
        </w:rPr>
        <w:t xml:space="preserve">, cost build up estimates, procurement plans etc. This phase is where the full cost </w:t>
      </w:r>
      <w:r w:rsidR="002418D1">
        <w:rPr>
          <w:rFonts w:asciiTheme="minorHAnsi" w:hAnsiTheme="minorHAnsi" w:cstheme="minorHAnsi"/>
          <w:color w:val="000000" w:themeColor="text1"/>
          <w:szCs w:val="24"/>
          <w:shd w:val="clear" w:color="auto" w:fill="FFFFFF"/>
        </w:rPr>
        <w:t xml:space="preserve">(at 10% </w:t>
      </w:r>
      <w:r w:rsidR="00B142CC">
        <w:rPr>
          <w:rFonts w:asciiTheme="minorHAnsi" w:hAnsiTheme="minorHAnsi" w:cstheme="minorHAnsi"/>
          <w:color w:val="000000" w:themeColor="text1"/>
          <w:szCs w:val="24"/>
          <w:shd w:val="clear" w:color="auto" w:fill="FFFFFF"/>
        </w:rPr>
        <w:t>certainty</w:t>
      </w:r>
      <w:r w:rsidR="006E7A49">
        <w:rPr>
          <w:rFonts w:asciiTheme="minorHAnsi" w:hAnsiTheme="minorHAnsi" w:cstheme="minorHAnsi"/>
          <w:color w:val="000000" w:themeColor="text1"/>
          <w:szCs w:val="24"/>
          <w:shd w:val="clear" w:color="auto" w:fill="FFFFFF"/>
        </w:rPr>
        <w:t xml:space="preserve"> in line with the SIA standard</w:t>
      </w:r>
      <w:r w:rsidR="00B142CC">
        <w:rPr>
          <w:rFonts w:asciiTheme="minorHAnsi" w:hAnsiTheme="minorHAnsi" w:cstheme="minorHAnsi"/>
          <w:color w:val="000000" w:themeColor="text1"/>
          <w:szCs w:val="24"/>
          <w:shd w:val="clear" w:color="auto" w:fill="FFFFFF"/>
        </w:rPr>
        <w:t xml:space="preserve">) </w:t>
      </w:r>
      <w:r w:rsidR="00111E12" w:rsidRPr="00D75BAB">
        <w:rPr>
          <w:rFonts w:asciiTheme="minorHAnsi" w:hAnsiTheme="minorHAnsi" w:cstheme="minorHAnsi"/>
          <w:color w:val="000000" w:themeColor="text1"/>
          <w:szCs w:val="24"/>
          <w:shd w:val="clear" w:color="auto" w:fill="FFFFFF"/>
        </w:rPr>
        <w:t xml:space="preserve">of the </w:t>
      </w:r>
      <w:r w:rsidR="00A4346C">
        <w:rPr>
          <w:rFonts w:asciiTheme="minorHAnsi" w:hAnsiTheme="minorHAnsi" w:cstheme="minorHAnsi"/>
          <w:color w:val="000000" w:themeColor="text1"/>
          <w:szCs w:val="24"/>
          <w:shd w:val="clear" w:color="auto" w:fill="FFFFFF"/>
        </w:rPr>
        <w:t>P</w:t>
      </w:r>
      <w:r w:rsidR="00111E12" w:rsidRPr="00D75BAB">
        <w:rPr>
          <w:rFonts w:asciiTheme="minorHAnsi" w:hAnsiTheme="minorHAnsi" w:cstheme="minorHAnsi"/>
          <w:color w:val="000000" w:themeColor="text1"/>
          <w:szCs w:val="24"/>
          <w:shd w:val="clear" w:color="auto" w:fill="FFFFFF"/>
        </w:rPr>
        <w:t>roject is identified. In this context the following activities are taking place:</w:t>
      </w:r>
    </w:p>
    <w:p w14:paraId="2BD65ED1" w14:textId="48E28918" w:rsidR="00DB4E2C" w:rsidRPr="00D75BAB" w:rsidRDefault="002D0982" w:rsidP="007F73CF">
      <w:pPr>
        <w:spacing w:before="240" w:after="120" w:line="276" w:lineRule="auto"/>
        <w:jc w:val="both"/>
        <w:rPr>
          <w:rFonts w:asciiTheme="minorHAnsi" w:hAnsiTheme="minorHAnsi" w:cstheme="minorHAnsi"/>
          <w:b/>
          <w:bCs/>
          <w:color w:val="000000" w:themeColor="text1"/>
        </w:rPr>
      </w:pPr>
      <w:r w:rsidRPr="00D75BAB">
        <w:rPr>
          <w:rFonts w:asciiTheme="minorHAnsi" w:hAnsiTheme="minorHAnsi" w:cstheme="minorHAnsi"/>
          <w:b/>
          <w:bCs/>
          <w:color w:val="000000" w:themeColor="text1"/>
        </w:rPr>
        <w:tab/>
      </w:r>
      <w:r w:rsidR="005D7E0A" w:rsidRPr="00D75BAB">
        <w:rPr>
          <w:rFonts w:asciiTheme="minorHAnsi" w:hAnsiTheme="minorHAnsi" w:cstheme="minorHAnsi"/>
          <w:b/>
          <w:bCs/>
          <w:color w:val="000000" w:themeColor="text1"/>
        </w:rPr>
        <w:t>3.1.1</w:t>
      </w:r>
      <w:r w:rsidR="005D7E0A" w:rsidRPr="00D75BAB">
        <w:rPr>
          <w:rFonts w:asciiTheme="minorHAnsi" w:hAnsiTheme="minorHAnsi" w:cstheme="minorHAnsi"/>
          <w:b/>
          <w:bCs/>
          <w:color w:val="000000" w:themeColor="text1"/>
        </w:rPr>
        <w:tab/>
      </w:r>
      <w:r w:rsidR="00181DB2">
        <w:rPr>
          <w:rFonts w:asciiTheme="minorHAnsi" w:hAnsiTheme="minorHAnsi" w:cstheme="minorHAnsi"/>
          <w:b/>
          <w:bCs/>
          <w:color w:val="000000" w:themeColor="text1"/>
        </w:rPr>
        <w:t>Construction Project S</w:t>
      </w:r>
      <w:r w:rsidR="00DB4E2C" w:rsidRPr="00D75BAB">
        <w:rPr>
          <w:rFonts w:asciiTheme="minorHAnsi" w:hAnsiTheme="minorHAnsi" w:cstheme="minorHAnsi"/>
          <w:b/>
          <w:bCs/>
          <w:color w:val="000000" w:themeColor="text1"/>
        </w:rPr>
        <w:t>tage (phase 4.32)</w:t>
      </w:r>
    </w:p>
    <w:p w14:paraId="583688DC" w14:textId="5EC1CBC3" w:rsidR="00A416B2" w:rsidRPr="0066586B" w:rsidRDefault="0066586B" w:rsidP="007A65D0">
      <w:pPr>
        <w:tabs>
          <w:tab w:val="clear" w:pos="567"/>
          <w:tab w:val="clear" w:pos="1134"/>
          <w:tab w:val="clear" w:pos="1701"/>
          <w:tab w:val="clear" w:pos="2268"/>
          <w:tab w:val="clear" w:pos="2835"/>
        </w:tabs>
        <w:overflowPunct/>
        <w:spacing w:before="0"/>
        <w:jc w:val="both"/>
        <w:textAlignment w:val="auto"/>
        <w:rPr>
          <w:rFonts w:ascii="Arial" w:hAnsi="Arial" w:cs="Arial"/>
          <w:sz w:val="17"/>
          <w:szCs w:val="17"/>
          <w:lang w:eastAsia="zh-CN"/>
        </w:rPr>
      </w:pPr>
      <w:r w:rsidRPr="0066586B">
        <w:rPr>
          <w:rFonts w:asciiTheme="minorHAnsi" w:hAnsiTheme="minorHAnsi" w:cstheme="minorHAnsi"/>
          <w:szCs w:val="24"/>
        </w:rPr>
        <w:t xml:space="preserve">The </w:t>
      </w:r>
      <w:r w:rsidRPr="0066586B">
        <w:rPr>
          <w:rFonts w:asciiTheme="minorHAnsi" w:hAnsiTheme="minorHAnsi" w:cstheme="minorHAnsi"/>
          <w:szCs w:val="24"/>
          <w:lang w:eastAsia="zh-CN"/>
        </w:rPr>
        <w:t xml:space="preserve">Construction </w:t>
      </w:r>
      <w:r>
        <w:rPr>
          <w:rFonts w:asciiTheme="minorHAnsi" w:hAnsiTheme="minorHAnsi" w:cstheme="minorHAnsi"/>
          <w:szCs w:val="24"/>
          <w:lang w:eastAsia="zh-CN"/>
        </w:rPr>
        <w:t>P</w:t>
      </w:r>
      <w:r w:rsidRPr="0066586B">
        <w:rPr>
          <w:rFonts w:asciiTheme="minorHAnsi" w:hAnsiTheme="minorHAnsi" w:cstheme="minorHAnsi"/>
          <w:szCs w:val="24"/>
          <w:lang w:eastAsia="zh-CN"/>
        </w:rPr>
        <w:t>roject</w:t>
      </w:r>
      <w:hyperlink r:id="rId23" w:tooltip="Detailed design" w:history="1"/>
      <w:r w:rsidR="00A416B2" w:rsidRPr="0066586B">
        <w:rPr>
          <w:rFonts w:asciiTheme="minorHAnsi" w:hAnsiTheme="minorHAnsi" w:cstheme="minorHAnsi"/>
          <w:color w:val="000000" w:themeColor="text1"/>
          <w:szCs w:val="24"/>
        </w:rPr>
        <w:t> is sometimes</w:t>
      </w:r>
      <w:r w:rsidR="00A416B2" w:rsidRPr="00570D93">
        <w:rPr>
          <w:rFonts w:asciiTheme="minorHAnsi" w:hAnsiTheme="minorHAnsi" w:cstheme="minorHAnsi"/>
          <w:color w:val="000000" w:themeColor="text1"/>
        </w:rPr>
        <w:t xml:space="preserve"> referred to as </w:t>
      </w:r>
      <w:r w:rsidR="00105736">
        <w:rPr>
          <w:rFonts w:asciiTheme="minorHAnsi" w:hAnsiTheme="minorHAnsi" w:cstheme="minorHAnsi"/>
          <w:color w:val="000000" w:themeColor="text1"/>
        </w:rPr>
        <w:t>“</w:t>
      </w:r>
      <w:hyperlink r:id="rId24" w:tooltip="Developed design" w:history="1">
        <w:r w:rsidR="00A416B2" w:rsidRPr="00570D93">
          <w:rPr>
            <w:rFonts w:asciiTheme="minorHAnsi" w:hAnsiTheme="minorHAnsi" w:cstheme="minorHAnsi"/>
            <w:color w:val="000000" w:themeColor="text1"/>
          </w:rPr>
          <w:t>developed design</w:t>
        </w:r>
      </w:hyperlink>
      <w:r w:rsidR="00105736">
        <w:rPr>
          <w:rFonts w:asciiTheme="minorHAnsi" w:hAnsiTheme="minorHAnsi" w:cstheme="minorHAnsi"/>
          <w:color w:val="000000" w:themeColor="text1"/>
        </w:rPr>
        <w:t>”</w:t>
      </w:r>
      <w:r w:rsidR="00A416B2" w:rsidRPr="00570D93">
        <w:rPr>
          <w:rFonts w:asciiTheme="minorHAnsi" w:hAnsiTheme="minorHAnsi" w:cstheme="minorHAnsi"/>
          <w:color w:val="000000" w:themeColor="text1"/>
        </w:rPr>
        <w:t xml:space="preserve"> or </w:t>
      </w:r>
      <w:r w:rsidR="00105736">
        <w:rPr>
          <w:rFonts w:asciiTheme="minorHAnsi" w:hAnsiTheme="minorHAnsi" w:cstheme="minorHAnsi"/>
          <w:color w:val="000000" w:themeColor="text1"/>
        </w:rPr>
        <w:t>“</w:t>
      </w:r>
      <w:r w:rsidR="00A416B2" w:rsidRPr="00570D93">
        <w:rPr>
          <w:rFonts w:asciiTheme="minorHAnsi" w:hAnsiTheme="minorHAnsi" w:cstheme="minorHAnsi"/>
          <w:color w:val="000000" w:themeColor="text1"/>
        </w:rPr>
        <w:t>definition</w:t>
      </w:r>
      <w:r w:rsidR="00105736">
        <w:rPr>
          <w:rFonts w:asciiTheme="minorHAnsi" w:hAnsiTheme="minorHAnsi" w:cstheme="minorHAnsi"/>
          <w:color w:val="000000" w:themeColor="text1"/>
        </w:rPr>
        <w:t>”</w:t>
      </w:r>
      <w:r w:rsidR="00A416B2" w:rsidRPr="00570D93">
        <w:rPr>
          <w:rFonts w:asciiTheme="minorHAnsi" w:hAnsiTheme="minorHAnsi" w:cstheme="minorHAnsi"/>
          <w:color w:val="000000" w:themeColor="text1"/>
        </w:rPr>
        <w:t>. It is the process of taking on and developing the </w:t>
      </w:r>
      <w:hyperlink r:id="rId25" w:tooltip="Approved" w:history="1">
        <w:r w:rsidR="00A416B2" w:rsidRPr="00570D93">
          <w:rPr>
            <w:rFonts w:asciiTheme="minorHAnsi" w:hAnsiTheme="minorHAnsi" w:cstheme="minorHAnsi"/>
            <w:color w:val="000000" w:themeColor="text1"/>
          </w:rPr>
          <w:t>approved</w:t>
        </w:r>
      </w:hyperlink>
      <w:r w:rsidR="00A416B2" w:rsidRPr="00570D93">
        <w:rPr>
          <w:rFonts w:asciiTheme="minorHAnsi" w:hAnsiTheme="minorHAnsi" w:cstheme="minorHAnsi"/>
          <w:color w:val="000000" w:themeColor="text1"/>
        </w:rPr>
        <w:t> </w:t>
      </w:r>
      <w:hyperlink r:id="rId26" w:tooltip="Concept design" w:history="1">
        <w:r w:rsidR="00A416B2" w:rsidRPr="00570D93">
          <w:rPr>
            <w:rFonts w:asciiTheme="minorHAnsi" w:hAnsiTheme="minorHAnsi" w:cstheme="minorHAnsi"/>
            <w:color w:val="000000" w:themeColor="text1"/>
          </w:rPr>
          <w:t>concept design</w:t>
        </w:r>
      </w:hyperlink>
      <w:r w:rsidR="00A416B2" w:rsidRPr="00570D93">
        <w:rPr>
          <w:rFonts w:asciiTheme="minorHAnsi" w:hAnsiTheme="minorHAnsi" w:cstheme="minorHAnsi"/>
          <w:color w:val="000000" w:themeColor="text1"/>
        </w:rPr>
        <w:t>.</w:t>
      </w:r>
      <w:r w:rsidR="00A416B2" w:rsidRPr="00D75BAB">
        <w:rPr>
          <w:rFonts w:asciiTheme="minorHAnsi" w:hAnsiTheme="minorHAnsi" w:cstheme="minorHAnsi"/>
          <w:color w:val="000000" w:themeColor="text1"/>
        </w:rPr>
        <w:t xml:space="preserve"> </w:t>
      </w:r>
      <w:r w:rsidR="00A416B2" w:rsidRPr="00570D93">
        <w:rPr>
          <w:rFonts w:asciiTheme="minorHAnsi" w:hAnsiTheme="minorHAnsi" w:cstheme="minorHAnsi"/>
          <w:color w:val="000000" w:themeColor="text1"/>
        </w:rPr>
        <w:t>By the end of the</w:t>
      </w:r>
      <w:r w:rsidR="0062049A">
        <w:rPr>
          <w:rFonts w:asciiTheme="minorHAnsi" w:hAnsiTheme="minorHAnsi" w:cstheme="minorHAnsi"/>
          <w:color w:val="000000" w:themeColor="text1"/>
        </w:rPr>
        <w:t xml:space="preserve"> </w:t>
      </w:r>
      <w:r w:rsidR="0062049A">
        <w:t>Construction Project stage</w:t>
      </w:r>
      <w:r w:rsidR="00A416B2" w:rsidRPr="00570D93">
        <w:rPr>
          <w:rFonts w:asciiTheme="minorHAnsi" w:hAnsiTheme="minorHAnsi" w:cstheme="minorHAnsi"/>
          <w:color w:val="000000" w:themeColor="text1"/>
        </w:rPr>
        <w:t>, the </w:t>
      </w:r>
      <w:hyperlink r:id="rId27" w:tooltip="Design" w:history="1">
        <w:r w:rsidR="00A416B2" w:rsidRPr="00570D93">
          <w:rPr>
            <w:rFonts w:asciiTheme="minorHAnsi" w:hAnsiTheme="minorHAnsi" w:cstheme="minorHAnsi"/>
            <w:color w:val="000000" w:themeColor="text1"/>
          </w:rPr>
          <w:t>design</w:t>
        </w:r>
      </w:hyperlink>
      <w:r w:rsidR="00A416B2" w:rsidRPr="00570D93">
        <w:rPr>
          <w:rFonts w:asciiTheme="minorHAnsi" w:hAnsiTheme="minorHAnsi" w:cstheme="minorHAnsi"/>
          <w:color w:val="000000" w:themeColor="text1"/>
        </w:rPr>
        <w:t> should be dimensionally correct and co</w:t>
      </w:r>
      <w:r w:rsidR="0002490A">
        <w:rPr>
          <w:rFonts w:asciiTheme="minorHAnsi" w:hAnsiTheme="minorHAnsi" w:cstheme="minorHAnsi"/>
          <w:color w:val="000000" w:themeColor="text1"/>
        </w:rPr>
        <w:t>o</w:t>
      </w:r>
      <w:r w:rsidR="00A416B2" w:rsidRPr="00570D93">
        <w:rPr>
          <w:rFonts w:asciiTheme="minorHAnsi" w:hAnsiTheme="minorHAnsi" w:cstheme="minorHAnsi"/>
          <w:color w:val="000000" w:themeColor="text1"/>
        </w:rPr>
        <w:t>rdinated, describing all</w:t>
      </w:r>
      <w:r w:rsidR="00A416B2" w:rsidRPr="00D75BAB">
        <w:rPr>
          <w:rFonts w:asciiTheme="minorHAnsi" w:hAnsiTheme="minorHAnsi" w:cstheme="minorHAnsi"/>
          <w:color w:val="000000" w:themeColor="text1"/>
        </w:rPr>
        <w:t xml:space="preserve"> </w:t>
      </w:r>
      <w:r w:rsidR="00A416B2" w:rsidRPr="00570D93">
        <w:rPr>
          <w:rFonts w:asciiTheme="minorHAnsi" w:hAnsiTheme="minorHAnsi" w:cstheme="minorHAnsi"/>
          <w:color w:val="000000" w:themeColor="text1"/>
        </w:rPr>
        <w:t>the </w:t>
      </w:r>
      <w:hyperlink r:id="rId28" w:tooltip="Mains" w:history="1">
        <w:r w:rsidR="00A416B2" w:rsidRPr="00570D93">
          <w:rPr>
            <w:rFonts w:asciiTheme="minorHAnsi" w:hAnsiTheme="minorHAnsi" w:cstheme="minorHAnsi"/>
            <w:color w:val="000000" w:themeColor="text1"/>
          </w:rPr>
          <w:t>main</w:t>
        </w:r>
      </w:hyperlink>
      <w:r w:rsidR="00A416B2" w:rsidRPr="00570D93">
        <w:rPr>
          <w:rFonts w:asciiTheme="minorHAnsi" w:hAnsiTheme="minorHAnsi" w:cstheme="minorHAnsi"/>
          <w:color w:val="000000" w:themeColor="text1"/>
        </w:rPr>
        <w:t> </w:t>
      </w:r>
      <w:hyperlink r:id="rId29" w:tooltip="Component" w:history="1">
        <w:r w:rsidR="00A416B2" w:rsidRPr="00570D93">
          <w:rPr>
            <w:rFonts w:asciiTheme="minorHAnsi" w:hAnsiTheme="minorHAnsi" w:cstheme="minorHAnsi"/>
            <w:color w:val="000000" w:themeColor="text1"/>
          </w:rPr>
          <w:t>components</w:t>
        </w:r>
      </w:hyperlink>
      <w:r w:rsidR="00A416B2" w:rsidRPr="00570D93">
        <w:rPr>
          <w:rFonts w:asciiTheme="minorHAnsi" w:hAnsiTheme="minorHAnsi" w:cstheme="minorHAnsi"/>
          <w:color w:val="000000" w:themeColor="text1"/>
        </w:rPr>
        <w:t> of the </w:t>
      </w:r>
      <w:hyperlink r:id="rId30" w:tooltip="Building" w:history="1">
        <w:r w:rsidR="00A416B2" w:rsidRPr="00570D93">
          <w:rPr>
            <w:rFonts w:asciiTheme="minorHAnsi" w:hAnsiTheme="minorHAnsi" w:cstheme="minorHAnsi"/>
            <w:color w:val="000000" w:themeColor="text1"/>
          </w:rPr>
          <w:t>building</w:t>
        </w:r>
      </w:hyperlink>
      <w:r w:rsidR="00A416B2" w:rsidRPr="00570D93">
        <w:rPr>
          <w:rFonts w:asciiTheme="minorHAnsi" w:hAnsiTheme="minorHAnsi" w:cstheme="minorHAnsi"/>
          <w:color w:val="000000" w:themeColor="text1"/>
        </w:rPr>
        <w:t xml:space="preserve"> and how they fit together. </w:t>
      </w:r>
      <w:hyperlink r:id="rId31" w:tooltip="Detailed design" w:history="1">
        <w:r w:rsidR="00F53FD9">
          <w:rPr>
            <w:rFonts w:asciiTheme="minorHAnsi" w:hAnsiTheme="minorHAnsi" w:cstheme="minorHAnsi"/>
            <w:color w:val="000000" w:themeColor="text1"/>
          </w:rPr>
          <w:t>The</w:t>
        </w:r>
      </w:hyperlink>
      <w:r w:rsidR="00F53FD9">
        <w:rPr>
          <w:rFonts w:asciiTheme="minorHAnsi" w:hAnsiTheme="minorHAnsi" w:cstheme="minorHAnsi"/>
          <w:color w:val="000000" w:themeColor="text1"/>
        </w:rPr>
        <w:t xml:space="preserve"> Construction Project Stage</w:t>
      </w:r>
      <w:r w:rsidR="00A416B2" w:rsidRPr="00570D93">
        <w:rPr>
          <w:rFonts w:asciiTheme="minorHAnsi" w:hAnsiTheme="minorHAnsi" w:cstheme="minorHAnsi"/>
          <w:color w:val="000000" w:themeColor="text1"/>
        </w:rPr>
        <w:t> should provide sufficient </w:t>
      </w:r>
      <w:hyperlink r:id="rId32" w:tooltip="Information" w:history="1">
        <w:r w:rsidR="00A416B2" w:rsidRPr="00570D93">
          <w:rPr>
            <w:rFonts w:asciiTheme="minorHAnsi" w:hAnsiTheme="minorHAnsi" w:cstheme="minorHAnsi"/>
            <w:color w:val="000000" w:themeColor="text1"/>
          </w:rPr>
          <w:t>information</w:t>
        </w:r>
      </w:hyperlink>
      <w:r w:rsidR="00A416B2" w:rsidRPr="00570D93">
        <w:rPr>
          <w:rFonts w:asciiTheme="minorHAnsi" w:hAnsiTheme="minorHAnsi" w:cstheme="minorHAnsi"/>
          <w:color w:val="000000" w:themeColor="text1"/>
        </w:rPr>
        <w:t> for applications for </w:t>
      </w:r>
      <w:hyperlink r:id="rId33" w:tooltip="Statutory approvals" w:history="1">
        <w:r w:rsidR="00A416B2" w:rsidRPr="00570D93">
          <w:rPr>
            <w:rFonts w:asciiTheme="minorHAnsi" w:hAnsiTheme="minorHAnsi" w:cstheme="minorHAnsi"/>
            <w:color w:val="000000" w:themeColor="text1"/>
          </w:rPr>
          <w:t>statutory approval</w:t>
        </w:r>
      </w:hyperlink>
      <w:r w:rsidR="00A416B2" w:rsidRPr="00570D93">
        <w:rPr>
          <w:rFonts w:asciiTheme="minorHAnsi" w:hAnsiTheme="minorHAnsi" w:cstheme="minorHAnsi"/>
          <w:color w:val="000000" w:themeColor="text1"/>
        </w:rPr>
        <w:t> to be made.</w:t>
      </w:r>
    </w:p>
    <w:p w14:paraId="752F1FA0" w14:textId="2BDD34F0" w:rsidR="0066586B" w:rsidRDefault="0066586B" w:rsidP="007A65D0">
      <w:pPr>
        <w:pStyle w:val="ListParagraph"/>
        <w:ind w:left="0"/>
        <w:jc w:val="both"/>
        <w:rPr>
          <w:rFonts w:asciiTheme="minorHAnsi" w:hAnsiTheme="minorHAnsi" w:cstheme="minorHAnsi"/>
          <w:color w:val="000000" w:themeColor="text1"/>
          <w:sz w:val="24"/>
        </w:rPr>
      </w:pPr>
    </w:p>
    <w:p w14:paraId="7EAEB25B" w14:textId="4AE95A8B" w:rsidR="0066586B" w:rsidRPr="00B8206B" w:rsidRDefault="0066586B" w:rsidP="007A65D0">
      <w:p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Cs w:val="24"/>
          <w:lang w:eastAsia="zh-CN"/>
        </w:rPr>
      </w:pPr>
      <w:r w:rsidRPr="00B8206B">
        <w:rPr>
          <w:rFonts w:asciiTheme="minorHAnsi" w:hAnsiTheme="minorHAnsi" w:cstheme="minorHAnsi"/>
          <w:szCs w:val="24"/>
          <w:lang w:eastAsia="zh-CN"/>
        </w:rPr>
        <w:t xml:space="preserve">Basis: </w:t>
      </w:r>
      <w:r w:rsidR="00C914EC">
        <w:rPr>
          <w:rFonts w:asciiTheme="minorHAnsi" w:hAnsiTheme="minorHAnsi" w:cstheme="minorHAnsi"/>
          <w:szCs w:val="24"/>
          <w:lang w:eastAsia="zh-CN"/>
        </w:rPr>
        <w:t>C</w:t>
      </w:r>
      <w:r w:rsidR="00D3563D">
        <w:rPr>
          <w:rFonts w:asciiTheme="minorHAnsi" w:hAnsiTheme="minorHAnsi" w:cstheme="minorHAnsi"/>
          <w:szCs w:val="24"/>
          <w:lang w:eastAsia="zh-CN"/>
        </w:rPr>
        <w:t xml:space="preserve">oncept </w:t>
      </w:r>
      <w:r w:rsidR="00C914EC">
        <w:rPr>
          <w:rFonts w:asciiTheme="minorHAnsi" w:hAnsiTheme="minorHAnsi" w:cstheme="minorHAnsi"/>
          <w:szCs w:val="24"/>
          <w:lang w:eastAsia="zh-CN"/>
        </w:rPr>
        <w:t>D</w:t>
      </w:r>
      <w:r w:rsidR="00D3563D">
        <w:rPr>
          <w:rFonts w:asciiTheme="minorHAnsi" w:hAnsiTheme="minorHAnsi" w:cstheme="minorHAnsi"/>
          <w:szCs w:val="24"/>
          <w:lang w:eastAsia="zh-CN"/>
        </w:rPr>
        <w:t>esign (</w:t>
      </w:r>
      <w:r w:rsidR="00A237F1">
        <w:rPr>
          <w:rFonts w:asciiTheme="minorHAnsi" w:hAnsiTheme="minorHAnsi" w:cstheme="minorHAnsi"/>
          <w:szCs w:val="24"/>
          <w:lang w:eastAsia="zh-CN"/>
        </w:rPr>
        <w:t>translated</w:t>
      </w:r>
      <w:r w:rsidR="00C914EC">
        <w:rPr>
          <w:rFonts w:asciiTheme="minorHAnsi" w:hAnsiTheme="minorHAnsi" w:cstheme="minorHAnsi"/>
          <w:szCs w:val="24"/>
          <w:lang w:eastAsia="zh-CN"/>
        </w:rPr>
        <w:t xml:space="preserve"> from French</w:t>
      </w:r>
      <w:r w:rsidR="00C74167">
        <w:rPr>
          <w:rFonts w:asciiTheme="minorHAnsi" w:hAnsiTheme="minorHAnsi" w:cstheme="minorHAnsi"/>
          <w:szCs w:val="24"/>
          <w:lang w:eastAsia="zh-CN"/>
        </w:rPr>
        <w:t>,</w:t>
      </w:r>
      <w:r w:rsidR="00A237F1">
        <w:rPr>
          <w:rFonts w:asciiTheme="minorHAnsi" w:hAnsiTheme="minorHAnsi" w:cstheme="minorHAnsi"/>
          <w:szCs w:val="24"/>
          <w:lang w:eastAsia="zh-CN"/>
        </w:rPr>
        <w:t xml:space="preserve"> </w:t>
      </w:r>
      <w:r w:rsidR="00D3563D">
        <w:rPr>
          <w:rFonts w:asciiTheme="minorHAnsi" w:hAnsiTheme="minorHAnsi" w:cstheme="minorHAnsi"/>
          <w:szCs w:val="24"/>
          <w:lang w:eastAsia="zh-CN"/>
        </w:rPr>
        <w:t>Avant-</w:t>
      </w:r>
      <w:proofErr w:type="spellStart"/>
      <w:r w:rsidR="00D3563D">
        <w:rPr>
          <w:rFonts w:asciiTheme="minorHAnsi" w:hAnsiTheme="minorHAnsi" w:cstheme="minorHAnsi"/>
          <w:szCs w:val="24"/>
          <w:lang w:eastAsia="zh-CN"/>
        </w:rPr>
        <w:t>Projet</w:t>
      </w:r>
      <w:proofErr w:type="spellEnd"/>
      <w:r w:rsidR="00D3563D">
        <w:rPr>
          <w:rFonts w:asciiTheme="minorHAnsi" w:hAnsiTheme="minorHAnsi" w:cstheme="minorHAnsi"/>
          <w:szCs w:val="24"/>
          <w:lang w:eastAsia="zh-CN"/>
        </w:rPr>
        <w:t>)</w:t>
      </w:r>
      <w:r w:rsidRPr="00B8206B">
        <w:rPr>
          <w:rFonts w:asciiTheme="minorHAnsi" w:hAnsiTheme="minorHAnsi" w:cstheme="minorHAnsi"/>
          <w:szCs w:val="24"/>
          <w:lang w:eastAsia="zh-CN"/>
        </w:rPr>
        <w:t>, preliminary decisions of the perm</w:t>
      </w:r>
      <w:r w:rsidR="001E0367">
        <w:rPr>
          <w:rFonts w:asciiTheme="minorHAnsi" w:hAnsiTheme="minorHAnsi" w:cstheme="minorHAnsi"/>
          <w:szCs w:val="24"/>
          <w:lang w:eastAsia="zh-CN"/>
        </w:rPr>
        <w:t>it</w:t>
      </w:r>
      <w:r w:rsidRPr="00B8206B">
        <w:rPr>
          <w:rFonts w:asciiTheme="minorHAnsi" w:hAnsiTheme="minorHAnsi" w:cstheme="minorHAnsi"/>
          <w:szCs w:val="24"/>
          <w:lang w:eastAsia="zh-CN"/>
        </w:rPr>
        <w:t>-issuing authorities</w:t>
      </w:r>
      <w:r w:rsidR="00884871">
        <w:rPr>
          <w:rFonts w:asciiTheme="minorHAnsi" w:hAnsiTheme="minorHAnsi" w:cstheme="minorHAnsi"/>
          <w:szCs w:val="24"/>
          <w:lang w:eastAsia="zh-CN"/>
        </w:rPr>
        <w:t>.</w:t>
      </w:r>
    </w:p>
    <w:p w14:paraId="2C69A56E" w14:textId="11B2ED76" w:rsidR="005B7A74" w:rsidRPr="00C914EC" w:rsidRDefault="0066586B" w:rsidP="007A65D0">
      <w:pPr>
        <w:pStyle w:val="ListParagraph"/>
        <w:spacing w:after="120"/>
        <w:ind w:left="0"/>
        <w:jc w:val="both"/>
        <w:rPr>
          <w:rFonts w:asciiTheme="minorHAnsi" w:hAnsiTheme="minorHAnsi" w:cstheme="minorHAnsi"/>
          <w:color w:val="000000" w:themeColor="text1"/>
          <w:sz w:val="24"/>
        </w:rPr>
      </w:pPr>
      <w:r w:rsidRPr="00B8206B">
        <w:rPr>
          <w:rFonts w:asciiTheme="minorHAnsi" w:hAnsiTheme="minorHAnsi" w:cstheme="minorHAnsi"/>
          <w:sz w:val="24"/>
        </w:rPr>
        <w:t xml:space="preserve">Goals: </w:t>
      </w:r>
      <w:r w:rsidR="00C914EC">
        <w:rPr>
          <w:rFonts w:asciiTheme="minorHAnsi" w:hAnsiTheme="minorHAnsi" w:cstheme="minorHAnsi"/>
          <w:sz w:val="24"/>
        </w:rPr>
        <w:t>C</w:t>
      </w:r>
      <w:r w:rsidR="009D5630">
        <w:rPr>
          <w:rFonts w:asciiTheme="minorHAnsi" w:hAnsiTheme="minorHAnsi" w:cstheme="minorHAnsi"/>
          <w:sz w:val="24"/>
        </w:rPr>
        <w:t xml:space="preserve">onstruction </w:t>
      </w:r>
      <w:r w:rsidR="00C914EC">
        <w:rPr>
          <w:rFonts w:asciiTheme="minorHAnsi" w:hAnsiTheme="minorHAnsi" w:cstheme="minorHAnsi"/>
          <w:sz w:val="24"/>
        </w:rPr>
        <w:t>P</w:t>
      </w:r>
      <w:r w:rsidRPr="00B8206B">
        <w:rPr>
          <w:rFonts w:asciiTheme="minorHAnsi" w:hAnsiTheme="minorHAnsi" w:cstheme="minorHAnsi"/>
          <w:sz w:val="24"/>
        </w:rPr>
        <w:t xml:space="preserve">roject and cost </w:t>
      </w:r>
      <w:r w:rsidR="00B211B3" w:rsidRPr="00B8206B">
        <w:rPr>
          <w:rFonts w:asciiTheme="minorHAnsi" w:hAnsiTheme="minorHAnsi" w:cstheme="minorHAnsi"/>
          <w:sz w:val="24"/>
        </w:rPr>
        <w:t>optimized;</w:t>
      </w:r>
      <w:r w:rsidRPr="00B8206B">
        <w:rPr>
          <w:rFonts w:asciiTheme="minorHAnsi" w:hAnsiTheme="minorHAnsi" w:cstheme="minorHAnsi"/>
          <w:sz w:val="24"/>
        </w:rPr>
        <w:t xml:space="preserve"> schedule defined</w:t>
      </w:r>
      <w:r w:rsidR="00A237F1">
        <w:rPr>
          <w:rFonts w:asciiTheme="minorHAnsi" w:hAnsiTheme="minorHAnsi" w:cstheme="minorHAnsi"/>
          <w:sz w:val="24"/>
        </w:rPr>
        <w:t>.</w:t>
      </w:r>
    </w:p>
    <w:p w14:paraId="7ED73ECF" w14:textId="2EF846F5" w:rsidR="00C914EC" w:rsidRDefault="00DB4E2C" w:rsidP="00C914EC">
      <w:pPr>
        <w:pStyle w:val="ListParagraph"/>
        <w:numPr>
          <w:ilvl w:val="0"/>
          <w:numId w:val="34"/>
        </w:numPr>
        <w:spacing w:line="276" w:lineRule="auto"/>
        <w:jc w:val="both"/>
        <w:rPr>
          <w:rFonts w:asciiTheme="minorHAnsi" w:hAnsiTheme="minorHAnsi" w:cstheme="minorHAnsi"/>
          <w:color w:val="000000" w:themeColor="text1"/>
          <w:sz w:val="24"/>
        </w:rPr>
      </w:pPr>
      <w:r w:rsidRPr="00D75BAB">
        <w:rPr>
          <w:rFonts w:asciiTheme="minorHAnsi" w:hAnsiTheme="minorHAnsi" w:cstheme="minorHAnsi"/>
          <w:color w:val="000000" w:themeColor="text1"/>
          <w:sz w:val="24"/>
        </w:rPr>
        <w:t xml:space="preserve">Jan to July - Workshops to confirm </w:t>
      </w:r>
      <w:proofErr w:type="spellStart"/>
      <w:r w:rsidR="00BE56AD">
        <w:rPr>
          <w:rFonts w:asciiTheme="minorHAnsi" w:hAnsiTheme="minorHAnsi" w:cstheme="minorHAnsi"/>
          <w:color w:val="000000" w:themeColor="text1"/>
          <w:sz w:val="24"/>
        </w:rPr>
        <w:t>programme</w:t>
      </w:r>
      <w:proofErr w:type="spellEnd"/>
      <w:r w:rsidR="00BE56AD">
        <w:rPr>
          <w:rFonts w:asciiTheme="minorHAnsi" w:hAnsiTheme="minorHAnsi" w:cstheme="minorHAnsi"/>
          <w:color w:val="000000" w:themeColor="text1"/>
          <w:sz w:val="24"/>
        </w:rPr>
        <w:t xml:space="preserve"> and functional business requirements to</w:t>
      </w:r>
      <w:r w:rsidRPr="00D75BAB">
        <w:rPr>
          <w:rFonts w:asciiTheme="minorHAnsi" w:hAnsiTheme="minorHAnsi" w:cstheme="minorHAnsi"/>
          <w:color w:val="000000" w:themeColor="text1"/>
          <w:sz w:val="24"/>
        </w:rPr>
        <w:t xml:space="preserve"> proceed with the </w:t>
      </w:r>
      <w:r w:rsidR="008D0794" w:rsidRPr="00D75BAB">
        <w:rPr>
          <w:rFonts w:asciiTheme="minorHAnsi" w:hAnsiTheme="minorHAnsi" w:cstheme="minorHAnsi"/>
          <w:color w:val="000000" w:themeColor="text1"/>
          <w:sz w:val="24"/>
        </w:rPr>
        <w:t>design</w:t>
      </w:r>
      <w:r w:rsidR="008D0794">
        <w:rPr>
          <w:rFonts w:asciiTheme="minorHAnsi" w:hAnsiTheme="minorHAnsi" w:cstheme="minorHAnsi"/>
          <w:color w:val="000000" w:themeColor="text1"/>
          <w:sz w:val="24"/>
        </w:rPr>
        <w:t>.</w:t>
      </w:r>
    </w:p>
    <w:p w14:paraId="466CAF1B" w14:textId="77080097" w:rsidR="00C914EC" w:rsidRDefault="00D95AC5" w:rsidP="00C914EC">
      <w:pPr>
        <w:pStyle w:val="ListParagraph"/>
        <w:numPr>
          <w:ilvl w:val="0"/>
          <w:numId w:val="34"/>
        </w:numPr>
        <w:spacing w:line="276" w:lineRule="auto"/>
        <w:jc w:val="both"/>
        <w:rPr>
          <w:rFonts w:asciiTheme="minorHAnsi" w:hAnsiTheme="minorHAnsi" w:cstheme="minorHAnsi"/>
          <w:color w:val="000000" w:themeColor="text1"/>
          <w:sz w:val="24"/>
        </w:rPr>
      </w:pPr>
      <w:r w:rsidRPr="00C914EC">
        <w:rPr>
          <w:rFonts w:asciiTheme="minorHAnsi" w:hAnsiTheme="minorHAnsi" w:cstheme="minorHAnsi"/>
          <w:color w:val="000000" w:themeColor="text1"/>
          <w:sz w:val="24"/>
        </w:rPr>
        <w:t>July onwards - S</w:t>
      </w:r>
      <w:r w:rsidR="00DB4E2C" w:rsidRPr="00C914EC">
        <w:rPr>
          <w:rFonts w:asciiTheme="minorHAnsi" w:hAnsiTheme="minorHAnsi" w:cstheme="minorHAnsi"/>
          <w:color w:val="000000" w:themeColor="text1"/>
          <w:sz w:val="24"/>
        </w:rPr>
        <w:t xml:space="preserve">takeholder engagement on </w:t>
      </w:r>
      <w:r w:rsidR="00111E12" w:rsidRPr="00C914EC">
        <w:rPr>
          <w:rFonts w:asciiTheme="minorHAnsi" w:hAnsiTheme="minorHAnsi" w:cstheme="minorHAnsi"/>
          <w:color w:val="000000" w:themeColor="text1"/>
          <w:sz w:val="24"/>
        </w:rPr>
        <w:t xml:space="preserve">business requirements and </w:t>
      </w:r>
      <w:r w:rsidR="00DB4E2C" w:rsidRPr="00C914EC">
        <w:rPr>
          <w:rFonts w:asciiTheme="minorHAnsi" w:hAnsiTheme="minorHAnsi" w:cstheme="minorHAnsi"/>
          <w:color w:val="000000" w:themeColor="text1"/>
          <w:sz w:val="24"/>
        </w:rPr>
        <w:t>space allocation</w:t>
      </w:r>
      <w:r w:rsidR="00FE39A1" w:rsidRPr="00C914EC">
        <w:rPr>
          <w:rFonts w:asciiTheme="minorHAnsi" w:hAnsiTheme="minorHAnsi" w:cstheme="minorHAnsi"/>
          <w:color w:val="000000" w:themeColor="text1"/>
          <w:sz w:val="24"/>
        </w:rPr>
        <w:t xml:space="preserve"> proposals</w:t>
      </w:r>
      <w:r w:rsidR="00817B42">
        <w:rPr>
          <w:rFonts w:asciiTheme="minorHAnsi" w:hAnsiTheme="minorHAnsi" w:cstheme="minorHAnsi"/>
          <w:color w:val="000000" w:themeColor="text1"/>
          <w:sz w:val="24"/>
        </w:rPr>
        <w:t>.</w:t>
      </w:r>
    </w:p>
    <w:p w14:paraId="58030CBF" w14:textId="1AE56947" w:rsidR="00DB4E2C" w:rsidRPr="00C914EC" w:rsidRDefault="00DB4E2C" w:rsidP="00C914EC">
      <w:pPr>
        <w:pStyle w:val="ListParagraph"/>
        <w:numPr>
          <w:ilvl w:val="0"/>
          <w:numId w:val="34"/>
        </w:numPr>
        <w:spacing w:line="276" w:lineRule="auto"/>
        <w:jc w:val="both"/>
        <w:rPr>
          <w:rFonts w:asciiTheme="minorHAnsi" w:hAnsiTheme="minorHAnsi" w:cstheme="minorHAnsi"/>
          <w:color w:val="000000" w:themeColor="text1"/>
          <w:sz w:val="24"/>
        </w:rPr>
      </w:pPr>
      <w:r w:rsidRPr="00C914EC">
        <w:rPr>
          <w:rFonts w:asciiTheme="minorHAnsi" w:hAnsiTheme="minorHAnsi" w:cstheme="minorHAnsi"/>
          <w:color w:val="000000" w:themeColor="text1"/>
          <w:sz w:val="24"/>
        </w:rPr>
        <w:t xml:space="preserve">Jan to Nov - Cost monitoring and </w:t>
      </w:r>
      <w:r w:rsidR="009157F0" w:rsidRPr="00C914EC">
        <w:rPr>
          <w:rFonts w:asciiTheme="minorHAnsi" w:hAnsiTheme="minorHAnsi" w:cstheme="minorHAnsi"/>
          <w:color w:val="000000" w:themeColor="text1"/>
          <w:sz w:val="24"/>
        </w:rPr>
        <w:t>v</w:t>
      </w:r>
      <w:r w:rsidRPr="00C914EC">
        <w:rPr>
          <w:rFonts w:asciiTheme="minorHAnsi" w:hAnsiTheme="minorHAnsi" w:cstheme="minorHAnsi"/>
          <w:color w:val="000000" w:themeColor="text1"/>
          <w:sz w:val="24"/>
        </w:rPr>
        <w:t>alue engineering</w:t>
      </w:r>
      <w:r w:rsidR="00C74B05">
        <w:rPr>
          <w:rStyle w:val="FootnoteReference"/>
          <w:rFonts w:cstheme="minorHAnsi"/>
          <w:color w:val="000000" w:themeColor="text1"/>
        </w:rPr>
        <w:footnoteReference w:id="2"/>
      </w:r>
      <w:r w:rsidR="00111E12" w:rsidRPr="00C914EC">
        <w:rPr>
          <w:rFonts w:asciiTheme="minorHAnsi" w:hAnsiTheme="minorHAnsi" w:cstheme="minorHAnsi"/>
          <w:color w:val="000000" w:themeColor="text1"/>
          <w:sz w:val="24"/>
        </w:rPr>
        <w:t xml:space="preserve"> </w:t>
      </w:r>
      <w:r w:rsidR="00A034B6" w:rsidRPr="00C914EC">
        <w:rPr>
          <w:rFonts w:asciiTheme="minorHAnsi" w:hAnsiTheme="minorHAnsi" w:cstheme="minorHAnsi"/>
          <w:color w:val="000000" w:themeColor="text1"/>
          <w:sz w:val="24"/>
        </w:rPr>
        <w:t>to ensure that</w:t>
      </w:r>
      <w:r w:rsidR="0019187A" w:rsidRPr="00C914EC">
        <w:rPr>
          <w:rFonts w:asciiTheme="minorHAnsi" w:hAnsiTheme="minorHAnsi" w:cstheme="minorHAnsi"/>
          <w:color w:val="000000" w:themeColor="text1"/>
          <w:sz w:val="24"/>
        </w:rPr>
        <w:t xml:space="preserve"> </w:t>
      </w:r>
      <w:r w:rsidR="00D551ED" w:rsidRPr="00C914EC">
        <w:rPr>
          <w:rFonts w:asciiTheme="minorHAnsi" w:hAnsiTheme="minorHAnsi" w:cstheme="minorHAnsi"/>
          <w:color w:val="000000" w:themeColor="text1"/>
          <w:sz w:val="24"/>
        </w:rPr>
        <w:t xml:space="preserve">the </w:t>
      </w:r>
      <w:r w:rsidR="00E33F2D" w:rsidRPr="00C914EC">
        <w:rPr>
          <w:rFonts w:asciiTheme="minorHAnsi" w:hAnsiTheme="minorHAnsi" w:cstheme="minorHAnsi"/>
          <w:color w:val="000000" w:themeColor="text1"/>
          <w:sz w:val="24"/>
        </w:rPr>
        <w:t>required</w:t>
      </w:r>
      <w:r w:rsidR="00D551ED" w:rsidRPr="00C914EC">
        <w:rPr>
          <w:rFonts w:asciiTheme="minorHAnsi" w:hAnsiTheme="minorHAnsi" w:cstheme="minorHAnsi"/>
          <w:color w:val="000000" w:themeColor="text1"/>
          <w:sz w:val="24"/>
        </w:rPr>
        <w:t xml:space="preserve"> functions in </w:t>
      </w:r>
      <w:r w:rsidR="00637DC2" w:rsidRPr="00C914EC">
        <w:rPr>
          <w:rFonts w:asciiTheme="minorHAnsi" w:hAnsiTheme="minorHAnsi" w:cstheme="minorHAnsi"/>
          <w:color w:val="000000" w:themeColor="text1"/>
          <w:sz w:val="24"/>
        </w:rPr>
        <w:t xml:space="preserve">the </w:t>
      </w:r>
      <w:r w:rsidR="00A4346C">
        <w:rPr>
          <w:rFonts w:asciiTheme="minorHAnsi" w:hAnsiTheme="minorHAnsi" w:cstheme="minorHAnsi"/>
          <w:color w:val="000000" w:themeColor="text1"/>
          <w:sz w:val="24"/>
        </w:rPr>
        <w:t>P</w:t>
      </w:r>
      <w:r w:rsidR="00D551ED" w:rsidRPr="00C914EC">
        <w:rPr>
          <w:rFonts w:asciiTheme="minorHAnsi" w:hAnsiTheme="minorHAnsi" w:cstheme="minorHAnsi"/>
          <w:color w:val="000000" w:themeColor="text1"/>
          <w:sz w:val="24"/>
        </w:rPr>
        <w:t xml:space="preserve">roject </w:t>
      </w:r>
      <w:r w:rsidR="00E33F2D" w:rsidRPr="00C914EC">
        <w:rPr>
          <w:rFonts w:asciiTheme="minorHAnsi" w:hAnsiTheme="minorHAnsi" w:cstheme="minorHAnsi"/>
          <w:color w:val="000000" w:themeColor="text1"/>
          <w:sz w:val="24"/>
        </w:rPr>
        <w:t xml:space="preserve">are met </w:t>
      </w:r>
      <w:r w:rsidR="00D551ED" w:rsidRPr="00C914EC">
        <w:rPr>
          <w:rFonts w:asciiTheme="minorHAnsi" w:hAnsiTheme="minorHAnsi" w:cstheme="minorHAnsi"/>
          <w:color w:val="000000" w:themeColor="text1"/>
          <w:sz w:val="24"/>
        </w:rPr>
        <w:t>at the lowest cost. </w:t>
      </w:r>
    </w:p>
    <w:p w14:paraId="2C6BEC0E" w14:textId="032633D5" w:rsidR="0086489C" w:rsidRDefault="002D0982" w:rsidP="007F73CF">
      <w:pPr>
        <w:spacing w:before="240" w:after="120" w:line="276" w:lineRule="auto"/>
        <w:jc w:val="both"/>
        <w:rPr>
          <w:rFonts w:asciiTheme="minorHAnsi" w:hAnsiTheme="minorHAnsi" w:cstheme="minorHAnsi"/>
          <w:b/>
          <w:bCs/>
          <w:color w:val="000000" w:themeColor="text1"/>
        </w:rPr>
      </w:pPr>
      <w:r w:rsidRPr="00D75BAB">
        <w:rPr>
          <w:rFonts w:asciiTheme="minorHAnsi" w:hAnsiTheme="minorHAnsi" w:cstheme="minorHAnsi"/>
          <w:b/>
          <w:bCs/>
          <w:color w:val="000000" w:themeColor="text1"/>
        </w:rPr>
        <w:tab/>
      </w:r>
      <w:r w:rsidR="00EB087C" w:rsidRPr="00D75BAB">
        <w:rPr>
          <w:rFonts w:asciiTheme="minorHAnsi" w:hAnsiTheme="minorHAnsi" w:cstheme="minorHAnsi"/>
          <w:b/>
          <w:bCs/>
          <w:color w:val="000000" w:themeColor="text1"/>
        </w:rPr>
        <w:t>3.1.2</w:t>
      </w:r>
      <w:r w:rsidR="00EB087C" w:rsidRPr="00D75BAB">
        <w:rPr>
          <w:rFonts w:asciiTheme="minorHAnsi" w:hAnsiTheme="minorHAnsi" w:cstheme="minorHAnsi"/>
          <w:b/>
          <w:bCs/>
          <w:color w:val="000000" w:themeColor="text1"/>
        </w:rPr>
        <w:tab/>
      </w:r>
      <w:r w:rsidR="0086489C" w:rsidRPr="00D75BAB">
        <w:rPr>
          <w:rFonts w:asciiTheme="minorHAnsi" w:hAnsiTheme="minorHAnsi" w:cstheme="minorHAnsi"/>
          <w:b/>
          <w:bCs/>
          <w:color w:val="000000" w:themeColor="text1"/>
        </w:rPr>
        <w:t>Construction Permit Request</w:t>
      </w:r>
      <w:r w:rsidR="00EB087C" w:rsidRPr="00D75BAB">
        <w:rPr>
          <w:rFonts w:asciiTheme="minorHAnsi" w:hAnsiTheme="minorHAnsi" w:cstheme="minorHAnsi"/>
          <w:b/>
          <w:bCs/>
          <w:color w:val="000000" w:themeColor="text1"/>
        </w:rPr>
        <w:t xml:space="preserve"> (phase 4.33)</w:t>
      </w:r>
    </w:p>
    <w:p w14:paraId="548BB1E2" w14:textId="2B2F9B6B" w:rsidR="00B95959" w:rsidRPr="00B95959" w:rsidRDefault="00B95959" w:rsidP="007A65D0">
      <w:p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szCs w:val="24"/>
          <w:lang w:eastAsia="zh-CN"/>
        </w:rPr>
      </w:pPr>
      <w:r w:rsidRPr="00B95959">
        <w:rPr>
          <w:rFonts w:asciiTheme="minorHAnsi" w:hAnsiTheme="minorHAnsi" w:cstheme="minorHAnsi"/>
          <w:szCs w:val="24"/>
          <w:lang w:eastAsia="zh-CN"/>
        </w:rPr>
        <w:t>Permit-obtaining procedure</w:t>
      </w:r>
      <w:r w:rsidR="00FA74A9">
        <w:rPr>
          <w:rFonts w:asciiTheme="minorHAnsi" w:hAnsiTheme="minorHAnsi" w:cstheme="minorHAnsi"/>
          <w:szCs w:val="24"/>
          <w:lang w:eastAsia="zh-CN"/>
        </w:rPr>
        <w:t xml:space="preserve">, </w:t>
      </w:r>
      <w:r w:rsidRPr="00B95959">
        <w:rPr>
          <w:rFonts w:asciiTheme="minorHAnsi" w:hAnsiTheme="minorHAnsi" w:cstheme="minorHAnsi"/>
          <w:szCs w:val="24"/>
          <w:lang w:eastAsia="zh-CN"/>
        </w:rPr>
        <w:t>submi</w:t>
      </w:r>
      <w:r w:rsidR="00FA74A9">
        <w:rPr>
          <w:rFonts w:asciiTheme="minorHAnsi" w:hAnsiTheme="minorHAnsi" w:cstheme="minorHAnsi"/>
          <w:szCs w:val="24"/>
          <w:lang w:eastAsia="zh-CN"/>
        </w:rPr>
        <w:t xml:space="preserve">ssion of </w:t>
      </w:r>
      <w:r w:rsidR="006821A6">
        <w:rPr>
          <w:rFonts w:asciiTheme="minorHAnsi" w:hAnsiTheme="minorHAnsi" w:cstheme="minorHAnsi"/>
          <w:szCs w:val="24"/>
          <w:lang w:eastAsia="zh-CN"/>
        </w:rPr>
        <w:t xml:space="preserve">the documentation </w:t>
      </w:r>
      <w:r w:rsidR="00F05EF7">
        <w:rPr>
          <w:rFonts w:asciiTheme="minorHAnsi" w:hAnsiTheme="minorHAnsi" w:cstheme="minorHAnsi"/>
          <w:szCs w:val="24"/>
          <w:lang w:eastAsia="zh-CN"/>
        </w:rPr>
        <w:t>provided in</w:t>
      </w:r>
      <w:r w:rsidR="006821A6">
        <w:rPr>
          <w:rFonts w:asciiTheme="minorHAnsi" w:hAnsiTheme="minorHAnsi" w:cstheme="minorHAnsi"/>
          <w:szCs w:val="24"/>
          <w:lang w:eastAsia="zh-CN"/>
        </w:rPr>
        <w:t xml:space="preserve"> the </w:t>
      </w:r>
      <w:r w:rsidR="008D0794">
        <w:rPr>
          <w:rFonts w:asciiTheme="minorHAnsi" w:hAnsiTheme="minorHAnsi" w:cstheme="minorHAnsi"/>
          <w:szCs w:val="24"/>
          <w:lang w:eastAsia="zh-CN"/>
        </w:rPr>
        <w:t>C</w:t>
      </w:r>
      <w:r w:rsidRPr="00B95959">
        <w:rPr>
          <w:rFonts w:asciiTheme="minorHAnsi" w:hAnsiTheme="minorHAnsi" w:cstheme="minorHAnsi"/>
          <w:szCs w:val="24"/>
          <w:lang w:eastAsia="zh-CN"/>
        </w:rPr>
        <w:t xml:space="preserve">onstruction </w:t>
      </w:r>
      <w:r w:rsidR="008D0794">
        <w:rPr>
          <w:rFonts w:asciiTheme="minorHAnsi" w:hAnsiTheme="minorHAnsi" w:cstheme="minorHAnsi"/>
          <w:szCs w:val="24"/>
          <w:lang w:eastAsia="zh-CN"/>
        </w:rPr>
        <w:t>P</w:t>
      </w:r>
      <w:r w:rsidRPr="00B95959">
        <w:rPr>
          <w:rFonts w:asciiTheme="minorHAnsi" w:hAnsiTheme="minorHAnsi" w:cstheme="minorHAnsi"/>
          <w:szCs w:val="24"/>
          <w:lang w:eastAsia="zh-CN"/>
        </w:rPr>
        <w:t xml:space="preserve">roject </w:t>
      </w:r>
      <w:r w:rsidR="006821A6">
        <w:rPr>
          <w:rFonts w:asciiTheme="minorHAnsi" w:hAnsiTheme="minorHAnsi" w:cstheme="minorHAnsi"/>
          <w:szCs w:val="24"/>
          <w:lang w:eastAsia="zh-CN"/>
        </w:rPr>
        <w:t>stage.</w:t>
      </w:r>
    </w:p>
    <w:p w14:paraId="543A081A" w14:textId="6EE94288" w:rsidR="00317257" w:rsidRPr="00BF79F1" w:rsidRDefault="00B95959" w:rsidP="007A65D0">
      <w:pPr>
        <w:spacing w:before="240" w:after="120"/>
        <w:jc w:val="both"/>
        <w:rPr>
          <w:rFonts w:asciiTheme="minorHAnsi" w:hAnsiTheme="minorHAnsi" w:cstheme="minorHAnsi"/>
          <w:szCs w:val="24"/>
          <w:lang w:eastAsia="zh-CN"/>
        </w:rPr>
      </w:pPr>
      <w:r w:rsidRPr="0065289E">
        <w:rPr>
          <w:rFonts w:asciiTheme="minorHAnsi" w:hAnsiTheme="minorHAnsi" w:cstheme="minorHAnsi"/>
          <w:szCs w:val="24"/>
          <w:lang w:eastAsia="zh-CN"/>
        </w:rPr>
        <w:t xml:space="preserve">Goals: </w:t>
      </w:r>
      <w:r w:rsidR="00B211B3">
        <w:rPr>
          <w:rFonts w:asciiTheme="minorHAnsi" w:hAnsiTheme="minorHAnsi" w:cstheme="minorHAnsi"/>
          <w:szCs w:val="24"/>
          <w:lang w:eastAsia="zh-CN"/>
        </w:rPr>
        <w:t>obtain construction permit authorization from the local authorities.</w:t>
      </w:r>
    </w:p>
    <w:p w14:paraId="500719E4" w14:textId="7C439546" w:rsidR="009F084B" w:rsidRDefault="008E7AF5" w:rsidP="007A65D0">
      <w:pPr>
        <w:pStyle w:val="ListParagraph"/>
        <w:numPr>
          <w:ilvl w:val="0"/>
          <w:numId w:val="35"/>
        </w:numPr>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March </w:t>
      </w:r>
      <w:r w:rsidR="00626747">
        <w:rPr>
          <w:rFonts w:asciiTheme="minorHAnsi" w:hAnsiTheme="minorHAnsi" w:cstheme="minorHAnsi"/>
          <w:color w:val="000000" w:themeColor="text1"/>
          <w:sz w:val="24"/>
        </w:rPr>
        <w:t>to</w:t>
      </w:r>
      <w:r>
        <w:rPr>
          <w:rFonts w:asciiTheme="minorHAnsi" w:hAnsiTheme="minorHAnsi" w:cstheme="minorHAnsi"/>
          <w:color w:val="000000" w:themeColor="text1"/>
          <w:sz w:val="24"/>
        </w:rPr>
        <w:t xml:space="preserve"> October</w:t>
      </w:r>
      <w:r w:rsidR="00626747">
        <w:rPr>
          <w:rFonts w:asciiTheme="minorHAnsi" w:hAnsiTheme="minorHAnsi" w:cstheme="minorHAnsi"/>
          <w:color w:val="000000" w:themeColor="text1"/>
          <w:sz w:val="24"/>
        </w:rPr>
        <w:t xml:space="preserve"> </w:t>
      </w:r>
      <w:r w:rsidR="009F084B">
        <w:rPr>
          <w:rFonts w:asciiTheme="minorHAnsi" w:hAnsiTheme="minorHAnsi" w:cstheme="minorHAnsi"/>
          <w:color w:val="000000" w:themeColor="text1"/>
          <w:sz w:val="24"/>
        </w:rPr>
        <w:t>-</w:t>
      </w:r>
      <w:r w:rsidR="00626747">
        <w:rPr>
          <w:rFonts w:asciiTheme="minorHAnsi" w:hAnsiTheme="minorHAnsi" w:cstheme="minorHAnsi"/>
          <w:color w:val="000000" w:themeColor="text1"/>
          <w:sz w:val="24"/>
        </w:rPr>
        <w:t xml:space="preserve"> </w:t>
      </w:r>
      <w:r w:rsidR="00097DEE">
        <w:rPr>
          <w:rFonts w:asciiTheme="minorHAnsi" w:hAnsiTheme="minorHAnsi" w:cstheme="minorHAnsi"/>
          <w:color w:val="000000" w:themeColor="text1"/>
          <w:sz w:val="24"/>
        </w:rPr>
        <w:t xml:space="preserve">Consultation of </w:t>
      </w:r>
      <w:r w:rsidR="00AF5CBC">
        <w:rPr>
          <w:rFonts w:asciiTheme="minorHAnsi" w:hAnsiTheme="minorHAnsi" w:cstheme="minorHAnsi"/>
          <w:color w:val="000000" w:themeColor="text1"/>
          <w:sz w:val="24"/>
        </w:rPr>
        <w:t xml:space="preserve">local authorities </w:t>
      </w:r>
      <w:r w:rsidR="008A5373">
        <w:rPr>
          <w:rFonts w:asciiTheme="minorHAnsi" w:hAnsiTheme="minorHAnsi" w:cstheme="minorHAnsi"/>
          <w:color w:val="000000" w:themeColor="text1"/>
          <w:sz w:val="24"/>
        </w:rPr>
        <w:t>see point 3.3</w:t>
      </w:r>
    </w:p>
    <w:p w14:paraId="2AAF1F63" w14:textId="11970FCE" w:rsidR="009F084B" w:rsidRDefault="00DB4E2C" w:rsidP="007A65D0">
      <w:pPr>
        <w:pStyle w:val="ListParagraph"/>
        <w:numPr>
          <w:ilvl w:val="0"/>
          <w:numId w:val="35"/>
        </w:numPr>
        <w:jc w:val="both"/>
        <w:rPr>
          <w:rFonts w:asciiTheme="minorHAnsi" w:hAnsiTheme="minorHAnsi" w:cstheme="minorHAnsi"/>
          <w:color w:val="000000" w:themeColor="text1"/>
          <w:sz w:val="24"/>
        </w:rPr>
      </w:pPr>
      <w:r w:rsidRPr="009F084B">
        <w:rPr>
          <w:rFonts w:asciiTheme="minorHAnsi" w:hAnsiTheme="minorHAnsi" w:cstheme="minorHAnsi"/>
          <w:color w:val="000000" w:themeColor="text1"/>
          <w:sz w:val="24"/>
        </w:rPr>
        <w:t>Oct</w:t>
      </w:r>
      <w:r w:rsidR="00FB113B" w:rsidRPr="009F084B">
        <w:rPr>
          <w:rFonts w:asciiTheme="minorHAnsi" w:hAnsiTheme="minorHAnsi" w:cstheme="minorHAnsi"/>
          <w:color w:val="000000" w:themeColor="text1"/>
          <w:sz w:val="24"/>
        </w:rPr>
        <w:t xml:space="preserve">ober 2020 </w:t>
      </w:r>
      <w:r w:rsidR="009F084B">
        <w:rPr>
          <w:rFonts w:asciiTheme="minorHAnsi" w:hAnsiTheme="minorHAnsi" w:cstheme="minorHAnsi"/>
          <w:color w:val="000000" w:themeColor="text1"/>
          <w:sz w:val="24"/>
        </w:rPr>
        <w:t>-</w:t>
      </w:r>
      <w:r w:rsidRPr="009F084B">
        <w:rPr>
          <w:rFonts w:asciiTheme="minorHAnsi" w:hAnsiTheme="minorHAnsi" w:cstheme="minorHAnsi"/>
          <w:color w:val="000000" w:themeColor="text1"/>
          <w:sz w:val="24"/>
        </w:rPr>
        <w:t xml:space="preserve"> </w:t>
      </w:r>
      <w:r w:rsidR="00FB113B" w:rsidRPr="009F084B">
        <w:rPr>
          <w:rFonts w:asciiTheme="minorHAnsi" w:hAnsiTheme="minorHAnsi" w:cstheme="minorHAnsi"/>
          <w:color w:val="000000" w:themeColor="text1"/>
          <w:sz w:val="24"/>
        </w:rPr>
        <w:t>Submission of d</w:t>
      </w:r>
      <w:r w:rsidRPr="009F084B">
        <w:rPr>
          <w:rFonts w:asciiTheme="minorHAnsi" w:hAnsiTheme="minorHAnsi" w:cstheme="minorHAnsi"/>
          <w:color w:val="000000" w:themeColor="text1"/>
          <w:sz w:val="24"/>
        </w:rPr>
        <w:t xml:space="preserve">raft Permitting </w:t>
      </w:r>
      <w:r w:rsidR="00FB113B" w:rsidRPr="009F084B">
        <w:rPr>
          <w:rFonts w:asciiTheme="minorHAnsi" w:hAnsiTheme="minorHAnsi" w:cstheme="minorHAnsi"/>
          <w:color w:val="000000" w:themeColor="text1"/>
          <w:sz w:val="24"/>
        </w:rPr>
        <w:t>R</w:t>
      </w:r>
      <w:r w:rsidRPr="009F084B">
        <w:rPr>
          <w:rFonts w:asciiTheme="minorHAnsi" w:hAnsiTheme="minorHAnsi" w:cstheme="minorHAnsi"/>
          <w:color w:val="000000" w:themeColor="text1"/>
          <w:sz w:val="24"/>
        </w:rPr>
        <w:t>equest</w:t>
      </w:r>
    </w:p>
    <w:p w14:paraId="3DB01668" w14:textId="1A542F81" w:rsidR="00451656" w:rsidRPr="009F084B" w:rsidRDefault="00DB4E2C" w:rsidP="007A65D0">
      <w:pPr>
        <w:pStyle w:val="ListParagraph"/>
        <w:numPr>
          <w:ilvl w:val="0"/>
          <w:numId w:val="35"/>
        </w:numPr>
        <w:jc w:val="both"/>
        <w:rPr>
          <w:rFonts w:asciiTheme="minorHAnsi" w:hAnsiTheme="minorHAnsi" w:cstheme="minorHAnsi"/>
          <w:color w:val="000000" w:themeColor="text1"/>
          <w:sz w:val="24"/>
        </w:rPr>
      </w:pPr>
      <w:r w:rsidRPr="009F084B">
        <w:rPr>
          <w:rFonts w:asciiTheme="minorHAnsi" w:hAnsiTheme="minorHAnsi" w:cstheme="minorHAnsi"/>
          <w:color w:val="000000" w:themeColor="text1"/>
          <w:sz w:val="24"/>
        </w:rPr>
        <w:t>Dec</w:t>
      </w:r>
      <w:r w:rsidR="00FB113B" w:rsidRPr="009F084B">
        <w:rPr>
          <w:rFonts w:asciiTheme="minorHAnsi" w:hAnsiTheme="minorHAnsi" w:cstheme="minorHAnsi"/>
          <w:color w:val="000000" w:themeColor="text1"/>
          <w:sz w:val="24"/>
        </w:rPr>
        <w:t>ember</w:t>
      </w:r>
      <w:r w:rsidRPr="009F084B">
        <w:rPr>
          <w:rFonts w:asciiTheme="minorHAnsi" w:hAnsiTheme="minorHAnsi" w:cstheme="minorHAnsi"/>
          <w:color w:val="000000" w:themeColor="text1"/>
          <w:sz w:val="24"/>
        </w:rPr>
        <w:t xml:space="preserve"> </w:t>
      </w:r>
      <w:r w:rsidR="00FB113B" w:rsidRPr="009F084B">
        <w:rPr>
          <w:rFonts w:asciiTheme="minorHAnsi" w:hAnsiTheme="minorHAnsi" w:cstheme="minorHAnsi"/>
          <w:color w:val="000000" w:themeColor="text1"/>
          <w:sz w:val="24"/>
        </w:rPr>
        <w:t xml:space="preserve">- </w:t>
      </w:r>
      <w:r w:rsidRPr="009F084B">
        <w:rPr>
          <w:rFonts w:asciiTheme="minorHAnsi" w:hAnsiTheme="minorHAnsi" w:cstheme="minorHAnsi"/>
          <w:color w:val="000000" w:themeColor="text1"/>
          <w:sz w:val="24"/>
        </w:rPr>
        <w:t>Submission of Permitting request to local authorities</w:t>
      </w:r>
    </w:p>
    <w:p w14:paraId="41D3836B" w14:textId="6A6572D0" w:rsidR="00562E68" w:rsidRDefault="00562E68" w:rsidP="005B7A74">
      <w:pPr>
        <w:pStyle w:val="ListParagraph"/>
        <w:spacing w:line="276" w:lineRule="auto"/>
        <w:ind w:left="0"/>
        <w:jc w:val="both"/>
        <w:rPr>
          <w:rFonts w:asciiTheme="minorHAnsi" w:hAnsiTheme="minorHAnsi" w:cstheme="minorHAnsi"/>
          <w:color w:val="000000" w:themeColor="text1"/>
          <w:sz w:val="24"/>
        </w:rPr>
      </w:pPr>
    </w:p>
    <w:p w14:paraId="66F42B4C" w14:textId="4D4C2EEF" w:rsidR="00CE69AF" w:rsidRDefault="008D0794" w:rsidP="005B7A74">
      <w:pPr>
        <w:pStyle w:val="ListParagraph"/>
        <w:spacing w:line="276" w:lineRule="auto"/>
        <w:ind w:left="0"/>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Estimated </w:t>
      </w:r>
      <w:r w:rsidR="00562E68">
        <w:rPr>
          <w:rFonts w:asciiTheme="minorHAnsi" w:hAnsiTheme="minorHAnsi" w:cstheme="minorHAnsi"/>
          <w:color w:val="000000" w:themeColor="text1"/>
          <w:sz w:val="24"/>
        </w:rPr>
        <w:t>time to obtain the construction permit is between 3 to 6 month</w:t>
      </w:r>
      <w:r w:rsidR="00023561">
        <w:rPr>
          <w:rFonts w:asciiTheme="minorHAnsi" w:hAnsiTheme="minorHAnsi" w:cstheme="minorHAnsi"/>
          <w:color w:val="000000" w:themeColor="text1"/>
          <w:sz w:val="24"/>
        </w:rPr>
        <w:t>s</w:t>
      </w:r>
      <w:r w:rsidR="00562E68">
        <w:rPr>
          <w:rFonts w:asciiTheme="minorHAnsi" w:hAnsiTheme="minorHAnsi" w:cstheme="minorHAnsi"/>
          <w:color w:val="000000" w:themeColor="text1"/>
          <w:sz w:val="24"/>
        </w:rPr>
        <w:t>.</w:t>
      </w:r>
    </w:p>
    <w:p w14:paraId="434BAD20" w14:textId="3E088B7E" w:rsidR="0086489C" w:rsidRPr="00D75BAB" w:rsidRDefault="0086489C" w:rsidP="007E69E6">
      <w:pPr>
        <w:spacing w:before="240" w:after="120" w:line="276" w:lineRule="auto"/>
        <w:jc w:val="both"/>
        <w:rPr>
          <w:rFonts w:asciiTheme="minorHAnsi" w:hAnsiTheme="minorHAnsi" w:cstheme="minorHAnsi"/>
          <w:b/>
          <w:bCs/>
          <w:color w:val="000000" w:themeColor="text1"/>
        </w:rPr>
      </w:pPr>
      <w:r w:rsidRPr="00D75BAB">
        <w:rPr>
          <w:rFonts w:asciiTheme="minorHAnsi" w:hAnsiTheme="minorHAnsi" w:cstheme="minorHAnsi"/>
          <w:b/>
          <w:bCs/>
          <w:color w:val="000000" w:themeColor="text1"/>
        </w:rPr>
        <w:t>3.3</w:t>
      </w:r>
      <w:r w:rsidRPr="00D75BAB">
        <w:rPr>
          <w:rFonts w:asciiTheme="minorHAnsi" w:hAnsiTheme="minorHAnsi" w:cstheme="minorHAnsi"/>
          <w:b/>
          <w:bCs/>
          <w:color w:val="000000" w:themeColor="text1"/>
        </w:rPr>
        <w:tab/>
        <w:t>Consultation of Local Authorities</w:t>
      </w:r>
    </w:p>
    <w:p w14:paraId="68DC3537" w14:textId="543510FB" w:rsidR="004B1CD5" w:rsidRDefault="00397A6E" w:rsidP="007A65D0">
      <w:pPr>
        <w:spacing w:before="240" w:after="120"/>
        <w:jc w:val="both"/>
        <w:rPr>
          <w:rFonts w:asciiTheme="minorHAnsi" w:hAnsiTheme="minorHAnsi" w:cstheme="minorHAnsi"/>
          <w:color w:val="000000" w:themeColor="text1"/>
          <w:lang w:val="en-US"/>
        </w:rPr>
      </w:pPr>
      <w:r>
        <w:rPr>
          <w:rFonts w:asciiTheme="minorHAnsi" w:hAnsiTheme="minorHAnsi" w:cstheme="minorHAnsi"/>
          <w:color w:val="000000" w:themeColor="text1"/>
          <w:lang w:val="en-US"/>
        </w:rPr>
        <w:t xml:space="preserve">In order to ensure a smooth and fast </w:t>
      </w:r>
      <w:r w:rsidR="00504C1C">
        <w:rPr>
          <w:rFonts w:asciiTheme="minorHAnsi" w:hAnsiTheme="minorHAnsi" w:cstheme="minorHAnsi"/>
          <w:color w:val="000000" w:themeColor="text1"/>
          <w:lang w:val="en-US"/>
        </w:rPr>
        <w:t xml:space="preserve">approval </w:t>
      </w:r>
      <w:r>
        <w:rPr>
          <w:rFonts w:asciiTheme="minorHAnsi" w:hAnsiTheme="minorHAnsi" w:cstheme="minorHAnsi"/>
          <w:color w:val="000000" w:themeColor="text1"/>
          <w:lang w:val="en-US"/>
        </w:rPr>
        <w:t>process, c</w:t>
      </w:r>
      <w:r w:rsidR="00DB4E2C" w:rsidRPr="00D75BAB">
        <w:rPr>
          <w:rFonts w:asciiTheme="minorHAnsi" w:hAnsiTheme="minorHAnsi" w:cstheme="minorHAnsi"/>
          <w:color w:val="000000" w:themeColor="text1"/>
          <w:lang w:val="en-US"/>
        </w:rPr>
        <w:t xml:space="preserve">onsultations with local authorities </w:t>
      </w:r>
      <w:r>
        <w:rPr>
          <w:rFonts w:asciiTheme="minorHAnsi" w:hAnsiTheme="minorHAnsi" w:cstheme="minorHAnsi"/>
          <w:color w:val="000000" w:themeColor="text1"/>
          <w:lang w:val="en-US"/>
        </w:rPr>
        <w:t>are taking place to</w:t>
      </w:r>
      <w:r w:rsidR="00DB4E2C" w:rsidRPr="00D75BAB">
        <w:rPr>
          <w:rFonts w:asciiTheme="minorHAnsi" w:hAnsiTheme="minorHAnsi" w:cstheme="minorHAnsi"/>
          <w:color w:val="000000" w:themeColor="text1"/>
          <w:lang w:val="en-US"/>
        </w:rPr>
        <w:t xml:space="preserve"> anticipate </w:t>
      </w:r>
      <w:r w:rsidR="00504C1C">
        <w:rPr>
          <w:rFonts w:asciiTheme="minorHAnsi" w:hAnsiTheme="minorHAnsi" w:cstheme="minorHAnsi"/>
          <w:color w:val="000000" w:themeColor="text1"/>
          <w:lang w:val="en-US"/>
        </w:rPr>
        <w:t xml:space="preserve">the </w:t>
      </w:r>
      <w:r w:rsidR="00DB4E2C" w:rsidRPr="00D75BAB">
        <w:rPr>
          <w:rFonts w:asciiTheme="minorHAnsi" w:hAnsiTheme="minorHAnsi" w:cstheme="minorHAnsi"/>
          <w:color w:val="000000" w:themeColor="text1"/>
          <w:lang w:val="en-US"/>
        </w:rPr>
        <w:t xml:space="preserve">construction permit </w:t>
      </w:r>
      <w:r w:rsidR="006C188C" w:rsidRPr="00D75BAB">
        <w:rPr>
          <w:rFonts w:asciiTheme="minorHAnsi" w:hAnsiTheme="minorHAnsi" w:cstheme="minorHAnsi"/>
          <w:color w:val="000000" w:themeColor="text1"/>
          <w:lang w:val="en-US"/>
        </w:rPr>
        <w:t>authorization.</w:t>
      </w:r>
      <w:r>
        <w:rPr>
          <w:rFonts w:asciiTheme="minorHAnsi" w:hAnsiTheme="minorHAnsi" w:cstheme="minorHAnsi"/>
          <w:color w:val="000000" w:themeColor="text1"/>
          <w:lang w:val="en-US"/>
        </w:rPr>
        <w:t xml:space="preserve"> In fact, as from lessons learned from other construction projects, it is known that the different local offices give their consent if they have been informed and consulted on eventual critical issues at an early stage and that solutions are developed jointly prior to the submission of the permitting authorization documentation. </w:t>
      </w:r>
      <w:r w:rsidR="006E5A16">
        <w:rPr>
          <w:rFonts w:asciiTheme="minorHAnsi" w:hAnsiTheme="minorHAnsi" w:cstheme="minorHAnsi"/>
          <w:color w:val="000000" w:themeColor="text1"/>
          <w:lang w:val="en-US"/>
        </w:rPr>
        <w:t xml:space="preserve">The list of consultation is </w:t>
      </w:r>
      <w:r w:rsidR="006E5A16" w:rsidRPr="00163C86">
        <w:rPr>
          <w:rFonts w:asciiTheme="minorHAnsi" w:hAnsiTheme="minorHAnsi" w:cstheme="minorHAnsi"/>
          <w:color w:val="000000" w:themeColor="text1"/>
          <w:lang w:val="en-US"/>
        </w:rPr>
        <w:t xml:space="preserve">available </w:t>
      </w:r>
      <w:hyperlink r:id="rId34" w:history="1">
        <w:r w:rsidR="00163C86" w:rsidRPr="005A230D">
          <w:rPr>
            <w:rStyle w:val="Hyperlink"/>
            <w:rFonts w:asciiTheme="minorHAnsi" w:hAnsiTheme="minorHAnsi" w:cstheme="minorHAnsi"/>
            <w:lang w:val="en-US"/>
          </w:rPr>
          <w:t>here</w:t>
        </w:r>
      </w:hyperlink>
      <w:r w:rsidR="006E5A16">
        <w:rPr>
          <w:rFonts w:asciiTheme="minorHAnsi" w:hAnsiTheme="minorHAnsi" w:cstheme="minorHAnsi"/>
          <w:color w:val="000000" w:themeColor="text1"/>
          <w:lang w:val="en-US"/>
        </w:rPr>
        <w:t>.</w:t>
      </w:r>
    </w:p>
    <w:p w14:paraId="493D8EE0" w14:textId="77777777" w:rsidR="0086489C" w:rsidRPr="00D75BAB" w:rsidRDefault="0086489C" w:rsidP="007E69E6">
      <w:pPr>
        <w:spacing w:before="240" w:after="120" w:line="276" w:lineRule="auto"/>
        <w:jc w:val="both"/>
        <w:rPr>
          <w:rFonts w:asciiTheme="minorHAnsi" w:hAnsiTheme="minorHAnsi" w:cstheme="minorHAnsi"/>
          <w:b/>
          <w:bCs/>
          <w:color w:val="000000" w:themeColor="text1"/>
        </w:rPr>
      </w:pPr>
      <w:r w:rsidRPr="00D75BAB">
        <w:rPr>
          <w:rFonts w:asciiTheme="minorHAnsi" w:hAnsiTheme="minorHAnsi" w:cstheme="minorHAnsi"/>
          <w:b/>
          <w:bCs/>
          <w:color w:val="000000" w:themeColor="text1"/>
        </w:rPr>
        <w:t>3.4</w:t>
      </w:r>
      <w:r w:rsidRPr="00D75BAB">
        <w:rPr>
          <w:rFonts w:asciiTheme="minorHAnsi" w:hAnsiTheme="minorHAnsi" w:cstheme="minorHAnsi"/>
          <w:b/>
          <w:bCs/>
          <w:color w:val="000000" w:themeColor="text1"/>
        </w:rPr>
        <w:tab/>
        <w:t>Implementation of UNDSS requirements for UN MOSS compliance on the public domain</w:t>
      </w:r>
    </w:p>
    <w:p w14:paraId="599EF094" w14:textId="249BB496" w:rsidR="0086489C" w:rsidRPr="00D75BAB" w:rsidRDefault="0086489C" w:rsidP="007A65D0">
      <w:pPr>
        <w:spacing w:before="240" w:after="120"/>
        <w:jc w:val="both"/>
        <w:rPr>
          <w:rFonts w:asciiTheme="minorHAnsi" w:hAnsiTheme="minorHAnsi" w:cstheme="minorHAnsi"/>
          <w:color w:val="000000" w:themeColor="text1"/>
        </w:rPr>
      </w:pPr>
      <w:r w:rsidRPr="00D75BAB">
        <w:rPr>
          <w:rFonts w:asciiTheme="minorHAnsi" w:hAnsiTheme="minorHAnsi" w:cstheme="minorHAnsi"/>
          <w:color w:val="000000" w:themeColor="text1"/>
        </w:rPr>
        <w:t>The requirement for the implementation of UNDSS requirements is part of a separate process initiated together with the Host Country to address UN MOSS compliance</w:t>
      </w:r>
      <w:r w:rsidR="00C221C5">
        <w:rPr>
          <w:rFonts w:asciiTheme="minorHAnsi" w:hAnsiTheme="minorHAnsi" w:cstheme="minorHAnsi"/>
          <w:color w:val="000000" w:themeColor="text1"/>
        </w:rPr>
        <w:t xml:space="preserve"> on the public domain</w:t>
      </w:r>
      <w:r w:rsidRPr="00D75BAB">
        <w:rPr>
          <w:rFonts w:asciiTheme="minorHAnsi" w:hAnsiTheme="minorHAnsi" w:cstheme="minorHAnsi"/>
          <w:color w:val="000000" w:themeColor="text1"/>
        </w:rPr>
        <w:t xml:space="preserve">. </w:t>
      </w:r>
    </w:p>
    <w:p w14:paraId="5A0BF753" w14:textId="2482D9C7" w:rsidR="006408A7" w:rsidRPr="00D75BAB" w:rsidRDefault="00267910" w:rsidP="007A65D0">
      <w:pPr>
        <w:spacing w:before="240" w:after="120"/>
        <w:jc w:val="both"/>
        <w:rPr>
          <w:rFonts w:asciiTheme="minorHAnsi" w:hAnsiTheme="minorHAnsi" w:cstheme="minorHAnsi"/>
          <w:color w:val="000000" w:themeColor="text1"/>
        </w:rPr>
      </w:pPr>
      <w:r>
        <w:rPr>
          <w:rFonts w:asciiTheme="minorHAnsi" w:hAnsiTheme="minorHAnsi" w:cstheme="minorHAnsi"/>
          <w:color w:val="000000" w:themeColor="text1"/>
          <w:lang w:val="en-US"/>
        </w:rPr>
        <w:t>A c</w:t>
      </w:r>
      <w:r w:rsidR="006408A7" w:rsidRPr="00D75BAB">
        <w:rPr>
          <w:rFonts w:asciiTheme="minorHAnsi" w:hAnsiTheme="minorHAnsi" w:cstheme="minorHAnsi"/>
          <w:color w:val="000000" w:themeColor="text1"/>
          <w:lang w:val="en-US"/>
        </w:rPr>
        <w:t xml:space="preserve">oordination meeting on security risk assessment and initiation of feasibility study lead by the Host Country </w:t>
      </w:r>
      <w:r w:rsidR="0053489D">
        <w:rPr>
          <w:rFonts w:asciiTheme="minorHAnsi" w:hAnsiTheme="minorHAnsi" w:cstheme="minorHAnsi"/>
          <w:color w:val="000000" w:themeColor="text1"/>
          <w:lang w:val="en-US"/>
        </w:rPr>
        <w:t>to</w:t>
      </w:r>
      <w:r w:rsidR="00884871">
        <w:rPr>
          <w:rFonts w:asciiTheme="minorHAnsi" w:hAnsiTheme="minorHAnsi" w:cstheme="minorHAnsi"/>
          <w:color w:val="000000" w:themeColor="text1"/>
          <w:lang w:val="en-US"/>
        </w:rPr>
        <w:t>ok</w:t>
      </w:r>
      <w:r w:rsidR="0053489D">
        <w:rPr>
          <w:rFonts w:asciiTheme="minorHAnsi" w:hAnsiTheme="minorHAnsi" w:cstheme="minorHAnsi"/>
          <w:color w:val="000000" w:themeColor="text1"/>
          <w:lang w:val="en-US"/>
        </w:rPr>
        <w:t xml:space="preserve"> place in January 2020. The </w:t>
      </w:r>
      <w:r w:rsidR="006408A7" w:rsidRPr="00D75BAB">
        <w:rPr>
          <w:rFonts w:asciiTheme="minorHAnsi" w:hAnsiTheme="minorHAnsi" w:cstheme="minorHAnsi"/>
          <w:color w:val="000000" w:themeColor="text1"/>
          <w:lang w:val="en-US"/>
        </w:rPr>
        <w:t xml:space="preserve">following </w:t>
      </w:r>
      <w:r w:rsidR="004A2FD5">
        <w:rPr>
          <w:rFonts w:asciiTheme="minorHAnsi" w:hAnsiTheme="minorHAnsi" w:cstheme="minorHAnsi"/>
          <w:color w:val="000000" w:themeColor="text1"/>
          <w:lang w:val="en-US"/>
        </w:rPr>
        <w:t xml:space="preserve">response </w:t>
      </w:r>
      <w:r w:rsidR="006408A7" w:rsidRPr="00D75BAB">
        <w:rPr>
          <w:rFonts w:asciiTheme="minorHAnsi" w:hAnsiTheme="minorHAnsi" w:cstheme="minorHAnsi"/>
          <w:color w:val="000000" w:themeColor="text1"/>
          <w:lang w:val="en-US"/>
        </w:rPr>
        <w:t>time</w:t>
      </w:r>
      <w:r w:rsidR="004A2FD5">
        <w:rPr>
          <w:rFonts w:asciiTheme="minorHAnsi" w:hAnsiTheme="minorHAnsi" w:cstheme="minorHAnsi"/>
          <w:color w:val="000000" w:themeColor="text1"/>
          <w:lang w:val="en-US"/>
        </w:rPr>
        <w:t xml:space="preserve"> was anticipated:</w:t>
      </w:r>
    </w:p>
    <w:p w14:paraId="181C1D92" w14:textId="3935480F" w:rsidR="006408A7" w:rsidRPr="004A2FD5" w:rsidRDefault="006408A7" w:rsidP="004A2FD5">
      <w:pPr>
        <w:pStyle w:val="ListParagraph"/>
        <w:numPr>
          <w:ilvl w:val="0"/>
          <w:numId w:val="33"/>
        </w:numPr>
        <w:spacing w:line="276" w:lineRule="auto"/>
        <w:jc w:val="both"/>
        <w:rPr>
          <w:rFonts w:asciiTheme="minorHAnsi" w:hAnsiTheme="minorHAnsi" w:cstheme="minorHAnsi"/>
          <w:color w:val="000000" w:themeColor="text1"/>
          <w:sz w:val="24"/>
        </w:rPr>
      </w:pPr>
      <w:r w:rsidRPr="004A2FD5">
        <w:rPr>
          <w:rFonts w:asciiTheme="minorHAnsi" w:hAnsiTheme="minorHAnsi" w:cstheme="minorHAnsi"/>
          <w:color w:val="000000" w:themeColor="text1"/>
          <w:sz w:val="24"/>
        </w:rPr>
        <w:t>Jan – Mar 2020: S</w:t>
      </w:r>
      <w:r w:rsidR="00F92CD7">
        <w:rPr>
          <w:rFonts w:asciiTheme="minorHAnsi" w:hAnsiTheme="minorHAnsi" w:cstheme="minorHAnsi"/>
          <w:color w:val="000000" w:themeColor="text1"/>
          <w:sz w:val="24"/>
        </w:rPr>
        <w:t xml:space="preserve">cope </w:t>
      </w:r>
      <w:r w:rsidRPr="004A2FD5">
        <w:rPr>
          <w:rFonts w:asciiTheme="minorHAnsi" w:hAnsiTheme="minorHAnsi" w:cstheme="minorHAnsi"/>
          <w:color w:val="000000" w:themeColor="text1"/>
          <w:sz w:val="24"/>
        </w:rPr>
        <w:t>o</w:t>
      </w:r>
      <w:r w:rsidR="00F92CD7">
        <w:rPr>
          <w:rFonts w:asciiTheme="minorHAnsi" w:hAnsiTheme="minorHAnsi" w:cstheme="minorHAnsi"/>
          <w:color w:val="000000" w:themeColor="text1"/>
          <w:sz w:val="24"/>
        </w:rPr>
        <w:t xml:space="preserve">f </w:t>
      </w:r>
      <w:r w:rsidRPr="004A2FD5">
        <w:rPr>
          <w:rFonts w:asciiTheme="minorHAnsi" w:hAnsiTheme="minorHAnsi" w:cstheme="minorHAnsi"/>
          <w:color w:val="000000" w:themeColor="text1"/>
          <w:sz w:val="24"/>
        </w:rPr>
        <w:t>W</w:t>
      </w:r>
      <w:r w:rsidR="00F92CD7">
        <w:rPr>
          <w:rFonts w:asciiTheme="minorHAnsi" w:hAnsiTheme="minorHAnsi" w:cstheme="minorHAnsi"/>
          <w:color w:val="000000" w:themeColor="text1"/>
          <w:sz w:val="24"/>
        </w:rPr>
        <w:t>ork</w:t>
      </w:r>
      <w:r w:rsidRPr="004A2FD5">
        <w:rPr>
          <w:rFonts w:asciiTheme="minorHAnsi" w:hAnsiTheme="minorHAnsi" w:cstheme="minorHAnsi"/>
          <w:color w:val="000000" w:themeColor="text1"/>
          <w:sz w:val="24"/>
        </w:rPr>
        <w:t xml:space="preserve"> including stakeholder requirements (all parties concerned – not only ITU)</w:t>
      </w:r>
    </w:p>
    <w:p w14:paraId="09A72B88" w14:textId="36E6E56A" w:rsidR="006408A7" w:rsidRPr="004A2FD5" w:rsidRDefault="006408A7" w:rsidP="004A2FD5">
      <w:pPr>
        <w:pStyle w:val="ListParagraph"/>
        <w:numPr>
          <w:ilvl w:val="0"/>
          <w:numId w:val="33"/>
        </w:numPr>
        <w:spacing w:line="276" w:lineRule="auto"/>
        <w:jc w:val="both"/>
        <w:rPr>
          <w:rFonts w:asciiTheme="minorHAnsi" w:hAnsiTheme="minorHAnsi" w:cstheme="minorHAnsi"/>
          <w:color w:val="000000" w:themeColor="text1"/>
          <w:sz w:val="24"/>
        </w:rPr>
      </w:pPr>
      <w:r w:rsidRPr="004A2FD5">
        <w:rPr>
          <w:rFonts w:asciiTheme="minorHAnsi" w:hAnsiTheme="minorHAnsi" w:cstheme="minorHAnsi"/>
          <w:color w:val="000000" w:themeColor="text1"/>
          <w:sz w:val="24"/>
        </w:rPr>
        <w:t>Apr – Aug 2020:</w:t>
      </w:r>
      <w:r w:rsidR="004A2FD5">
        <w:rPr>
          <w:rFonts w:asciiTheme="minorHAnsi" w:hAnsiTheme="minorHAnsi" w:cstheme="minorHAnsi"/>
          <w:color w:val="000000" w:themeColor="text1"/>
          <w:sz w:val="24"/>
        </w:rPr>
        <w:t xml:space="preserve"> </w:t>
      </w:r>
      <w:r w:rsidRPr="004A2FD5">
        <w:rPr>
          <w:rFonts w:asciiTheme="minorHAnsi" w:hAnsiTheme="minorHAnsi" w:cstheme="minorHAnsi"/>
          <w:color w:val="000000" w:themeColor="text1"/>
          <w:sz w:val="24"/>
        </w:rPr>
        <w:t>Call for bid and selection of awardee</w:t>
      </w:r>
    </w:p>
    <w:p w14:paraId="5B55F517" w14:textId="2353FD63" w:rsidR="006408A7" w:rsidRPr="004A2FD5" w:rsidRDefault="006408A7" w:rsidP="004A2FD5">
      <w:pPr>
        <w:pStyle w:val="ListParagraph"/>
        <w:numPr>
          <w:ilvl w:val="0"/>
          <w:numId w:val="33"/>
        </w:numPr>
        <w:spacing w:line="276" w:lineRule="auto"/>
        <w:jc w:val="both"/>
        <w:rPr>
          <w:rFonts w:asciiTheme="minorHAnsi" w:hAnsiTheme="minorHAnsi" w:cstheme="minorHAnsi"/>
          <w:color w:val="000000" w:themeColor="text1"/>
          <w:sz w:val="24"/>
        </w:rPr>
      </w:pPr>
      <w:r w:rsidRPr="004A2FD5">
        <w:rPr>
          <w:rFonts w:asciiTheme="minorHAnsi" w:hAnsiTheme="minorHAnsi" w:cstheme="minorHAnsi"/>
          <w:color w:val="000000" w:themeColor="text1"/>
          <w:sz w:val="24"/>
        </w:rPr>
        <w:t>Sep – May 2021:</w:t>
      </w:r>
      <w:r w:rsidR="004A2FD5">
        <w:rPr>
          <w:rFonts w:asciiTheme="minorHAnsi" w:hAnsiTheme="minorHAnsi" w:cstheme="minorHAnsi"/>
          <w:color w:val="000000" w:themeColor="text1"/>
          <w:sz w:val="24"/>
        </w:rPr>
        <w:t xml:space="preserve"> </w:t>
      </w:r>
      <w:r w:rsidRPr="004A2FD5">
        <w:rPr>
          <w:rFonts w:asciiTheme="minorHAnsi" w:hAnsiTheme="minorHAnsi" w:cstheme="minorHAnsi"/>
          <w:color w:val="000000" w:themeColor="text1"/>
          <w:sz w:val="24"/>
        </w:rPr>
        <w:t>Feasibility study</w:t>
      </w:r>
    </w:p>
    <w:p w14:paraId="42B222AC" w14:textId="6E367A1E" w:rsidR="00B97B53" w:rsidRDefault="00B97B53" w:rsidP="007A65D0">
      <w:pPr>
        <w:spacing w:before="240" w:after="120"/>
        <w:jc w:val="both"/>
        <w:rPr>
          <w:rFonts w:asciiTheme="minorHAnsi" w:hAnsiTheme="minorHAnsi" w:cstheme="minorHAnsi"/>
          <w:color w:val="000000" w:themeColor="text1"/>
        </w:rPr>
      </w:pPr>
      <w:r w:rsidRPr="00D75BAB">
        <w:rPr>
          <w:rFonts w:asciiTheme="minorHAnsi" w:hAnsiTheme="minorHAnsi" w:cstheme="minorHAnsi"/>
          <w:color w:val="000000" w:themeColor="text1"/>
        </w:rPr>
        <w:t xml:space="preserve">The outcome of the Host Country feasibility analysis and cost estimate will be discussed in dedicated Coordination meetings (Security Working Group, consisting of Permanent Mission of Switzerland, the Swiss Federal Police and ITU). </w:t>
      </w:r>
    </w:p>
    <w:p w14:paraId="718A759F" w14:textId="6083CBD4" w:rsidR="00E40359" w:rsidRDefault="002B72C7" w:rsidP="007A65D0">
      <w:pPr>
        <w:spacing w:before="240" w:after="120"/>
        <w:jc w:val="both"/>
        <w:rPr>
          <w:rFonts w:asciiTheme="minorHAnsi" w:hAnsiTheme="minorHAnsi" w:cstheme="minorHAnsi"/>
          <w:color w:val="000000" w:themeColor="text1"/>
        </w:rPr>
      </w:pPr>
      <w:r>
        <w:rPr>
          <w:rFonts w:asciiTheme="minorHAnsi" w:hAnsiTheme="minorHAnsi" w:cstheme="minorHAnsi"/>
          <w:color w:val="000000" w:themeColor="text1"/>
        </w:rPr>
        <w:t xml:space="preserve">The Host Country has also clarified </w:t>
      </w:r>
      <w:r w:rsidR="00C96AC6">
        <w:rPr>
          <w:rFonts w:asciiTheme="minorHAnsi" w:hAnsiTheme="minorHAnsi" w:cstheme="minorHAnsi"/>
          <w:color w:val="000000" w:themeColor="text1"/>
        </w:rPr>
        <w:t xml:space="preserve">that the implementation of the UN MOSS security requirements on the public domain </w:t>
      </w:r>
      <w:r w:rsidR="002C3871">
        <w:rPr>
          <w:rFonts w:asciiTheme="minorHAnsi" w:hAnsiTheme="minorHAnsi" w:cstheme="minorHAnsi"/>
          <w:color w:val="000000" w:themeColor="text1"/>
        </w:rPr>
        <w:t xml:space="preserve">has to be achieved through a separate </w:t>
      </w:r>
      <w:r w:rsidR="00981FDB">
        <w:rPr>
          <w:rFonts w:asciiTheme="minorHAnsi" w:hAnsiTheme="minorHAnsi" w:cstheme="minorHAnsi"/>
          <w:color w:val="000000" w:themeColor="text1"/>
        </w:rPr>
        <w:t>design and permitting approval process</w:t>
      </w:r>
      <w:r w:rsidR="00A157BF">
        <w:rPr>
          <w:rFonts w:asciiTheme="minorHAnsi" w:hAnsiTheme="minorHAnsi" w:cstheme="minorHAnsi"/>
          <w:color w:val="000000" w:themeColor="text1"/>
        </w:rPr>
        <w:t>.</w:t>
      </w:r>
      <w:r w:rsidR="00981FDB">
        <w:rPr>
          <w:rFonts w:asciiTheme="minorHAnsi" w:hAnsiTheme="minorHAnsi" w:cstheme="minorHAnsi"/>
          <w:color w:val="000000" w:themeColor="text1"/>
        </w:rPr>
        <w:t xml:space="preserve"> </w:t>
      </w:r>
      <w:r w:rsidR="00B721A5">
        <w:rPr>
          <w:rFonts w:asciiTheme="minorHAnsi" w:hAnsiTheme="minorHAnsi" w:cstheme="minorHAnsi"/>
          <w:color w:val="000000" w:themeColor="text1"/>
        </w:rPr>
        <w:t xml:space="preserve">As such, </w:t>
      </w:r>
      <w:r w:rsidR="00981FDB">
        <w:rPr>
          <w:rFonts w:asciiTheme="minorHAnsi" w:hAnsiTheme="minorHAnsi" w:cstheme="minorHAnsi"/>
          <w:color w:val="000000" w:themeColor="text1"/>
        </w:rPr>
        <w:t xml:space="preserve">ITU has been instructed to </w:t>
      </w:r>
      <w:r w:rsidR="009E5CE6">
        <w:rPr>
          <w:rFonts w:asciiTheme="minorHAnsi" w:hAnsiTheme="minorHAnsi" w:cstheme="minorHAnsi"/>
          <w:color w:val="000000" w:themeColor="text1"/>
        </w:rPr>
        <w:t xml:space="preserve">pursue </w:t>
      </w:r>
      <w:r w:rsidR="00273ADF">
        <w:rPr>
          <w:rFonts w:asciiTheme="minorHAnsi" w:hAnsiTheme="minorHAnsi" w:cstheme="minorHAnsi"/>
          <w:color w:val="000000" w:themeColor="text1"/>
        </w:rPr>
        <w:t xml:space="preserve">its </w:t>
      </w:r>
      <w:r w:rsidR="009E5CE6">
        <w:rPr>
          <w:rFonts w:asciiTheme="minorHAnsi" w:hAnsiTheme="minorHAnsi" w:cstheme="minorHAnsi"/>
          <w:color w:val="000000" w:themeColor="text1"/>
        </w:rPr>
        <w:t>construction permitting request for the new building construction on the ITU p</w:t>
      </w:r>
      <w:r w:rsidR="0094420B">
        <w:rPr>
          <w:rFonts w:asciiTheme="minorHAnsi" w:hAnsiTheme="minorHAnsi" w:cstheme="minorHAnsi"/>
          <w:color w:val="000000" w:themeColor="text1"/>
        </w:rPr>
        <w:t>arcel in a</w:t>
      </w:r>
      <w:r w:rsidR="00B721A5">
        <w:rPr>
          <w:rFonts w:asciiTheme="minorHAnsi" w:hAnsiTheme="minorHAnsi" w:cstheme="minorHAnsi"/>
          <w:color w:val="000000" w:themeColor="text1"/>
        </w:rPr>
        <w:t xml:space="preserve">n </w:t>
      </w:r>
      <w:r w:rsidR="0094420B">
        <w:rPr>
          <w:rFonts w:asciiTheme="minorHAnsi" w:hAnsiTheme="minorHAnsi" w:cstheme="minorHAnsi"/>
          <w:color w:val="000000" w:themeColor="text1"/>
        </w:rPr>
        <w:t xml:space="preserve">independent process. The </w:t>
      </w:r>
      <w:r w:rsidR="00B721A5">
        <w:rPr>
          <w:rFonts w:asciiTheme="minorHAnsi" w:hAnsiTheme="minorHAnsi" w:cstheme="minorHAnsi"/>
          <w:color w:val="000000" w:themeColor="text1"/>
        </w:rPr>
        <w:t>Suisse M</w:t>
      </w:r>
      <w:r w:rsidR="00B27E3C">
        <w:rPr>
          <w:rFonts w:asciiTheme="minorHAnsi" w:hAnsiTheme="minorHAnsi" w:cstheme="minorHAnsi"/>
          <w:color w:val="000000" w:themeColor="text1"/>
        </w:rPr>
        <w:t>ission</w:t>
      </w:r>
      <w:r w:rsidR="0094420B">
        <w:rPr>
          <w:rFonts w:asciiTheme="minorHAnsi" w:hAnsiTheme="minorHAnsi" w:cstheme="minorHAnsi"/>
          <w:color w:val="000000" w:themeColor="text1"/>
        </w:rPr>
        <w:t xml:space="preserve"> has nevertheless reassured ITU </w:t>
      </w:r>
      <w:r w:rsidR="00A157BF">
        <w:rPr>
          <w:rFonts w:asciiTheme="minorHAnsi" w:hAnsiTheme="minorHAnsi" w:cstheme="minorHAnsi"/>
          <w:color w:val="000000" w:themeColor="text1"/>
        </w:rPr>
        <w:t xml:space="preserve">and confirmed that </w:t>
      </w:r>
      <w:r w:rsidR="00A4346C">
        <w:rPr>
          <w:rFonts w:asciiTheme="minorHAnsi" w:hAnsiTheme="minorHAnsi" w:cstheme="minorHAnsi"/>
          <w:color w:val="000000" w:themeColor="text1"/>
        </w:rPr>
        <w:t xml:space="preserve">the competent Swiss Authorities </w:t>
      </w:r>
      <w:r w:rsidR="00D57D64">
        <w:rPr>
          <w:rFonts w:asciiTheme="minorHAnsi" w:hAnsiTheme="minorHAnsi" w:cstheme="minorHAnsi"/>
          <w:color w:val="000000" w:themeColor="text1"/>
        </w:rPr>
        <w:t xml:space="preserve">will address </w:t>
      </w:r>
      <w:r w:rsidR="00D57D64">
        <w:rPr>
          <w:rFonts w:eastAsia="Calibri" w:cs="Arial"/>
          <w:color w:val="000000" w:themeColor="text1"/>
          <w:szCs w:val="24"/>
        </w:rPr>
        <w:t>the</w:t>
      </w:r>
      <w:r w:rsidR="00D57D64" w:rsidRPr="00B842C4">
        <w:rPr>
          <w:rFonts w:eastAsia="Calibri" w:cs="Arial"/>
          <w:color w:val="000000" w:themeColor="text1"/>
          <w:szCs w:val="24"/>
        </w:rPr>
        <w:t xml:space="preserve"> UN-MOSS requirements</w:t>
      </w:r>
      <w:r w:rsidR="000E7644">
        <w:rPr>
          <w:rFonts w:eastAsia="Calibri" w:cs="Arial"/>
          <w:color w:val="000000" w:themeColor="text1"/>
          <w:szCs w:val="24"/>
        </w:rPr>
        <w:t xml:space="preserve"> </w:t>
      </w:r>
      <w:r w:rsidR="00D57D64" w:rsidRPr="00B842C4">
        <w:rPr>
          <w:rFonts w:eastAsia="Calibri" w:cs="Arial"/>
          <w:color w:val="000000" w:themeColor="text1"/>
          <w:szCs w:val="24"/>
        </w:rPr>
        <w:t xml:space="preserve">and </w:t>
      </w:r>
      <w:r w:rsidR="000E7644">
        <w:rPr>
          <w:rFonts w:eastAsia="Calibri" w:cs="Arial"/>
          <w:color w:val="000000" w:themeColor="text1"/>
          <w:szCs w:val="24"/>
        </w:rPr>
        <w:t>that they are</w:t>
      </w:r>
      <w:r w:rsidR="00D57D64" w:rsidRPr="00B842C4">
        <w:rPr>
          <w:rFonts w:eastAsia="Calibri" w:cs="Arial"/>
          <w:color w:val="000000" w:themeColor="text1"/>
          <w:szCs w:val="24"/>
        </w:rPr>
        <w:t xml:space="preserve"> considering how best to achieve the result</w:t>
      </w:r>
      <w:r w:rsidR="000E7644">
        <w:rPr>
          <w:rFonts w:eastAsia="Calibri" w:cs="Arial"/>
          <w:color w:val="000000" w:themeColor="text1"/>
          <w:szCs w:val="24"/>
        </w:rPr>
        <w:t xml:space="preserve"> in line with the </w:t>
      </w:r>
      <w:r w:rsidR="00D06C19">
        <w:rPr>
          <w:rFonts w:eastAsia="Calibri" w:cs="Arial"/>
          <w:color w:val="000000" w:themeColor="text1"/>
          <w:szCs w:val="24"/>
        </w:rPr>
        <w:t>construction schedule and planned new building opening date.</w:t>
      </w:r>
    </w:p>
    <w:p w14:paraId="4F4B7065" w14:textId="5B953CEA" w:rsidR="00EB79FA" w:rsidRPr="00D75BAB" w:rsidRDefault="00D7520E" w:rsidP="007A65D0">
      <w:pPr>
        <w:spacing w:before="240" w:after="120"/>
        <w:jc w:val="both"/>
        <w:rPr>
          <w:rFonts w:asciiTheme="minorHAnsi" w:hAnsiTheme="minorHAnsi" w:cstheme="minorHAnsi"/>
          <w:color w:val="000000" w:themeColor="text1"/>
        </w:rPr>
      </w:pPr>
      <w:r>
        <w:rPr>
          <w:rFonts w:asciiTheme="minorHAnsi" w:hAnsiTheme="minorHAnsi" w:cstheme="minorHAnsi"/>
          <w:color w:val="000000" w:themeColor="text1"/>
          <w:lang w:val="en-US"/>
        </w:rPr>
        <w:t xml:space="preserve">A letter received from the </w:t>
      </w:r>
      <w:r w:rsidR="0026017F">
        <w:rPr>
          <w:rFonts w:asciiTheme="minorHAnsi" w:hAnsiTheme="minorHAnsi" w:cstheme="minorHAnsi"/>
          <w:color w:val="000000" w:themeColor="text1"/>
          <w:lang w:val="en-US"/>
        </w:rPr>
        <w:t xml:space="preserve">Permanent Mission of Switzerland </w:t>
      </w:r>
      <w:r w:rsidR="009C78BA">
        <w:rPr>
          <w:rFonts w:asciiTheme="minorHAnsi" w:hAnsiTheme="minorHAnsi" w:cstheme="minorHAnsi"/>
          <w:color w:val="000000" w:themeColor="text1"/>
          <w:lang w:val="en-US"/>
        </w:rPr>
        <w:t xml:space="preserve">to the United Nations Office </w:t>
      </w:r>
      <w:r w:rsidR="00A069F5">
        <w:rPr>
          <w:rFonts w:asciiTheme="minorHAnsi" w:hAnsiTheme="minorHAnsi" w:cstheme="minorHAnsi"/>
          <w:color w:val="000000" w:themeColor="text1"/>
          <w:lang w:val="en-US"/>
        </w:rPr>
        <w:t>and to the other international organi</w:t>
      </w:r>
      <w:r w:rsidR="00F63D9F">
        <w:rPr>
          <w:rFonts w:asciiTheme="minorHAnsi" w:hAnsiTheme="minorHAnsi" w:cstheme="minorHAnsi"/>
          <w:color w:val="000000" w:themeColor="text1"/>
          <w:lang w:val="en-US"/>
        </w:rPr>
        <w:t>z</w:t>
      </w:r>
      <w:r w:rsidR="00A069F5">
        <w:rPr>
          <w:rFonts w:asciiTheme="minorHAnsi" w:hAnsiTheme="minorHAnsi" w:cstheme="minorHAnsi"/>
          <w:color w:val="000000" w:themeColor="text1"/>
          <w:lang w:val="en-US"/>
        </w:rPr>
        <w:t>ations in Geneva</w:t>
      </w:r>
      <w:r w:rsidR="00DA196A">
        <w:rPr>
          <w:rFonts w:asciiTheme="minorHAnsi" w:hAnsiTheme="minorHAnsi" w:cstheme="minorHAnsi"/>
          <w:color w:val="000000" w:themeColor="text1"/>
          <w:lang w:val="en-US"/>
        </w:rPr>
        <w:t xml:space="preserve"> confirming their engagement</w:t>
      </w:r>
      <w:r w:rsidR="00C57A7A">
        <w:rPr>
          <w:rFonts w:asciiTheme="minorHAnsi" w:hAnsiTheme="minorHAnsi" w:cstheme="minorHAnsi"/>
          <w:color w:val="000000" w:themeColor="text1"/>
          <w:lang w:val="en-US"/>
        </w:rPr>
        <w:t xml:space="preserve"> addressing the ITU </w:t>
      </w:r>
      <w:r w:rsidR="00C57A7A" w:rsidRPr="00F753FE">
        <w:rPr>
          <w:rFonts w:asciiTheme="minorHAnsi" w:hAnsiTheme="minorHAnsi" w:cstheme="minorHAnsi"/>
          <w:color w:val="000000" w:themeColor="text1"/>
          <w:lang w:val="en-US"/>
        </w:rPr>
        <w:t xml:space="preserve">security </w:t>
      </w:r>
      <w:r w:rsidR="00C57A7A" w:rsidRPr="005A230D">
        <w:rPr>
          <w:rFonts w:asciiTheme="minorHAnsi" w:hAnsiTheme="minorHAnsi" w:cstheme="minorHAnsi"/>
          <w:color w:val="000000" w:themeColor="text1"/>
          <w:lang w:val="en-US"/>
        </w:rPr>
        <w:t>requirements</w:t>
      </w:r>
      <w:r w:rsidR="00FB6A78" w:rsidRPr="005A230D">
        <w:rPr>
          <w:rFonts w:asciiTheme="minorHAnsi" w:hAnsiTheme="minorHAnsi" w:cstheme="minorHAnsi"/>
          <w:color w:val="000000" w:themeColor="text1"/>
          <w:lang w:val="en-US"/>
        </w:rPr>
        <w:t xml:space="preserve"> </w:t>
      </w:r>
      <w:r w:rsidR="00545FF9" w:rsidRPr="005A230D">
        <w:t xml:space="preserve">available </w:t>
      </w:r>
      <w:hyperlink r:id="rId35" w:history="1">
        <w:r w:rsidR="005A230D" w:rsidRPr="005A230D">
          <w:rPr>
            <w:rStyle w:val="Hyperlink"/>
          </w:rPr>
          <w:t>here</w:t>
        </w:r>
      </w:hyperlink>
      <w:r w:rsidR="00164632">
        <w:rPr>
          <w:rFonts w:asciiTheme="minorHAnsi" w:hAnsiTheme="minorHAnsi" w:cstheme="minorHAnsi"/>
          <w:color w:val="000000" w:themeColor="text1"/>
          <w:lang w:val="en-US"/>
        </w:rPr>
        <w:t>.</w:t>
      </w:r>
    </w:p>
    <w:p w14:paraId="718B4854" w14:textId="77777777" w:rsidR="0086489C" w:rsidRPr="00D75BAB" w:rsidRDefault="0086489C" w:rsidP="007F73CF">
      <w:pPr>
        <w:spacing w:before="240" w:after="120" w:line="276" w:lineRule="auto"/>
        <w:ind w:left="709" w:hanging="709"/>
        <w:jc w:val="both"/>
        <w:rPr>
          <w:rFonts w:asciiTheme="minorHAnsi" w:hAnsiTheme="minorHAnsi" w:cstheme="minorHAnsi"/>
          <w:b/>
          <w:bCs/>
          <w:color w:val="000000" w:themeColor="text1"/>
        </w:rPr>
      </w:pPr>
      <w:r w:rsidRPr="00D75BAB">
        <w:rPr>
          <w:rFonts w:asciiTheme="minorHAnsi" w:hAnsiTheme="minorHAnsi" w:cstheme="minorHAnsi"/>
          <w:b/>
          <w:bCs/>
          <w:color w:val="000000" w:themeColor="text1"/>
        </w:rPr>
        <w:t>3.6</w:t>
      </w:r>
      <w:r w:rsidRPr="00D75BAB">
        <w:rPr>
          <w:rFonts w:asciiTheme="minorHAnsi" w:hAnsiTheme="minorHAnsi" w:cstheme="minorHAnsi"/>
          <w:b/>
          <w:bCs/>
          <w:color w:val="000000" w:themeColor="text1"/>
        </w:rPr>
        <w:tab/>
        <w:t>Sponsorship and Donations</w:t>
      </w:r>
    </w:p>
    <w:p w14:paraId="2F25664C" w14:textId="031CB040" w:rsidR="00093E25" w:rsidRPr="00D75BAB" w:rsidRDefault="00093E25" w:rsidP="0026518E">
      <w:pPr>
        <w:spacing w:before="240" w:after="120" w:line="276" w:lineRule="auto"/>
        <w:jc w:val="both"/>
        <w:rPr>
          <w:rFonts w:asciiTheme="minorHAnsi" w:hAnsiTheme="minorHAnsi" w:cstheme="minorHAnsi"/>
          <w:color w:val="000000" w:themeColor="text1"/>
        </w:rPr>
      </w:pPr>
      <w:r w:rsidRPr="00D75BAB">
        <w:rPr>
          <w:rFonts w:asciiTheme="minorHAnsi" w:hAnsiTheme="minorHAnsi" w:cstheme="minorHAnsi"/>
          <w:color w:val="000000" w:themeColor="text1"/>
          <w:lang w:val="en-US"/>
        </w:rPr>
        <w:t xml:space="preserve">Since the adoption of Decision 619, ITU has not received additional Sponsorship </w:t>
      </w:r>
      <w:r w:rsidR="00591F1F">
        <w:rPr>
          <w:rFonts w:asciiTheme="minorHAnsi" w:hAnsiTheme="minorHAnsi" w:cstheme="minorHAnsi"/>
          <w:color w:val="000000" w:themeColor="text1"/>
          <w:lang w:val="en-US"/>
        </w:rPr>
        <w:t>n</w:t>
      </w:r>
      <w:r w:rsidRPr="00D75BAB">
        <w:rPr>
          <w:rFonts w:asciiTheme="minorHAnsi" w:hAnsiTheme="minorHAnsi" w:cstheme="minorHAnsi"/>
          <w:color w:val="000000" w:themeColor="text1"/>
          <w:lang w:val="en-US"/>
        </w:rPr>
        <w:t>or Donation.</w:t>
      </w:r>
    </w:p>
    <w:p w14:paraId="0202CD5E" w14:textId="77777777" w:rsidR="00810600" w:rsidRDefault="00810600" w:rsidP="007A65D0">
      <w:pPr>
        <w:overflowPunct/>
        <w:autoSpaceDE/>
        <w:autoSpaceDN/>
        <w:adjustRightInd/>
        <w:spacing w:before="0" w:after="160"/>
        <w:jc w:val="both"/>
        <w:textAlignment w:val="auto"/>
        <w:rPr>
          <w:rFonts w:asciiTheme="minorHAnsi" w:hAnsiTheme="minorHAnsi" w:cstheme="minorHAnsi"/>
          <w:szCs w:val="24"/>
        </w:rPr>
      </w:pPr>
      <w:r>
        <w:rPr>
          <w:rFonts w:asciiTheme="minorHAnsi" w:hAnsiTheme="minorHAnsi" w:cstheme="minorHAnsi"/>
          <w:lang w:val="en-US"/>
        </w:rPr>
        <w:t xml:space="preserve">According to Decision 619 </w:t>
      </w:r>
      <w:r w:rsidRPr="00EA3637">
        <w:rPr>
          <w:rFonts w:asciiTheme="minorHAnsi" w:hAnsiTheme="minorHAnsi" w:cstheme="minorHAnsi"/>
          <w:i/>
          <w:iCs/>
          <w:lang w:val="en-US"/>
        </w:rPr>
        <w:t>decides 4</w:t>
      </w:r>
      <w:r>
        <w:rPr>
          <w:rFonts w:asciiTheme="minorHAnsi" w:hAnsiTheme="minorHAnsi" w:cstheme="minorHAnsi"/>
          <w:lang w:val="en-US"/>
        </w:rPr>
        <w:t xml:space="preserve">, </w:t>
      </w:r>
      <w:r w:rsidRPr="000A65BE">
        <w:rPr>
          <w:rFonts w:asciiTheme="minorHAnsi" w:hAnsiTheme="minorHAnsi" w:cstheme="minorHAnsi"/>
          <w:lang w:val="en-US"/>
        </w:rPr>
        <w:t xml:space="preserve">any future sponsorships or donations will only be applied to offset the final direct project cost without creating any new indirect costs or further delays to the project, and will not increase the amount </w:t>
      </w:r>
      <w:r>
        <w:rPr>
          <w:rFonts w:asciiTheme="minorHAnsi" w:hAnsiTheme="minorHAnsi" w:cstheme="minorHAnsi"/>
          <w:lang w:val="en-US"/>
        </w:rPr>
        <w:t xml:space="preserve">of the </w:t>
      </w:r>
      <w:r w:rsidRPr="000A65BE">
        <w:rPr>
          <w:rFonts w:asciiTheme="minorHAnsi" w:hAnsiTheme="minorHAnsi" w:cstheme="minorHAnsi"/>
          <w:lang w:val="en-US"/>
        </w:rPr>
        <w:t xml:space="preserve">approved </w:t>
      </w:r>
      <w:r w:rsidRPr="00912B68">
        <w:rPr>
          <w:rFonts w:asciiTheme="minorHAnsi" w:hAnsiTheme="minorHAnsi" w:cstheme="minorHAnsi"/>
          <w:szCs w:val="24"/>
        </w:rPr>
        <w:t>final direct project cost of CHF 170,139,000</w:t>
      </w:r>
      <w:r>
        <w:rPr>
          <w:rFonts w:asciiTheme="minorHAnsi" w:hAnsiTheme="minorHAnsi" w:cstheme="minorHAnsi"/>
          <w:szCs w:val="24"/>
        </w:rPr>
        <w:t>. This makes it unlikely that there will be further sponsorship.</w:t>
      </w:r>
    </w:p>
    <w:p w14:paraId="59FEE3C8" w14:textId="1BC016C5" w:rsidR="00D2514F" w:rsidRPr="00D2514F" w:rsidRDefault="00D2514F" w:rsidP="007A65D0">
      <w:pPr>
        <w:overflowPunct/>
        <w:autoSpaceDE/>
        <w:autoSpaceDN/>
        <w:adjustRightInd/>
        <w:spacing w:before="0" w:after="160"/>
        <w:jc w:val="both"/>
        <w:textAlignment w:val="auto"/>
        <w:rPr>
          <w:rFonts w:asciiTheme="minorHAnsi" w:hAnsiTheme="minorHAnsi" w:cstheme="minorHAnsi"/>
          <w:color w:val="000000" w:themeColor="text1"/>
          <w:lang w:val="en-US"/>
        </w:rPr>
      </w:pPr>
      <w:r w:rsidRPr="00D2514F">
        <w:rPr>
          <w:rFonts w:asciiTheme="minorHAnsi" w:hAnsiTheme="minorHAnsi" w:cstheme="minorHAnsi"/>
          <w:color w:val="000000" w:themeColor="text1"/>
          <w:lang w:val="en-US"/>
        </w:rPr>
        <w:lastRenderedPageBreak/>
        <w:t>As an example, a sponsor might wish to enhance the building by offering a marble floor in the lobby instead of the basic concrete floor. This would increase the project cost but would not increase the cost to ITU and could even reduce the cost to ITU as the cost of the concrete floor would be deducted from total cost to ITU.</w:t>
      </w:r>
    </w:p>
    <w:p w14:paraId="4236A3F8" w14:textId="7A06ECD9" w:rsidR="00D2514F" w:rsidRDefault="00D2514F" w:rsidP="007A65D0">
      <w:pPr>
        <w:overflowPunct/>
        <w:autoSpaceDE/>
        <w:autoSpaceDN/>
        <w:adjustRightInd/>
        <w:spacing w:before="0" w:after="160"/>
        <w:jc w:val="both"/>
        <w:textAlignment w:val="auto"/>
        <w:rPr>
          <w:rFonts w:asciiTheme="minorHAnsi" w:hAnsiTheme="minorHAnsi" w:cstheme="minorHAnsi"/>
          <w:color w:val="000000" w:themeColor="text1"/>
          <w:lang w:val="en-US"/>
        </w:rPr>
      </w:pPr>
      <w:r w:rsidRPr="00D2514F">
        <w:rPr>
          <w:rFonts w:asciiTheme="minorHAnsi" w:hAnsiTheme="minorHAnsi" w:cstheme="minorHAnsi"/>
          <w:color w:val="000000" w:themeColor="text1"/>
          <w:lang w:val="en-US"/>
        </w:rPr>
        <w:t>The Secretariat therefore request</w:t>
      </w:r>
      <w:r>
        <w:rPr>
          <w:rFonts w:asciiTheme="minorHAnsi" w:hAnsiTheme="minorHAnsi" w:cstheme="minorHAnsi"/>
          <w:color w:val="000000" w:themeColor="text1"/>
          <w:lang w:val="en-US"/>
        </w:rPr>
        <w:t>ed</w:t>
      </w:r>
      <w:r w:rsidRPr="00D2514F">
        <w:rPr>
          <w:rFonts w:asciiTheme="minorHAnsi" w:hAnsiTheme="minorHAnsi" w:cstheme="minorHAnsi"/>
          <w:color w:val="000000" w:themeColor="text1"/>
          <w:lang w:val="en-US"/>
        </w:rPr>
        <w:t xml:space="preserve"> MSAG to discuss and advise the Council to reconsider decides 4 in order that additional sponsorship </w:t>
      </w:r>
      <w:r>
        <w:rPr>
          <w:rFonts w:asciiTheme="minorHAnsi" w:hAnsiTheme="minorHAnsi" w:cstheme="minorHAnsi"/>
          <w:color w:val="000000" w:themeColor="text1"/>
          <w:lang w:val="en-US"/>
        </w:rPr>
        <w:t xml:space="preserve">and donations </w:t>
      </w:r>
      <w:r w:rsidRPr="00D2514F">
        <w:rPr>
          <w:rFonts w:asciiTheme="minorHAnsi" w:hAnsiTheme="minorHAnsi" w:cstheme="minorHAnsi"/>
          <w:color w:val="000000" w:themeColor="text1"/>
          <w:lang w:val="en-US"/>
        </w:rPr>
        <w:t xml:space="preserve">would be acceptable even if they resulted in an increase in the project direct and/or indirect costs but provided they do not increase </w:t>
      </w:r>
      <w:r>
        <w:rPr>
          <w:rFonts w:asciiTheme="minorHAnsi" w:hAnsiTheme="minorHAnsi" w:cstheme="minorHAnsi"/>
          <w:color w:val="000000" w:themeColor="text1"/>
          <w:lang w:val="en-US"/>
        </w:rPr>
        <w:t xml:space="preserve">the </w:t>
      </w:r>
      <w:r w:rsidRPr="00D2514F">
        <w:rPr>
          <w:rFonts w:asciiTheme="minorHAnsi" w:hAnsiTheme="minorHAnsi" w:cstheme="minorHAnsi"/>
          <w:color w:val="000000" w:themeColor="text1"/>
          <w:lang w:val="en-US"/>
        </w:rPr>
        <w:t>cost to</w:t>
      </w:r>
      <w:r w:rsidR="007A65D0">
        <w:rPr>
          <w:rFonts w:asciiTheme="minorHAnsi" w:hAnsiTheme="minorHAnsi" w:cstheme="minorHAnsi"/>
          <w:color w:val="000000" w:themeColor="text1"/>
          <w:lang w:val="en-US"/>
        </w:rPr>
        <w:t> </w:t>
      </w:r>
      <w:r w:rsidRPr="00D2514F">
        <w:rPr>
          <w:rFonts w:asciiTheme="minorHAnsi" w:hAnsiTheme="minorHAnsi" w:cstheme="minorHAnsi"/>
          <w:color w:val="000000" w:themeColor="text1"/>
          <w:lang w:val="en-US"/>
        </w:rPr>
        <w:t xml:space="preserve">ITU. </w:t>
      </w:r>
    </w:p>
    <w:p w14:paraId="6F86A9D5" w14:textId="40E5B9AA" w:rsidR="0086489C" w:rsidRPr="00D75BAB" w:rsidRDefault="0086489C" w:rsidP="007F73CF">
      <w:pPr>
        <w:spacing w:before="240" w:after="120" w:line="276" w:lineRule="auto"/>
        <w:jc w:val="both"/>
        <w:rPr>
          <w:rFonts w:asciiTheme="minorHAnsi" w:hAnsiTheme="minorHAnsi" w:cstheme="minorHAnsi"/>
          <w:b/>
          <w:bCs/>
          <w:color w:val="000000" w:themeColor="text1"/>
        </w:rPr>
      </w:pPr>
      <w:r w:rsidRPr="00D75BAB">
        <w:rPr>
          <w:rFonts w:asciiTheme="minorHAnsi" w:hAnsiTheme="minorHAnsi" w:cstheme="minorHAnsi"/>
          <w:b/>
          <w:bCs/>
          <w:color w:val="000000" w:themeColor="text1"/>
        </w:rPr>
        <w:t>3.7</w:t>
      </w:r>
      <w:r w:rsidRPr="00D75BAB">
        <w:rPr>
          <w:rFonts w:asciiTheme="minorHAnsi" w:hAnsiTheme="minorHAnsi" w:cstheme="minorHAnsi"/>
          <w:b/>
          <w:bCs/>
          <w:color w:val="000000" w:themeColor="text1"/>
        </w:rPr>
        <w:tab/>
        <w:t>Submission of second loan request</w:t>
      </w:r>
    </w:p>
    <w:p w14:paraId="1C2E3370" w14:textId="448505BC" w:rsidR="0086489C" w:rsidRPr="00D75BAB" w:rsidRDefault="0086489C" w:rsidP="007A65D0">
      <w:pPr>
        <w:spacing w:before="240"/>
        <w:jc w:val="both"/>
        <w:rPr>
          <w:rFonts w:asciiTheme="minorHAnsi" w:hAnsiTheme="minorHAnsi" w:cstheme="minorHAnsi"/>
          <w:color w:val="000000" w:themeColor="text1"/>
        </w:rPr>
      </w:pPr>
      <w:r w:rsidRPr="00D75BAB">
        <w:rPr>
          <w:rFonts w:asciiTheme="minorHAnsi" w:hAnsiTheme="minorHAnsi" w:cstheme="minorHAnsi"/>
          <w:color w:val="000000" w:themeColor="text1"/>
        </w:rPr>
        <w:t xml:space="preserve">The technical documentation for the request for the second part of the CHF 150,000,000 loan </w:t>
      </w:r>
      <w:r w:rsidR="00DA03BE">
        <w:rPr>
          <w:rFonts w:asciiTheme="minorHAnsi" w:hAnsiTheme="minorHAnsi" w:cstheme="minorHAnsi"/>
          <w:color w:val="000000" w:themeColor="text1"/>
        </w:rPr>
        <w:t>(CHF</w:t>
      </w:r>
      <w:r w:rsidR="00AC4E66">
        <w:rPr>
          <w:rFonts w:asciiTheme="minorHAnsi" w:hAnsiTheme="minorHAnsi" w:cstheme="minorHAnsi"/>
          <w:color w:val="000000" w:themeColor="text1"/>
        </w:rPr>
        <w:t> </w:t>
      </w:r>
      <w:r w:rsidR="00DA03BE">
        <w:rPr>
          <w:rFonts w:asciiTheme="minorHAnsi" w:hAnsiTheme="minorHAnsi" w:cstheme="minorHAnsi"/>
          <w:color w:val="000000" w:themeColor="text1"/>
        </w:rPr>
        <w:t xml:space="preserve">138,000,000) </w:t>
      </w:r>
      <w:r w:rsidRPr="00D75BAB">
        <w:rPr>
          <w:rFonts w:asciiTheme="minorHAnsi" w:hAnsiTheme="minorHAnsi" w:cstheme="minorHAnsi"/>
          <w:color w:val="000000" w:themeColor="text1"/>
        </w:rPr>
        <w:t xml:space="preserve">was submitted on 9 December 2019 to the Swiss authorities. </w:t>
      </w:r>
    </w:p>
    <w:p w14:paraId="4D2DB1FD" w14:textId="2AF94B7A" w:rsidR="00E2536C" w:rsidRDefault="00E46200" w:rsidP="007A65D0">
      <w:pPr>
        <w:spacing w:before="240" w:after="120"/>
        <w:jc w:val="both"/>
        <w:rPr>
          <w:rFonts w:asciiTheme="minorHAnsi" w:hAnsiTheme="minorHAnsi" w:cstheme="minorHAnsi"/>
          <w:color w:val="000000" w:themeColor="text1"/>
        </w:rPr>
      </w:pPr>
      <w:r w:rsidRPr="00E2536C">
        <w:rPr>
          <w:rFonts w:asciiTheme="minorHAnsi" w:hAnsiTheme="minorHAnsi" w:cstheme="minorHAnsi"/>
          <w:color w:val="000000" w:themeColor="text1"/>
        </w:rPr>
        <w:t xml:space="preserve">On April </w:t>
      </w:r>
      <w:r w:rsidR="00B42DBB" w:rsidRPr="00E2536C">
        <w:rPr>
          <w:rFonts w:asciiTheme="minorHAnsi" w:hAnsiTheme="minorHAnsi" w:cstheme="minorHAnsi"/>
          <w:color w:val="000000" w:themeColor="text1"/>
        </w:rPr>
        <w:t xml:space="preserve">22nd, </w:t>
      </w:r>
      <w:r w:rsidR="00D0385F" w:rsidRPr="007003F1">
        <w:rPr>
          <w:rFonts w:asciiTheme="minorHAnsi" w:hAnsiTheme="minorHAnsi" w:cstheme="minorHAnsi"/>
          <w:color w:val="000000" w:themeColor="text1"/>
        </w:rPr>
        <w:t xml:space="preserve">the Federal Council approved a loan of </w:t>
      </w:r>
      <w:r w:rsidR="00B90C5D">
        <w:rPr>
          <w:rFonts w:asciiTheme="minorHAnsi" w:hAnsiTheme="minorHAnsi" w:cstheme="minorHAnsi"/>
          <w:color w:val="000000" w:themeColor="text1"/>
        </w:rPr>
        <w:t>CHF</w:t>
      </w:r>
      <w:r w:rsidR="00D0385F" w:rsidRPr="007003F1">
        <w:rPr>
          <w:rFonts w:asciiTheme="minorHAnsi" w:hAnsiTheme="minorHAnsi" w:cstheme="minorHAnsi"/>
          <w:color w:val="000000" w:themeColor="text1"/>
        </w:rPr>
        <w:t>95.6 million (</w:t>
      </w:r>
      <w:r w:rsidR="00B90C5D">
        <w:rPr>
          <w:rFonts w:asciiTheme="minorHAnsi" w:hAnsiTheme="minorHAnsi" w:cstheme="minorHAnsi"/>
          <w:color w:val="000000" w:themeColor="text1"/>
        </w:rPr>
        <w:t>F</w:t>
      </w:r>
      <w:r w:rsidR="00D0385F" w:rsidRPr="007003F1">
        <w:rPr>
          <w:rFonts w:asciiTheme="minorHAnsi" w:hAnsiTheme="minorHAnsi" w:cstheme="minorHAnsi"/>
          <w:color w:val="000000" w:themeColor="text1"/>
        </w:rPr>
        <w:t xml:space="preserve">ederal share of the </w:t>
      </w:r>
      <w:r w:rsidR="00DA03BE">
        <w:rPr>
          <w:rFonts w:asciiTheme="minorHAnsi" w:hAnsiTheme="minorHAnsi" w:cstheme="minorHAnsi"/>
          <w:color w:val="000000" w:themeColor="text1"/>
        </w:rPr>
        <w:t xml:space="preserve">second part of the </w:t>
      </w:r>
      <w:r w:rsidR="00D0385F" w:rsidRPr="007003F1">
        <w:rPr>
          <w:rFonts w:asciiTheme="minorHAnsi" w:hAnsiTheme="minorHAnsi" w:cstheme="minorHAnsi"/>
          <w:color w:val="000000" w:themeColor="text1"/>
        </w:rPr>
        <w:t xml:space="preserve">loan) </w:t>
      </w:r>
      <w:r w:rsidR="00DA03BE">
        <w:rPr>
          <w:rFonts w:asciiTheme="minorHAnsi" w:hAnsiTheme="minorHAnsi" w:cstheme="minorHAnsi"/>
          <w:color w:val="000000" w:themeColor="text1"/>
        </w:rPr>
        <w:t>with t</w:t>
      </w:r>
      <w:r w:rsidR="00DA03BE" w:rsidRPr="00DA03BE">
        <w:rPr>
          <w:rFonts w:asciiTheme="minorHAnsi" w:hAnsiTheme="minorHAnsi" w:cstheme="minorHAnsi"/>
          <w:color w:val="000000" w:themeColor="text1"/>
        </w:rPr>
        <w:t>he Canton of Geneva contribut</w:t>
      </w:r>
      <w:r w:rsidR="00DA03BE">
        <w:rPr>
          <w:rFonts w:asciiTheme="minorHAnsi" w:hAnsiTheme="minorHAnsi" w:cstheme="minorHAnsi"/>
          <w:color w:val="000000" w:themeColor="text1"/>
        </w:rPr>
        <w:t>ing</w:t>
      </w:r>
      <w:r w:rsidR="00DA03BE" w:rsidRPr="00DA03BE">
        <w:rPr>
          <w:rFonts w:asciiTheme="minorHAnsi" w:hAnsiTheme="minorHAnsi" w:cstheme="minorHAnsi"/>
          <w:color w:val="000000" w:themeColor="text1"/>
        </w:rPr>
        <w:t xml:space="preserve"> </w:t>
      </w:r>
      <w:r w:rsidR="00DA03BE">
        <w:rPr>
          <w:rFonts w:asciiTheme="minorHAnsi" w:hAnsiTheme="minorHAnsi" w:cstheme="minorHAnsi"/>
          <w:color w:val="000000" w:themeColor="text1"/>
        </w:rPr>
        <w:t xml:space="preserve">the remaining </w:t>
      </w:r>
      <w:r w:rsidR="00DA03BE" w:rsidRPr="00DA03BE">
        <w:rPr>
          <w:rFonts w:asciiTheme="minorHAnsi" w:hAnsiTheme="minorHAnsi" w:cstheme="minorHAnsi"/>
          <w:color w:val="000000" w:themeColor="text1"/>
        </w:rPr>
        <w:t>CHF</w:t>
      </w:r>
      <w:r w:rsidR="00DA03BE">
        <w:rPr>
          <w:rFonts w:asciiTheme="minorHAnsi" w:hAnsiTheme="minorHAnsi" w:cstheme="minorHAnsi"/>
          <w:color w:val="000000" w:themeColor="text1"/>
        </w:rPr>
        <w:t xml:space="preserve"> </w:t>
      </w:r>
      <w:r w:rsidR="00DA03BE" w:rsidRPr="00DA03BE">
        <w:rPr>
          <w:rFonts w:asciiTheme="minorHAnsi" w:hAnsiTheme="minorHAnsi" w:cstheme="minorHAnsi"/>
          <w:color w:val="000000" w:themeColor="text1"/>
        </w:rPr>
        <w:t>42</w:t>
      </w:r>
      <w:r w:rsidR="00DA03BE">
        <w:rPr>
          <w:rFonts w:asciiTheme="minorHAnsi" w:hAnsiTheme="minorHAnsi" w:cstheme="minorHAnsi"/>
          <w:color w:val="000000" w:themeColor="text1"/>
        </w:rPr>
        <w:t>,</w:t>
      </w:r>
      <w:r w:rsidR="00DA03BE" w:rsidRPr="00DA03BE">
        <w:rPr>
          <w:rFonts w:asciiTheme="minorHAnsi" w:hAnsiTheme="minorHAnsi" w:cstheme="minorHAnsi"/>
          <w:color w:val="000000" w:themeColor="text1"/>
        </w:rPr>
        <w:t>4</w:t>
      </w:r>
      <w:r w:rsidR="00DA03BE">
        <w:rPr>
          <w:rFonts w:asciiTheme="minorHAnsi" w:hAnsiTheme="minorHAnsi" w:cstheme="minorHAnsi"/>
          <w:color w:val="000000" w:themeColor="text1"/>
        </w:rPr>
        <w:t>00,000</w:t>
      </w:r>
      <w:r w:rsidR="00D0385F" w:rsidRPr="007003F1">
        <w:rPr>
          <w:rFonts w:asciiTheme="minorHAnsi" w:hAnsiTheme="minorHAnsi" w:cstheme="minorHAnsi"/>
          <w:color w:val="000000" w:themeColor="text1"/>
        </w:rPr>
        <w:t xml:space="preserve"> for the financing of the </w:t>
      </w:r>
      <w:r w:rsidR="005F4F3A">
        <w:rPr>
          <w:rFonts w:asciiTheme="minorHAnsi" w:hAnsiTheme="minorHAnsi" w:cstheme="minorHAnsi"/>
          <w:color w:val="000000" w:themeColor="text1"/>
        </w:rPr>
        <w:t xml:space="preserve">demolition and </w:t>
      </w:r>
      <w:r w:rsidR="00D0385F" w:rsidRPr="007003F1">
        <w:rPr>
          <w:rFonts w:asciiTheme="minorHAnsi" w:hAnsiTheme="minorHAnsi" w:cstheme="minorHAnsi"/>
          <w:color w:val="000000" w:themeColor="text1"/>
        </w:rPr>
        <w:t>reconstruction project of the ITU headquarters. The next step will be the transmission and processing of the dossier by the parliamentary chambers during the autumn and winter sessions</w:t>
      </w:r>
      <w:r w:rsidR="00E83D4A">
        <w:rPr>
          <w:rFonts w:asciiTheme="minorHAnsi" w:hAnsiTheme="minorHAnsi" w:cstheme="minorHAnsi"/>
          <w:color w:val="000000" w:themeColor="text1"/>
        </w:rPr>
        <w:t xml:space="preserve"> </w:t>
      </w:r>
      <w:r w:rsidR="00E83D4A" w:rsidRPr="007003F1">
        <w:rPr>
          <w:rFonts w:asciiTheme="minorHAnsi" w:hAnsiTheme="minorHAnsi" w:cstheme="minorHAnsi"/>
          <w:color w:val="000000" w:themeColor="text1"/>
        </w:rPr>
        <w:t>2020</w:t>
      </w:r>
      <w:r w:rsidR="00DA03BE">
        <w:rPr>
          <w:rFonts w:asciiTheme="minorHAnsi" w:hAnsiTheme="minorHAnsi" w:cstheme="minorHAnsi"/>
          <w:color w:val="000000" w:themeColor="text1"/>
        </w:rPr>
        <w:t>:</w:t>
      </w:r>
      <w:r w:rsidR="007003F1" w:rsidRPr="007003F1">
        <w:rPr>
          <w:rFonts w:asciiTheme="minorHAnsi" w:hAnsiTheme="minorHAnsi" w:cstheme="minorHAnsi"/>
          <w:color w:val="000000" w:themeColor="text1"/>
        </w:rPr>
        <w:t xml:space="preserve"> </w:t>
      </w:r>
    </w:p>
    <w:p w14:paraId="526F2B6A" w14:textId="1EB1F6E0" w:rsidR="0086489C" w:rsidRPr="00D75BAB" w:rsidRDefault="0086489C" w:rsidP="007F73CF">
      <w:pPr>
        <w:pStyle w:val="ListParagraph"/>
        <w:numPr>
          <w:ilvl w:val="0"/>
          <w:numId w:val="4"/>
        </w:numPr>
        <w:spacing w:line="276" w:lineRule="auto"/>
        <w:jc w:val="both"/>
        <w:rPr>
          <w:rFonts w:asciiTheme="minorHAnsi" w:hAnsiTheme="minorHAnsi" w:cstheme="minorHAnsi"/>
          <w:color w:val="000000" w:themeColor="text1"/>
          <w:sz w:val="24"/>
        </w:rPr>
      </w:pPr>
      <w:r w:rsidRPr="00D75BAB">
        <w:rPr>
          <w:rFonts w:asciiTheme="minorHAnsi" w:hAnsiTheme="minorHAnsi" w:cstheme="minorHAnsi"/>
          <w:color w:val="000000" w:themeColor="text1"/>
          <w:sz w:val="24"/>
        </w:rPr>
        <w:t xml:space="preserve">The Message is submitted to the competent parliamentary </w:t>
      </w:r>
      <w:proofErr w:type="gramStart"/>
      <w:r w:rsidRPr="00D75BAB">
        <w:rPr>
          <w:rFonts w:asciiTheme="minorHAnsi" w:hAnsiTheme="minorHAnsi" w:cstheme="minorHAnsi"/>
          <w:color w:val="000000" w:themeColor="text1"/>
          <w:sz w:val="24"/>
        </w:rPr>
        <w:t>committees;</w:t>
      </w:r>
      <w:proofErr w:type="gramEnd"/>
    </w:p>
    <w:p w14:paraId="0DE16936" w14:textId="77777777" w:rsidR="0086489C" w:rsidRPr="00D75BAB" w:rsidRDefault="0086489C" w:rsidP="007F73CF">
      <w:pPr>
        <w:pStyle w:val="ListParagraph"/>
        <w:numPr>
          <w:ilvl w:val="0"/>
          <w:numId w:val="4"/>
        </w:numPr>
        <w:spacing w:line="276" w:lineRule="auto"/>
        <w:jc w:val="both"/>
        <w:rPr>
          <w:rFonts w:asciiTheme="minorHAnsi" w:hAnsiTheme="minorHAnsi" w:cstheme="minorHAnsi"/>
          <w:color w:val="000000" w:themeColor="text1"/>
          <w:sz w:val="24"/>
        </w:rPr>
      </w:pPr>
      <w:r w:rsidRPr="00D75BAB">
        <w:rPr>
          <w:rFonts w:asciiTheme="minorHAnsi" w:hAnsiTheme="minorHAnsi" w:cstheme="minorHAnsi"/>
          <w:color w:val="000000" w:themeColor="text1"/>
          <w:sz w:val="24"/>
        </w:rPr>
        <w:t>The first Chamber approves during the autumn session of September 2020;</w:t>
      </w:r>
    </w:p>
    <w:p w14:paraId="1B8DFF15" w14:textId="77777777" w:rsidR="0086489C" w:rsidRPr="00D75BAB" w:rsidRDefault="0086489C" w:rsidP="007F73CF">
      <w:pPr>
        <w:pStyle w:val="ListParagraph"/>
        <w:numPr>
          <w:ilvl w:val="0"/>
          <w:numId w:val="4"/>
        </w:numPr>
        <w:spacing w:line="276" w:lineRule="auto"/>
        <w:jc w:val="both"/>
        <w:rPr>
          <w:rFonts w:asciiTheme="minorHAnsi" w:hAnsiTheme="minorHAnsi" w:cstheme="minorHAnsi"/>
          <w:color w:val="000000" w:themeColor="text1"/>
          <w:sz w:val="24"/>
        </w:rPr>
      </w:pPr>
      <w:r w:rsidRPr="00D75BAB">
        <w:rPr>
          <w:rFonts w:asciiTheme="minorHAnsi" w:hAnsiTheme="minorHAnsi" w:cstheme="minorHAnsi"/>
          <w:color w:val="000000" w:themeColor="text1"/>
          <w:sz w:val="24"/>
        </w:rPr>
        <w:t>The second Chamber approves during the winter session of December 2020;</w:t>
      </w:r>
    </w:p>
    <w:p w14:paraId="36E0FD5F" w14:textId="66F3183C" w:rsidR="00AF3E4D" w:rsidRDefault="0086489C" w:rsidP="007A65D0">
      <w:pPr>
        <w:spacing w:before="240"/>
        <w:jc w:val="both"/>
        <w:rPr>
          <w:rFonts w:asciiTheme="minorHAnsi" w:hAnsiTheme="minorHAnsi" w:cstheme="minorHAnsi"/>
          <w:color w:val="000000" w:themeColor="text1"/>
        </w:rPr>
      </w:pPr>
      <w:r w:rsidRPr="00D75BAB">
        <w:rPr>
          <w:rFonts w:asciiTheme="minorHAnsi" w:hAnsiTheme="minorHAnsi" w:cstheme="minorHAnsi"/>
          <w:color w:val="000000" w:themeColor="text1"/>
        </w:rPr>
        <w:t>Funds are expected to be potentially available from early 2021. In the meantime, funds from the first part of the loan remain available from the Host Country</w:t>
      </w:r>
      <w:r w:rsidR="00DA03BE">
        <w:rPr>
          <w:rFonts w:asciiTheme="minorHAnsi" w:hAnsiTheme="minorHAnsi" w:cstheme="minorHAnsi"/>
          <w:color w:val="000000" w:themeColor="text1"/>
        </w:rPr>
        <w:t xml:space="preserve"> until June 2021</w:t>
      </w:r>
      <w:r w:rsidRPr="00D75BAB">
        <w:rPr>
          <w:rFonts w:asciiTheme="minorHAnsi" w:hAnsiTheme="minorHAnsi" w:cstheme="minorHAnsi"/>
          <w:color w:val="000000" w:themeColor="text1"/>
        </w:rPr>
        <w:t xml:space="preserve">. </w:t>
      </w:r>
    </w:p>
    <w:p w14:paraId="037281DB" w14:textId="57BD0D27" w:rsidR="0086489C" w:rsidRDefault="0086489C" w:rsidP="007F73CF">
      <w:pPr>
        <w:spacing w:before="240" w:after="120" w:line="276" w:lineRule="auto"/>
        <w:jc w:val="both"/>
        <w:rPr>
          <w:rFonts w:asciiTheme="minorHAnsi" w:hAnsiTheme="minorHAnsi" w:cstheme="minorHAnsi"/>
          <w:b/>
          <w:bCs/>
          <w:color w:val="000000" w:themeColor="text1"/>
        </w:rPr>
      </w:pPr>
      <w:r w:rsidRPr="00D75BAB">
        <w:rPr>
          <w:rFonts w:asciiTheme="minorHAnsi" w:hAnsiTheme="minorHAnsi" w:cstheme="minorHAnsi"/>
          <w:b/>
          <w:bCs/>
          <w:color w:val="000000" w:themeColor="text1"/>
        </w:rPr>
        <w:t>3.8</w:t>
      </w:r>
      <w:r w:rsidRPr="00D75BAB">
        <w:rPr>
          <w:rFonts w:asciiTheme="minorHAnsi" w:hAnsiTheme="minorHAnsi" w:cstheme="minorHAnsi"/>
          <w:b/>
          <w:bCs/>
          <w:color w:val="000000" w:themeColor="text1"/>
        </w:rPr>
        <w:tab/>
        <w:t>Risk Register</w:t>
      </w:r>
    </w:p>
    <w:p w14:paraId="1D8CEE5D" w14:textId="05671481" w:rsidR="00C109FD" w:rsidRPr="0026518E" w:rsidRDefault="00220267" w:rsidP="007A65D0">
      <w:pPr>
        <w:jc w:val="both"/>
        <w:rPr>
          <w:rFonts w:asciiTheme="minorHAnsi" w:hAnsiTheme="minorHAnsi" w:cstheme="minorHAnsi"/>
          <w:color w:val="000000" w:themeColor="text1"/>
          <w:lang w:val="en-US"/>
        </w:rPr>
      </w:pPr>
      <w:r w:rsidRPr="0026518E">
        <w:rPr>
          <w:rFonts w:asciiTheme="minorHAnsi" w:hAnsiTheme="minorHAnsi" w:cstheme="minorHAnsi"/>
          <w:color w:val="000000" w:themeColor="text1"/>
          <w:lang w:val="en-US"/>
        </w:rPr>
        <w:t xml:space="preserve">A comprehensive risk register has been developed for the </w:t>
      </w:r>
      <w:r w:rsidR="00D93826" w:rsidRPr="0026518E">
        <w:rPr>
          <w:rFonts w:asciiTheme="minorHAnsi" w:hAnsiTheme="minorHAnsi" w:cstheme="minorHAnsi"/>
          <w:color w:val="000000" w:themeColor="text1"/>
          <w:lang w:val="en-US"/>
        </w:rPr>
        <w:t xml:space="preserve">Additional Council session held in September 2019. </w:t>
      </w:r>
      <w:r w:rsidR="009833D3" w:rsidRPr="0026518E">
        <w:rPr>
          <w:rFonts w:asciiTheme="minorHAnsi" w:hAnsiTheme="minorHAnsi" w:cstheme="minorHAnsi"/>
          <w:color w:val="000000" w:themeColor="text1"/>
          <w:lang w:val="en-US"/>
        </w:rPr>
        <w:t>T</w:t>
      </w:r>
      <w:r w:rsidR="0026518E" w:rsidRPr="0026518E">
        <w:rPr>
          <w:rFonts w:asciiTheme="minorHAnsi" w:hAnsiTheme="minorHAnsi" w:cstheme="minorHAnsi"/>
          <w:color w:val="000000" w:themeColor="text1"/>
          <w:lang w:val="en-US"/>
        </w:rPr>
        <w:t>he register is part of a</w:t>
      </w:r>
      <w:r w:rsidR="00705360" w:rsidRPr="0026518E">
        <w:rPr>
          <w:rFonts w:asciiTheme="minorHAnsi" w:hAnsiTheme="minorHAnsi" w:cstheme="minorHAnsi"/>
          <w:color w:val="000000" w:themeColor="text1"/>
          <w:lang w:val="en-US"/>
        </w:rPr>
        <w:t>n</w:t>
      </w:r>
      <w:r w:rsidR="00C109FD" w:rsidRPr="0026518E">
        <w:rPr>
          <w:rFonts w:asciiTheme="minorHAnsi" w:hAnsiTheme="minorHAnsi" w:cstheme="minorHAnsi"/>
          <w:color w:val="000000" w:themeColor="text1"/>
          <w:lang w:val="en-US"/>
        </w:rPr>
        <w:t xml:space="preserve"> overall risk management strategy in connection with design and construction activities assess</w:t>
      </w:r>
      <w:r w:rsidR="00C1740E">
        <w:rPr>
          <w:rFonts w:asciiTheme="minorHAnsi" w:hAnsiTheme="minorHAnsi" w:cstheme="minorHAnsi"/>
          <w:color w:val="000000" w:themeColor="text1"/>
          <w:lang w:val="en-US"/>
        </w:rPr>
        <w:t>ing</w:t>
      </w:r>
      <w:r w:rsidR="00C109FD" w:rsidRPr="0026518E">
        <w:rPr>
          <w:rFonts w:asciiTheme="minorHAnsi" w:hAnsiTheme="minorHAnsi" w:cstheme="minorHAnsi"/>
          <w:color w:val="000000" w:themeColor="text1"/>
          <w:lang w:val="en-US"/>
        </w:rPr>
        <w:t xml:space="preserve"> the </w:t>
      </w:r>
      <w:proofErr w:type="spellStart"/>
      <w:r w:rsidR="00C109FD" w:rsidRPr="0026518E">
        <w:rPr>
          <w:rFonts w:asciiTheme="minorHAnsi" w:hAnsiTheme="minorHAnsi" w:cstheme="minorHAnsi"/>
          <w:color w:val="000000" w:themeColor="text1"/>
          <w:lang w:val="en-US"/>
        </w:rPr>
        <w:t>programme</w:t>
      </w:r>
      <w:proofErr w:type="spellEnd"/>
      <w:r w:rsidR="00C109FD" w:rsidRPr="0026518E">
        <w:rPr>
          <w:rFonts w:asciiTheme="minorHAnsi" w:hAnsiTheme="minorHAnsi" w:cstheme="minorHAnsi"/>
          <w:color w:val="000000" w:themeColor="text1"/>
          <w:lang w:val="en-US"/>
        </w:rPr>
        <w:t xml:space="preserve"> regularly to identify the potential impact of future </w:t>
      </w:r>
      <w:proofErr w:type="spellStart"/>
      <w:r w:rsidR="00C109FD" w:rsidRPr="0026518E">
        <w:rPr>
          <w:rFonts w:asciiTheme="minorHAnsi" w:hAnsiTheme="minorHAnsi" w:cstheme="minorHAnsi"/>
          <w:color w:val="000000" w:themeColor="text1"/>
          <w:lang w:val="en-US"/>
        </w:rPr>
        <w:t>programme</w:t>
      </w:r>
      <w:proofErr w:type="spellEnd"/>
      <w:r w:rsidR="00C109FD" w:rsidRPr="0026518E">
        <w:rPr>
          <w:rFonts w:asciiTheme="minorHAnsi" w:hAnsiTheme="minorHAnsi" w:cstheme="minorHAnsi"/>
          <w:color w:val="000000" w:themeColor="text1"/>
          <w:lang w:val="en-US"/>
        </w:rPr>
        <w:t xml:space="preserve"> execution.</w:t>
      </w:r>
    </w:p>
    <w:p w14:paraId="42A1209B" w14:textId="53FE450C" w:rsidR="00C109FD" w:rsidRPr="0026518E" w:rsidRDefault="00C109FD" w:rsidP="007A65D0">
      <w:pPr>
        <w:jc w:val="both"/>
        <w:rPr>
          <w:rFonts w:asciiTheme="minorHAnsi" w:hAnsiTheme="minorHAnsi" w:cstheme="minorHAnsi"/>
          <w:color w:val="000000" w:themeColor="text1"/>
          <w:lang w:val="en-US"/>
        </w:rPr>
      </w:pPr>
      <w:r w:rsidRPr="0026518E">
        <w:rPr>
          <w:rFonts w:asciiTheme="minorHAnsi" w:hAnsiTheme="minorHAnsi" w:cstheme="minorHAnsi"/>
          <w:color w:val="000000" w:themeColor="text1"/>
          <w:lang w:val="en-US"/>
        </w:rPr>
        <w:t>Risk workshops are held frequently in order to identify/update risks and their potential impacts, as well as mitigation strategies.  The results of these workshops are used to develop</w:t>
      </w:r>
      <w:r w:rsidR="0026518E" w:rsidRPr="0026518E">
        <w:rPr>
          <w:rFonts w:asciiTheme="minorHAnsi" w:hAnsiTheme="minorHAnsi" w:cstheme="minorHAnsi"/>
          <w:color w:val="000000" w:themeColor="text1"/>
          <w:lang w:val="en-US"/>
        </w:rPr>
        <w:t xml:space="preserve"> </w:t>
      </w:r>
      <w:r w:rsidRPr="0026518E">
        <w:rPr>
          <w:rFonts w:asciiTheme="minorHAnsi" w:hAnsiTheme="minorHAnsi" w:cstheme="minorHAnsi"/>
          <w:color w:val="000000" w:themeColor="text1"/>
          <w:lang w:val="en-US"/>
        </w:rPr>
        <w:t>recommendations for the effective allocation of contingency funding</w:t>
      </w:r>
      <w:r w:rsidR="0026518E">
        <w:rPr>
          <w:rFonts w:asciiTheme="minorHAnsi" w:hAnsiTheme="minorHAnsi" w:cstheme="minorHAnsi"/>
          <w:color w:val="000000" w:themeColor="text1"/>
          <w:lang w:val="en-US"/>
        </w:rPr>
        <w:t>.</w:t>
      </w:r>
      <w:r w:rsidRPr="0026518E">
        <w:rPr>
          <w:rFonts w:asciiTheme="minorHAnsi" w:hAnsiTheme="minorHAnsi" w:cstheme="minorHAnsi"/>
          <w:color w:val="000000" w:themeColor="text1"/>
          <w:lang w:val="en-US"/>
        </w:rPr>
        <w:t xml:space="preserve"> </w:t>
      </w:r>
    </w:p>
    <w:p w14:paraId="3A6CA457" w14:textId="38ECEAF4" w:rsidR="00C109FD" w:rsidRDefault="00C109FD" w:rsidP="007A65D0">
      <w:pPr>
        <w:jc w:val="both"/>
        <w:rPr>
          <w:rFonts w:asciiTheme="minorHAnsi" w:hAnsiTheme="minorHAnsi" w:cstheme="minorHAnsi"/>
          <w:color w:val="000000" w:themeColor="text1"/>
          <w:lang w:val="en-US"/>
        </w:rPr>
      </w:pPr>
      <w:r w:rsidRPr="0026518E">
        <w:rPr>
          <w:rFonts w:asciiTheme="minorHAnsi" w:hAnsiTheme="minorHAnsi" w:cstheme="minorHAnsi"/>
          <w:color w:val="000000" w:themeColor="text1"/>
          <w:lang w:val="en-US"/>
        </w:rPr>
        <w:t>This approach is in line with the International Standard ISO 31000:2009, Risk management – Principles and Guidelines.</w:t>
      </w:r>
    </w:p>
    <w:p w14:paraId="3D6F2B96" w14:textId="45D264CA" w:rsidR="001C7C20" w:rsidRPr="0026518E" w:rsidRDefault="001C7C20" w:rsidP="007A65D0">
      <w:pPr>
        <w:jc w:val="both"/>
        <w:rPr>
          <w:rFonts w:asciiTheme="minorHAnsi" w:hAnsiTheme="minorHAnsi" w:cstheme="minorHAnsi"/>
          <w:color w:val="000000" w:themeColor="text1"/>
          <w:lang w:val="en-US"/>
        </w:rPr>
      </w:pPr>
      <w:r w:rsidRPr="008F4257">
        <w:rPr>
          <w:rFonts w:asciiTheme="minorHAnsi" w:hAnsiTheme="minorHAnsi" w:cstheme="minorHAnsi"/>
          <w:color w:val="000000" w:themeColor="text1"/>
          <w:lang w:val="en-US"/>
        </w:rPr>
        <w:t>The contingency represent</w:t>
      </w:r>
      <w:r>
        <w:rPr>
          <w:rFonts w:asciiTheme="minorHAnsi" w:hAnsiTheme="minorHAnsi" w:cstheme="minorHAnsi"/>
          <w:color w:val="000000" w:themeColor="text1"/>
          <w:lang w:val="en-US"/>
        </w:rPr>
        <w:t>s</w:t>
      </w:r>
      <w:r w:rsidRPr="008F4257">
        <w:rPr>
          <w:rFonts w:asciiTheme="minorHAnsi" w:hAnsiTheme="minorHAnsi" w:cstheme="minorHAnsi"/>
          <w:color w:val="000000" w:themeColor="text1"/>
          <w:lang w:val="en-US"/>
        </w:rPr>
        <w:t xml:space="preserve"> approximately 8% (12.6 MCHF) of the CFC budget 1 to 9</w:t>
      </w:r>
      <w:r w:rsidR="00996241">
        <w:rPr>
          <w:rFonts w:asciiTheme="minorHAnsi" w:hAnsiTheme="minorHAnsi" w:cstheme="minorHAnsi"/>
          <w:color w:val="000000" w:themeColor="text1"/>
          <w:lang w:val="en-US"/>
        </w:rPr>
        <w:t xml:space="preserve"> and </w:t>
      </w:r>
      <w:r w:rsidRPr="008F4257">
        <w:rPr>
          <w:rFonts w:asciiTheme="minorHAnsi" w:hAnsiTheme="minorHAnsi" w:cstheme="minorHAnsi"/>
          <w:color w:val="000000" w:themeColor="text1"/>
          <w:lang w:val="en-US"/>
        </w:rPr>
        <w:t xml:space="preserve">will </w:t>
      </w:r>
      <w:r>
        <w:rPr>
          <w:rFonts w:asciiTheme="minorHAnsi" w:hAnsiTheme="minorHAnsi" w:cstheme="minorHAnsi"/>
          <w:color w:val="000000" w:themeColor="text1"/>
          <w:lang w:val="en-US"/>
        </w:rPr>
        <w:t>have to be</w:t>
      </w:r>
      <w:r w:rsidRPr="008F4257">
        <w:rPr>
          <w:rFonts w:asciiTheme="minorHAnsi" w:hAnsiTheme="minorHAnsi" w:cstheme="minorHAnsi"/>
          <w:color w:val="000000" w:themeColor="text1"/>
          <w:lang w:val="en-US"/>
        </w:rPr>
        <w:t xml:space="preserve"> used in the case of services not provided and/or unexpected </w:t>
      </w:r>
      <w:r w:rsidR="00727786">
        <w:rPr>
          <w:rFonts w:asciiTheme="minorHAnsi" w:hAnsiTheme="minorHAnsi" w:cstheme="minorHAnsi"/>
          <w:color w:val="000000" w:themeColor="text1"/>
          <w:lang w:val="en-US"/>
        </w:rPr>
        <w:t xml:space="preserve">expenditures due to </w:t>
      </w:r>
      <w:r w:rsidRPr="008F4257">
        <w:rPr>
          <w:rFonts w:asciiTheme="minorHAnsi" w:hAnsiTheme="minorHAnsi" w:cstheme="minorHAnsi"/>
          <w:color w:val="000000" w:themeColor="text1"/>
          <w:lang w:val="en-US"/>
        </w:rPr>
        <w:t xml:space="preserve">hazards and unforeseen work during the </w:t>
      </w:r>
      <w:r w:rsidR="00A66F1A">
        <w:rPr>
          <w:rFonts w:asciiTheme="minorHAnsi" w:hAnsiTheme="minorHAnsi" w:cstheme="minorHAnsi"/>
          <w:color w:val="000000" w:themeColor="text1"/>
          <w:lang w:val="en-US"/>
        </w:rPr>
        <w:t>demolition and construction</w:t>
      </w:r>
      <w:r w:rsidRPr="008F4257">
        <w:rPr>
          <w:rFonts w:asciiTheme="minorHAnsi" w:hAnsiTheme="minorHAnsi" w:cstheme="minorHAnsi"/>
          <w:color w:val="000000" w:themeColor="text1"/>
          <w:lang w:val="en-US"/>
        </w:rPr>
        <w:t xml:space="preserve"> period</w:t>
      </w:r>
      <w:r w:rsidR="001E1931">
        <w:rPr>
          <w:rFonts w:asciiTheme="minorHAnsi" w:hAnsiTheme="minorHAnsi" w:cstheme="minorHAnsi"/>
          <w:color w:val="000000" w:themeColor="text1"/>
          <w:lang w:val="en-US"/>
        </w:rPr>
        <w:t>s</w:t>
      </w:r>
      <w:r w:rsidRPr="008F4257">
        <w:rPr>
          <w:rFonts w:asciiTheme="minorHAnsi" w:hAnsiTheme="minorHAnsi" w:cstheme="minorHAnsi"/>
          <w:color w:val="000000" w:themeColor="text1"/>
          <w:lang w:val="en-US"/>
        </w:rPr>
        <w:t>. Beforehand, an operational and financial analysis of unforeseen services through a report, justifying the relevance and validity of the work, will be established by HILL International in order to justify the merits of the additional interventions.</w:t>
      </w:r>
    </w:p>
    <w:p w14:paraId="74E962C3" w14:textId="5FB3AF7A" w:rsidR="00C109FD" w:rsidRPr="00CF74D2" w:rsidRDefault="00C109FD" w:rsidP="007A65D0">
      <w:pPr>
        <w:jc w:val="both"/>
        <w:rPr>
          <w:rFonts w:asciiTheme="minorHAnsi" w:hAnsiTheme="minorHAnsi" w:cstheme="minorHAnsi"/>
          <w:color w:val="000000" w:themeColor="text1"/>
          <w:lang w:val="en-US"/>
        </w:rPr>
      </w:pPr>
      <w:r w:rsidRPr="00CF74D2">
        <w:rPr>
          <w:rFonts w:asciiTheme="minorHAnsi" w:hAnsiTheme="minorHAnsi" w:cstheme="minorHAnsi"/>
          <w:color w:val="000000" w:themeColor="text1"/>
          <w:lang w:val="en-US"/>
        </w:rPr>
        <w:t>In order to make risk management effective, a number of principles have been defined and followed</w:t>
      </w:r>
      <w:r w:rsidR="00FE6979" w:rsidRPr="00CF74D2">
        <w:rPr>
          <w:rFonts w:asciiTheme="minorHAnsi" w:hAnsiTheme="minorHAnsi" w:cstheme="minorHAnsi"/>
          <w:color w:val="000000" w:themeColor="text1"/>
          <w:lang w:val="en-US"/>
        </w:rPr>
        <w:t xml:space="preserve"> </w:t>
      </w:r>
      <w:r w:rsidR="00FE6979" w:rsidRPr="002268DE">
        <w:rPr>
          <w:rFonts w:asciiTheme="minorHAnsi" w:hAnsiTheme="minorHAnsi" w:cstheme="minorHAnsi"/>
          <w:color w:val="000000" w:themeColor="text1"/>
          <w:lang w:val="en-US"/>
        </w:rPr>
        <w:t xml:space="preserve">(see </w:t>
      </w:r>
      <w:hyperlink w:anchor="AnnexA" w:history="1">
        <w:r w:rsidR="00FF62FF" w:rsidRPr="00742C7A">
          <w:rPr>
            <w:rStyle w:val="Hyperlink"/>
            <w:rFonts w:asciiTheme="minorHAnsi" w:hAnsiTheme="minorHAnsi" w:cstheme="minorHAnsi"/>
            <w:lang w:val="en-US"/>
          </w:rPr>
          <w:t>A</w:t>
        </w:r>
        <w:r w:rsidR="00536BF2" w:rsidRPr="00742C7A">
          <w:rPr>
            <w:rStyle w:val="Hyperlink"/>
            <w:rFonts w:asciiTheme="minorHAnsi" w:hAnsiTheme="minorHAnsi" w:cstheme="minorHAnsi"/>
            <w:lang w:val="en-US"/>
          </w:rPr>
          <w:t>nnex A</w:t>
        </w:r>
      </w:hyperlink>
      <w:r w:rsidR="003D5568" w:rsidRPr="002268DE">
        <w:rPr>
          <w:rFonts w:asciiTheme="minorHAnsi" w:hAnsiTheme="minorHAnsi" w:cstheme="minorHAnsi"/>
          <w:color w:val="000000" w:themeColor="text1"/>
          <w:lang w:val="en-US"/>
        </w:rPr>
        <w:t>)</w:t>
      </w:r>
      <w:r w:rsidRPr="002268DE">
        <w:rPr>
          <w:rFonts w:asciiTheme="minorHAnsi" w:hAnsiTheme="minorHAnsi" w:cstheme="minorHAnsi"/>
          <w:color w:val="000000" w:themeColor="text1"/>
          <w:lang w:val="en-US"/>
        </w:rPr>
        <w:t>.</w:t>
      </w:r>
      <w:r w:rsidRPr="00CF74D2">
        <w:rPr>
          <w:rFonts w:asciiTheme="minorHAnsi" w:hAnsiTheme="minorHAnsi" w:cstheme="minorHAnsi"/>
          <w:color w:val="000000" w:themeColor="text1"/>
          <w:lang w:val="en-US"/>
        </w:rPr>
        <w:t xml:space="preserve">  </w:t>
      </w:r>
      <w:r w:rsidR="00884871">
        <w:rPr>
          <w:rFonts w:asciiTheme="minorHAnsi" w:hAnsiTheme="minorHAnsi" w:cstheme="minorHAnsi"/>
          <w:color w:val="000000" w:themeColor="text1"/>
          <w:lang w:val="en-US"/>
        </w:rPr>
        <w:t>A</w:t>
      </w:r>
      <w:r w:rsidRPr="00CF74D2">
        <w:rPr>
          <w:rFonts w:asciiTheme="minorHAnsi" w:hAnsiTheme="minorHAnsi" w:cstheme="minorHAnsi"/>
          <w:color w:val="000000" w:themeColor="text1"/>
          <w:lang w:val="en-US"/>
        </w:rPr>
        <w:t xml:space="preserve"> framework </w:t>
      </w:r>
      <w:r w:rsidR="00884871">
        <w:rPr>
          <w:rFonts w:asciiTheme="minorHAnsi" w:hAnsiTheme="minorHAnsi" w:cstheme="minorHAnsi"/>
          <w:color w:val="000000" w:themeColor="text1"/>
          <w:lang w:val="en-US"/>
        </w:rPr>
        <w:t xml:space="preserve">has been developed, implemented and monitored </w:t>
      </w:r>
      <w:r w:rsidRPr="00CF74D2">
        <w:rPr>
          <w:rFonts w:asciiTheme="minorHAnsi" w:hAnsiTheme="minorHAnsi" w:cstheme="minorHAnsi"/>
          <w:color w:val="000000" w:themeColor="text1"/>
          <w:lang w:val="en-US"/>
        </w:rPr>
        <w:t xml:space="preserve">whose purpose is </w:t>
      </w:r>
      <w:r w:rsidRPr="00CF74D2">
        <w:rPr>
          <w:rFonts w:asciiTheme="minorHAnsi" w:hAnsiTheme="minorHAnsi" w:cstheme="minorHAnsi"/>
          <w:color w:val="000000" w:themeColor="text1"/>
          <w:lang w:val="en-US"/>
        </w:rPr>
        <w:lastRenderedPageBreak/>
        <w:t>to integrate the process for managing risk into the organi</w:t>
      </w:r>
      <w:r w:rsidR="00F63D9F">
        <w:rPr>
          <w:rFonts w:asciiTheme="minorHAnsi" w:hAnsiTheme="minorHAnsi" w:cstheme="minorHAnsi"/>
          <w:color w:val="000000" w:themeColor="text1"/>
          <w:lang w:val="en-US"/>
        </w:rPr>
        <w:t>z</w:t>
      </w:r>
      <w:r w:rsidRPr="00CF74D2">
        <w:rPr>
          <w:rFonts w:asciiTheme="minorHAnsi" w:hAnsiTheme="minorHAnsi" w:cstheme="minorHAnsi"/>
          <w:color w:val="000000" w:themeColor="text1"/>
          <w:lang w:val="en-US"/>
        </w:rPr>
        <w:t>ation</w:t>
      </w:r>
      <w:r w:rsidR="00F63D9F">
        <w:rPr>
          <w:rFonts w:asciiTheme="minorHAnsi" w:hAnsiTheme="minorHAnsi" w:cstheme="minorHAnsi"/>
          <w:color w:val="000000" w:themeColor="text1"/>
          <w:lang w:val="en-US"/>
        </w:rPr>
        <w:t>’</w:t>
      </w:r>
      <w:r w:rsidRPr="00CF74D2">
        <w:rPr>
          <w:rFonts w:asciiTheme="minorHAnsi" w:hAnsiTheme="minorHAnsi" w:cstheme="minorHAnsi"/>
          <w:color w:val="000000" w:themeColor="text1"/>
          <w:lang w:val="en-US"/>
        </w:rPr>
        <w:t xml:space="preserve">s overall governance, strategy and planning processes. </w:t>
      </w:r>
    </w:p>
    <w:p w14:paraId="0FBABA22" w14:textId="71C9D6A9" w:rsidR="001E23D5" w:rsidRDefault="00C109FD" w:rsidP="007A65D0">
      <w:pPr>
        <w:jc w:val="both"/>
        <w:rPr>
          <w:rFonts w:asciiTheme="minorHAnsi" w:hAnsiTheme="minorHAnsi" w:cstheme="minorHAnsi"/>
          <w:color w:val="000000" w:themeColor="text1"/>
          <w:lang w:val="en-US"/>
        </w:rPr>
      </w:pPr>
      <w:r w:rsidRPr="00CF74D2">
        <w:rPr>
          <w:rFonts w:asciiTheme="minorHAnsi" w:hAnsiTheme="minorHAnsi" w:cstheme="minorHAnsi"/>
          <w:color w:val="000000" w:themeColor="text1"/>
          <w:lang w:val="en-US"/>
        </w:rPr>
        <w:t>The objective is to ensure that it is ingrained in the organi</w:t>
      </w:r>
      <w:r w:rsidR="00F63D9F">
        <w:rPr>
          <w:rFonts w:asciiTheme="minorHAnsi" w:hAnsiTheme="minorHAnsi" w:cstheme="minorHAnsi"/>
          <w:color w:val="000000" w:themeColor="text1"/>
          <w:lang w:val="en-US"/>
        </w:rPr>
        <w:t>z</w:t>
      </w:r>
      <w:r w:rsidRPr="00CF74D2">
        <w:rPr>
          <w:rFonts w:asciiTheme="minorHAnsi" w:hAnsiTheme="minorHAnsi" w:cstheme="minorHAnsi"/>
          <w:color w:val="000000" w:themeColor="text1"/>
          <w:lang w:val="en-US"/>
        </w:rPr>
        <w:t>ation</w:t>
      </w:r>
      <w:r w:rsidR="00B9580A" w:rsidRPr="00CF74D2">
        <w:rPr>
          <w:rFonts w:asciiTheme="minorHAnsi" w:hAnsiTheme="minorHAnsi" w:cstheme="minorHAnsi"/>
          <w:color w:val="000000" w:themeColor="text1"/>
          <w:lang w:val="en-US"/>
        </w:rPr>
        <w:t>’</w:t>
      </w:r>
      <w:r w:rsidRPr="00CF74D2">
        <w:rPr>
          <w:rFonts w:asciiTheme="minorHAnsi" w:hAnsiTheme="minorHAnsi" w:cstheme="minorHAnsi"/>
          <w:color w:val="000000" w:themeColor="text1"/>
          <w:lang w:val="en-US"/>
        </w:rPr>
        <w:t xml:space="preserve">s management and reporting processes and </w:t>
      </w:r>
      <w:r w:rsidR="000D5FD5" w:rsidRPr="00CF74D2">
        <w:rPr>
          <w:rFonts w:asciiTheme="minorHAnsi" w:hAnsiTheme="minorHAnsi" w:cstheme="minorHAnsi"/>
          <w:color w:val="000000" w:themeColor="text1"/>
          <w:lang w:val="en-US"/>
        </w:rPr>
        <w:t>policies</w:t>
      </w:r>
    </w:p>
    <w:p w14:paraId="4A729111" w14:textId="07A894DC" w:rsidR="00894486" w:rsidRPr="00F12301" w:rsidRDefault="00894486" w:rsidP="007A65D0">
      <w:pPr>
        <w:jc w:val="both"/>
      </w:pPr>
      <w:r>
        <w:t>MSAG has noted that</w:t>
      </w:r>
      <w:r w:rsidRPr="00E178B7">
        <w:t xml:space="preserve"> </w:t>
      </w:r>
      <w:r>
        <w:t xml:space="preserve">with </w:t>
      </w:r>
      <w:r w:rsidRPr="00E178B7">
        <w:t>the present proposed allocation of only CHF 500.000 the fund will not reach the required CHF 12</w:t>
      </w:r>
      <w:r>
        <w:t>.</w:t>
      </w:r>
      <w:r w:rsidRPr="00E178B7">
        <w:t xml:space="preserve">6 million within an acceptable timeframe. MSAG </w:t>
      </w:r>
      <w:r>
        <w:t>has</w:t>
      </w:r>
      <w:r w:rsidRPr="00E178B7">
        <w:t xml:space="preserve"> estimated an average yearly allocation of CHF 1</w:t>
      </w:r>
      <w:r>
        <w:t>.</w:t>
      </w:r>
      <w:r w:rsidRPr="00E178B7">
        <w:t xml:space="preserve">8 million over the 7 years project duration period. </w:t>
      </w:r>
      <w:r>
        <w:t>Consequently</w:t>
      </w:r>
      <w:r w:rsidR="0004705C">
        <w:t>,</w:t>
      </w:r>
      <w:r>
        <w:t xml:space="preserve"> the Secretariat propose</w:t>
      </w:r>
      <w:r w:rsidR="00DB59C8">
        <w:t>d to MSAG</w:t>
      </w:r>
      <w:r>
        <w:t xml:space="preserve"> that ASHI fund contributions should go instead to the Risk Register fund </w:t>
      </w:r>
      <w:r w:rsidRPr="00A030DE">
        <w:t xml:space="preserve">and that any monies left in this account at the end of construction will be placed in the ASHI fund instead of the Reserve Account. This would require an amendment to Decision 619.  </w:t>
      </w:r>
    </w:p>
    <w:p w14:paraId="31EAE4A8" w14:textId="04E4332D" w:rsidR="00C12F01" w:rsidRDefault="005722C1" w:rsidP="007A65D0">
      <w:pPr>
        <w:jc w:val="both"/>
      </w:pPr>
      <w:r w:rsidRPr="00F753FE">
        <w:t>As of 31 December 2019, the Risk Register</w:t>
      </w:r>
      <w:r>
        <w:t xml:space="preserve"> Funds amounts to CHF1’425’000. </w:t>
      </w:r>
    </w:p>
    <w:p w14:paraId="3ADFE65F" w14:textId="48F41BB9" w:rsidR="00A02D19" w:rsidRDefault="003C0A95" w:rsidP="007A65D0">
      <w:pPr>
        <w:jc w:val="both"/>
      </w:pPr>
      <w:r w:rsidRPr="00F753FE">
        <w:t xml:space="preserve">The updated Risk </w:t>
      </w:r>
      <w:r w:rsidRPr="00742C7A">
        <w:t xml:space="preserve">Register </w:t>
      </w:r>
      <w:r w:rsidR="0063757E" w:rsidRPr="00742C7A">
        <w:t xml:space="preserve">is available </w:t>
      </w:r>
      <w:hyperlink r:id="rId36" w:history="1">
        <w:r w:rsidR="005A230D" w:rsidRPr="00742C7A">
          <w:rPr>
            <w:rStyle w:val="Hyperlink"/>
          </w:rPr>
          <w:t>here</w:t>
        </w:r>
      </w:hyperlink>
      <w:r w:rsidR="0063757E" w:rsidRPr="00742C7A">
        <w:t>.</w:t>
      </w:r>
    </w:p>
    <w:p w14:paraId="11607DA8" w14:textId="51E0DF35" w:rsidR="00F12301" w:rsidRDefault="0086489C" w:rsidP="007A65D0">
      <w:pPr>
        <w:spacing w:before="240" w:after="120"/>
        <w:jc w:val="both"/>
        <w:rPr>
          <w:rFonts w:asciiTheme="minorHAnsi" w:hAnsiTheme="minorHAnsi" w:cstheme="minorHAnsi"/>
          <w:b/>
          <w:bCs/>
          <w:color w:val="000000" w:themeColor="text1"/>
        </w:rPr>
      </w:pPr>
      <w:r w:rsidRPr="00D75BAB">
        <w:rPr>
          <w:rFonts w:asciiTheme="minorHAnsi" w:hAnsiTheme="minorHAnsi" w:cstheme="minorHAnsi"/>
          <w:b/>
          <w:bCs/>
          <w:color w:val="000000" w:themeColor="text1"/>
        </w:rPr>
        <w:t>3.9</w:t>
      </w:r>
      <w:r w:rsidRPr="00D75BAB">
        <w:rPr>
          <w:rFonts w:asciiTheme="minorHAnsi" w:hAnsiTheme="minorHAnsi" w:cstheme="minorHAnsi"/>
          <w:b/>
          <w:bCs/>
          <w:color w:val="000000" w:themeColor="text1"/>
        </w:rPr>
        <w:tab/>
      </w:r>
      <w:r w:rsidR="00974F3E">
        <w:rPr>
          <w:rFonts w:asciiTheme="minorHAnsi" w:hAnsiTheme="minorHAnsi" w:cstheme="minorHAnsi"/>
          <w:b/>
          <w:bCs/>
          <w:color w:val="000000" w:themeColor="text1"/>
        </w:rPr>
        <w:t xml:space="preserve">Schedule of expenditures or </w:t>
      </w:r>
      <w:r w:rsidR="00950BBD">
        <w:rPr>
          <w:rFonts w:asciiTheme="minorHAnsi" w:hAnsiTheme="minorHAnsi" w:cstheme="minorHAnsi"/>
          <w:b/>
          <w:bCs/>
          <w:color w:val="000000" w:themeColor="text1"/>
        </w:rPr>
        <w:t>cost tracker</w:t>
      </w:r>
    </w:p>
    <w:p w14:paraId="2AA45D9B" w14:textId="77777777" w:rsidR="00F4455D" w:rsidRDefault="00F86F1F" w:rsidP="00F63D9F">
      <w:pPr>
        <w:shd w:val="clear" w:color="auto" w:fill="FFFFFF"/>
        <w:tabs>
          <w:tab w:val="clear" w:pos="567"/>
          <w:tab w:val="clear" w:pos="1134"/>
          <w:tab w:val="clear" w:pos="1701"/>
          <w:tab w:val="clear" w:pos="2268"/>
          <w:tab w:val="clear" w:pos="2835"/>
        </w:tabs>
        <w:overflowPunct/>
        <w:autoSpaceDE/>
        <w:autoSpaceDN/>
        <w:adjustRightInd/>
        <w:spacing w:before="0"/>
        <w:jc w:val="both"/>
        <w:textAlignment w:val="auto"/>
      </w:pPr>
      <w:r>
        <w:t>Since the</w:t>
      </w:r>
      <w:r w:rsidRPr="00F86F1F">
        <w:t xml:space="preserve"> project start</w:t>
      </w:r>
      <w:r>
        <w:t>ed</w:t>
      </w:r>
      <w:r w:rsidR="00184E9F">
        <w:t xml:space="preserve">, </w:t>
      </w:r>
      <w:r w:rsidRPr="00F86F1F">
        <w:t>task progress </w:t>
      </w:r>
      <w:r w:rsidR="00222168">
        <w:t>-</w:t>
      </w:r>
      <w:r w:rsidRPr="00F86F1F">
        <w:t xml:space="preserve"> the amount of work done on tasks or the percentage of the tasks that are complete</w:t>
      </w:r>
      <w:r w:rsidR="00A4346C">
        <w:t>d</w:t>
      </w:r>
      <w:r w:rsidR="00884871">
        <w:t xml:space="preserve"> – is tracked and updated</w:t>
      </w:r>
      <w:r w:rsidRPr="00F86F1F">
        <w:t>.</w:t>
      </w:r>
    </w:p>
    <w:p w14:paraId="3C507ABB" w14:textId="08FE9B9C" w:rsidR="00267910" w:rsidRDefault="00A20E60" w:rsidP="00F63D9F">
      <w:pPr>
        <w:jc w:val="both"/>
      </w:pPr>
      <w:r>
        <w:t xml:space="preserve">A </w:t>
      </w:r>
      <w:r w:rsidR="00DD6A55">
        <w:t>cost tracker has been esta</w:t>
      </w:r>
      <w:r>
        <w:t>blished co</w:t>
      </w:r>
      <w:r w:rsidR="00F86F1F" w:rsidRPr="00F86F1F">
        <w:t>mbining the actual costs of completed work with the estimated costs for remaining work</w:t>
      </w:r>
      <w:r w:rsidR="00B036C5">
        <w:t xml:space="preserve"> - p</w:t>
      </w:r>
      <w:r w:rsidR="00F86F1F" w:rsidRPr="00F86F1F">
        <w:t xml:space="preserve">roject scheduled </w:t>
      </w:r>
      <w:r w:rsidR="00B036C5">
        <w:t xml:space="preserve">vs </w:t>
      </w:r>
      <w:r w:rsidR="00F86F1F" w:rsidRPr="00F86F1F">
        <w:t xml:space="preserve">projected costs. More importantly, it calculates the difference between the scheduled and baseline costs. This difference, or cost variance, </w:t>
      </w:r>
      <w:r w:rsidR="00B036C5">
        <w:t>identifies</w:t>
      </w:r>
      <w:r w:rsidR="00F86F1F" w:rsidRPr="00F86F1F">
        <w:t xml:space="preserve"> whether </w:t>
      </w:r>
      <w:r w:rsidR="00010C5C">
        <w:t>the</w:t>
      </w:r>
      <w:r w:rsidR="00F86F1F" w:rsidRPr="00F86F1F">
        <w:t xml:space="preserve"> </w:t>
      </w:r>
      <w:r w:rsidR="00A4346C">
        <w:t>P</w:t>
      </w:r>
      <w:r w:rsidR="00F86F1F" w:rsidRPr="00F86F1F">
        <w:t>roject is on budget.</w:t>
      </w:r>
    </w:p>
    <w:p w14:paraId="04D7B020" w14:textId="41E8BAF8" w:rsidR="00553183" w:rsidRPr="00F86F1F" w:rsidRDefault="00010C5C" w:rsidP="00F63D9F">
      <w:pPr>
        <w:spacing w:line="276" w:lineRule="auto"/>
        <w:jc w:val="both"/>
      </w:pPr>
      <w:r w:rsidRPr="00553183">
        <w:t xml:space="preserve">The </w:t>
      </w:r>
      <w:r w:rsidR="00197F5C">
        <w:t>schedule of expenditure</w:t>
      </w:r>
      <w:r w:rsidRPr="00553183">
        <w:t xml:space="preserve"> </w:t>
      </w:r>
      <w:r w:rsidRPr="00742C7A">
        <w:t xml:space="preserve">is </w:t>
      </w:r>
      <w:r w:rsidR="00164632" w:rsidRPr="00742C7A">
        <w:t xml:space="preserve">available </w:t>
      </w:r>
      <w:hyperlink r:id="rId37" w:history="1">
        <w:r w:rsidR="00742C7A" w:rsidRPr="00742C7A">
          <w:rPr>
            <w:rStyle w:val="Hyperlink"/>
          </w:rPr>
          <w:t>here</w:t>
        </w:r>
      </w:hyperlink>
      <w:r w:rsidRPr="00742C7A">
        <w:t>.</w:t>
      </w:r>
    </w:p>
    <w:p w14:paraId="6976A519" w14:textId="3BD1242D" w:rsidR="00111E12" w:rsidRDefault="00111E12" w:rsidP="00F63D9F">
      <w:pPr>
        <w:keepNext/>
        <w:keepLines/>
        <w:spacing w:before="240" w:after="120" w:line="276" w:lineRule="auto"/>
        <w:jc w:val="both"/>
        <w:rPr>
          <w:rFonts w:asciiTheme="minorHAnsi" w:hAnsiTheme="minorHAnsi" w:cstheme="minorHAnsi"/>
          <w:b/>
          <w:bCs/>
          <w:color w:val="000000" w:themeColor="text1"/>
        </w:rPr>
      </w:pPr>
      <w:r w:rsidRPr="00D75BAB">
        <w:rPr>
          <w:rFonts w:asciiTheme="minorHAnsi" w:hAnsiTheme="minorHAnsi" w:cstheme="minorHAnsi"/>
          <w:b/>
          <w:bCs/>
          <w:color w:val="000000" w:themeColor="text1"/>
        </w:rPr>
        <w:t>3.10</w:t>
      </w:r>
      <w:r w:rsidRPr="00D75BAB">
        <w:rPr>
          <w:rFonts w:asciiTheme="minorHAnsi" w:hAnsiTheme="minorHAnsi" w:cstheme="minorHAnsi"/>
          <w:b/>
          <w:bCs/>
          <w:color w:val="000000" w:themeColor="text1"/>
        </w:rPr>
        <w:tab/>
      </w:r>
      <w:r w:rsidR="0085615F">
        <w:rPr>
          <w:rFonts w:asciiTheme="minorHAnsi" w:hAnsiTheme="minorHAnsi" w:cstheme="minorHAnsi"/>
          <w:b/>
          <w:bCs/>
          <w:color w:val="000000" w:themeColor="text1"/>
        </w:rPr>
        <w:t xml:space="preserve">Preliminary Project </w:t>
      </w:r>
      <w:r w:rsidRPr="00D75BAB">
        <w:rPr>
          <w:rFonts w:asciiTheme="minorHAnsi" w:hAnsiTheme="minorHAnsi" w:cstheme="minorHAnsi"/>
          <w:b/>
          <w:bCs/>
          <w:color w:val="000000" w:themeColor="text1"/>
        </w:rPr>
        <w:t>Schedule</w:t>
      </w:r>
    </w:p>
    <w:p w14:paraId="5F620400" w14:textId="565644A5" w:rsidR="00EF2E41" w:rsidRDefault="00EF2E41" w:rsidP="00F63D9F">
      <w:pPr>
        <w:jc w:val="both"/>
      </w:pPr>
      <w:r>
        <w:t xml:space="preserve">Hill International, with substantive input from the Design </w:t>
      </w:r>
      <w:r w:rsidR="001B707F">
        <w:t>c</w:t>
      </w:r>
      <w:r w:rsidR="00873B9A">
        <w:t>onsortium</w:t>
      </w:r>
      <w:r>
        <w:t xml:space="preserve"> </w:t>
      </w:r>
      <w:r w:rsidR="00E65B13">
        <w:t xml:space="preserve">CDTK </w:t>
      </w:r>
      <w:r>
        <w:t xml:space="preserve">and in coordination with </w:t>
      </w:r>
      <w:r w:rsidR="00873B9A">
        <w:t xml:space="preserve">the </w:t>
      </w:r>
      <w:r w:rsidR="00495BDA">
        <w:t>Building Project</w:t>
      </w:r>
      <w:r>
        <w:t xml:space="preserve"> </w:t>
      </w:r>
      <w:r w:rsidR="00495BDA">
        <w:t>Division team</w:t>
      </w:r>
      <w:r>
        <w:t xml:space="preserve">, is responsible to monitor, review and update the design and construction schedule. </w:t>
      </w:r>
    </w:p>
    <w:p w14:paraId="38A974EC" w14:textId="08FA8295" w:rsidR="005F5E44" w:rsidRPr="005F5E44" w:rsidRDefault="005F5E44" w:rsidP="00F63D9F">
      <w:pPr>
        <w:jc w:val="both"/>
      </w:pPr>
      <w:r w:rsidRPr="0012278C">
        <w:t xml:space="preserve">The </w:t>
      </w:r>
      <w:r w:rsidR="0085615F" w:rsidRPr="0012278C">
        <w:t xml:space="preserve">Preliminary Project Schedule </w:t>
      </w:r>
      <w:r w:rsidRPr="00742C7A">
        <w:t xml:space="preserve">is </w:t>
      </w:r>
      <w:r w:rsidR="00545FF9" w:rsidRPr="00742C7A">
        <w:t xml:space="preserve">available </w:t>
      </w:r>
      <w:hyperlink r:id="rId38" w:history="1">
        <w:r w:rsidR="00742C7A" w:rsidRPr="00742C7A">
          <w:rPr>
            <w:rStyle w:val="Hyperlink"/>
          </w:rPr>
          <w:t>here</w:t>
        </w:r>
      </w:hyperlink>
      <w:r w:rsidR="00742C7A">
        <w:t>.</w:t>
      </w:r>
    </w:p>
    <w:p w14:paraId="37773C17" w14:textId="4AC28CDF" w:rsidR="0086489C" w:rsidRPr="00D75BAB" w:rsidRDefault="0086489C" w:rsidP="00F63D9F">
      <w:pPr>
        <w:spacing w:before="240" w:after="120"/>
        <w:ind w:left="567" w:hanging="567"/>
        <w:jc w:val="both"/>
        <w:rPr>
          <w:rFonts w:asciiTheme="minorHAnsi" w:hAnsiTheme="minorHAnsi" w:cstheme="minorHAnsi"/>
          <w:b/>
          <w:bCs/>
          <w:color w:val="000000" w:themeColor="text1"/>
        </w:rPr>
      </w:pPr>
      <w:r w:rsidRPr="00D75BAB">
        <w:rPr>
          <w:rFonts w:asciiTheme="minorHAnsi" w:hAnsiTheme="minorHAnsi" w:cstheme="minorHAnsi"/>
          <w:b/>
          <w:bCs/>
          <w:color w:val="000000" w:themeColor="text1"/>
        </w:rPr>
        <w:t>3.1</w:t>
      </w:r>
      <w:r w:rsidR="00111E12" w:rsidRPr="00D75BAB">
        <w:rPr>
          <w:rFonts w:asciiTheme="minorHAnsi" w:hAnsiTheme="minorHAnsi" w:cstheme="minorHAnsi"/>
          <w:b/>
          <w:bCs/>
          <w:color w:val="000000" w:themeColor="text1"/>
        </w:rPr>
        <w:t>1</w:t>
      </w:r>
      <w:r w:rsidRPr="00D75BAB">
        <w:rPr>
          <w:rFonts w:asciiTheme="minorHAnsi" w:hAnsiTheme="minorHAnsi" w:cstheme="minorHAnsi"/>
          <w:b/>
          <w:bCs/>
          <w:color w:val="000000" w:themeColor="text1"/>
        </w:rPr>
        <w:tab/>
        <w:t xml:space="preserve">Financial impact on the value of the Tower when retaining the </w:t>
      </w:r>
      <w:r w:rsidR="00275E9B">
        <w:rPr>
          <w:rFonts w:asciiTheme="minorHAnsi" w:hAnsiTheme="minorHAnsi" w:cstheme="minorHAnsi"/>
          <w:b/>
          <w:bCs/>
          <w:color w:val="000000" w:themeColor="text1"/>
        </w:rPr>
        <w:t xml:space="preserve">use of the </w:t>
      </w:r>
      <w:r w:rsidRPr="00D75BAB">
        <w:rPr>
          <w:rFonts w:asciiTheme="minorHAnsi" w:hAnsiTheme="minorHAnsi" w:cstheme="minorHAnsi"/>
          <w:b/>
          <w:bCs/>
          <w:color w:val="000000" w:themeColor="text1"/>
        </w:rPr>
        <w:t>Popov conference room</w:t>
      </w:r>
    </w:p>
    <w:p w14:paraId="594053FA" w14:textId="0B6C739D" w:rsidR="00BD7B1F" w:rsidRDefault="00275E9B" w:rsidP="00F63D9F">
      <w:pPr>
        <w:tabs>
          <w:tab w:val="clear" w:pos="567"/>
          <w:tab w:val="clear" w:pos="1134"/>
          <w:tab w:val="clear" w:pos="1701"/>
          <w:tab w:val="clear" w:pos="2268"/>
          <w:tab w:val="clear" w:pos="2835"/>
        </w:tabs>
        <w:overflowPunct/>
        <w:autoSpaceDE/>
        <w:autoSpaceDN/>
        <w:adjustRightInd/>
        <w:spacing w:before="0"/>
        <w:jc w:val="both"/>
        <w:textAlignment w:val="auto"/>
        <w:rPr>
          <w:rFonts w:asciiTheme="minorHAnsi" w:hAnsiTheme="minorHAnsi" w:cstheme="minorHAnsi"/>
          <w:color w:val="000000" w:themeColor="text1"/>
        </w:rPr>
      </w:pPr>
      <w:r>
        <w:rPr>
          <w:rFonts w:asciiTheme="minorHAnsi" w:hAnsiTheme="minorHAnsi" w:cstheme="minorHAnsi"/>
          <w:color w:val="000000" w:themeColor="text1"/>
        </w:rPr>
        <w:t>Following a</w:t>
      </w:r>
      <w:r w:rsidR="0086489C" w:rsidRPr="00D75BAB">
        <w:rPr>
          <w:rFonts w:asciiTheme="minorHAnsi" w:hAnsiTheme="minorHAnsi" w:cstheme="minorHAnsi"/>
          <w:color w:val="000000" w:themeColor="text1"/>
        </w:rPr>
        <w:t xml:space="preserve">n </w:t>
      </w:r>
      <w:r w:rsidR="00B97C3F" w:rsidRPr="00D75BAB">
        <w:rPr>
          <w:rFonts w:asciiTheme="minorHAnsi" w:hAnsiTheme="minorHAnsi" w:cstheme="minorHAnsi"/>
          <w:color w:val="000000" w:themeColor="text1"/>
        </w:rPr>
        <w:t>RFP,</w:t>
      </w:r>
      <w:r w:rsidR="0086489C" w:rsidRPr="00D75BAB">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a contract was issued to SPG Intercity </w:t>
      </w:r>
      <w:r w:rsidR="0086489C" w:rsidRPr="00D75BAB">
        <w:rPr>
          <w:rFonts w:asciiTheme="minorHAnsi" w:hAnsiTheme="minorHAnsi" w:cstheme="minorHAnsi"/>
          <w:color w:val="000000" w:themeColor="text1"/>
        </w:rPr>
        <w:t xml:space="preserve">a real estate expert to provide a financial/economic analysis for the option of retaining the use of the room after the sale of the Tower. </w:t>
      </w:r>
    </w:p>
    <w:p w14:paraId="05AFE51C" w14:textId="065D4F87" w:rsidR="008B7471" w:rsidRDefault="00B66322" w:rsidP="00F63D9F">
      <w:pPr>
        <w:jc w:val="both"/>
        <w:rPr>
          <w:rFonts w:asciiTheme="minorHAnsi" w:hAnsiTheme="minorHAnsi" w:cstheme="minorHAnsi"/>
          <w:color w:val="000000" w:themeColor="text1"/>
        </w:rPr>
      </w:pPr>
      <w:r>
        <w:rPr>
          <w:rFonts w:asciiTheme="minorHAnsi" w:hAnsiTheme="minorHAnsi" w:cstheme="minorHAnsi"/>
          <w:color w:val="000000" w:themeColor="text1"/>
        </w:rPr>
        <w:t>T</w:t>
      </w:r>
      <w:r w:rsidR="00691140">
        <w:rPr>
          <w:rFonts w:asciiTheme="minorHAnsi" w:hAnsiTheme="minorHAnsi" w:cstheme="minorHAnsi"/>
          <w:color w:val="000000" w:themeColor="text1"/>
        </w:rPr>
        <w:t xml:space="preserve">he outcome of the study shows </w:t>
      </w:r>
      <w:r w:rsidR="006C477D">
        <w:rPr>
          <w:rFonts w:asciiTheme="minorHAnsi" w:hAnsiTheme="minorHAnsi" w:cstheme="minorHAnsi"/>
          <w:color w:val="000000" w:themeColor="text1"/>
        </w:rPr>
        <w:t>that t</w:t>
      </w:r>
      <w:r w:rsidR="00DC0F78" w:rsidRPr="004447AC">
        <w:rPr>
          <w:rFonts w:asciiTheme="minorHAnsi" w:hAnsiTheme="minorHAnsi" w:cstheme="minorHAnsi"/>
          <w:color w:val="000000" w:themeColor="text1"/>
        </w:rPr>
        <w:t xml:space="preserve">he financial impact on the value is relatively </w:t>
      </w:r>
      <w:r w:rsidR="006C477D">
        <w:rPr>
          <w:rFonts w:asciiTheme="minorHAnsi" w:hAnsiTheme="minorHAnsi" w:cstheme="minorHAnsi"/>
          <w:color w:val="000000" w:themeColor="text1"/>
        </w:rPr>
        <w:t xml:space="preserve">limited </w:t>
      </w:r>
      <w:r w:rsidR="00DC0F78" w:rsidRPr="004447AC">
        <w:rPr>
          <w:rFonts w:asciiTheme="minorHAnsi" w:hAnsiTheme="minorHAnsi" w:cstheme="minorHAnsi"/>
          <w:color w:val="000000" w:themeColor="text1"/>
        </w:rPr>
        <w:t>compared to the overall value of the building</w:t>
      </w:r>
      <w:r>
        <w:rPr>
          <w:rFonts w:asciiTheme="minorHAnsi" w:hAnsiTheme="minorHAnsi" w:cstheme="minorHAnsi"/>
          <w:color w:val="000000" w:themeColor="text1"/>
        </w:rPr>
        <w:t>.</w:t>
      </w:r>
    </w:p>
    <w:p w14:paraId="79C5DEDB" w14:textId="0A3474D4" w:rsidR="007A65D0" w:rsidRDefault="007A65D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themeColor="text1"/>
        </w:rPr>
      </w:pPr>
      <w:r>
        <w:rPr>
          <w:rFonts w:asciiTheme="minorHAnsi" w:hAnsiTheme="minorHAnsi" w:cstheme="minorHAnsi"/>
          <w:color w:val="000000" w:themeColor="text1"/>
        </w:rPr>
        <w:br w:type="page"/>
      </w:r>
    </w:p>
    <w:p w14:paraId="19728D82" w14:textId="77777777" w:rsidR="00611E66" w:rsidRPr="00265E11" w:rsidRDefault="00611E66" w:rsidP="00B152CB">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color w:val="000000" w:themeColor="text1"/>
        </w:rPr>
      </w:pPr>
    </w:p>
    <w:tbl>
      <w:tblPr>
        <w:tblStyle w:val="TableGrid"/>
        <w:tblW w:w="9265"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36"/>
        <w:gridCol w:w="2994"/>
        <w:gridCol w:w="3235"/>
      </w:tblGrid>
      <w:tr w:rsidR="00CA0AA3" w:rsidRPr="004E6841" w14:paraId="1F8F2862" w14:textId="77777777" w:rsidTr="007A65D0">
        <w:trPr>
          <w:cantSplit/>
          <w:jc w:val="center"/>
        </w:trPr>
        <w:tc>
          <w:tcPr>
            <w:tcW w:w="3036" w:type="dxa"/>
            <w:tcBorders>
              <w:top w:val="nil"/>
              <w:bottom w:val="single" w:sz="4" w:space="0" w:color="auto"/>
              <w:right w:val="nil"/>
            </w:tcBorders>
            <w:vAlign w:val="center"/>
          </w:tcPr>
          <w:p w14:paraId="263433E1" w14:textId="77777777" w:rsidR="00CA0AA3" w:rsidRPr="00562F32" w:rsidRDefault="00CA0AA3" w:rsidP="007A65D0">
            <w:pPr>
              <w:spacing w:before="0"/>
              <w:jc w:val="center"/>
              <w:rPr>
                <w:rStyle w:val="normaltextrun"/>
                <w:b/>
                <w:bCs/>
                <w:color w:val="000000"/>
                <w:shd w:val="clear" w:color="auto" w:fill="FFFFFF"/>
              </w:rPr>
            </w:pPr>
          </w:p>
        </w:tc>
        <w:tc>
          <w:tcPr>
            <w:tcW w:w="6229" w:type="dxa"/>
            <w:gridSpan w:val="2"/>
            <w:tcBorders>
              <w:top w:val="nil"/>
              <w:left w:val="nil"/>
              <w:bottom w:val="single" w:sz="4" w:space="0" w:color="auto"/>
            </w:tcBorders>
            <w:vAlign w:val="center"/>
          </w:tcPr>
          <w:p w14:paraId="78D80736" w14:textId="66037D91" w:rsidR="00CA0AA3" w:rsidRPr="004E6841" w:rsidRDefault="00CA0AA3" w:rsidP="007A65D0">
            <w:pPr>
              <w:spacing w:before="0"/>
              <w:jc w:val="center"/>
              <w:rPr>
                <w:rStyle w:val="normaltextrun"/>
                <w:b/>
                <w:bCs/>
                <w:color w:val="000000"/>
                <w:shd w:val="clear" w:color="auto" w:fill="FFFFFF"/>
              </w:rPr>
            </w:pPr>
            <w:r w:rsidRPr="004E6841">
              <w:rPr>
                <w:rStyle w:val="normaltextrun"/>
                <w:b/>
                <w:bCs/>
                <w:color w:val="000000"/>
                <w:shd w:val="clear" w:color="auto" w:fill="FFFFFF"/>
              </w:rPr>
              <w:t xml:space="preserve">Tower 100% vacant </w:t>
            </w:r>
            <w:r w:rsidR="004E6841">
              <w:rPr>
                <w:rStyle w:val="normaltextrun"/>
                <w:b/>
                <w:bCs/>
                <w:color w:val="000000"/>
                <w:shd w:val="clear" w:color="auto" w:fill="FFFFFF"/>
              </w:rPr>
              <w:t xml:space="preserve">- </w:t>
            </w:r>
            <w:r w:rsidR="004E6841" w:rsidRPr="004E6841">
              <w:rPr>
                <w:rStyle w:val="normaltextrun"/>
                <w:b/>
                <w:bCs/>
                <w:color w:val="000000"/>
                <w:shd w:val="clear" w:color="auto" w:fill="FFFFFF"/>
              </w:rPr>
              <w:t>Expected sale</w:t>
            </w:r>
            <w:r w:rsidRPr="004E6841">
              <w:rPr>
                <w:rStyle w:val="normaltextrun"/>
                <w:b/>
                <w:bCs/>
                <w:color w:val="000000"/>
                <w:shd w:val="clear" w:color="auto" w:fill="FFFFFF"/>
              </w:rPr>
              <w:t xml:space="preserve"> </w:t>
            </w:r>
            <w:r w:rsidR="004E6841" w:rsidRPr="004E6841">
              <w:rPr>
                <w:rStyle w:val="normaltextrun"/>
                <w:b/>
                <w:bCs/>
                <w:color w:val="000000"/>
                <w:shd w:val="clear" w:color="auto" w:fill="FFFFFF"/>
              </w:rPr>
              <w:t>i</w:t>
            </w:r>
            <w:r w:rsidRPr="004E6841">
              <w:rPr>
                <w:rStyle w:val="normaltextrun"/>
                <w:b/>
                <w:bCs/>
                <w:color w:val="000000"/>
                <w:shd w:val="clear" w:color="auto" w:fill="FFFFFF"/>
              </w:rPr>
              <w:t>n 2027</w:t>
            </w:r>
          </w:p>
        </w:tc>
      </w:tr>
      <w:tr w:rsidR="000537A7" w:rsidRPr="00784A4D" w14:paraId="278DDD75" w14:textId="77777777" w:rsidTr="007C640B">
        <w:trPr>
          <w:jc w:val="center"/>
        </w:trPr>
        <w:tc>
          <w:tcPr>
            <w:tcW w:w="3036" w:type="dxa"/>
            <w:vMerge w:val="restart"/>
            <w:tcBorders>
              <w:top w:val="single" w:sz="4" w:space="0" w:color="auto"/>
              <w:right w:val="nil"/>
            </w:tcBorders>
            <w:vAlign w:val="center"/>
          </w:tcPr>
          <w:p w14:paraId="75532741" w14:textId="358C4785" w:rsidR="000537A7" w:rsidRDefault="000537A7" w:rsidP="00144B65">
            <w:pPr>
              <w:spacing w:before="0"/>
              <w:jc w:val="both"/>
              <w:rPr>
                <w:rStyle w:val="normaltextrun"/>
                <w:rFonts w:cstheme="minorHAnsi"/>
                <w:color w:val="000000"/>
                <w:szCs w:val="24"/>
                <w:shd w:val="clear" w:color="auto" w:fill="FFFFFF"/>
              </w:rPr>
            </w:pPr>
            <w:r w:rsidRPr="00144B65">
              <w:rPr>
                <w:rStyle w:val="normaltextrun"/>
                <w:rFonts w:cstheme="minorHAnsi"/>
                <w:b/>
                <w:bCs/>
                <w:color w:val="000000"/>
                <w:shd w:val="clear" w:color="auto" w:fill="FFFFFF"/>
              </w:rPr>
              <w:t>Market Value</w:t>
            </w:r>
            <w:r w:rsidR="00555630">
              <w:rPr>
                <w:rStyle w:val="FootnoteReference"/>
                <w:rFonts w:cstheme="minorHAnsi"/>
                <w:b/>
                <w:bCs/>
                <w:color w:val="000000"/>
                <w:shd w:val="clear" w:color="auto" w:fill="FFFFFF"/>
              </w:rPr>
              <w:footnoteReference w:id="3"/>
            </w:r>
            <w:r w:rsidRPr="00144B65">
              <w:rPr>
                <w:rStyle w:val="normaltextrun"/>
                <w:rFonts w:cstheme="minorHAnsi"/>
                <w:color w:val="000000"/>
                <w:szCs w:val="24"/>
                <w:shd w:val="clear" w:color="auto" w:fill="FFFFFF"/>
              </w:rPr>
              <w:t xml:space="preserve"> </w:t>
            </w:r>
          </w:p>
          <w:p w14:paraId="520CED53" w14:textId="1215E0F4" w:rsidR="000537A7" w:rsidRPr="004E6841" w:rsidRDefault="000537A7" w:rsidP="00144B65">
            <w:pPr>
              <w:spacing w:before="0"/>
              <w:jc w:val="both"/>
              <w:rPr>
                <w:rStyle w:val="normaltextrun"/>
                <w:rFonts w:cstheme="minorHAnsi"/>
                <w:b/>
                <w:bCs/>
                <w:color w:val="000000"/>
                <w:shd w:val="clear" w:color="auto" w:fill="FFFFFF"/>
              </w:rPr>
            </w:pPr>
            <w:r w:rsidRPr="00144B65">
              <w:rPr>
                <w:rStyle w:val="normaltextrun"/>
                <w:rFonts w:cstheme="minorHAnsi"/>
                <w:color w:val="000000"/>
                <w:sz w:val="22"/>
                <w:shd w:val="clear" w:color="auto" w:fill="FFFFFF"/>
              </w:rPr>
              <w:t>Estimated amounts</w:t>
            </w:r>
            <w:r w:rsidRPr="00AA3F84">
              <w:rPr>
                <w:rStyle w:val="FootnoteReference"/>
                <w:rFonts w:cstheme="minorHAnsi"/>
                <w:color w:val="000000"/>
                <w:szCs w:val="16"/>
                <w:shd w:val="clear" w:color="auto" w:fill="FFFFFF"/>
                <w:lang w:val="fr-CH"/>
              </w:rPr>
              <w:footnoteReference w:id="4"/>
            </w:r>
            <w:r w:rsidRPr="00AA3F84">
              <w:rPr>
                <w:rStyle w:val="normaltextrun"/>
                <w:rFonts w:cstheme="minorHAnsi"/>
                <w:color w:val="000000"/>
                <w:sz w:val="16"/>
                <w:szCs w:val="16"/>
                <w:shd w:val="clear" w:color="auto" w:fill="FFFFFF"/>
              </w:rPr>
              <w:t xml:space="preserve"> </w:t>
            </w:r>
            <w:r>
              <w:rPr>
                <w:rStyle w:val="normaltextrun"/>
                <w:rFonts w:cstheme="minorHAnsi"/>
                <w:color w:val="000000"/>
                <w:sz w:val="22"/>
                <w:shd w:val="clear" w:color="auto" w:fill="FFFFFF"/>
              </w:rPr>
              <w:t xml:space="preserve">in </w:t>
            </w:r>
            <w:r w:rsidRPr="00144B65">
              <w:rPr>
                <w:rStyle w:val="normaltextrun"/>
                <w:rFonts w:cstheme="minorHAnsi"/>
                <w:color w:val="000000"/>
                <w:sz w:val="22"/>
                <w:shd w:val="clear" w:color="auto" w:fill="FFFFFF"/>
              </w:rPr>
              <w:t>CHF</w:t>
            </w:r>
            <w:r w:rsidRPr="00144B65">
              <w:rPr>
                <w:rStyle w:val="normaltextrun"/>
                <w:rFonts w:cstheme="minorHAnsi"/>
                <w:color w:val="000000"/>
                <w:szCs w:val="24"/>
                <w:shd w:val="clear" w:color="auto" w:fill="FFFFFF"/>
              </w:rPr>
              <w:t xml:space="preserve"> </w:t>
            </w:r>
          </w:p>
        </w:tc>
        <w:tc>
          <w:tcPr>
            <w:tcW w:w="2994" w:type="dxa"/>
            <w:tcBorders>
              <w:top w:val="single" w:sz="4" w:space="0" w:color="auto"/>
              <w:left w:val="nil"/>
              <w:bottom w:val="nil"/>
              <w:right w:val="nil"/>
            </w:tcBorders>
            <w:vAlign w:val="center"/>
          </w:tcPr>
          <w:p w14:paraId="54F96C0F" w14:textId="5C0D3462" w:rsidR="000537A7" w:rsidRPr="00784A4D" w:rsidRDefault="000537A7" w:rsidP="00950051">
            <w:pPr>
              <w:jc w:val="center"/>
              <w:rPr>
                <w:rStyle w:val="normaltextrun"/>
                <w:rFonts w:cstheme="minorHAnsi"/>
                <w:b/>
                <w:bCs/>
                <w:color w:val="000000"/>
                <w:shd w:val="clear" w:color="auto" w:fill="FFFFFF"/>
                <w:lang w:val="fr-CH"/>
              </w:rPr>
            </w:pPr>
            <w:proofErr w:type="spellStart"/>
            <w:r>
              <w:rPr>
                <w:rStyle w:val="normaltextrun"/>
                <w:rFonts w:cstheme="minorHAnsi"/>
                <w:b/>
                <w:bCs/>
                <w:color w:val="000000"/>
                <w:shd w:val="clear" w:color="auto" w:fill="FFFFFF"/>
                <w:lang w:val="fr-CH"/>
              </w:rPr>
              <w:t>Without</w:t>
            </w:r>
            <w:proofErr w:type="spellEnd"/>
            <w:r w:rsidRPr="00784A4D">
              <w:rPr>
                <w:rStyle w:val="normaltextrun"/>
                <w:rFonts w:cstheme="minorHAnsi"/>
                <w:b/>
                <w:bCs/>
                <w:color w:val="000000"/>
                <w:shd w:val="clear" w:color="auto" w:fill="FFFFFF"/>
                <w:lang w:val="fr-CH"/>
              </w:rPr>
              <w:t xml:space="preserve"> </w:t>
            </w:r>
            <w:r w:rsidR="00275E9B">
              <w:rPr>
                <w:rStyle w:val="normaltextrun"/>
                <w:rFonts w:cstheme="minorHAnsi"/>
                <w:b/>
                <w:bCs/>
                <w:color w:val="000000"/>
                <w:shd w:val="clear" w:color="auto" w:fill="FFFFFF"/>
                <w:lang w:val="fr-CH"/>
              </w:rPr>
              <w:t>u</w:t>
            </w:r>
            <w:r w:rsidR="00275E9B">
              <w:rPr>
                <w:rStyle w:val="normaltextrun"/>
                <w:b/>
                <w:bCs/>
                <w:color w:val="000000"/>
                <w:shd w:val="clear" w:color="auto" w:fill="FFFFFF"/>
                <w:lang w:val="fr-CH"/>
              </w:rPr>
              <w:t xml:space="preserve">se of </w:t>
            </w:r>
            <w:r w:rsidRPr="00784A4D">
              <w:rPr>
                <w:rStyle w:val="normaltextrun"/>
                <w:rFonts w:cstheme="minorHAnsi"/>
                <w:b/>
                <w:bCs/>
                <w:color w:val="000000"/>
                <w:shd w:val="clear" w:color="auto" w:fill="FFFFFF"/>
                <w:lang w:val="fr-CH"/>
              </w:rPr>
              <w:t>Popov</w:t>
            </w:r>
          </w:p>
        </w:tc>
        <w:tc>
          <w:tcPr>
            <w:tcW w:w="3235" w:type="dxa"/>
            <w:tcBorders>
              <w:top w:val="single" w:sz="4" w:space="0" w:color="auto"/>
              <w:left w:val="nil"/>
              <w:bottom w:val="nil"/>
            </w:tcBorders>
            <w:vAlign w:val="center"/>
          </w:tcPr>
          <w:p w14:paraId="7FB34C4B" w14:textId="7E38CD63" w:rsidR="000537A7" w:rsidRPr="00784A4D" w:rsidRDefault="000537A7" w:rsidP="00950051">
            <w:pPr>
              <w:jc w:val="center"/>
              <w:rPr>
                <w:rStyle w:val="normaltextrun"/>
                <w:rFonts w:cstheme="minorHAnsi"/>
                <w:b/>
                <w:bCs/>
                <w:color w:val="000000"/>
                <w:shd w:val="clear" w:color="auto" w:fill="FFFFFF"/>
                <w:lang w:val="fr-CH"/>
              </w:rPr>
            </w:pPr>
            <w:proofErr w:type="spellStart"/>
            <w:r>
              <w:rPr>
                <w:rStyle w:val="normaltextrun"/>
                <w:rFonts w:cstheme="minorHAnsi"/>
                <w:b/>
                <w:bCs/>
                <w:color w:val="000000"/>
                <w:shd w:val="clear" w:color="auto" w:fill="FFFFFF"/>
                <w:lang w:val="fr-CH"/>
              </w:rPr>
              <w:t>With</w:t>
            </w:r>
            <w:proofErr w:type="spellEnd"/>
            <w:r w:rsidRPr="00784A4D">
              <w:rPr>
                <w:rStyle w:val="normaltextrun"/>
                <w:rFonts w:cstheme="minorHAnsi"/>
                <w:b/>
                <w:bCs/>
                <w:color w:val="000000"/>
                <w:shd w:val="clear" w:color="auto" w:fill="FFFFFF"/>
                <w:lang w:val="fr-CH"/>
              </w:rPr>
              <w:t xml:space="preserve"> </w:t>
            </w:r>
            <w:r w:rsidR="00275E9B">
              <w:rPr>
                <w:rStyle w:val="normaltextrun"/>
                <w:rFonts w:cstheme="minorHAnsi"/>
                <w:b/>
                <w:bCs/>
                <w:color w:val="000000"/>
                <w:shd w:val="clear" w:color="auto" w:fill="FFFFFF"/>
                <w:lang w:val="fr-CH"/>
              </w:rPr>
              <w:t>u</w:t>
            </w:r>
            <w:r w:rsidR="00275E9B">
              <w:rPr>
                <w:rStyle w:val="normaltextrun"/>
                <w:b/>
                <w:bCs/>
                <w:color w:val="000000"/>
                <w:shd w:val="clear" w:color="auto" w:fill="FFFFFF"/>
                <w:lang w:val="fr-CH"/>
              </w:rPr>
              <w:t xml:space="preserve">se of </w:t>
            </w:r>
            <w:r w:rsidRPr="00784A4D">
              <w:rPr>
                <w:rStyle w:val="normaltextrun"/>
                <w:rFonts w:cstheme="minorHAnsi"/>
                <w:b/>
                <w:bCs/>
                <w:color w:val="000000"/>
                <w:shd w:val="clear" w:color="auto" w:fill="FFFFFF"/>
                <w:lang w:val="fr-CH"/>
              </w:rPr>
              <w:t>Popov</w:t>
            </w:r>
          </w:p>
        </w:tc>
      </w:tr>
      <w:tr w:rsidR="000537A7" w:rsidRPr="00784A4D" w14:paraId="661E2A58" w14:textId="77777777" w:rsidTr="007C640B">
        <w:trPr>
          <w:jc w:val="center"/>
        </w:trPr>
        <w:tc>
          <w:tcPr>
            <w:tcW w:w="3036" w:type="dxa"/>
            <w:vMerge/>
            <w:tcBorders>
              <w:bottom w:val="single" w:sz="4" w:space="0" w:color="auto"/>
              <w:right w:val="nil"/>
            </w:tcBorders>
            <w:vAlign w:val="center"/>
          </w:tcPr>
          <w:p w14:paraId="0875959E" w14:textId="03A6FEF0" w:rsidR="000537A7" w:rsidRPr="00144B65" w:rsidRDefault="000537A7" w:rsidP="00144B65">
            <w:pPr>
              <w:spacing w:before="0"/>
              <w:jc w:val="both"/>
              <w:rPr>
                <w:rStyle w:val="normaltextrun"/>
                <w:rFonts w:cstheme="minorHAnsi"/>
                <w:color w:val="000000"/>
                <w:szCs w:val="24"/>
                <w:shd w:val="clear" w:color="auto" w:fill="FFFFFF"/>
              </w:rPr>
            </w:pPr>
          </w:p>
        </w:tc>
        <w:tc>
          <w:tcPr>
            <w:tcW w:w="2994" w:type="dxa"/>
            <w:tcBorders>
              <w:top w:val="nil"/>
              <w:left w:val="nil"/>
              <w:bottom w:val="single" w:sz="4" w:space="0" w:color="auto"/>
              <w:right w:val="nil"/>
            </w:tcBorders>
            <w:vAlign w:val="center"/>
          </w:tcPr>
          <w:p w14:paraId="21F98626" w14:textId="77777777" w:rsidR="000537A7" w:rsidRPr="00784A4D" w:rsidRDefault="000537A7" w:rsidP="00950051">
            <w:pPr>
              <w:jc w:val="center"/>
              <w:rPr>
                <w:rStyle w:val="normaltextrun"/>
                <w:rFonts w:cstheme="minorHAnsi"/>
                <w:b/>
                <w:bCs/>
                <w:color w:val="000000"/>
                <w:shd w:val="clear" w:color="auto" w:fill="FFFFFF"/>
                <w:lang w:val="fr-CH"/>
              </w:rPr>
            </w:pPr>
            <w:r w:rsidRPr="00784A4D">
              <w:rPr>
                <w:rStyle w:val="normaltextrun"/>
                <w:rFonts w:cstheme="minorHAnsi"/>
                <w:b/>
                <w:bCs/>
                <w:color w:val="000000"/>
                <w:shd w:val="clear" w:color="auto" w:fill="FFFFFF"/>
                <w:lang w:val="fr-CH"/>
              </w:rPr>
              <w:t>33'730’000</w:t>
            </w:r>
          </w:p>
        </w:tc>
        <w:tc>
          <w:tcPr>
            <w:tcW w:w="3235" w:type="dxa"/>
            <w:tcBorders>
              <w:top w:val="nil"/>
              <w:left w:val="nil"/>
              <w:bottom w:val="single" w:sz="4" w:space="0" w:color="auto"/>
            </w:tcBorders>
            <w:vAlign w:val="center"/>
          </w:tcPr>
          <w:p w14:paraId="7C9C18AC" w14:textId="77777777" w:rsidR="000537A7" w:rsidRPr="00784A4D" w:rsidRDefault="000537A7" w:rsidP="00950051">
            <w:pPr>
              <w:jc w:val="center"/>
              <w:rPr>
                <w:rStyle w:val="normaltextrun"/>
                <w:rFonts w:cstheme="minorHAnsi"/>
                <w:b/>
                <w:bCs/>
                <w:color w:val="000000"/>
                <w:shd w:val="clear" w:color="auto" w:fill="FFFFFF"/>
                <w:lang w:val="fr-CH"/>
              </w:rPr>
            </w:pPr>
            <w:r w:rsidRPr="00784A4D">
              <w:rPr>
                <w:rStyle w:val="normaltextrun"/>
                <w:rFonts w:cstheme="minorHAnsi"/>
                <w:b/>
                <w:bCs/>
                <w:color w:val="000000"/>
                <w:shd w:val="clear" w:color="auto" w:fill="FFFFFF"/>
                <w:lang w:val="fr-CH"/>
              </w:rPr>
              <w:t>33'110’000</w:t>
            </w:r>
          </w:p>
        </w:tc>
      </w:tr>
    </w:tbl>
    <w:p w14:paraId="3EF5B8FD" w14:textId="77777777" w:rsidR="00611E66" w:rsidRDefault="00611E66" w:rsidP="007A6321">
      <w:pPr>
        <w:tabs>
          <w:tab w:val="clear" w:pos="567"/>
          <w:tab w:val="clear" w:pos="1134"/>
          <w:tab w:val="clear" w:pos="1701"/>
          <w:tab w:val="clear" w:pos="2268"/>
          <w:tab w:val="clear" w:pos="283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76" w:lineRule="auto"/>
        <w:jc w:val="both"/>
        <w:textAlignment w:val="auto"/>
        <w:rPr>
          <w:rFonts w:asciiTheme="minorHAnsi" w:hAnsiTheme="minorHAnsi" w:cstheme="minorHAnsi"/>
          <w:color w:val="000000" w:themeColor="text1"/>
        </w:rPr>
      </w:pPr>
    </w:p>
    <w:p w14:paraId="6673DC05" w14:textId="71F4481A" w:rsidR="00746BBA" w:rsidRPr="00C50C0E" w:rsidRDefault="00E02A75" w:rsidP="007A65D0">
      <w:pPr>
        <w:jc w:val="both"/>
        <w:rPr>
          <w:rFonts w:cstheme="minorHAnsi"/>
          <w:color w:val="000000" w:themeColor="text1"/>
        </w:rPr>
      </w:pPr>
      <w:r>
        <w:rPr>
          <w:rFonts w:cstheme="minorHAnsi"/>
          <w:color w:val="000000" w:themeColor="text1"/>
        </w:rPr>
        <w:t>The study highlights</w:t>
      </w:r>
      <w:r w:rsidR="006B36CA">
        <w:rPr>
          <w:rFonts w:cstheme="minorHAnsi"/>
          <w:color w:val="000000" w:themeColor="text1"/>
        </w:rPr>
        <w:t xml:space="preserve"> however that investors </w:t>
      </w:r>
      <w:r>
        <w:rPr>
          <w:rFonts w:cstheme="minorHAnsi"/>
          <w:color w:val="000000" w:themeColor="text1"/>
        </w:rPr>
        <w:t>c</w:t>
      </w:r>
      <w:r w:rsidR="006B36CA">
        <w:rPr>
          <w:rFonts w:cstheme="minorHAnsi"/>
          <w:color w:val="000000" w:themeColor="text1"/>
        </w:rPr>
        <w:t xml:space="preserve">ould perceive the retaining of the Popov room as a negative factor </w:t>
      </w:r>
      <w:r w:rsidR="00520293">
        <w:rPr>
          <w:rFonts w:cstheme="minorHAnsi"/>
          <w:color w:val="000000" w:themeColor="text1"/>
        </w:rPr>
        <w:t>since it</w:t>
      </w:r>
      <w:r w:rsidR="006B36CA">
        <w:rPr>
          <w:rFonts w:cstheme="minorHAnsi"/>
          <w:color w:val="000000" w:themeColor="text1"/>
        </w:rPr>
        <w:t xml:space="preserve"> </w:t>
      </w:r>
      <w:r>
        <w:rPr>
          <w:rFonts w:cstheme="minorHAnsi"/>
          <w:color w:val="000000" w:themeColor="text1"/>
        </w:rPr>
        <w:t xml:space="preserve">would </w:t>
      </w:r>
      <w:r w:rsidR="006B36CA">
        <w:rPr>
          <w:rFonts w:cstheme="minorHAnsi"/>
          <w:color w:val="000000" w:themeColor="text1"/>
        </w:rPr>
        <w:t xml:space="preserve">represent a limitation for the exploitation of the overall basement and would compromise any other operation </w:t>
      </w:r>
      <w:r w:rsidR="00520293">
        <w:rPr>
          <w:rFonts w:cstheme="minorHAnsi"/>
          <w:color w:val="000000" w:themeColor="text1"/>
        </w:rPr>
        <w:t>other than</w:t>
      </w:r>
      <w:r w:rsidR="006B36CA">
        <w:rPr>
          <w:rFonts w:cstheme="minorHAnsi"/>
          <w:color w:val="000000" w:themeColor="text1"/>
        </w:rPr>
        <w:t xml:space="preserve"> conference rooms the future landlord might </w:t>
      </w:r>
      <w:r w:rsidR="00520293">
        <w:rPr>
          <w:rFonts w:cstheme="minorHAnsi"/>
          <w:color w:val="000000" w:themeColor="text1"/>
        </w:rPr>
        <w:t>wish</w:t>
      </w:r>
      <w:r w:rsidR="006B36CA">
        <w:rPr>
          <w:rFonts w:cstheme="minorHAnsi"/>
          <w:color w:val="000000" w:themeColor="text1"/>
        </w:rPr>
        <w:t>, increase the complexity in carrying out required renovation works</w:t>
      </w:r>
      <w:r w:rsidR="00520293">
        <w:rPr>
          <w:rFonts w:cstheme="minorHAnsi"/>
          <w:color w:val="000000" w:themeColor="text1"/>
        </w:rPr>
        <w:t>,</w:t>
      </w:r>
      <w:r w:rsidR="006B36CA">
        <w:rPr>
          <w:rFonts w:cstheme="minorHAnsi"/>
          <w:color w:val="000000" w:themeColor="text1"/>
        </w:rPr>
        <w:t xml:space="preserve"> and</w:t>
      </w:r>
      <w:r w:rsidR="00520293">
        <w:rPr>
          <w:rFonts w:cstheme="minorHAnsi"/>
          <w:color w:val="000000" w:themeColor="text1"/>
        </w:rPr>
        <w:t xml:space="preserve"> make the</w:t>
      </w:r>
      <w:r w:rsidR="006B36CA">
        <w:rPr>
          <w:rFonts w:cstheme="minorHAnsi"/>
          <w:color w:val="000000" w:themeColor="text1"/>
        </w:rPr>
        <w:t xml:space="preserve"> total conversion of the site</w:t>
      </w:r>
      <w:r w:rsidR="00520293">
        <w:rPr>
          <w:rFonts w:cstheme="minorHAnsi"/>
          <w:color w:val="000000" w:themeColor="text1"/>
        </w:rPr>
        <w:t xml:space="preserve"> impossible</w:t>
      </w:r>
      <w:r w:rsidR="006B36CA">
        <w:rPr>
          <w:rFonts w:cstheme="minorHAnsi"/>
          <w:color w:val="000000" w:themeColor="text1"/>
        </w:rPr>
        <w:t>.</w:t>
      </w:r>
      <w:r>
        <w:rPr>
          <w:rFonts w:cstheme="minorHAnsi"/>
          <w:color w:val="000000" w:themeColor="text1"/>
        </w:rPr>
        <w:t xml:space="preserve"> </w:t>
      </w:r>
      <w:r w:rsidRPr="00155709">
        <w:rPr>
          <w:rFonts w:cstheme="minorHAnsi"/>
          <w:color w:val="000000" w:themeColor="text1"/>
        </w:rPr>
        <w:t>Consequently</w:t>
      </w:r>
      <w:r w:rsidR="006B36CA" w:rsidRPr="00155709">
        <w:rPr>
          <w:rFonts w:cstheme="minorHAnsi"/>
          <w:color w:val="000000" w:themeColor="text1"/>
        </w:rPr>
        <w:t xml:space="preserve">, the </w:t>
      </w:r>
      <w:r w:rsidR="00520293">
        <w:rPr>
          <w:rFonts w:cstheme="minorHAnsi"/>
          <w:color w:val="000000" w:themeColor="text1"/>
        </w:rPr>
        <w:t>study</w:t>
      </w:r>
      <w:r w:rsidR="006B36CA" w:rsidRPr="00C50C0E">
        <w:rPr>
          <w:rFonts w:cstheme="minorHAnsi"/>
          <w:color w:val="000000" w:themeColor="text1"/>
        </w:rPr>
        <w:t xml:space="preserve"> do</w:t>
      </w:r>
      <w:r w:rsidR="00520293">
        <w:rPr>
          <w:rFonts w:cstheme="minorHAnsi"/>
          <w:color w:val="000000" w:themeColor="text1"/>
        </w:rPr>
        <w:t>es</w:t>
      </w:r>
      <w:r w:rsidR="006B36CA" w:rsidRPr="00C50C0E">
        <w:rPr>
          <w:rFonts w:cstheme="minorHAnsi"/>
          <w:color w:val="000000" w:themeColor="text1"/>
        </w:rPr>
        <w:t xml:space="preserve"> not recommend retaining the “Popov” room.</w:t>
      </w:r>
    </w:p>
    <w:p w14:paraId="43B81511" w14:textId="437F0CE6" w:rsidR="00CB206B" w:rsidRDefault="00D83351" w:rsidP="007A65D0">
      <w:pPr>
        <w:tabs>
          <w:tab w:val="clear" w:pos="567"/>
          <w:tab w:val="clear" w:pos="1134"/>
          <w:tab w:val="clear" w:pos="1701"/>
          <w:tab w:val="clear" w:pos="2268"/>
          <w:tab w:val="clear" w:pos="283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both"/>
        <w:textAlignment w:val="auto"/>
        <w:rPr>
          <w:rFonts w:asciiTheme="minorHAnsi" w:hAnsiTheme="minorHAnsi" w:cstheme="minorHAnsi"/>
          <w:color w:val="000000" w:themeColor="text1"/>
        </w:rPr>
      </w:pPr>
      <w:r>
        <w:rPr>
          <w:rFonts w:asciiTheme="minorHAnsi" w:hAnsiTheme="minorHAnsi" w:cstheme="minorHAnsi"/>
          <w:color w:val="000000" w:themeColor="text1"/>
        </w:rPr>
        <w:t>In consideration of a</w:t>
      </w:r>
      <w:r w:rsidRPr="00D83351">
        <w:rPr>
          <w:rFonts w:asciiTheme="minorHAnsi" w:hAnsiTheme="minorHAnsi" w:cstheme="minorHAnsi"/>
          <w:color w:val="000000" w:themeColor="text1"/>
        </w:rPr>
        <w:t xml:space="preserve"> future sale of the site, </w:t>
      </w:r>
      <w:r w:rsidR="00A82F66">
        <w:rPr>
          <w:rFonts w:asciiTheme="minorHAnsi" w:hAnsiTheme="minorHAnsi" w:cstheme="minorHAnsi"/>
          <w:color w:val="000000" w:themeColor="text1"/>
        </w:rPr>
        <w:t>a</w:t>
      </w:r>
      <w:r w:rsidRPr="00D83351">
        <w:rPr>
          <w:rFonts w:asciiTheme="minorHAnsi" w:hAnsiTheme="minorHAnsi" w:cstheme="minorHAnsi"/>
          <w:color w:val="000000" w:themeColor="text1"/>
        </w:rPr>
        <w:t xml:space="preserve"> recommendation</w:t>
      </w:r>
      <w:r w:rsidR="00C638AD">
        <w:rPr>
          <w:rFonts w:asciiTheme="minorHAnsi" w:hAnsiTheme="minorHAnsi" w:cstheme="minorHAnsi"/>
          <w:color w:val="000000" w:themeColor="text1"/>
        </w:rPr>
        <w:t xml:space="preserve"> </w:t>
      </w:r>
      <w:r w:rsidR="001F7DEC">
        <w:rPr>
          <w:rFonts w:asciiTheme="minorHAnsi" w:hAnsiTheme="minorHAnsi" w:cstheme="minorHAnsi"/>
          <w:color w:val="000000" w:themeColor="text1"/>
        </w:rPr>
        <w:t>for a</w:t>
      </w:r>
      <w:r w:rsidRPr="00D83351">
        <w:rPr>
          <w:rFonts w:asciiTheme="minorHAnsi" w:hAnsiTheme="minorHAnsi" w:cstheme="minorHAnsi"/>
          <w:color w:val="000000" w:themeColor="text1"/>
        </w:rPr>
        <w:t xml:space="preserve"> “</w:t>
      </w:r>
      <w:r w:rsidRPr="00D83351">
        <w:rPr>
          <w:rFonts w:asciiTheme="minorHAnsi" w:hAnsiTheme="minorHAnsi" w:cstheme="minorHAnsi"/>
          <w:i/>
          <w:iCs/>
          <w:color w:val="000000" w:themeColor="text1"/>
        </w:rPr>
        <w:t>sale &amp; lease-back</w:t>
      </w:r>
      <w:r w:rsidRPr="00D83351">
        <w:rPr>
          <w:rFonts w:asciiTheme="minorHAnsi" w:hAnsiTheme="minorHAnsi" w:cstheme="minorHAnsi"/>
          <w:color w:val="000000" w:themeColor="text1"/>
        </w:rPr>
        <w:t xml:space="preserve">” alternative </w:t>
      </w:r>
      <w:r w:rsidR="00520293">
        <w:rPr>
          <w:rFonts w:asciiTheme="minorHAnsi" w:hAnsiTheme="minorHAnsi" w:cstheme="minorHAnsi"/>
          <w:color w:val="000000" w:themeColor="text1"/>
        </w:rPr>
        <w:t xml:space="preserve">is </w:t>
      </w:r>
      <w:r w:rsidR="001F7DEC">
        <w:rPr>
          <w:rFonts w:asciiTheme="minorHAnsi" w:hAnsiTheme="minorHAnsi" w:cstheme="minorHAnsi"/>
          <w:color w:val="000000" w:themeColor="text1"/>
        </w:rPr>
        <w:t>made</w:t>
      </w:r>
      <w:r w:rsidR="00A82F66" w:rsidRPr="00A82F66">
        <w:rPr>
          <w:rFonts w:asciiTheme="minorHAnsi" w:hAnsiTheme="minorHAnsi" w:cstheme="minorHAnsi"/>
          <w:color w:val="000000" w:themeColor="text1"/>
        </w:rPr>
        <w:t xml:space="preserve"> </w:t>
      </w:r>
      <w:r w:rsidR="00520293">
        <w:rPr>
          <w:rFonts w:asciiTheme="minorHAnsi" w:hAnsiTheme="minorHAnsi" w:cstheme="minorHAnsi"/>
          <w:color w:val="000000" w:themeColor="text1"/>
        </w:rPr>
        <w:t xml:space="preserve">by the study </w:t>
      </w:r>
      <w:r w:rsidR="00A82F66">
        <w:rPr>
          <w:rFonts w:asciiTheme="minorHAnsi" w:hAnsiTheme="minorHAnsi" w:cstheme="minorHAnsi"/>
          <w:color w:val="000000" w:themeColor="text1"/>
        </w:rPr>
        <w:t>as</w:t>
      </w:r>
      <w:r w:rsidR="00A82F66" w:rsidRPr="00D83351">
        <w:rPr>
          <w:rFonts w:asciiTheme="minorHAnsi" w:hAnsiTheme="minorHAnsi" w:cstheme="minorHAnsi"/>
          <w:color w:val="000000" w:themeColor="text1"/>
        </w:rPr>
        <w:t xml:space="preserve"> an interesting strategy to explore</w:t>
      </w:r>
      <w:r w:rsidR="00A82F66">
        <w:rPr>
          <w:rFonts w:asciiTheme="minorHAnsi" w:hAnsiTheme="minorHAnsi" w:cstheme="minorHAnsi"/>
          <w:color w:val="000000" w:themeColor="text1"/>
        </w:rPr>
        <w:t xml:space="preserve"> further</w:t>
      </w:r>
      <w:r w:rsidR="001F7DEC">
        <w:rPr>
          <w:rFonts w:asciiTheme="minorHAnsi" w:hAnsiTheme="minorHAnsi" w:cstheme="minorHAnsi"/>
          <w:color w:val="000000" w:themeColor="text1"/>
        </w:rPr>
        <w:t xml:space="preserve">. It </w:t>
      </w:r>
      <w:r w:rsidR="00A82F66">
        <w:rPr>
          <w:rFonts w:asciiTheme="minorHAnsi" w:hAnsiTheme="minorHAnsi" w:cstheme="minorHAnsi"/>
          <w:color w:val="000000" w:themeColor="text1"/>
        </w:rPr>
        <w:t>would have several</w:t>
      </w:r>
      <w:r w:rsidRPr="00D83351">
        <w:rPr>
          <w:rFonts w:asciiTheme="minorHAnsi" w:hAnsiTheme="minorHAnsi" w:cstheme="minorHAnsi"/>
          <w:color w:val="000000" w:themeColor="text1"/>
        </w:rPr>
        <w:t xml:space="preserve"> advantages</w:t>
      </w:r>
      <w:r w:rsidR="00AF6734">
        <w:rPr>
          <w:rFonts w:asciiTheme="minorHAnsi" w:hAnsiTheme="minorHAnsi" w:cstheme="minorHAnsi"/>
          <w:color w:val="000000" w:themeColor="text1"/>
        </w:rPr>
        <w:t>:</w:t>
      </w:r>
    </w:p>
    <w:p w14:paraId="7524F29E" w14:textId="2051A489" w:rsidR="00AF6734" w:rsidRPr="00AF6734" w:rsidRDefault="00AF6734" w:rsidP="007A65D0">
      <w:pPr>
        <w:pStyle w:val="ListParagraph"/>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Theme="minorHAnsi" w:eastAsia="Times New Roman" w:hAnsiTheme="minorHAnsi" w:cstheme="minorHAnsi"/>
          <w:color w:val="000000" w:themeColor="text1"/>
          <w:sz w:val="24"/>
          <w:szCs w:val="20"/>
          <w:lang w:val="en-GB" w:eastAsia="en-US"/>
        </w:rPr>
      </w:pPr>
      <w:r w:rsidRPr="00AF6734">
        <w:rPr>
          <w:rFonts w:asciiTheme="minorHAnsi" w:eastAsia="Times New Roman" w:hAnsiTheme="minorHAnsi" w:cstheme="minorHAnsi"/>
          <w:color w:val="000000" w:themeColor="text1"/>
          <w:sz w:val="24"/>
          <w:szCs w:val="20"/>
          <w:lang w:val="en-GB" w:eastAsia="en-US"/>
        </w:rPr>
        <w:t xml:space="preserve">For a private investor, such a transaction ensures </w:t>
      </w:r>
      <w:r w:rsidR="008E5B77">
        <w:rPr>
          <w:rFonts w:asciiTheme="minorHAnsi" w:eastAsia="Times New Roman" w:hAnsiTheme="minorHAnsi" w:cstheme="minorHAnsi"/>
          <w:color w:val="000000" w:themeColor="text1"/>
          <w:sz w:val="24"/>
          <w:szCs w:val="20"/>
          <w:lang w:val="en-GB" w:eastAsia="en-US"/>
        </w:rPr>
        <w:t xml:space="preserve">an </w:t>
      </w:r>
      <w:r w:rsidRPr="00AF6734">
        <w:rPr>
          <w:rFonts w:asciiTheme="minorHAnsi" w:eastAsia="Times New Roman" w:hAnsiTheme="minorHAnsi" w:cstheme="minorHAnsi"/>
          <w:color w:val="000000" w:themeColor="text1"/>
          <w:sz w:val="24"/>
          <w:szCs w:val="20"/>
          <w:lang w:val="en-GB" w:eastAsia="en-US"/>
        </w:rPr>
        <w:t xml:space="preserve">immediate rental income over a fixed period, allowing </w:t>
      </w:r>
      <w:r w:rsidR="002239FA">
        <w:rPr>
          <w:rFonts w:asciiTheme="minorHAnsi" w:eastAsia="Times New Roman" w:hAnsiTheme="minorHAnsi" w:cstheme="minorHAnsi"/>
          <w:color w:val="000000" w:themeColor="text1"/>
          <w:sz w:val="24"/>
          <w:szCs w:val="20"/>
          <w:lang w:val="en-GB" w:eastAsia="en-US"/>
        </w:rPr>
        <w:t>the</w:t>
      </w:r>
      <w:r w:rsidRPr="00AF6734">
        <w:rPr>
          <w:rFonts w:asciiTheme="minorHAnsi" w:eastAsia="Times New Roman" w:hAnsiTheme="minorHAnsi" w:cstheme="minorHAnsi"/>
          <w:color w:val="000000" w:themeColor="text1"/>
          <w:sz w:val="24"/>
          <w:szCs w:val="20"/>
          <w:lang w:val="en-GB" w:eastAsia="en-US"/>
        </w:rPr>
        <w:t xml:space="preserve"> minimiz</w:t>
      </w:r>
      <w:r w:rsidR="002239FA">
        <w:rPr>
          <w:rFonts w:asciiTheme="minorHAnsi" w:eastAsia="Times New Roman" w:hAnsiTheme="minorHAnsi" w:cstheme="minorHAnsi"/>
          <w:color w:val="000000" w:themeColor="text1"/>
          <w:sz w:val="24"/>
          <w:szCs w:val="20"/>
          <w:lang w:val="en-GB" w:eastAsia="en-US"/>
        </w:rPr>
        <w:t>ation of</w:t>
      </w:r>
      <w:r w:rsidRPr="00AF6734">
        <w:rPr>
          <w:rFonts w:asciiTheme="minorHAnsi" w:eastAsia="Times New Roman" w:hAnsiTheme="minorHAnsi" w:cstheme="minorHAnsi"/>
          <w:color w:val="000000" w:themeColor="text1"/>
          <w:sz w:val="24"/>
          <w:szCs w:val="20"/>
          <w:lang w:val="en-GB" w:eastAsia="en-US"/>
        </w:rPr>
        <w:t xml:space="preserve"> the negative impact of the rental vacancy on </w:t>
      </w:r>
      <w:r w:rsidR="00B04447">
        <w:rPr>
          <w:rFonts w:asciiTheme="minorHAnsi" w:eastAsia="Times New Roman" w:hAnsiTheme="minorHAnsi" w:cstheme="minorHAnsi"/>
          <w:color w:val="000000" w:themeColor="text1"/>
          <w:sz w:val="24"/>
          <w:szCs w:val="20"/>
          <w:lang w:val="en-GB" w:eastAsia="en-US"/>
        </w:rPr>
        <w:t>the</w:t>
      </w:r>
      <w:r w:rsidRPr="00AF6734">
        <w:rPr>
          <w:rFonts w:asciiTheme="minorHAnsi" w:eastAsia="Times New Roman" w:hAnsiTheme="minorHAnsi" w:cstheme="minorHAnsi"/>
          <w:color w:val="000000" w:themeColor="text1"/>
          <w:sz w:val="24"/>
          <w:szCs w:val="20"/>
          <w:lang w:val="en-GB" w:eastAsia="en-US"/>
        </w:rPr>
        <w:t xml:space="preserve"> pricing.</w:t>
      </w:r>
    </w:p>
    <w:p w14:paraId="7682B049" w14:textId="08033675" w:rsidR="00C638AD" w:rsidRDefault="008D5FB8" w:rsidP="007A65D0">
      <w:pPr>
        <w:pStyle w:val="ListParagraph"/>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color w:val="000000" w:themeColor="text1"/>
          <w:sz w:val="24"/>
          <w:szCs w:val="20"/>
          <w:lang w:val="en-GB" w:eastAsia="en-US"/>
        </w:rPr>
      </w:pPr>
      <w:r>
        <w:rPr>
          <w:rFonts w:asciiTheme="minorHAnsi" w:eastAsia="Times New Roman" w:hAnsiTheme="minorHAnsi" w:cstheme="minorHAnsi"/>
          <w:color w:val="000000" w:themeColor="text1"/>
          <w:sz w:val="24"/>
          <w:szCs w:val="20"/>
          <w:lang w:val="en-GB" w:eastAsia="en-US"/>
        </w:rPr>
        <w:t>O</w:t>
      </w:r>
      <w:r w:rsidRPr="008D5FB8">
        <w:rPr>
          <w:rFonts w:asciiTheme="minorHAnsi" w:eastAsia="Times New Roman" w:hAnsiTheme="minorHAnsi" w:cstheme="minorHAnsi"/>
          <w:color w:val="000000" w:themeColor="text1"/>
          <w:sz w:val="24"/>
          <w:szCs w:val="20"/>
          <w:lang w:val="en-GB" w:eastAsia="en-US"/>
        </w:rPr>
        <w:t xml:space="preserve">ffering rental security over a certain period brings an attractiveness to the investment </w:t>
      </w:r>
      <w:r w:rsidR="00B04447">
        <w:rPr>
          <w:rFonts w:asciiTheme="minorHAnsi" w:eastAsia="Times New Roman" w:hAnsiTheme="minorHAnsi" w:cstheme="minorHAnsi"/>
          <w:color w:val="000000" w:themeColor="text1"/>
          <w:sz w:val="24"/>
          <w:szCs w:val="20"/>
          <w:lang w:val="en-GB" w:eastAsia="en-US"/>
        </w:rPr>
        <w:t xml:space="preserve">and </w:t>
      </w:r>
      <w:r w:rsidR="00B04447" w:rsidRPr="008D5FB8">
        <w:rPr>
          <w:rFonts w:asciiTheme="minorHAnsi" w:eastAsia="Times New Roman" w:hAnsiTheme="minorHAnsi" w:cstheme="minorHAnsi"/>
          <w:color w:val="000000" w:themeColor="text1"/>
          <w:sz w:val="24"/>
          <w:szCs w:val="20"/>
          <w:lang w:val="en-GB" w:eastAsia="en-US"/>
        </w:rPr>
        <w:t>attracts</w:t>
      </w:r>
      <w:r w:rsidRPr="008D5FB8">
        <w:rPr>
          <w:rFonts w:asciiTheme="minorHAnsi" w:eastAsia="Times New Roman" w:hAnsiTheme="minorHAnsi" w:cstheme="minorHAnsi"/>
          <w:color w:val="000000" w:themeColor="text1"/>
          <w:sz w:val="24"/>
          <w:szCs w:val="20"/>
          <w:lang w:val="en-GB" w:eastAsia="en-US"/>
        </w:rPr>
        <w:t xml:space="preserve"> a larger number of investors and potentially increase</w:t>
      </w:r>
      <w:r w:rsidR="00072EE0">
        <w:rPr>
          <w:rFonts w:asciiTheme="minorHAnsi" w:eastAsia="Times New Roman" w:hAnsiTheme="minorHAnsi" w:cstheme="minorHAnsi"/>
          <w:color w:val="000000" w:themeColor="text1"/>
          <w:sz w:val="24"/>
          <w:szCs w:val="20"/>
          <w:lang w:val="en-GB" w:eastAsia="en-US"/>
        </w:rPr>
        <w:t>s</w:t>
      </w:r>
      <w:r w:rsidRPr="008D5FB8">
        <w:rPr>
          <w:rFonts w:asciiTheme="minorHAnsi" w:eastAsia="Times New Roman" w:hAnsiTheme="minorHAnsi" w:cstheme="minorHAnsi"/>
          <w:color w:val="000000" w:themeColor="text1"/>
          <w:sz w:val="24"/>
          <w:szCs w:val="20"/>
          <w:lang w:val="en-GB" w:eastAsia="en-US"/>
        </w:rPr>
        <w:t xml:space="preserve"> competition between buyers.</w:t>
      </w:r>
    </w:p>
    <w:p w14:paraId="1C09FD2A" w14:textId="6909ACE5" w:rsidR="0004676C" w:rsidRPr="0004676C" w:rsidRDefault="0004676C" w:rsidP="007A65D0">
      <w:pPr>
        <w:pStyle w:val="ListParagraph"/>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color w:val="000000" w:themeColor="text1"/>
          <w:sz w:val="24"/>
          <w:szCs w:val="20"/>
          <w:lang w:val="en-GB" w:eastAsia="en-US"/>
        </w:rPr>
      </w:pPr>
      <w:r w:rsidRPr="0004676C">
        <w:rPr>
          <w:rFonts w:asciiTheme="minorHAnsi" w:eastAsia="Times New Roman" w:hAnsiTheme="minorHAnsi" w:cstheme="minorHAnsi"/>
          <w:color w:val="000000" w:themeColor="text1"/>
          <w:sz w:val="24"/>
          <w:szCs w:val="20"/>
          <w:lang w:val="en-GB" w:eastAsia="en-US"/>
        </w:rPr>
        <w:t xml:space="preserve">The </w:t>
      </w:r>
      <w:r w:rsidRPr="00B04447">
        <w:rPr>
          <w:rFonts w:asciiTheme="minorHAnsi" w:eastAsia="Times New Roman" w:hAnsiTheme="minorHAnsi" w:cstheme="minorHAnsi"/>
          <w:i/>
          <w:iCs/>
          <w:color w:val="000000" w:themeColor="text1"/>
          <w:sz w:val="24"/>
          <w:szCs w:val="20"/>
          <w:lang w:val="en-GB" w:eastAsia="en-US"/>
        </w:rPr>
        <w:t>lease-back</w:t>
      </w:r>
      <w:r w:rsidRPr="0004676C">
        <w:rPr>
          <w:rFonts w:asciiTheme="minorHAnsi" w:eastAsia="Times New Roman" w:hAnsiTheme="minorHAnsi" w:cstheme="minorHAnsi"/>
          <w:color w:val="000000" w:themeColor="text1"/>
          <w:sz w:val="24"/>
          <w:szCs w:val="20"/>
          <w:lang w:val="en-GB" w:eastAsia="en-US"/>
        </w:rPr>
        <w:t xml:space="preserve"> period allows the buyer to anticipate the future of the building, define a development strategy, prepare the renovation work phase and pre-market all or part of the surfaces. This induces a reduced total vacancy period compared to an acquisition of </w:t>
      </w:r>
      <w:r w:rsidR="00B04447">
        <w:rPr>
          <w:rFonts w:asciiTheme="minorHAnsi" w:eastAsia="Times New Roman" w:hAnsiTheme="minorHAnsi" w:cstheme="minorHAnsi"/>
          <w:color w:val="000000" w:themeColor="text1"/>
          <w:sz w:val="24"/>
          <w:szCs w:val="20"/>
          <w:lang w:val="en-GB" w:eastAsia="en-US"/>
        </w:rPr>
        <w:t>a</w:t>
      </w:r>
      <w:r w:rsidRPr="0004676C">
        <w:rPr>
          <w:rFonts w:asciiTheme="minorHAnsi" w:eastAsia="Times New Roman" w:hAnsiTheme="minorHAnsi" w:cstheme="minorHAnsi"/>
          <w:color w:val="000000" w:themeColor="text1"/>
          <w:sz w:val="24"/>
          <w:szCs w:val="20"/>
          <w:lang w:val="en-GB" w:eastAsia="en-US"/>
        </w:rPr>
        <w:t xml:space="preserve"> vacant building.</w:t>
      </w:r>
    </w:p>
    <w:p w14:paraId="539A1D08" w14:textId="490F93B2" w:rsidR="00367024" w:rsidRPr="005B3C85" w:rsidRDefault="003C1A20" w:rsidP="007A65D0">
      <w:pPr>
        <w:pStyle w:val="ListParagraph"/>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Times New Roman" w:hAnsiTheme="minorHAnsi" w:cstheme="minorHAnsi"/>
          <w:color w:val="000000" w:themeColor="text1"/>
          <w:sz w:val="24"/>
          <w:szCs w:val="20"/>
          <w:lang w:val="en-GB" w:eastAsia="en-US"/>
        </w:rPr>
      </w:pPr>
      <w:r w:rsidRPr="005B3C85">
        <w:rPr>
          <w:rFonts w:asciiTheme="minorHAnsi" w:eastAsia="Times New Roman" w:hAnsiTheme="minorHAnsi" w:cstheme="minorHAnsi"/>
          <w:color w:val="000000" w:themeColor="text1"/>
          <w:sz w:val="24"/>
          <w:szCs w:val="20"/>
          <w:lang w:val="en-GB" w:eastAsia="en-US"/>
        </w:rPr>
        <w:t>Such a sale would occur earlier than 2027 and would, subject to the impact of recent events (Covid-19), benefit from a favo</w:t>
      </w:r>
      <w:r w:rsidR="001A2766" w:rsidRPr="005B3C85">
        <w:rPr>
          <w:rFonts w:asciiTheme="minorHAnsi" w:eastAsia="Times New Roman" w:hAnsiTheme="minorHAnsi" w:cstheme="minorHAnsi"/>
          <w:color w:val="000000" w:themeColor="text1"/>
          <w:sz w:val="24"/>
          <w:szCs w:val="20"/>
          <w:lang w:val="en-GB" w:eastAsia="en-US"/>
        </w:rPr>
        <w:t>u</w:t>
      </w:r>
      <w:r w:rsidRPr="005B3C85">
        <w:rPr>
          <w:rFonts w:asciiTheme="minorHAnsi" w:eastAsia="Times New Roman" w:hAnsiTheme="minorHAnsi" w:cstheme="minorHAnsi"/>
          <w:color w:val="000000" w:themeColor="text1"/>
          <w:sz w:val="24"/>
          <w:szCs w:val="20"/>
          <w:lang w:val="en-GB" w:eastAsia="en-US"/>
        </w:rPr>
        <w:t xml:space="preserve">rable real estate environment, particularly in terms of </w:t>
      </w:r>
      <w:r w:rsidR="001164C0" w:rsidRPr="005B3C85">
        <w:rPr>
          <w:rFonts w:asciiTheme="minorHAnsi" w:eastAsia="Times New Roman" w:hAnsiTheme="minorHAnsi" w:cstheme="minorHAnsi"/>
          <w:color w:val="000000" w:themeColor="text1"/>
          <w:sz w:val="24"/>
          <w:szCs w:val="20"/>
          <w:lang w:val="en-GB" w:eastAsia="en-US"/>
        </w:rPr>
        <w:t xml:space="preserve">the current </w:t>
      </w:r>
      <w:r w:rsidRPr="005B3C85">
        <w:rPr>
          <w:rFonts w:asciiTheme="minorHAnsi" w:eastAsia="Times New Roman" w:hAnsiTheme="minorHAnsi" w:cstheme="minorHAnsi"/>
          <w:color w:val="000000" w:themeColor="text1"/>
          <w:sz w:val="24"/>
          <w:szCs w:val="20"/>
          <w:lang w:val="en-GB" w:eastAsia="en-US"/>
        </w:rPr>
        <w:t>market</w:t>
      </w:r>
      <w:r w:rsidR="00D44ED2" w:rsidRPr="005B3C85">
        <w:rPr>
          <w:rFonts w:asciiTheme="minorHAnsi" w:eastAsia="Times New Roman" w:hAnsiTheme="minorHAnsi" w:cstheme="minorHAnsi"/>
          <w:color w:val="000000" w:themeColor="text1"/>
          <w:sz w:val="24"/>
          <w:szCs w:val="20"/>
          <w:lang w:val="en-GB" w:eastAsia="en-US"/>
        </w:rPr>
        <w:t xml:space="preserve"> prices</w:t>
      </w:r>
      <w:r w:rsidRPr="005B3C85">
        <w:rPr>
          <w:rFonts w:asciiTheme="minorHAnsi" w:eastAsia="Times New Roman" w:hAnsiTheme="minorHAnsi" w:cstheme="minorHAnsi"/>
          <w:color w:val="000000" w:themeColor="text1"/>
          <w:sz w:val="24"/>
          <w:szCs w:val="20"/>
          <w:lang w:val="en-GB" w:eastAsia="en-US"/>
        </w:rPr>
        <w:t>.</w:t>
      </w:r>
    </w:p>
    <w:tbl>
      <w:tblPr>
        <w:tblStyle w:val="TableGrid"/>
        <w:tblW w:w="9265"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36"/>
        <w:gridCol w:w="2994"/>
        <w:gridCol w:w="3235"/>
      </w:tblGrid>
      <w:tr w:rsidR="00F55E5D" w:rsidRPr="000C1FCC" w14:paraId="24C711DE" w14:textId="77777777" w:rsidTr="00950051">
        <w:trPr>
          <w:jc w:val="center"/>
        </w:trPr>
        <w:tc>
          <w:tcPr>
            <w:tcW w:w="3036" w:type="dxa"/>
            <w:tcBorders>
              <w:top w:val="nil"/>
              <w:bottom w:val="single" w:sz="4" w:space="0" w:color="auto"/>
              <w:right w:val="nil"/>
            </w:tcBorders>
            <w:vAlign w:val="center"/>
          </w:tcPr>
          <w:p w14:paraId="3087BCD3" w14:textId="77777777" w:rsidR="00F55E5D" w:rsidRPr="003C1A20" w:rsidRDefault="00F55E5D" w:rsidP="006C404D">
            <w:pPr>
              <w:spacing w:line="276" w:lineRule="auto"/>
              <w:rPr>
                <w:rStyle w:val="normaltextrun"/>
                <w:b/>
                <w:bCs/>
                <w:color w:val="000000"/>
                <w:shd w:val="clear" w:color="auto" w:fill="FFFFFF"/>
              </w:rPr>
            </w:pPr>
          </w:p>
        </w:tc>
        <w:tc>
          <w:tcPr>
            <w:tcW w:w="6229" w:type="dxa"/>
            <w:gridSpan w:val="2"/>
            <w:tcBorders>
              <w:top w:val="nil"/>
              <w:left w:val="nil"/>
              <w:bottom w:val="single" w:sz="4" w:space="0" w:color="auto"/>
            </w:tcBorders>
            <w:vAlign w:val="center"/>
          </w:tcPr>
          <w:p w14:paraId="6263ABEA" w14:textId="5A9C17FD" w:rsidR="00F55E5D" w:rsidRPr="000C1FCC" w:rsidRDefault="00562F32" w:rsidP="000C1FCC">
            <w:pPr>
              <w:jc w:val="center"/>
              <w:rPr>
                <w:rStyle w:val="normaltextrun"/>
                <w:b/>
                <w:bCs/>
                <w:color w:val="000000"/>
                <w:shd w:val="clear" w:color="auto" w:fill="FFFFFF"/>
              </w:rPr>
            </w:pPr>
            <w:r>
              <w:rPr>
                <w:rStyle w:val="normaltextrun"/>
                <w:b/>
                <w:bCs/>
                <w:color w:val="000000"/>
                <w:shd w:val="clear" w:color="auto" w:fill="FFFFFF"/>
              </w:rPr>
              <w:t>“</w:t>
            </w:r>
            <w:r w:rsidR="000C1FCC" w:rsidRPr="000C1FCC">
              <w:rPr>
                <w:rStyle w:val="normaltextrun"/>
                <w:b/>
                <w:bCs/>
                <w:color w:val="000000"/>
                <w:shd w:val="clear" w:color="auto" w:fill="FFFFFF"/>
              </w:rPr>
              <w:t>Lease-back </w:t>
            </w:r>
            <w:r>
              <w:rPr>
                <w:rStyle w:val="normaltextrun"/>
                <w:b/>
                <w:bCs/>
                <w:color w:val="000000"/>
                <w:shd w:val="clear" w:color="auto" w:fill="FFFFFF"/>
              </w:rPr>
              <w:t>“</w:t>
            </w:r>
            <w:r w:rsidR="00CD53D6">
              <w:rPr>
                <w:rStyle w:val="normaltextrun"/>
                <w:b/>
                <w:bCs/>
                <w:color w:val="000000"/>
                <w:shd w:val="clear" w:color="auto" w:fill="FFFFFF"/>
              </w:rPr>
              <w:t xml:space="preserve">duration </w:t>
            </w:r>
            <w:r w:rsidR="000C1FCC" w:rsidRPr="000C1FCC">
              <w:rPr>
                <w:rStyle w:val="normaltextrun"/>
                <w:b/>
                <w:bCs/>
                <w:color w:val="000000"/>
                <w:shd w:val="clear" w:color="auto" w:fill="FFFFFF"/>
              </w:rPr>
              <w:t>3 years – Sale in 2023</w:t>
            </w:r>
          </w:p>
        </w:tc>
      </w:tr>
      <w:tr w:rsidR="00F55E5D" w:rsidRPr="00784A4D" w14:paraId="221765E4" w14:textId="77777777" w:rsidTr="00950051">
        <w:trPr>
          <w:jc w:val="center"/>
        </w:trPr>
        <w:tc>
          <w:tcPr>
            <w:tcW w:w="3036" w:type="dxa"/>
            <w:vMerge w:val="restart"/>
            <w:tcBorders>
              <w:top w:val="single" w:sz="4" w:space="0" w:color="auto"/>
              <w:right w:val="nil"/>
            </w:tcBorders>
            <w:vAlign w:val="center"/>
          </w:tcPr>
          <w:p w14:paraId="22E629ED" w14:textId="12FED818" w:rsidR="00C472BF" w:rsidRDefault="00C472BF" w:rsidP="00C472BF">
            <w:pPr>
              <w:spacing w:before="0"/>
              <w:jc w:val="both"/>
              <w:rPr>
                <w:rStyle w:val="normaltextrun"/>
                <w:rFonts w:cstheme="minorHAnsi"/>
                <w:color w:val="000000"/>
                <w:szCs w:val="24"/>
                <w:shd w:val="clear" w:color="auto" w:fill="FFFFFF"/>
              </w:rPr>
            </w:pPr>
            <w:r w:rsidRPr="00144B65">
              <w:rPr>
                <w:rStyle w:val="normaltextrun"/>
                <w:rFonts w:cstheme="minorHAnsi"/>
                <w:b/>
                <w:bCs/>
                <w:color w:val="000000"/>
                <w:shd w:val="clear" w:color="auto" w:fill="FFFFFF"/>
              </w:rPr>
              <w:t>Market Value</w:t>
            </w:r>
            <w:r w:rsidR="006C404D">
              <w:rPr>
                <w:rStyle w:val="normaltextrun"/>
                <w:rFonts w:asciiTheme="minorHAnsi" w:hAnsiTheme="minorHAnsi" w:cstheme="minorHAnsi"/>
                <w:b/>
                <w:bCs/>
                <w:color w:val="000000"/>
                <w:shd w:val="clear" w:color="auto" w:fill="FFFFFF"/>
              </w:rPr>
              <w:t>²</w:t>
            </w:r>
            <w:r w:rsidRPr="00144B65">
              <w:rPr>
                <w:rStyle w:val="normaltextrun"/>
                <w:rFonts w:cstheme="minorHAnsi"/>
                <w:color w:val="000000"/>
                <w:szCs w:val="24"/>
                <w:shd w:val="clear" w:color="auto" w:fill="FFFFFF"/>
              </w:rPr>
              <w:t xml:space="preserve"> </w:t>
            </w:r>
          </w:p>
          <w:p w14:paraId="55B5BF8D" w14:textId="55B4BB94" w:rsidR="00F55E5D" w:rsidRPr="00DB3ED3" w:rsidRDefault="00C472BF" w:rsidP="00C472BF">
            <w:pPr>
              <w:spacing w:before="0"/>
              <w:jc w:val="both"/>
              <w:rPr>
                <w:rStyle w:val="normaltextrun"/>
                <w:rFonts w:cstheme="minorHAnsi"/>
                <w:b/>
                <w:bCs/>
                <w:color w:val="000000"/>
                <w:sz w:val="22"/>
                <w:shd w:val="clear" w:color="auto" w:fill="FFFFFF"/>
              </w:rPr>
            </w:pPr>
            <w:r w:rsidRPr="00DB3ED3">
              <w:rPr>
                <w:rStyle w:val="normaltextrun"/>
                <w:rFonts w:cstheme="minorHAnsi"/>
                <w:color w:val="000000"/>
                <w:sz w:val="22"/>
                <w:shd w:val="clear" w:color="auto" w:fill="FFFFFF"/>
              </w:rPr>
              <w:t>Estimated amounts in CHF</w:t>
            </w:r>
            <w:r w:rsidR="006C404D">
              <w:rPr>
                <w:rStyle w:val="normaltextrun"/>
                <w:rFonts w:cs="Calibri"/>
                <w:color w:val="000000"/>
                <w:sz w:val="22"/>
                <w:shd w:val="clear" w:color="auto" w:fill="FFFFFF"/>
              </w:rPr>
              <w:t>³</w:t>
            </w:r>
          </w:p>
        </w:tc>
        <w:tc>
          <w:tcPr>
            <w:tcW w:w="2994" w:type="dxa"/>
            <w:tcBorders>
              <w:top w:val="single" w:sz="4" w:space="0" w:color="auto"/>
              <w:left w:val="nil"/>
              <w:bottom w:val="nil"/>
              <w:right w:val="nil"/>
            </w:tcBorders>
            <w:vAlign w:val="center"/>
          </w:tcPr>
          <w:p w14:paraId="38827A89" w14:textId="37F40DAB" w:rsidR="00F55E5D" w:rsidRPr="00784A4D" w:rsidRDefault="00F55E5D" w:rsidP="00950051">
            <w:pPr>
              <w:jc w:val="center"/>
              <w:rPr>
                <w:rStyle w:val="normaltextrun"/>
                <w:rFonts w:cstheme="minorHAnsi"/>
                <w:b/>
                <w:bCs/>
                <w:color w:val="000000"/>
                <w:shd w:val="clear" w:color="auto" w:fill="FFFFFF"/>
                <w:lang w:val="fr-CH"/>
              </w:rPr>
            </w:pPr>
            <w:proofErr w:type="spellStart"/>
            <w:r>
              <w:rPr>
                <w:rStyle w:val="normaltextrun"/>
                <w:rFonts w:cstheme="minorHAnsi"/>
                <w:b/>
                <w:bCs/>
                <w:color w:val="000000"/>
                <w:shd w:val="clear" w:color="auto" w:fill="FFFFFF"/>
                <w:lang w:val="fr-CH"/>
              </w:rPr>
              <w:t>Without</w:t>
            </w:r>
            <w:proofErr w:type="spellEnd"/>
            <w:r w:rsidRPr="00784A4D">
              <w:rPr>
                <w:rStyle w:val="normaltextrun"/>
                <w:rFonts w:cstheme="minorHAnsi"/>
                <w:b/>
                <w:bCs/>
                <w:color w:val="000000"/>
                <w:shd w:val="clear" w:color="auto" w:fill="FFFFFF"/>
                <w:lang w:val="fr-CH"/>
              </w:rPr>
              <w:t xml:space="preserve"> </w:t>
            </w:r>
            <w:r w:rsidR="009E2931">
              <w:rPr>
                <w:rStyle w:val="normaltextrun"/>
                <w:rFonts w:cstheme="minorHAnsi"/>
                <w:b/>
                <w:bCs/>
                <w:color w:val="000000"/>
                <w:shd w:val="clear" w:color="auto" w:fill="FFFFFF"/>
                <w:lang w:val="fr-CH"/>
              </w:rPr>
              <w:t>u</w:t>
            </w:r>
            <w:r w:rsidR="009E2931">
              <w:rPr>
                <w:rStyle w:val="normaltextrun"/>
                <w:b/>
                <w:bCs/>
                <w:color w:val="000000"/>
                <w:shd w:val="clear" w:color="auto" w:fill="FFFFFF"/>
                <w:lang w:val="fr-CH"/>
              </w:rPr>
              <w:t xml:space="preserve">se of </w:t>
            </w:r>
            <w:r w:rsidRPr="00784A4D">
              <w:rPr>
                <w:rStyle w:val="normaltextrun"/>
                <w:rFonts w:cstheme="minorHAnsi"/>
                <w:b/>
                <w:bCs/>
                <w:color w:val="000000"/>
                <w:shd w:val="clear" w:color="auto" w:fill="FFFFFF"/>
                <w:lang w:val="fr-CH"/>
              </w:rPr>
              <w:t>Popov</w:t>
            </w:r>
          </w:p>
        </w:tc>
        <w:tc>
          <w:tcPr>
            <w:tcW w:w="3235" w:type="dxa"/>
            <w:tcBorders>
              <w:top w:val="single" w:sz="4" w:space="0" w:color="auto"/>
              <w:left w:val="nil"/>
              <w:bottom w:val="nil"/>
            </w:tcBorders>
            <w:vAlign w:val="center"/>
          </w:tcPr>
          <w:p w14:paraId="00A3AC58" w14:textId="4F4C3B6A" w:rsidR="00F55E5D" w:rsidRPr="00784A4D" w:rsidRDefault="00F55E5D" w:rsidP="00950051">
            <w:pPr>
              <w:jc w:val="center"/>
              <w:rPr>
                <w:rStyle w:val="normaltextrun"/>
                <w:rFonts w:cstheme="minorHAnsi"/>
                <w:b/>
                <w:bCs/>
                <w:color w:val="000000"/>
                <w:shd w:val="clear" w:color="auto" w:fill="FFFFFF"/>
                <w:lang w:val="fr-CH"/>
              </w:rPr>
            </w:pPr>
            <w:proofErr w:type="spellStart"/>
            <w:r>
              <w:rPr>
                <w:rStyle w:val="normaltextrun"/>
                <w:rFonts w:cstheme="minorHAnsi"/>
                <w:b/>
                <w:bCs/>
                <w:color w:val="000000"/>
                <w:shd w:val="clear" w:color="auto" w:fill="FFFFFF"/>
                <w:lang w:val="fr-CH"/>
              </w:rPr>
              <w:t>With</w:t>
            </w:r>
            <w:proofErr w:type="spellEnd"/>
            <w:r w:rsidRPr="00784A4D">
              <w:rPr>
                <w:rStyle w:val="normaltextrun"/>
                <w:rFonts w:cstheme="minorHAnsi"/>
                <w:b/>
                <w:bCs/>
                <w:color w:val="000000"/>
                <w:shd w:val="clear" w:color="auto" w:fill="FFFFFF"/>
                <w:lang w:val="fr-CH"/>
              </w:rPr>
              <w:t xml:space="preserve"> </w:t>
            </w:r>
            <w:r w:rsidR="009E2931">
              <w:rPr>
                <w:rStyle w:val="normaltextrun"/>
                <w:rFonts w:cstheme="minorHAnsi"/>
                <w:b/>
                <w:bCs/>
                <w:color w:val="000000"/>
                <w:shd w:val="clear" w:color="auto" w:fill="FFFFFF"/>
                <w:lang w:val="fr-CH"/>
              </w:rPr>
              <w:t>u</w:t>
            </w:r>
            <w:r w:rsidR="009E2931">
              <w:rPr>
                <w:rStyle w:val="normaltextrun"/>
                <w:b/>
                <w:bCs/>
                <w:color w:val="000000"/>
                <w:shd w:val="clear" w:color="auto" w:fill="FFFFFF"/>
                <w:lang w:val="fr-CH"/>
              </w:rPr>
              <w:t xml:space="preserve">se of </w:t>
            </w:r>
            <w:r w:rsidRPr="00784A4D">
              <w:rPr>
                <w:rStyle w:val="normaltextrun"/>
                <w:rFonts w:cstheme="minorHAnsi"/>
                <w:b/>
                <w:bCs/>
                <w:color w:val="000000"/>
                <w:shd w:val="clear" w:color="auto" w:fill="FFFFFF"/>
                <w:lang w:val="fr-CH"/>
              </w:rPr>
              <w:t>Popov</w:t>
            </w:r>
          </w:p>
        </w:tc>
      </w:tr>
      <w:tr w:rsidR="00F55E5D" w:rsidRPr="00784A4D" w14:paraId="0D554087" w14:textId="77777777" w:rsidTr="00950051">
        <w:trPr>
          <w:jc w:val="center"/>
        </w:trPr>
        <w:tc>
          <w:tcPr>
            <w:tcW w:w="3036" w:type="dxa"/>
            <w:vMerge/>
            <w:tcBorders>
              <w:bottom w:val="single" w:sz="4" w:space="0" w:color="auto"/>
              <w:right w:val="nil"/>
            </w:tcBorders>
            <w:vAlign w:val="center"/>
          </w:tcPr>
          <w:p w14:paraId="76AC9EF6" w14:textId="77777777" w:rsidR="00F55E5D" w:rsidRPr="00144B65" w:rsidRDefault="00F55E5D" w:rsidP="00950051">
            <w:pPr>
              <w:spacing w:before="0"/>
              <w:jc w:val="both"/>
              <w:rPr>
                <w:rStyle w:val="normaltextrun"/>
                <w:rFonts w:cstheme="minorHAnsi"/>
                <w:color w:val="000000"/>
                <w:szCs w:val="24"/>
                <w:shd w:val="clear" w:color="auto" w:fill="FFFFFF"/>
              </w:rPr>
            </w:pPr>
          </w:p>
        </w:tc>
        <w:tc>
          <w:tcPr>
            <w:tcW w:w="2994" w:type="dxa"/>
            <w:tcBorders>
              <w:top w:val="nil"/>
              <w:left w:val="nil"/>
              <w:bottom w:val="single" w:sz="4" w:space="0" w:color="auto"/>
              <w:right w:val="nil"/>
            </w:tcBorders>
            <w:vAlign w:val="center"/>
          </w:tcPr>
          <w:p w14:paraId="575B457B" w14:textId="22D6B2CA" w:rsidR="00F55E5D" w:rsidRPr="00784A4D" w:rsidRDefault="0008462E" w:rsidP="00950051">
            <w:pPr>
              <w:jc w:val="center"/>
              <w:rPr>
                <w:rStyle w:val="normaltextrun"/>
                <w:rFonts w:cstheme="minorHAnsi"/>
                <w:b/>
                <w:bCs/>
                <w:color w:val="000000"/>
                <w:shd w:val="clear" w:color="auto" w:fill="FFFFFF"/>
                <w:lang w:val="fr-CH"/>
              </w:rPr>
            </w:pPr>
            <w:r w:rsidRPr="00784A4D">
              <w:rPr>
                <w:rStyle w:val="normaltextrun"/>
                <w:rFonts w:cstheme="minorHAnsi"/>
                <w:b/>
                <w:bCs/>
                <w:color w:val="000000"/>
                <w:shd w:val="clear" w:color="auto" w:fill="FFFFFF"/>
                <w:lang w:val="fr-CH"/>
              </w:rPr>
              <w:t>4</w:t>
            </w:r>
            <w:r>
              <w:rPr>
                <w:rStyle w:val="normaltextrun"/>
                <w:rFonts w:cstheme="minorHAnsi"/>
                <w:b/>
                <w:bCs/>
                <w:color w:val="000000"/>
                <w:shd w:val="clear" w:color="auto" w:fill="FFFFFF"/>
                <w:lang w:val="fr-CH"/>
              </w:rPr>
              <w:t>1'850’000</w:t>
            </w:r>
          </w:p>
        </w:tc>
        <w:tc>
          <w:tcPr>
            <w:tcW w:w="3235" w:type="dxa"/>
            <w:tcBorders>
              <w:top w:val="nil"/>
              <w:left w:val="nil"/>
              <w:bottom w:val="single" w:sz="4" w:space="0" w:color="auto"/>
            </w:tcBorders>
            <w:vAlign w:val="center"/>
          </w:tcPr>
          <w:p w14:paraId="63855686" w14:textId="2195ACC0" w:rsidR="00F55E5D" w:rsidRPr="00784A4D" w:rsidRDefault="0008462E" w:rsidP="00950051">
            <w:pPr>
              <w:jc w:val="center"/>
              <w:rPr>
                <w:rStyle w:val="normaltextrun"/>
                <w:rFonts w:cstheme="minorHAnsi"/>
                <w:b/>
                <w:bCs/>
                <w:color w:val="000000"/>
                <w:shd w:val="clear" w:color="auto" w:fill="FFFFFF"/>
                <w:lang w:val="fr-CH"/>
              </w:rPr>
            </w:pPr>
            <w:r w:rsidRPr="00784A4D">
              <w:rPr>
                <w:rStyle w:val="normaltextrun"/>
                <w:rFonts w:cstheme="minorHAnsi"/>
                <w:b/>
                <w:bCs/>
                <w:color w:val="000000"/>
                <w:shd w:val="clear" w:color="auto" w:fill="FFFFFF"/>
                <w:lang w:val="fr-CH"/>
              </w:rPr>
              <w:t>4</w:t>
            </w:r>
            <w:r>
              <w:rPr>
                <w:rStyle w:val="normaltextrun"/>
                <w:rFonts w:cstheme="minorHAnsi"/>
                <w:b/>
                <w:bCs/>
                <w:color w:val="000000"/>
                <w:shd w:val="clear" w:color="auto" w:fill="FFFFFF"/>
                <w:lang w:val="fr-CH"/>
              </w:rPr>
              <w:t>1'220’000</w:t>
            </w:r>
          </w:p>
        </w:tc>
      </w:tr>
    </w:tbl>
    <w:p w14:paraId="73448022" w14:textId="77777777" w:rsidR="00367024" w:rsidRDefault="00367024" w:rsidP="00367024">
      <w:pPr>
        <w:tabs>
          <w:tab w:val="clear" w:pos="567"/>
          <w:tab w:val="clear" w:pos="1134"/>
          <w:tab w:val="clear" w:pos="1701"/>
          <w:tab w:val="clear" w:pos="2268"/>
          <w:tab w:val="clear" w:pos="283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line="276" w:lineRule="auto"/>
        <w:jc w:val="both"/>
        <w:textAlignment w:val="auto"/>
        <w:rPr>
          <w:rFonts w:asciiTheme="minorHAnsi" w:hAnsiTheme="minorHAnsi" w:cstheme="minorHAnsi"/>
          <w:color w:val="000000" w:themeColor="text1"/>
        </w:rPr>
      </w:pPr>
    </w:p>
    <w:p w14:paraId="36C13BD5" w14:textId="7A0A2BF0" w:rsidR="008E68FB" w:rsidRDefault="003837FB" w:rsidP="007A65D0">
      <w:pPr>
        <w:tabs>
          <w:tab w:val="clear" w:pos="567"/>
          <w:tab w:val="clear" w:pos="1134"/>
          <w:tab w:val="clear" w:pos="1701"/>
          <w:tab w:val="clear" w:pos="2268"/>
          <w:tab w:val="clear" w:pos="283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both"/>
        <w:textAlignment w:val="auto"/>
        <w:rPr>
          <w:rFonts w:asciiTheme="minorHAnsi" w:hAnsiTheme="minorHAnsi" w:cstheme="minorHAnsi"/>
          <w:color w:val="000000" w:themeColor="text1"/>
        </w:rPr>
      </w:pPr>
      <w:r>
        <w:rPr>
          <w:rFonts w:asciiTheme="minorHAnsi" w:hAnsiTheme="minorHAnsi" w:cstheme="minorHAnsi"/>
          <w:color w:val="000000" w:themeColor="text1"/>
        </w:rPr>
        <w:t>Nevertheless, this</w:t>
      </w:r>
      <w:r w:rsidR="00955640">
        <w:rPr>
          <w:rFonts w:asciiTheme="minorHAnsi" w:hAnsiTheme="minorHAnsi" w:cstheme="minorHAnsi"/>
          <w:color w:val="000000" w:themeColor="text1"/>
        </w:rPr>
        <w:t xml:space="preserve"> recommendation would</w:t>
      </w:r>
      <w:r>
        <w:rPr>
          <w:rFonts w:asciiTheme="minorHAnsi" w:hAnsiTheme="minorHAnsi" w:cstheme="minorHAnsi"/>
          <w:color w:val="000000" w:themeColor="text1"/>
        </w:rPr>
        <w:t xml:space="preserve"> </w:t>
      </w:r>
      <w:r w:rsidR="00D83351" w:rsidRPr="00D83351">
        <w:rPr>
          <w:rFonts w:asciiTheme="minorHAnsi" w:hAnsiTheme="minorHAnsi" w:cstheme="minorHAnsi"/>
          <w:color w:val="000000" w:themeColor="text1"/>
        </w:rPr>
        <w:t xml:space="preserve">entail a certain cost for the ITU, namely rent and operating costs for the site </w:t>
      </w:r>
      <w:r w:rsidR="00955640">
        <w:rPr>
          <w:rFonts w:asciiTheme="minorHAnsi" w:hAnsiTheme="minorHAnsi" w:cstheme="minorHAnsi"/>
          <w:color w:val="000000" w:themeColor="text1"/>
        </w:rPr>
        <w:t>for</w:t>
      </w:r>
      <w:r w:rsidR="00D83351" w:rsidRPr="00D83351">
        <w:rPr>
          <w:rFonts w:asciiTheme="minorHAnsi" w:hAnsiTheme="minorHAnsi" w:cstheme="minorHAnsi"/>
          <w:color w:val="000000" w:themeColor="text1"/>
        </w:rPr>
        <w:t xml:space="preserve"> a period estimated at 3 years.</w:t>
      </w:r>
      <w:r w:rsidR="00741D74">
        <w:rPr>
          <w:rFonts w:asciiTheme="minorHAnsi" w:hAnsiTheme="minorHAnsi" w:cstheme="minorHAnsi"/>
          <w:color w:val="000000" w:themeColor="text1"/>
        </w:rPr>
        <w:t xml:space="preserve"> </w:t>
      </w:r>
      <w:r w:rsidR="00AD1D2E" w:rsidRPr="00AD1D2E">
        <w:rPr>
          <w:rFonts w:asciiTheme="minorHAnsi" w:hAnsiTheme="minorHAnsi" w:cstheme="minorHAnsi"/>
          <w:color w:val="000000" w:themeColor="text1"/>
        </w:rPr>
        <w:t xml:space="preserve">Based on the estimate of the lease-back rent and the history of the site's operating costs, the overall costs for the ITU </w:t>
      </w:r>
      <w:r w:rsidR="00AD1D2E">
        <w:rPr>
          <w:rFonts w:asciiTheme="minorHAnsi" w:hAnsiTheme="minorHAnsi" w:cstheme="minorHAnsi"/>
          <w:color w:val="000000" w:themeColor="text1"/>
        </w:rPr>
        <w:t>w</w:t>
      </w:r>
      <w:r w:rsidR="00AD1D2E" w:rsidRPr="00AD1D2E">
        <w:rPr>
          <w:rFonts w:asciiTheme="minorHAnsi" w:hAnsiTheme="minorHAnsi" w:cstheme="minorHAnsi"/>
          <w:color w:val="000000" w:themeColor="text1"/>
        </w:rPr>
        <w:t>ould be around CHF 3,580,000 / year.</w:t>
      </w:r>
      <w:r w:rsidR="00FA6D12" w:rsidRPr="00FA6D12">
        <w:rPr>
          <w:rFonts w:asciiTheme="minorHAnsi" w:hAnsiTheme="minorHAnsi" w:cstheme="minorHAnsi"/>
          <w:color w:val="000000" w:themeColor="text1"/>
        </w:rPr>
        <w:t xml:space="preserve"> </w:t>
      </w:r>
    </w:p>
    <w:p w14:paraId="567D01E9" w14:textId="5C5C073E" w:rsidR="00FA6D12" w:rsidRDefault="00FA6D12" w:rsidP="007A65D0">
      <w:pPr>
        <w:jc w:val="both"/>
        <w:rPr>
          <w:rFonts w:asciiTheme="minorHAnsi" w:hAnsiTheme="minorHAnsi" w:cstheme="minorHAnsi"/>
          <w:color w:val="000000" w:themeColor="text1"/>
        </w:rPr>
      </w:pPr>
      <w:r>
        <w:rPr>
          <w:rFonts w:asciiTheme="minorHAnsi" w:hAnsiTheme="minorHAnsi" w:cstheme="minorHAnsi"/>
          <w:color w:val="000000" w:themeColor="text1"/>
        </w:rPr>
        <w:t xml:space="preserve">The methodology and the parameters used for the calculation of the different scenarios are included </w:t>
      </w:r>
      <w:hyperlink r:id="rId39" w:history="1">
        <w:r w:rsidR="00742C7A" w:rsidRPr="00FF4026">
          <w:rPr>
            <w:rStyle w:val="Hyperlink"/>
            <w:rFonts w:asciiTheme="minorHAnsi" w:hAnsiTheme="minorHAnsi" w:cstheme="minorHAnsi"/>
          </w:rPr>
          <w:t>here</w:t>
        </w:r>
      </w:hyperlink>
      <w:r>
        <w:rPr>
          <w:rFonts w:asciiTheme="minorHAnsi" w:hAnsiTheme="minorHAnsi" w:cstheme="minorHAnsi"/>
          <w:color w:val="000000" w:themeColor="text1"/>
        </w:rPr>
        <w:t>.</w:t>
      </w:r>
    </w:p>
    <w:p w14:paraId="4E4ABC39" w14:textId="32A75BAE" w:rsidR="00B0264A" w:rsidRPr="00455F68" w:rsidRDefault="009B2548" w:rsidP="00455F68">
      <w:pPr>
        <w:spacing w:before="240" w:after="120" w:line="276" w:lineRule="auto"/>
        <w:jc w:val="both"/>
        <w:rPr>
          <w:rFonts w:asciiTheme="minorHAnsi" w:hAnsiTheme="minorHAnsi" w:cstheme="minorHAnsi"/>
          <w:b/>
          <w:bCs/>
          <w:color w:val="000000" w:themeColor="text1"/>
        </w:rPr>
      </w:pPr>
      <w:r w:rsidRPr="00455F68">
        <w:rPr>
          <w:rFonts w:asciiTheme="minorHAnsi" w:hAnsiTheme="minorHAnsi" w:cstheme="minorHAnsi"/>
          <w:b/>
          <w:bCs/>
          <w:color w:val="000000" w:themeColor="text1"/>
        </w:rPr>
        <w:t>3.12</w:t>
      </w:r>
      <w:r w:rsidR="006973E2" w:rsidRPr="00455F68">
        <w:rPr>
          <w:rFonts w:asciiTheme="minorHAnsi" w:hAnsiTheme="minorHAnsi" w:cstheme="minorHAnsi"/>
          <w:b/>
          <w:bCs/>
          <w:color w:val="000000" w:themeColor="text1"/>
        </w:rPr>
        <w:tab/>
      </w:r>
      <w:r w:rsidR="004C0B2D">
        <w:rPr>
          <w:rFonts w:asciiTheme="minorHAnsi" w:hAnsiTheme="minorHAnsi" w:cstheme="minorHAnsi"/>
          <w:b/>
          <w:bCs/>
          <w:color w:val="000000" w:themeColor="text1"/>
        </w:rPr>
        <w:t>Combination</w:t>
      </w:r>
      <w:r w:rsidR="004C0B2D" w:rsidRPr="00455F68">
        <w:rPr>
          <w:rFonts w:asciiTheme="minorHAnsi" w:hAnsiTheme="minorHAnsi" w:cstheme="minorHAnsi"/>
          <w:b/>
          <w:bCs/>
          <w:color w:val="000000" w:themeColor="text1"/>
        </w:rPr>
        <w:t xml:space="preserve"> </w:t>
      </w:r>
      <w:r w:rsidR="006973E2" w:rsidRPr="00455F68">
        <w:rPr>
          <w:rFonts w:asciiTheme="minorHAnsi" w:hAnsiTheme="minorHAnsi" w:cstheme="minorHAnsi"/>
          <w:b/>
          <w:bCs/>
          <w:color w:val="000000" w:themeColor="text1"/>
        </w:rPr>
        <w:t xml:space="preserve">of Facilities Management </w:t>
      </w:r>
      <w:r w:rsidR="00F701C8">
        <w:rPr>
          <w:rFonts w:asciiTheme="minorHAnsi" w:hAnsiTheme="minorHAnsi" w:cstheme="minorHAnsi"/>
          <w:b/>
          <w:bCs/>
          <w:color w:val="000000" w:themeColor="text1"/>
        </w:rPr>
        <w:t xml:space="preserve">Division </w:t>
      </w:r>
      <w:r w:rsidR="006973E2" w:rsidRPr="00455F68">
        <w:rPr>
          <w:rFonts w:asciiTheme="minorHAnsi" w:hAnsiTheme="minorHAnsi" w:cstheme="minorHAnsi"/>
          <w:b/>
          <w:bCs/>
          <w:color w:val="000000" w:themeColor="text1"/>
        </w:rPr>
        <w:t>and Building Project Division</w:t>
      </w:r>
      <w:r w:rsidR="00E421A3" w:rsidRPr="00455F68">
        <w:rPr>
          <w:rFonts w:asciiTheme="minorHAnsi" w:hAnsiTheme="minorHAnsi" w:cstheme="minorHAnsi"/>
          <w:b/>
          <w:bCs/>
          <w:color w:val="000000" w:themeColor="text1"/>
        </w:rPr>
        <w:t xml:space="preserve"> </w:t>
      </w:r>
    </w:p>
    <w:p w14:paraId="2423B618" w14:textId="5974F2FB" w:rsidR="00B0264A" w:rsidRPr="0056429A" w:rsidRDefault="00F701C8" w:rsidP="007A65D0">
      <w:pPr>
        <w:jc w:val="both"/>
        <w:rPr>
          <w:rFonts w:asciiTheme="minorHAnsi" w:hAnsiTheme="minorHAnsi" w:cstheme="minorHAnsi"/>
          <w:color w:val="000000" w:themeColor="text1"/>
        </w:rPr>
      </w:pPr>
      <w:r>
        <w:rPr>
          <w:rFonts w:asciiTheme="minorHAnsi" w:hAnsiTheme="minorHAnsi" w:cstheme="minorHAnsi"/>
          <w:color w:val="000000" w:themeColor="text1"/>
        </w:rPr>
        <w:t>T</w:t>
      </w:r>
      <w:r w:rsidR="00B0264A" w:rsidRPr="0056429A">
        <w:rPr>
          <w:rFonts w:asciiTheme="minorHAnsi" w:hAnsiTheme="minorHAnsi" w:cstheme="minorHAnsi"/>
          <w:color w:val="000000" w:themeColor="text1"/>
        </w:rPr>
        <w:t xml:space="preserve">he Facilities Management Division (FMD) and the Building Project Division (BPD) </w:t>
      </w:r>
      <w:r>
        <w:rPr>
          <w:rFonts w:asciiTheme="minorHAnsi" w:hAnsiTheme="minorHAnsi" w:cstheme="minorHAnsi"/>
          <w:color w:val="000000" w:themeColor="text1"/>
        </w:rPr>
        <w:t xml:space="preserve">have been </w:t>
      </w:r>
      <w:r w:rsidR="004C0B2D">
        <w:rPr>
          <w:rFonts w:asciiTheme="minorHAnsi" w:hAnsiTheme="minorHAnsi" w:cstheme="minorHAnsi"/>
          <w:color w:val="000000" w:themeColor="text1"/>
        </w:rPr>
        <w:t xml:space="preserve">combination </w:t>
      </w:r>
      <w:r w:rsidR="00B0264A" w:rsidRPr="0056429A">
        <w:rPr>
          <w:rFonts w:asciiTheme="minorHAnsi" w:hAnsiTheme="minorHAnsi" w:cstheme="minorHAnsi"/>
          <w:color w:val="000000" w:themeColor="text1"/>
        </w:rPr>
        <w:t>into one</w:t>
      </w:r>
      <w:r>
        <w:rPr>
          <w:rFonts w:asciiTheme="minorHAnsi" w:hAnsiTheme="minorHAnsi" w:cstheme="minorHAnsi"/>
          <w:color w:val="000000" w:themeColor="text1"/>
        </w:rPr>
        <w:t>:</w:t>
      </w:r>
      <w:r w:rsidR="00B0264A" w:rsidRPr="0056429A">
        <w:rPr>
          <w:rFonts w:asciiTheme="minorHAnsi" w:hAnsiTheme="minorHAnsi" w:cstheme="minorHAnsi"/>
          <w:color w:val="000000" w:themeColor="text1"/>
        </w:rPr>
        <w:t xml:space="preserve"> “Facilities Management &amp; Building Project Division” effective 1 April 2020</w:t>
      </w:r>
      <w:r>
        <w:rPr>
          <w:rFonts w:asciiTheme="minorHAnsi" w:hAnsiTheme="minorHAnsi" w:cstheme="minorHAnsi"/>
          <w:color w:val="000000" w:themeColor="text1"/>
        </w:rPr>
        <w:t>.</w:t>
      </w:r>
      <w:r w:rsidR="00B0264A" w:rsidRPr="0056429A">
        <w:rPr>
          <w:rFonts w:asciiTheme="minorHAnsi" w:hAnsiTheme="minorHAnsi" w:cstheme="minorHAnsi"/>
          <w:color w:val="000000" w:themeColor="text1"/>
        </w:rPr>
        <w:t xml:space="preserve"> </w:t>
      </w:r>
      <w:r>
        <w:rPr>
          <w:rFonts w:asciiTheme="minorHAnsi" w:hAnsiTheme="minorHAnsi" w:cstheme="minorHAnsi"/>
          <w:color w:val="000000" w:themeColor="text1"/>
        </w:rPr>
        <w:lastRenderedPageBreak/>
        <w:t xml:space="preserve">This is </w:t>
      </w:r>
      <w:r w:rsidR="00B0264A" w:rsidRPr="0056429A">
        <w:rPr>
          <w:rFonts w:asciiTheme="minorHAnsi" w:hAnsiTheme="minorHAnsi" w:cstheme="minorHAnsi"/>
          <w:color w:val="000000" w:themeColor="text1"/>
        </w:rPr>
        <w:t xml:space="preserve">to optimize resources currently available and ensure a successful and smooth transition in the context of </w:t>
      </w:r>
      <w:r w:rsidR="009A185B" w:rsidRPr="0056429A">
        <w:rPr>
          <w:rFonts w:asciiTheme="minorHAnsi" w:hAnsiTheme="minorHAnsi" w:cstheme="minorHAnsi"/>
          <w:color w:val="000000" w:themeColor="text1"/>
        </w:rPr>
        <w:t xml:space="preserve">the </w:t>
      </w:r>
      <w:proofErr w:type="spellStart"/>
      <w:r w:rsidR="009A185B" w:rsidRPr="0056429A">
        <w:rPr>
          <w:rFonts w:asciiTheme="minorHAnsi" w:hAnsiTheme="minorHAnsi" w:cstheme="minorHAnsi"/>
          <w:color w:val="000000" w:themeColor="text1"/>
        </w:rPr>
        <w:t>Varembé</w:t>
      </w:r>
      <w:proofErr w:type="spellEnd"/>
      <w:r w:rsidR="009A185B" w:rsidRPr="0056429A">
        <w:rPr>
          <w:rFonts w:asciiTheme="minorHAnsi" w:hAnsiTheme="minorHAnsi" w:cstheme="minorHAnsi"/>
          <w:color w:val="000000" w:themeColor="text1"/>
        </w:rPr>
        <w:t xml:space="preserve"> building demolition</w:t>
      </w:r>
      <w:r w:rsidR="009A185B">
        <w:rPr>
          <w:rFonts w:asciiTheme="minorHAnsi" w:hAnsiTheme="minorHAnsi" w:cstheme="minorHAnsi"/>
          <w:color w:val="000000" w:themeColor="text1"/>
        </w:rPr>
        <w:t xml:space="preserve">, </w:t>
      </w:r>
      <w:r w:rsidR="00B0264A" w:rsidRPr="0056429A">
        <w:rPr>
          <w:rFonts w:asciiTheme="minorHAnsi" w:hAnsiTheme="minorHAnsi" w:cstheme="minorHAnsi"/>
          <w:color w:val="000000" w:themeColor="text1"/>
        </w:rPr>
        <w:t xml:space="preserve">the </w:t>
      </w:r>
      <w:r w:rsidR="009A185B" w:rsidRPr="0056429A">
        <w:rPr>
          <w:rFonts w:asciiTheme="minorHAnsi" w:hAnsiTheme="minorHAnsi" w:cstheme="minorHAnsi"/>
          <w:color w:val="000000" w:themeColor="text1"/>
        </w:rPr>
        <w:t>staff relocation</w:t>
      </w:r>
      <w:r w:rsidR="000F7A72">
        <w:rPr>
          <w:rFonts w:asciiTheme="minorHAnsi" w:hAnsiTheme="minorHAnsi" w:cstheme="minorHAnsi"/>
          <w:color w:val="000000" w:themeColor="text1"/>
        </w:rPr>
        <w:t xml:space="preserve">, </w:t>
      </w:r>
      <w:r w:rsidR="00B0264A" w:rsidRPr="0056429A">
        <w:rPr>
          <w:rFonts w:asciiTheme="minorHAnsi" w:hAnsiTheme="minorHAnsi" w:cstheme="minorHAnsi"/>
          <w:color w:val="000000" w:themeColor="text1"/>
        </w:rPr>
        <w:t>and</w:t>
      </w:r>
      <w:r w:rsidR="009A185B" w:rsidRPr="009A185B">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the </w:t>
      </w:r>
      <w:r w:rsidR="009A185B" w:rsidRPr="0056429A">
        <w:rPr>
          <w:rFonts w:asciiTheme="minorHAnsi" w:hAnsiTheme="minorHAnsi" w:cstheme="minorHAnsi"/>
          <w:color w:val="000000" w:themeColor="text1"/>
        </w:rPr>
        <w:t>new building construction</w:t>
      </w:r>
      <w:r w:rsidR="00B0264A" w:rsidRPr="0056429A">
        <w:rPr>
          <w:rFonts w:asciiTheme="minorHAnsi" w:hAnsiTheme="minorHAnsi" w:cstheme="minorHAnsi"/>
          <w:color w:val="000000" w:themeColor="text1"/>
        </w:rPr>
        <w:t xml:space="preserve">. </w:t>
      </w:r>
      <w:r>
        <w:rPr>
          <w:rFonts w:asciiTheme="minorHAnsi" w:hAnsiTheme="minorHAnsi" w:cstheme="minorHAnsi"/>
          <w:color w:val="000000" w:themeColor="text1"/>
        </w:rPr>
        <w:t>In particular e</w:t>
      </w:r>
      <w:r w:rsidR="00B0264A" w:rsidRPr="0056429A">
        <w:rPr>
          <w:rFonts w:asciiTheme="minorHAnsi" w:hAnsiTheme="minorHAnsi" w:cstheme="minorHAnsi"/>
          <w:color w:val="000000" w:themeColor="text1"/>
        </w:rPr>
        <w:t>xtensive space management activities will have to take place before, during and after the construction period</w:t>
      </w:r>
      <w:r>
        <w:rPr>
          <w:rFonts w:asciiTheme="minorHAnsi" w:hAnsiTheme="minorHAnsi" w:cstheme="minorHAnsi"/>
          <w:color w:val="000000" w:themeColor="text1"/>
        </w:rPr>
        <w:t>, and in addition</w:t>
      </w:r>
      <w:r w:rsidR="00B0264A" w:rsidRPr="0056429A">
        <w:rPr>
          <w:rFonts w:asciiTheme="minorHAnsi" w:hAnsiTheme="minorHAnsi" w:cstheme="minorHAnsi"/>
          <w:color w:val="000000" w:themeColor="text1"/>
        </w:rPr>
        <w:t xml:space="preserve"> </w:t>
      </w:r>
      <w:r w:rsidR="000F7A72">
        <w:rPr>
          <w:rFonts w:asciiTheme="minorHAnsi" w:hAnsiTheme="minorHAnsi" w:cstheme="minorHAnsi"/>
          <w:color w:val="000000" w:themeColor="text1"/>
        </w:rPr>
        <w:t xml:space="preserve">some of the </w:t>
      </w:r>
      <w:r>
        <w:rPr>
          <w:rFonts w:asciiTheme="minorHAnsi" w:hAnsiTheme="minorHAnsi" w:cstheme="minorHAnsi"/>
          <w:color w:val="000000" w:themeColor="text1"/>
        </w:rPr>
        <w:t>previous</w:t>
      </w:r>
      <w:r w:rsidR="00B0264A" w:rsidRPr="0056429A">
        <w:rPr>
          <w:rFonts w:asciiTheme="minorHAnsi" w:hAnsiTheme="minorHAnsi" w:cstheme="minorHAnsi"/>
          <w:color w:val="000000" w:themeColor="text1"/>
        </w:rPr>
        <w:t xml:space="preserve"> FMD resources will be involved in the implementation of temporary arrangements to ensure the continuity of services (electrical, heating and ventilation, etc.)</w:t>
      </w:r>
      <w:r w:rsidR="000F7A72">
        <w:rPr>
          <w:rFonts w:asciiTheme="minorHAnsi" w:hAnsiTheme="minorHAnsi" w:cstheme="minorHAnsi"/>
          <w:color w:val="000000" w:themeColor="text1"/>
        </w:rPr>
        <w:t xml:space="preserve"> during the relocation period and </w:t>
      </w:r>
      <w:r w:rsidR="00B0264A" w:rsidRPr="0056429A">
        <w:rPr>
          <w:rFonts w:asciiTheme="minorHAnsi" w:hAnsiTheme="minorHAnsi" w:cstheme="minorHAnsi"/>
          <w:color w:val="000000" w:themeColor="text1"/>
        </w:rPr>
        <w:t xml:space="preserve">being part of the commissioning and hand-over process at the building delivery. </w:t>
      </w:r>
    </w:p>
    <w:p w14:paraId="014152CE" w14:textId="77777777" w:rsidR="00383AF1" w:rsidRPr="0056429A" w:rsidRDefault="00383AF1" w:rsidP="00D90162">
      <w:pPr>
        <w:numPr>
          <w:ilvl w:val="1"/>
          <w:numId w:val="44"/>
        </w:numPr>
        <w:tabs>
          <w:tab w:val="clear" w:pos="567"/>
          <w:tab w:val="clear" w:pos="1134"/>
          <w:tab w:val="clear" w:pos="1701"/>
          <w:tab w:val="clear" w:pos="2268"/>
          <w:tab w:val="clear" w:pos="2835"/>
        </w:tabs>
        <w:overflowPunct/>
        <w:spacing w:before="0"/>
        <w:textAlignment w:val="auto"/>
        <w:rPr>
          <w:rFonts w:ascii="Arial" w:hAnsi="Arial" w:cs="Arial"/>
          <w:color w:val="000000"/>
          <w:sz w:val="22"/>
          <w:szCs w:val="22"/>
          <w:lang w:eastAsia="zh-CN"/>
        </w:rPr>
      </w:pPr>
    </w:p>
    <w:p w14:paraId="1CCEB8DE" w14:textId="202EFF50" w:rsidR="00D90162" w:rsidRPr="0056429A" w:rsidRDefault="003B2E90" w:rsidP="007A65D0">
      <w:pPr>
        <w:numPr>
          <w:ilvl w:val="1"/>
          <w:numId w:val="44"/>
        </w:numPr>
        <w:tabs>
          <w:tab w:val="clear" w:pos="567"/>
          <w:tab w:val="clear" w:pos="1134"/>
          <w:tab w:val="clear" w:pos="1701"/>
          <w:tab w:val="clear" w:pos="2268"/>
          <w:tab w:val="clear" w:pos="2835"/>
        </w:tabs>
        <w:overflowPunct/>
        <w:spacing w:before="0"/>
        <w:jc w:val="both"/>
        <w:textAlignment w:val="auto"/>
        <w:rPr>
          <w:rFonts w:asciiTheme="minorHAnsi" w:hAnsiTheme="minorHAnsi" w:cstheme="minorHAnsi"/>
          <w:color w:val="000000" w:themeColor="text1"/>
        </w:rPr>
      </w:pPr>
      <w:r>
        <w:rPr>
          <w:rFonts w:asciiTheme="minorHAnsi" w:hAnsiTheme="minorHAnsi" w:cstheme="minorHAnsi"/>
          <w:color w:val="000000" w:themeColor="text1"/>
        </w:rPr>
        <w:t xml:space="preserve">The </w:t>
      </w:r>
      <w:r w:rsidR="004C0B2D">
        <w:rPr>
          <w:rFonts w:asciiTheme="minorHAnsi" w:hAnsiTheme="minorHAnsi" w:cstheme="minorHAnsi"/>
          <w:color w:val="000000" w:themeColor="text1"/>
        </w:rPr>
        <w:t xml:space="preserve">combination </w:t>
      </w:r>
      <w:r>
        <w:rPr>
          <w:rFonts w:asciiTheme="minorHAnsi" w:hAnsiTheme="minorHAnsi" w:cstheme="minorHAnsi"/>
          <w:color w:val="000000" w:themeColor="text1"/>
        </w:rPr>
        <w:t>of</w:t>
      </w:r>
      <w:r w:rsidR="00383AF1" w:rsidRPr="0056429A">
        <w:rPr>
          <w:rFonts w:asciiTheme="minorHAnsi" w:hAnsiTheme="minorHAnsi" w:cstheme="minorHAnsi"/>
          <w:color w:val="000000" w:themeColor="text1"/>
        </w:rPr>
        <w:t xml:space="preserve"> the Divisions </w:t>
      </w:r>
      <w:r w:rsidR="00F701C8">
        <w:rPr>
          <w:rFonts w:asciiTheme="minorHAnsi" w:hAnsiTheme="minorHAnsi" w:cstheme="minorHAnsi"/>
          <w:color w:val="000000" w:themeColor="text1"/>
        </w:rPr>
        <w:t xml:space="preserve">has </w:t>
      </w:r>
      <w:r w:rsidR="00A32DFC" w:rsidRPr="0056429A">
        <w:rPr>
          <w:rFonts w:asciiTheme="minorHAnsi" w:hAnsiTheme="minorHAnsi" w:cstheme="minorHAnsi"/>
          <w:color w:val="000000" w:themeColor="text1"/>
        </w:rPr>
        <w:t>allowed</w:t>
      </w:r>
      <w:r>
        <w:rPr>
          <w:rFonts w:asciiTheme="minorHAnsi" w:hAnsiTheme="minorHAnsi" w:cstheme="minorHAnsi"/>
          <w:color w:val="000000" w:themeColor="text1"/>
        </w:rPr>
        <w:t xml:space="preserve"> </w:t>
      </w:r>
      <w:r w:rsidR="00644660" w:rsidRPr="0056429A">
        <w:rPr>
          <w:rFonts w:asciiTheme="minorHAnsi" w:hAnsiTheme="minorHAnsi" w:cstheme="minorHAnsi"/>
          <w:color w:val="000000" w:themeColor="text1"/>
        </w:rPr>
        <w:t>saving</w:t>
      </w:r>
      <w:r w:rsidR="00F701C8">
        <w:rPr>
          <w:rFonts w:asciiTheme="minorHAnsi" w:hAnsiTheme="minorHAnsi" w:cstheme="minorHAnsi"/>
          <w:color w:val="000000" w:themeColor="text1"/>
        </w:rPr>
        <w:t>s</w:t>
      </w:r>
      <w:r w:rsidR="00644660" w:rsidRPr="0056429A">
        <w:rPr>
          <w:rFonts w:asciiTheme="minorHAnsi" w:hAnsiTheme="minorHAnsi" w:cstheme="minorHAnsi"/>
          <w:color w:val="000000" w:themeColor="text1"/>
        </w:rPr>
        <w:t xml:space="preserve"> </w:t>
      </w:r>
      <w:r w:rsidR="00DF563E">
        <w:rPr>
          <w:rFonts w:asciiTheme="minorHAnsi" w:hAnsiTheme="minorHAnsi" w:cstheme="minorHAnsi"/>
          <w:color w:val="000000" w:themeColor="text1"/>
        </w:rPr>
        <w:t xml:space="preserve">to </w:t>
      </w:r>
      <w:r w:rsidR="00F701C8">
        <w:rPr>
          <w:rFonts w:asciiTheme="minorHAnsi" w:hAnsiTheme="minorHAnsi" w:cstheme="minorHAnsi"/>
          <w:color w:val="000000" w:themeColor="text1"/>
        </w:rPr>
        <w:t xml:space="preserve">be </w:t>
      </w:r>
      <w:r w:rsidR="00DF563E">
        <w:rPr>
          <w:rFonts w:asciiTheme="minorHAnsi" w:hAnsiTheme="minorHAnsi" w:cstheme="minorHAnsi"/>
          <w:color w:val="000000" w:themeColor="text1"/>
        </w:rPr>
        <w:t>use</w:t>
      </w:r>
      <w:r w:rsidR="00F701C8">
        <w:rPr>
          <w:rFonts w:asciiTheme="minorHAnsi" w:hAnsiTheme="minorHAnsi" w:cstheme="minorHAnsi"/>
          <w:color w:val="000000" w:themeColor="text1"/>
        </w:rPr>
        <w:t>d to</w:t>
      </w:r>
      <w:r w:rsidR="00DF563E">
        <w:rPr>
          <w:rFonts w:asciiTheme="minorHAnsi" w:hAnsiTheme="minorHAnsi" w:cstheme="minorHAnsi"/>
          <w:color w:val="000000" w:themeColor="text1"/>
        </w:rPr>
        <w:t xml:space="preserve"> part fund </w:t>
      </w:r>
      <w:r w:rsidR="00A32DFC" w:rsidRPr="0056429A">
        <w:rPr>
          <w:rFonts w:asciiTheme="minorHAnsi" w:hAnsiTheme="minorHAnsi" w:cstheme="minorHAnsi"/>
          <w:color w:val="000000" w:themeColor="text1"/>
        </w:rPr>
        <w:t>the</w:t>
      </w:r>
      <w:r w:rsidR="00D90162" w:rsidRPr="0056429A">
        <w:rPr>
          <w:rFonts w:asciiTheme="minorHAnsi" w:hAnsiTheme="minorHAnsi" w:cstheme="minorHAnsi"/>
          <w:color w:val="000000" w:themeColor="text1"/>
        </w:rPr>
        <w:t xml:space="preserve"> creation of a temporary position (for the duration of the project) </w:t>
      </w:r>
      <w:r w:rsidR="000863FF">
        <w:rPr>
          <w:rFonts w:asciiTheme="minorHAnsi" w:hAnsiTheme="minorHAnsi" w:cstheme="minorHAnsi"/>
          <w:color w:val="000000" w:themeColor="text1"/>
        </w:rPr>
        <w:t>of a</w:t>
      </w:r>
      <w:r w:rsidR="00D90162" w:rsidRPr="0056429A">
        <w:rPr>
          <w:rFonts w:asciiTheme="minorHAnsi" w:hAnsiTheme="minorHAnsi" w:cstheme="minorHAnsi"/>
          <w:color w:val="000000" w:themeColor="text1"/>
        </w:rPr>
        <w:t xml:space="preserve"> Space Planning Officer</w:t>
      </w:r>
      <w:r w:rsidR="00DF563E">
        <w:rPr>
          <w:rFonts w:asciiTheme="minorHAnsi" w:hAnsiTheme="minorHAnsi" w:cstheme="minorHAnsi"/>
          <w:color w:val="000000" w:themeColor="text1"/>
        </w:rPr>
        <w:t>. Once recruited</w:t>
      </w:r>
      <w:r w:rsidR="0005204E">
        <w:rPr>
          <w:rFonts w:asciiTheme="minorHAnsi" w:hAnsiTheme="minorHAnsi" w:cstheme="minorHAnsi"/>
          <w:color w:val="000000" w:themeColor="text1"/>
        </w:rPr>
        <w:t>, h</w:t>
      </w:r>
      <w:r w:rsidR="00DF563E">
        <w:rPr>
          <w:rFonts w:asciiTheme="minorHAnsi" w:hAnsiTheme="minorHAnsi" w:cstheme="minorHAnsi"/>
          <w:color w:val="000000" w:themeColor="text1"/>
        </w:rPr>
        <w:t>e/she</w:t>
      </w:r>
      <w:r w:rsidR="0005204E">
        <w:rPr>
          <w:rFonts w:asciiTheme="minorHAnsi" w:hAnsiTheme="minorHAnsi" w:cstheme="minorHAnsi"/>
          <w:color w:val="000000" w:themeColor="text1"/>
        </w:rPr>
        <w:t xml:space="preserve"> will</w:t>
      </w:r>
      <w:r w:rsidR="00D90162" w:rsidRPr="0056429A">
        <w:rPr>
          <w:rFonts w:asciiTheme="minorHAnsi" w:hAnsiTheme="minorHAnsi" w:cstheme="minorHAnsi"/>
          <w:color w:val="000000" w:themeColor="text1"/>
        </w:rPr>
        <w:t xml:space="preserve"> </w:t>
      </w:r>
      <w:r w:rsidR="0056429A">
        <w:rPr>
          <w:rFonts w:asciiTheme="minorHAnsi" w:hAnsiTheme="minorHAnsi" w:cstheme="minorHAnsi"/>
          <w:color w:val="000000" w:themeColor="text1"/>
        </w:rPr>
        <w:t xml:space="preserve">engage with staff, </w:t>
      </w:r>
      <w:r w:rsidR="00D90162" w:rsidRPr="0056429A">
        <w:rPr>
          <w:rFonts w:asciiTheme="minorHAnsi" w:hAnsiTheme="minorHAnsi" w:cstheme="minorHAnsi"/>
          <w:color w:val="000000" w:themeColor="text1"/>
        </w:rPr>
        <w:t>take care of the temporary arrangements during the staff relocation and establish the final space allocation</w:t>
      </w:r>
      <w:r w:rsidR="0005204E">
        <w:rPr>
          <w:rFonts w:asciiTheme="minorHAnsi" w:hAnsiTheme="minorHAnsi" w:cstheme="minorHAnsi"/>
          <w:color w:val="000000" w:themeColor="text1"/>
        </w:rPr>
        <w:t xml:space="preserve"> in line with the </w:t>
      </w:r>
      <w:r w:rsidR="000E0478">
        <w:rPr>
          <w:rFonts w:asciiTheme="minorHAnsi" w:hAnsiTheme="minorHAnsi" w:cstheme="minorHAnsi"/>
          <w:color w:val="000000" w:themeColor="text1"/>
        </w:rPr>
        <w:t>workspace recommendations</w:t>
      </w:r>
      <w:r w:rsidR="00D90162" w:rsidRPr="0056429A">
        <w:rPr>
          <w:rFonts w:asciiTheme="minorHAnsi" w:hAnsiTheme="minorHAnsi" w:cstheme="minorHAnsi"/>
          <w:color w:val="000000" w:themeColor="text1"/>
        </w:rPr>
        <w:t xml:space="preserve"> in the new building. </w:t>
      </w:r>
    </w:p>
    <w:p w14:paraId="3471197B" w14:textId="210435FB" w:rsidR="0086489C" w:rsidRPr="00455F68" w:rsidRDefault="00F47C43" w:rsidP="007A65D0">
      <w:pPr>
        <w:pStyle w:val="ListParagraph"/>
        <w:spacing w:before="360" w:after="120"/>
        <w:ind w:left="0"/>
        <w:jc w:val="both"/>
        <w:rPr>
          <w:rFonts w:asciiTheme="minorHAnsi" w:hAnsiTheme="minorHAnsi" w:cstheme="minorHAnsi"/>
          <w:b/>
          <w:bCs/>
          <w:color w:val="000000" w:themeColor="text1"/>
          <w:sz w:val="28"/>
          <w:szCs w:val="28"/>
          <w:lang w:val="en-GB" w:eastAsia="ja-JP"/>
        </w:rPr>
      </w:pPr>
      <w:r w:rsidRPr="00455F68">
        <w:rPr>
          <w:rFonts w:asciiTheme="minorHAnsi" w:hAnsiTheme="minorHAnsi" w:cstheme="minorHAnsi"/>
          <w:b/>
          <w:bCs/>
          <w:color w:val="000000" w:themeColor="text1"/>
          <w:sz w:val="28"/>
          <w:szCs w:val="28"/>
          <w:lang w:val="en-GB" w:eastAsia="ja-JP"/>
        </w:rPr>
        <w:t>4</w:t>
      </w:r>
      <w:r w:rsidR="00E36A1F" w:rsidRPr="00455F68">
        <w:rPr>
          <w:rFonts w:asciiTheme="minorHAnsi" w:hAnsiTheme="minorHAnsi" w:cstheme="minorHAnsi"/>
          <w:b/>
          <w:bCs/>
          <w:color w:val="000000" w:themeColor="text1"/>
          <w:sz w:val="28"/>
          <w:szCs w:val="28"/>
          <w:lang w:val="en-GB" w:eastAsia="ja-JP"/>
        </w:rPr>
        <w:tab/>
      </w:r>
      <w:r w:rsidR="0086489C" w:rsidRPr="00455F68">
        <w:rPr>
          <w:rFonts w:asciiTheme="minorHAnsi" w:hAnsiTheme="minorHAnsi" w:cstheme="minorHAnsi"/>
          <w:b/>
          <w:bCs/>
          <w:color w:val="000000" w:themeColor="text1"/>
          <w:sz w:val="28"/>
          <w:szCs w:val="28"/>
          <w:lang w:val="en-GB" w:eastAsia="ja-JP"/>
        </w:rPr>
        <w:t>Financial Up-date</w:t>
      </w:r>
    </w:p>
    <w:p w14:paraId="34EFB5C5" w14:textId="19F76F10" w:rsidR="0095139F" w:rsidRDefault="00D824AE" w:rsidP="007A65D0">
      <w:pPr>
        <w:spacing w:before="240" w:after="120"/>
        <w:jc w:val="both"/>
        <w:rPr>
          <w:rFonts w:asciiTheme="minorHAnsi" w:hAnsiTheme="minorHAnsi" w:cstheme="minorHAnsi"/>
          <w:b/>
          <w:bCs/>
          <w:color w:val="000000" w:themeColor="text1"/>
        </w:rPr>
      </w:pPr>
      <w:r w:rsidRPr="00D75BAB">
        <w:rPr>
          <w:rFonts w:asciiTheme="minorHAnsi" w:hAnsiTheme="minorHAnsi" w:cstheme="minorHAnsi"/>
          <w:b/>
          <w:bCs/>
          <w:color w:val="000000" w:themeColor="text1"/>
        </w:rPr>
        <w:t>4.1</w:t>
      </w:r>
      <w:r w:rsidRPr="00D75BAB">
        <w:rPr>
          <w:rFonts w:asciiTheme="minorHAnsi" w:hAnsiTheme="minorHAnsi" w:cstheme="minorHAnsi"/>
          <w:b/>
          <w:bCs/>
          <w:color w:val="000000" w:themeColor="text1"/>
        </w:rPr>
        <w:tab/>
      </w:r>
      <w:r w:rsidR="0086489C" w:rsidRPr="00D75BAB">
        <w:rPr>
          <w:rFonts w:asciiTheme="minorHAnsi" w:hAnsiTheme="minorHAnsi" w:cstheme="minorHAnsi"/>
          <w:b/>
          <w:bCs/>
          <w:color w:val="000000" w:themeColor="text1"/>
        </w:rPr>
        <w:t>Confirmation of available budget</w:t>
      </w:r>
    </w:p>
    <w:p w14:paraId="54D6E765" w14:textId="41B3DAB6" w:rsidR="009F1589" w:rsidRDefault="009F1589" w:rsidP="007A65D0">
      <w:pPr>
        <w:pStyle w:val="ListParagraph"/>
        <w:ind w:left="0"/>
        <w:jc w:val="both"/>
        <w:rPr>
          <w:rFonts w:asciiTheme="minorHAnsi" w:hAnsiTheme="minorHAnsi" w:cstheme="minorHAnsi"/>
          <w:color w:val="000000" w:themeColor="text1"/>
          <w:sz w:val="24"/>
        </w:rPr>
      </w:pPr>
      <w:r w:rsidRPr="00D75BAB">
        <w:rPr>
          <w:rFonts w:asciiTheme="minorHAnsi" w:hAnsiTheme="minorHAnsi" w:cstheme="minorHAnsi"/>
          <w:color w:val="000000" w:themeColor="text1"/>
          <w:sz w:val="24"/>
        </w:rPr>
        <w:t xml:space="preserve">Decision 619 was adopted at the additional session of the Council held in Geneva on 27 September 2019, approving the final direct </w:t>
      </w:r>
      <w:r w:rsidR="00A4346C">
        <w:rPr>
          <w:rFonts w:asciiTheme="minorHAnsi" w:hAnsiTheme="minorHAnsi" w:cstheme="minorHAnsi"/>
          <w:color w:val="000000" w:themeColor="text1"/>
          <w:sz w:val="24"/>
        </w:rPr>
        <w:t>P</w:t>
      </w:r>
      <w:r w:rsidRPr="00D75BAB">
        <w:rPr>
          <w:rFonts w:asciiTheme="minorHAnsi" w:hAnsiTheme="minorHAnsi" w:cstheme="minorHAnsi"/>
          <w:color w:val="000000" w:themeColor="text1"/>
          <w:sz w:val="24"/>
        </w:rPr>
        <w:t>roject cost of the Union’s New Headquarters Building of CHF 170,139,000, as described in C19-ADD/2, financed entirely by the available funding of</w:t>
      </w:r>
      <w:r w:rsidR="00494694">
        <w:rPr>
          <w:rFonts w:asciiTheme="minorHAnsi" w:hAnsiTheme="minorHAnsi" w:cstheme="minorHAnsi"/>
          <w:color w:val="000000" w:themeColor="text1"/>
          <w:sz w:val="24"/>
        </w:rPr>
        <w:t>:</w:t>
      </w:r>
      <w:r w:rsidRPr="00D75BAB">
        <w:rPr>
          <w:rFonts w:asciiTheme="minorHAnsi" w:hAnsiTheme="minorHAnsi" w:cstheme="minorHAnsi"/>
          <w:color w:val="000000" w:themeColor="text1"/>
          <w:sz w:val="24"/>
        </w:rPr>
        <w:t xml:space="preserve"> </w:t>
      </w:r>
    </w:p>
    <w:p w14:paraId="2BDA5ED8" w14:textId="77777777" w:rsidR="001C25D2" w:rsidRPr="00C803A9" w:rsidRDefault="001C25D2" w:rsidP="007A65D0">
      <w:pPr>
        <w:pStyle w:val="ListParagraph"/>
        <w:ind w:left="0"/>
        <w:jc w:val="both"/>
        <w:rPr>
          <w:rFonts w:asciiTheme="minorHAnsi" w:hAnsiTheme="minorHAnsi" w:cstheme="minorHAnsi"/>
          <w:color w:val="000000" w:themeColor="text1"/>
          <w:sz w:val="24"/>
        </w:rPr>
      </w:pPr>
    </w:p>
    <w:p w14:paraId="34F2383E" w14:textId="4E889075" w:rsidR="00C803A9" w:rsidRDefault="00494694" w:rsidP="007A65D0">
      <w:pPr>
        <w:pStyle w:val="ListParagraph"/>
        <w:numPr>
          <w:ilvl w:val="0"/>
          <w:numId w:val="43"/>
        </w:numPr>
        <w:spacing w:before="120"/>
        <w:jc w:val="both"/>
        <w:rPr>
          <w:rFonts w:asciiTheme="minorHAnsi" w:hAnsiTheme="minorHAnsi" w:cstheme="minorHAnsi"/>
          <w:color w:val="000000" w:themeColor="text1"/>
          <w:sz w:val="24"/>
          <w:lang w:val="en-GB" w:eastAsia="ja-JP"/>
        </w:rPr>
      </w:pPr>
      <w:r w:rsidRPr="00D75BAB">
        <w:rPr>
          <w:rFonts w:asciiTheme="minorHAnsi" w:hAnsiTheme="minorHAnsi" w:cstheme="minorHAnsi"/>
          <w:color w:val="000000" w:themeColor="text1"/>
          <w:sz w:val="24"/>
        </w:rPr>
        <w:t>CHF 150,000,000 host country loan</w:t>
      </w:r>
      <w:r>
        <w:rPr>
          <w:rFonts w:asciiTheme="minorHAnsi" w:hAnsiTheme="minorHAnsi" w:cstheme="minorHAnsi"/>
          <w:color w:val="000000" w:themeColor="text1"/>
          <w:sz w:val="24"/>
          <w:lang w:val="en-GB" w:eastAsia="ja-JP"/>
        </w:rPr>
        <w:t xml:space="preserve"> </w:t>
      </w:r>
      <w:r w:rsidR="00C803A9">
        <w:rPr>
          <w:rFonts w:asciiTheme="minorHAnsi" w:hAnsiTheme="minorHAnsi" w:cstheme="minorHAnsi"/>
          <w:color w:val="000000" w:themeColor="text1"/>
          <w:sz w:val="24"/>
          <w:lang w:val="en-GB" w:eastAsia="ja-JP"/>
        </w:rPr>
        <w:t>– as described under §3.7 of this report, the request for a CHF 150M loan has been submitted</w:t>
      </w:r>
      <w:r w:rsidR="00847452">
        <w:rPr>
          <w:rFonts w:asciiTheme="minorHAnsi" w:hAnsiTheme="minorHAnsi" w:cstheme="minorHAnsi"/>
          <w:color w:val="000000" w:themeColor="text1"/>
          <w:sz w:val="24"/>
          <w:lang w:val="en-GB" w:eastAsia="ja-JP"/>
        </w:rPr>
        <w:t>.</w:t>
      </w:r>
    </w:p>
    <w:p w14:paraId="0F50D23E" w14:textId="681AA827" w:rsidR="0046213F" w:rsidRDefault="00494694" w:rsidP="007A65D0">
      <w:pPr>
        <w:pStyle w:val="ListParagraph"/>
        <w:numPr>
          <w:ilvl w:val="0"/>
          <w:numId w:val="43"/>
        </w:numPr>
        <w:spacing w:before="120"/>
        <w:jc w:val="both"/>
        <w:rPr>
          <w:rFonts w:asciiTheme="minorHAnsi" w:hAnsiTheme="minorHAnsi" w:cstheme="minorHAnsi"/>
          <w:color w:val="000000" w:themeColor="text1"/>
          <w:sz w:val="24"/>
          <w:lang w:val="en-GB" w:eastAsia="ja-JP"/>
        </w:rPr>
      </w:pPr>
      <w:r w:rsidRPr="00D75BAB">
        <w:rPr>
          <w:rFonts w:asciiTheme="minorHAnsi" w:hAnsiTheme="minorHAnsi" w:cstheme="minorHAnsi"/>
          <w:color w:val="000000" w:themeColor="text1"/>
          <w:sz w:val="24"/>
        </w:rPr>
        <w:t>CHF 5,000,000 new building fund</w:t>
      </w:r>
      <w:r w:rsidR="00847452">
        <w:rPr>
          <w:rFonts w:asciiTheme="minorHAnsi" w:hAnsiTheme="minorHAnsi" w:cstheme="minorHAnsi"/>
          <w:color w:val="000000" w:themeColor="text1"/>
          <w:sz w:val="24"/>
        </w:rPr>
        <w:t>.</w:t>
      </w:r>
    </w:p>
    <w:p w14:paraId="0B083384" w14:textId="7005C028" w:rsidR="00855455" w:rsidRDefault="00494694" w:rsidP="007A65D0">
      <w:pPr>
        <w:pStyle w:val="ListParagraph"/>
        <w:numPr>
          <w:ilvl w:val="0"/>
          <w:numId w:val="43"/>
        </w:numPr>
        <w:spacing w:before="120"/>
        <w:jc w:val="both"/>
        <w:rPr>
          <w:rFonts w:asciiTheme="minorHAnsi" w:hAnsiTheme="minorHAnsi" w:cstheme="minorHAnsi"/>
          <w:color w:val="000000" w:themeColor="text1"/>
          <w:sz w:val="24"/>
          <w:lang w:val="en-GB" w:eastAsia="ja-JP"/>
        </w:rPr>
      </w:pPr>
      <w:r w:rsidRPr="00D75BAB">
        <w:rPr>
          <w:rFonts w:asciiTheme="minorHAnsi" w:hAnsiTheme="minorHAnsi" w:cstheme="minorHAnsi"/>
          <w:color w:val="000000" w:themeColor="text1"/>
          <w:sz w:val="24"/>
        </w:rPr>
        <w:t>CHF 15,140,000 sponsorships and donations</w:t>
      </w:r>
      <w:r w:rsidR="00000D1F">
        <w:rPr>
          <w:rFonts w:asciiTheme="minorHAnsi" w:hAnsiTheme="minorHAnsi" w:cstheme="minorHAnsi"/>
          <w:color w:val="000000" w:themeColor="text1"/>
          <w:sz w:val="24"/>
        </w:rPr>
        <w:t xml:space="preserve"> </w:t>
      </w:r>
      <w:r w:rsidR="005F3285">
        <w:rPr>
          <w:rFonts w:asciiTheme="minorHAnsi" w:hAnsiTheme="minorHAnsi" w:cstheme="minorHAnsi"/>
          <w:color w:val="000000" w:themeColor="text1"/>
          <w:sz w:val="24"/>
          <w:lang w:val="en-GB" w:eastAsia="ja-JP"/>
        </w:rPr>
        <w:t>–</w:t>
      </w:r>
      <w:r w:rsidR="00C803A9">
        <w:rPr>
          <w:rFonts w:asciiTheme="minorHAnsi" w:hAnsiTheme="minorHAnsi" w:cstheme="minorHAnsi"/>
          <w:color w:val="000000" w:themeColor="text1"/>
          <w:sz w:val="24"/>
          <w:lang w:val="en-GB" w:eastAsia="ja-JP"/>
        </w:rPr>
        <w:t xml:space="preserve"> </w:t>
      </w:r>
      <w:r w:rsidR="005F3285">
        <w:rPr>
          <w:rFonts w:asciiTheme="minorHAnsi" w:hAnsiTheme="minorHAnsi" w:cstheme="minorHAnsi"/>
          <w:color w:val="000000" w:themeColor="text1"/>
          <w:sz w:val="24"/>
          <w:lang w:val="en-GB" w:eastAsia="ja-JP"/>
        </w:rPr>
        <w:t xml:space="preserve">breakdown of </w:t>
      </w:r>
      <w:r w:rsidR="00B51A22">
        <w:rPr>
          <w:rFonts w:asciiTheme="minorHAnsi" w:hAnsiTheme="minorHAnsi" w:cstheme="minorHAnsi"/>
          <w:color w:val="000000" w:themeColor="text1"/>
          <w:sz w:val="24"/>
          <w:lang w:val="en-GB" w:eastAsia="ja-JP"/>
        </w:rPr>
        <w:t xml:space="preserve">funds </w:t>
      </w:r>
      <w:r w:rsidR="00000D1F">
        <w:rPr>
          <w:rFonts w:asciiTheme="minorHAnsi" w:hAnsiTheme="minorHAnsi" w:cstheme="minorHAnsi"/>
          <w:color w:val="000000" w:themeColor="text1"/>
          <w:sz w:val="24"/>
          <w:lang w:val="en-GB" w:eastAsia="ja-JP"/>
        </w:rPr>
        <w:t xml:space="preserve">currently available and </w:t>
      </w:r>
      <w:r w:rsidR="00A4346C">
        <w:rPr>
          <w:rFonts w:asciiTheme="minorHAnsi" w:hAnsiTheme="minorHAnsi" w:cstheme="minorHAnsi"/>
          <w:color w:val="000000" w:themeColor="text1"/>
          <w:sz w:val="24"/>
          <w:lang w:val="en-GB" w:eastAsia="ja-JP"/>
        </w:rPr>
        <w:t xml:space="preserve">actually </w:t>
      </w:r>
      <w:r w:rsidR="00B51A22">
        <w:rPr>
          <w:rFonts w:asciiTheme="minorHAnsi" w:hAnsiTheme="minorHAnsi" w:cstheme="minorHAnsi"/>
          <w:color w:val="000000" w:themeColor="text1"/>
          <w:sz w:val="24"/>
          <w:lang w:val="en-GB" w:eastAsia="ja-JP"/>
        </w:rPr>
        <w:t>received f</w:t>
      </w:r>
      <w:r w:rsidR="00000D1F">
        <w:rPr>
          <w:rFonts w:asciiTheme="minorHAnsi" w:hAnsiTheme="minorHAnsi" w:cstheme="minorHAnsi"/>
          <w:color w:val="000000" w:themeColor="text1"/>
          <w:sz w:val="24"/>
          <w:lang w:val="en-GB" w:eastAsia="ja-JP"/>
        </w:rPr>
        <w:t>rom</w:t>
      </w:r>
      <w:r w:rsidR="00B51A22">
        <w:rPr>
          <w:rFonts w:asciiTheme="minorHAnsi" w:hAnsiTheme="minorHAnsi" w:cstheme="minorHAnsi"/>
          <w:color w:val="000000" w:themeColor="text1"/>
          <w:sz w:val="24"/>
          <w:lang w:val="en-GB" w:eastAsia="ja-JP"/>
        </w:rPr>
        <w:t xml:space="preserve"> sponsorship and donations is as follows</w:t>
      </w:r>
      <w:r w:rsidR="00855455">
        <w:rPr>
          <w:rFonts w:asciiTheme="minorHAnsi" w:hAnsiTheme="minorHAnsi" w:cstheme="minorHAnsi"/>
          <w:color w:val="000000" w:themeColor="text1"/>
          <w:sz w:val="24"/>
          <w:lang w:val="en-GB" w:eastAsia="ja-JP"/>
        </w:rPr>
        <w:t>:</w:t>
      </w:r>
    </w:p>
    <w:p w14:paraId="5E8D8370" w14:textId="77777777" w:rsidR="004B7D57" w:rsidRDefault="004B7D57" w:rsidP="007A65D0">
      <w:pPr>
        <w:pStyle w:val="ListParagraph"/>
        <w:spacing w:before="120"/>
        <w:ind w:left="1786"/>
        <w:jc w:val="both"/>
        <w:rPr>
          <w:rFonts w:asciiTheme="minorHAnsi" w:hAnsiTheme="minorHAnsi" w:cstheme="minorHAnsi"/>
          <w:color w:val="000000" w:themeColor="text1"/>
          <w:sz w:val="24"/>
          <w:lang w:val="en-GB" w:eastAsia="ja-JP"/>
        </w:rPr>
      </w:pPr>
    </w:p>
    <w:tbl>
      <w:tblPr>
        <w:tblW w:w="4280" w:type="dxa"/>
        <w:tblCellMar>
          <w:left w:w="0" w:type="dxa"/>
          <w:right w:w="0" w:type="dxa"/>
        </w:tblCellMar>
        <w:tblLook w:val="04A0" w:firstRow="1" w:lastRow="0" w:firstColumn="1" w:lastColumn="0" w:noHBand="0" w:noVBand="1"/>
      </w:tblPr>
      <w:tblGrid>
        <w:gridCol w:w="9639"/>
      </w:tblGrid>
      <w:tr w:rsidR="004B7D57" w14:paraId="2BF27C07" w14:textId="77777777" w:rsidTr="004B7D57">
        <w:trPr>
          <w:trHeight w:val="300"/>
        </w:trPr>
        <w:tc>
          <w:tcPr>
            <w:tcW w:w="1400" w:type="dxa"/>
            <w:noWrap/>
            <w:tcMar>
              <w:top w:w="0" w:type="dxa"/>
              <w:left w:w="108" w:type="dxa"/>
              <w:bottom w:w="0" w:type="dxa"/>
              <w:right w:w="108" w:type="dxa"/>
            </w:tcMar>
            <w:vAlign w:val="bottom"/>
            <w:hideMark/>
          </w:tcPr>
          <w:tbl>
            <w:tblPr>
              <w:tblW w:w="7830" w:type="dxa"/>
              <w:tblInd w:w="1680" w:type="dxa"/>
              <w:tblCellMar>
                <w:left w:w="0" w:type="dxa"/>
                <w:right w:w="0" w:type="dxa"/>
              </w:tblCellMar>
              <w:tblLook w:val="04A0" w:firstRow="1" w:lastRow="0" w:firstColumn="1" w:lastColumn="0" w:noHBand="0" w:noVBand="1"/>
            </w:tblPr>
            <w:tblGrid>
              <w:gridCol w:w="1730"/>
              <w:gridCol w:w="4394"/>
              <w:gridCol w:w="1706"/>
            </w:tblGrid>
            <w:tr w:rsidR="004C7150" w:rsidRPr="00D03361" w14:paraId="3F0B9EDE" w14:textId="583998E3" w:rsidTr="007623B5">
              <w:trPr>
                <w:trHeight w:val="322"/>
              </w:trPr>
              <w:tc>
                <w:tcPr>
                  <w:tcW w:w="173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39A26512" w14:textId="1898E7A8" w:rsidR="004C7150" w:rsidRPr="0084041B" w:rsidRDefault="00D03361" w:rsidP="007A65D0">
                  <w:pPr>
                    <w:jc w:val="center"/>
                    <w:rPr>
                      <w:b/>
                      <w:bCs/>
                      <w:color w:val="000000"/>
                      <w:szCs w:val="24"/>
                      <w:lang w:eastAsia="en-GB"/>
                    </w:rPr>
                  </w:pPr>
                  <w:r w:rsidRPr="0084041B">
                    <w:rPr>
                      <w:b/>
                      <w:bCs/>
                      <w:color w:val="000000"/>
                      <w:szCs w:val="24"/>
                      <w:lang w:eastAsia="en-GB"/>
                    </w:rPr>
                    <w:t>Funding Type</w:t>
                  </w:r>
                </w:p>
              </w:tc>
              <w:tc>
                <w:tcPr>
                  <w:tcW w:w="439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260C404D" w14:textId="757CA8AF" w:rsidR="004C7150" w:rsidRPr="0084041B" w:rsidRDefault="00D03361" w:rsidP="007A65D0">
                  <w:pPr>
                    <w:jc w:val="center"/>
                    <w:rPr>
                      <w:b/>
                      <w:bCs/>
                      <w:color w:val="000000"/>
                      <w:szCs w:val="24"/>
                      <w:lang w:eastAsia="en-GB"/>
                    </w:rPr>
                  </w:pPr>
                  <w:r w:rsidRPr="0084041B">
                    <w:rPr>
                      <w:b/>
                      <w:bCs/>
                      <w:color w:val="000000"/>
                      <w:szCs w:val="24"/>
                      <w:lang w:eastAsia="en-GB"/>
                    </w:rPr>
                    <w:t>Country</w:t>
                  </w:r>
                </w:p>
              </w:tc>
              <w:tc>
                <w:tcPr>
                  <w:tcW w:w="1706" w:type="dxa"/>
                  <w:tcBorders>
                    <w:top w:val="single" w:sz="4" w:space="0" w:color="auto"/>
                    <w:left w:val="single" w:sz="4" w:space="0" w:color="auto"/>
                    <w:bottom w:val="single" w:sz="4" w:space="0" w:color="auto"/>
                    <w:right w:val="single" w:sz="4" w:space="0" w:color="auto"/>
                  </w:tcBorders>
                  <w:vAlign w:val="bottom"/>
                </w:tcPr>
                <w:p w14:paraId="34AB23A4" w14:textId="39268645" w:rsidR="004C7150" w:rsidRPr="0084041B" w:rsidRDefault="00A96BE4" w:rsidP="007A65D0">
                  <w:pPr>
                    <w:jc w:val="center"/>
                    <w:rPr>
                      <w:b/>
                      <w:bCs/>
                      <w:color w:val="000000"/>
                      <w:szCs w:val="24"/>
                      <w:lang w:eastAsia="en-GB"/>
                    </w:rPr>
                  </w:pPr>
                  <w:r>
                    <w:rPr>
                      <w:b/>
                      <w:bCs/>
                      <w:color w:val="000000"/>
                      <w:szCs w:val="24"/>
                      <w:lang w:eastAsia="en-GB"/>
                    </w:rPr>
                    <w:t>Received</w:t>
                  </w:r>
                </w:p>
              </w:tc>
            </w:tr>
            <w:tr w:rsidR="004C7150" w14:paraId="1670DFC6" w14:textId="77777777" w:rsidTr="007623B5">
              <w:trPr>
                <w:trHeight w:val="322"/>
              </w:trPr>
              <w:tc>
                <w:tcPr>
                  <w:tcW w:w="1730" w:type="dxa"/>
                  <w:tcBorders>
                    <w:top w:val="single"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bottom"/>
                </w:tcPr>
                <w:p w14:paraId="4947DAB5" w14:textId="3CC7EE9E" w:rsidR="004C7150" w:rsidRDefault="004C7150" w:rsidP="007A65D0">
                  <w:pPr>
                    <w:rPr>
                      <w:color w:val="000000"/>
                      <w:lang w:eastAsia="en-GB"/>
                    </w:rPr>
                  </w:pPr>
                  <w:r>
                    <w:rPr>
                      <w:color w:val="000000"/>
                      <w:lang w:eastAsia="en-GB"/>
                    </w:rPr>
                    <w:t>Sponsor</w:t>
                  </w:r>
                  <w:r w:rsidR="00D0702A">
                    <w:rPr>
                      <w:color w:val="000000"/>
                      <w:lang w:eastAsia="en-GB"/>
                    </w:rPr>
                    <w:t>ship</w:t>
                  </w:r>
                </w:p>
              </w:tc>
              <w:tc>
                <w:tcPr>
                  <w:tcW w:w="4394" w:type="dxa"/>
                  <w:tcBorders>
                    <w:top w:val="single"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bottom"/>
                </w:tcPr>
                <w:p w14:paraId="649E34CF" w14:textId="6B1A637F" w:rsidR="004C7150" w:rsidRDefault="004C7150" w:rsidP="007A65D0">
                  <w:pPr>
                    <w:rPr>
                      <w:color w:val="000000"/>
                      <w:lang w:eastAsia="en-GB"/>
                    </w:rPr>
                  </w:pPr>
                  <w:r>
                    <w:rPr>
                      <w:color w:val="000000"/>
                      <w:lang w:eastAsia="en-GB"/>
                    </w:rPr>
                    <w:t>Saudi Arabia</w:t>
                  </w:r>
                  <w:r w:rsidR="00A96BE4">
                    <w:rPr>
                      <w:color w:val="000000"/>
                      <w:lang w:eastAsia="en-GB"/>
                    </w:rPr>
                    <w:t xml:space="preserve"> (CHF</w:t>
                  </w:r>
                  <w:r w:rsidR="00CD1434">
                    <w:rPr>
                      <w:color w:val="000000"/>
                      <w:lang w:eastAsia="en-GB"/>
                    </w:rPr>
                    <w:t xml:space="preserve"> </w:t>
                  </w:r>
                  <w:r w:rsidR="00A96BE4">
                    <w:rPr>
                      <w:color w:val="000000"/>
                      <w:lang w:eastAsia="en-GB"/>
                    </w:rPr>
                    <w:t>10,000,000)</w:t>
                  </w:r>
                </w:p>
              </w:tc>
              <w:tc>
                <w:tcPr>
                  <w:tcW w:w="1706" w:type="dxa"/>
                  <w:tcBorders>
                    <w:top w:val="single" w:sz="4" w:space="0" w:color="auto"/>
                    <w:left w:val="single" w:sz="4" w:space="0" w:color="auto"/>
                    <w:bottom w:val="dashSmallGap" w:sz="4" w:space="0" w:color="auto"/>
                    <w:right w:val="single" w:sz="4" w:space="0" w:color="auto"/>
                  </w:tcBorders>
                  <w:vAlign w:val="bottom"/>
                </w:tcPr>
                <w:p w14:paraId="245CC7FC" w14:textId="2B277518" w:rsidR="004C7150" w:rsidRDefault="004C7150" w:rsidP="007A65D0">
                  <w:pPr>
                    <w:jc w:val="center"/>
                    <w:rPr>
                      <w:color w:val="000000"/>
                      <w:lang w:eastAsia="en-GB"/>
                    </w:rPr>
                  </w:pPr>
                  <w:r>
                    <w:rPr>
                      <w:color w:val="000000"/>
                      <w:lang w:eastAsia="en-GB"/>
                    </w:rPr>
                    <w:t>2,000,000.00</w:t>
                  </w:r>
                </w:p>
              </w:tc>
            </w:tr>
            <w:tr w:rsidR="004C7150" w14:paraId="14254148" w14:textId="5C4B5F37" w:rsidTr="007623B5">
              <w:trPr>
                <w:trHeight w:val="198"/>
              </w:trPr>
              <w:tc>
                <w:tcPr>
                  <w:tcW w:w="1730" w:type="dxa"/>
                  <w:tcBorders>
                    <w:top w:val="dashSmallGap"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bottom"/>
                </w:tcPr>
                <w:p w14:paraId="3BDA7CC5" w14:textId="5593D34D" w:rsidR="004C7150" w:rsidRDefault="004C7150" w:rsidP="007A65D0">
                  <w:pPr>
                    <w:rPr>
                      <w:color w:val="000000"/>
                      <w:lang w:eastAsia="en-GB"/>
                    </w:rPr>
                  </w:pPr>
                  <w:r>
                    <w:rPr>
                      <w:color w:val="000000"/>
                      <w:lang w:eastAsia="en-GB"/>
                    </w:rPr>
                    <w:t>Sponsor</w:t>
                  </w:r>
                  <w:r w:rsidR="00D0702A">
                    <w:rPr>
                      <w:color w:val="000000"/>
                      <w:lang w:eastAsia="en-GB"/>
                    </w:rPr>
                    <w:t>ship</w:t>
                  </w:r>
                </w:p>
              </w:tc>
              <w:tc>
                <w:tcPr>
                  <w:tcW w:w="4394" w:type="dxa"/>
                  <w:tcBorders>
                    <w:top w:val="dashSmallGap"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bottom"/>
                  <w:hideMark/>
                </w:tcPr>
                <w:p w14:paraId="47F16E67" w14:textId="6E67ECFB" w:rsidR="004C7150" w:rsidRDefault="004C7150" w:rsidP="007A65D0">
                  <w:pPr>
                    <w:rPr>
                      <w:color w:val="000000"/>
                      <w:lang w:eastAsia="en-GB"/>
                    </w:rPr>
                  </w:pPr>
                  <w:r>
                    <w:rPr>
                      <w:color w:val="000000"/>
                      <w:lang w:eastAsia="en-GB"/>
                    </w:rPr>
                    <w:t>United Arab Emirates</w:t>
                  </w:r>
                  <w:r w:rsidR="00A96BE4">
                    <w:rPr>
                      <w:color w:val="000000"/>
                      <w:lang w:eastAsia="en-GB"/>
                    </w:rPr>
                    <w:t xml:space="preserve"> (CHF</w:t>
                  </w:r>
                  <w:r w:rsidR="00CD1434">
                    <w:rPr>
                      <w:color w:val="000000"/>
                      <w:lang w:eastAsia="en-GB"/>
                    </w:rPr>
                    <w:t xml:space="preserve"> </w:t>
                  </w:r>
                  <w:r w:rsidR="00A96BE4">
                    <w:rPr>
                      <w:color w:val="000000"/>
                      <w:lang w:eastAsia="en-GB"/>
                    </w:rPr>
                    <w:t>5,000,000)</w:t>
                  </w:r>
                </w:p>
              </w:tc>
              <w:tc>
                <w:tcPr>
                  <w:tcW w:w="1706" w:type="dxa"/>
                  <w:tcBorders>
                    <w:top w:val="dashSmallGap" w:sz="4" w:space="0" w:color="auto"/>
                    <w:left w:val="single" w:sz="4" w:space="0" w:color="auto"/>
                    <w:bottom w:val="dashSmallGap" w:sz="4" w:space="0" w:color="auto"/>
                    <w:right w:val="single" w:sz="4" w:space="0" w:color="auto"/>
                  </w:tcBorders>
                  <w:vAlign w:val="bottom"/>
                </w:tcPr>
                <w:p w14:paraId="5290A60F" w14:textId="44CAE4AD" w:rsidR="004C7150" w:rsidRDefault="004C7150" w:rsidP="007A65D0">
                  <w:pPr>
                    <w:jc w:val="center"/>
                    <w:rPr>
                      <w:color w:val="000000"/>
                      <w:lang w:eastAsia="en-GB"/>
                    </w:rPr>
                  </w:pPr>
                  <w:r>
                    <w:rPr>
                      <w:color w:val="000000"/>
                      <w:lang w:eastAsia="en-GB"/>
                    </w:rPr>
                    <w:t>1,000,000.00</w:t>
                  </w:r>
                </w:p>
              </w:tc>
            </w:tr>
            <w:tr w:rsidR="004C7150" w14:paraId="68C57D5D" w14:textId="4DC1501E" w:rsidTr="007623B5">
              <w:trPr>
                <w:trHeight w:val="300"/>
              </w:trPr>
              <w:tc>
                <w:tcPr>
                  <w:tcW w:w="1730" w:type="dxa"/>
                  <w:tcBorders>
                    <w:top w:val="dashSmallGap"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bottom"/>
                </w:tcPr>
                <w:p w14:paraId="74463527" w14:textId="009CD693" w:rsidR="004C7150" w:rsidRDefault="004C7150" w:rsidP="007A65D0">
                  <w:pPr>
                    <w:rPr>
                      <w:color w:val="000000"/>
                      <w:lang w:eastAsia="en-GB"/>
                    </w:rPr>
                  </w:pPr>
                  <w:r>
                    <w:rPr>
                      <w:color w:val="000000"/>
                      <w:lang w:eastAsia="en-GB"/>
                    </w:rPr>
                    <w:t>Donation</w:t>
                  </w:r>
                </w:p>
              </w:tc>
              <w:tc>
                <w:tcPr>
                  <w:tcW w:w="4394" w:type="dxa"/>
                  <w:tcBorders>
                    <w:top w:val="dashSmallGap"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bottom"/>
                  <w:hideMark/>
                </w:tcPr>
                <w:p w14:paraId="44721CBE" w14:textId="46056752" w:rsidR="004C7150" w:rsidRDefault="004C0B2D" w:rsidP="007A65D0">
                  <w:pPr>
                    <w:rPr>
                      <w:color w:val="000000"/>
                      <w:lang w:eastAsia="en-GB"/>
                    </w:rPr>
                  </w:pPr>
                  <w:r>
                    <w:rPr>
                      <w:color w:val="000000"/>
                      <w:lang w:eastAsia="en-GB"/>
                    </w:rPr>
                    <w:t>Czech</w:t>
                  </w:r>
                  <w:r w:rsidR="004C7150">
                    <w:rPr>
                      <w:color w:val="000000"/>
                      <w:lang w:eastAsia="en-GB"/>
                    </w:rPr>
                    <w:t xml:space="preserve"> Republic (USD 100.000)</w:t>
                  </w:r>
                </w:p>
              </w:tc>
              <w:tc>
                <w:tcPr>
                  <w:tcW w:w="1706" w:type="dxa"/>
                  <w:tcBorders>
                    <w:top w:val="dashSmallGap" w:sz="4" w:space="0" w:color="auto"/>
                    <w:left w:val="single" w:sz="4" w:space="0" w:color="auto"/>
                    <w:bottom w:val="dashSmallGap" w:sz="4" w:space="0" w:color="auto"/>
                    <w:right w:val="single" w:sz="4" w:space="0" w:color="auto"/>
                  </w:tcBorders>
                  <w:vAlign w:val="bottom"/>
                </w:tcPr>
                <w:p w14:paraId="0C2B637F" w14:textId="611458AA" w:rsidR="004C7150" w:rsidRDefault="004C7150" w:rsidP="007A65D0">
                  <w:pPr>
                    <w:jc w:val="center"/>
                    <w:rPr>
                      <w:color w:val="000000"/>
                      <w:lang w:eastAsia="en-GB"/>
                    </w:rPr>
                  </w:pPr>
                  <w:r>
                    <w:rPr>
                      <w:color w:val="000000"/>
                      <w:lang w:eastAsia="en-GB"/>
                    </w:rPr>
                    <w:t>95,251.40</w:t>
                  </w:r>
                </w:p>
              </w:tc>
            </w:tr>
            <w:tr w:rsidR="004C7150" w14:paraId="575619EF" w14:textId="45C3012C" w:rsidTr="007623B5">
              <w:trPr>
                <w:trHeight w:val="300"/>
              </w:trPr>
              <w:tc>
                <w:tcPr>
                  <w:tcW w:w="1730" w:type="dxa"/>
                  <w:tcBorders>
                    <w:top w:val="dashSmallGap"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bottom"/>
                </w:tcPr>
                <w:p w14:paraId="7B67388A" w14:textId="3EB02D8E" w:rsidR="004C7150" w:rsidRDefault="004C7150" w:rsidP="007A65D0">
                  <w:pPr>
                    <w:rPr>
                      <w:color w:val="000000"/>
                      <w:lang w:eastAsia="en-GB"/>
                    </w:rPr>
                  </w:pPr>
                  <w:r>
                    <w:rPr>
                      <w:color w:val="000000"/>
                      <w:lang w:eastAsia="en-GB"/>
                    </w:rPr>
                    <w:t>Donation</w:t>
                  </w:r>
                </w:p>
              </w:tc>
              <w:tc>
                <w:tcPr>
                  <w:tcW w:w="4394" w:type="dxa"/>
                  <w:tcBorders>
                    <w:top w:val="dashSmallGap" w:sz="4" w:space="0" w:color="auto"/>
                    <w:left w:val="single" w:sz="4" w:space="0" w:color="auto"/>
                    <w:bottom w:val="dashSmallGap" w:sz="4" w:space="0" w:color="auto"/>
                    <w:right w:val="single" w:sz="4" w:space="0" w:color="auto"/>
                  </w:tcBorders>
                  <w:noWrap/>
                  <w:tcMar>
                    <w:top w:w="0" w:type="dxa"/>
                    <w:left w:w="108" w:type="dxa"/>
                    <w:bottom w:w="0" w:type="dxa"/>
                    <w:right w:w="108" w:type="dxa"/>
                  </w:tcMar>
                  <w:vAlign w:val="bottom"/>
                  <w:hideMark/>
                </w:tcPr>
                <w:p w14:paraId="41F10B95" w14:textId="23FB3E1D" w:rsidR="004C7150" w:rsidRDefault="004C7150" w:rsidP="007A65D0">
                  <w:pPr>
                    <w:rPr>
                      <w:color w:val="000000"/>
                      <w:lang w:eastAsia="en-GB"/>
                    </w:rPr>
                  </w:pPr>
                  <w:r>
                    <w:rPr>
                      <w:color w:val="000000"/>
                      <w:lang w:eastAsia="en-GB"/>
                    </w:rPr>
                    <w:t>Ghana</w:t>
                  </w:r>
                  <w:r w:rsidR="00A96BE4">
                    <w:rPr>
                      <w:color w:val="000000"/>
                      <w:lang w:eastAsia="en-GB"/>
                    </w:rPr>
                    <w:t xml:space="preserve"> (CHF</w:t>
                  </w:r>
                  <w:r w:rsidR="00CD1434">
                    <w:rPr>
                      <w:color w:val="000000"/>
                      <w:lang w:eastAsia="en-GB"/>
                    </w:rPr>
                    <w:t xml:space="preserve"> </w:t>
                  </w:r>
                  <w:r w:rsidR="00A96BE4">
                    <w:rPr>
                      <w:color w:val="000000"/>
                      <w:lang w:eastAsia="en-GB"/>
                    </w:rPr>
                    <w:t>40,000)</w:t>
                  </w:r>
                </w:p>
              </w:tc>
              <w:tc>
                <w:tcPr>
                  <w:tcW w:w="1706" w:type="dxa"/>
                  <w:tcBorders>
                    <w:top w:val="dashSmallGap" w:sz="4" w:space="0" w:color="auto"/>
                    <w:left w:val="single" w:sz="4" w:space="0" w:color="auto"/>
                    <w:bottom w:val="dashSmallGap" w:sz="4" w:space="0" w:color="auto"/>
                    <w:right w:val="single" w:sz="4" w:space="0" w:color="auto"/>
                  </w:tcBorders>
                  <w:vAlign w:val="bottom"/>
                </w:tcPr>
                <w:p w14:paraId="6510D80A" w14:textId="0F0AF5FB" w:rsidR="004C7150" w:rsidRDefault="004C7150" w:rsidP="007A65D0">
                  <w:pPr>
                    <w:jc w:val="center"/>
                    <w:rPr>
                      <w:color w:val="000000"/>
                      <w:lang w:eastAsia="en-GB"/>
                    </w:rPr>
                  </w:pPr>
                  <w:r>
                    <w:rPr>
                      <w:color w:val="000000"/>
                      <w:lang w:eastAsia="en-GB"/>
                    </w:rPr>
                    <w:t>40,000.00</w:t>
                  </w:r>
                </w:p>
              </w:tc>
            </w:tr>
            <w:tr w:rsidR="004C7150" w14:paraId="48AE48F1" w14:textId="62A9A6A9" w:rsidTr="007623B5">
              <w:trPr>
                <w:trHeight w:val="300"/>
              </w:trPr>
              <w:tc>
                <w:tcPr>
                  <w:tcW w:w="1730" w:type="dxa"/>
                  <w:tcBorders>
                    <w:top w:val="dashSmallGap"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14:paraId="1D2DD89E" w14:textId="45C2CFEF" w:rsidR="004C7150" w:rsidRDefault="004C7150" w:rsidP="007A65D0">
                  <w:pPr>
                    <w:rPr>
                      <w:color w:val="000000"/>
                      <w:lang w:eastAsia="en-GB"/>
                    </w:rPr>
                  </w:pPr>
                  <w:r>
                    <w:rPr>
                      <w:color w:val="000000"/>
                      <w:lang w:eastAsia="en-GB"/>
                    </w:rPr>
                    <w:t>Other</w:t>
                  </w:r>
                </w:p>
              </w:tc>
              <w:tc>
                <w:tcPr>
                  <w:tcW w:w="4394" w:type="dxa"/>
                  <w:tcBorders>
                    <w:top w:val="dashSmallGap"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2DBE35E" w14:textId="6422234F" w:rsidR="004C7150" w:rsidRDefault="004C7150" w:rsidP="007A65D0">
                  <w:pPr>
                    <w:rPr>
                      <w:color w:val="000000"/>
                      <w:lang w:eastAsia="en-GB"/>
                    </w:rPr>
                  </w:pPr>
                  <w:r>
                    <w:rPr>
                      <w:color w:val="000000"/>
                      <w:lang w:eastAsia="en-GB"/>
                    </w:rPr>
                    <w:t>Architectural Contest Inscription Fees</w:t>
                  </w:r>
                </w:p>
              </w:tc>
              <w:tc>
                <w:tcPr>
                  <w:tcW w:w="1706" w:type="dxa"/>
                  <w:tcBorders>
                    <w:top w:val="dashSmallGap" w:sz="4" w:space="0" w:color="auto"/>
                    <w:left w:val="single" w:sz="4" w:space="0" w:color="auto"/>
                    <w:bottom w:val="single" w:sz="4" w:space="0" w:color="auto"/>
                    <w:right w:val="single" w:sz="4" w:space="0" w:color="auto"/>
                  </w:tcBorders>
                  <w:vAlign w:val="bottom"/>
                </w:tcPr>
                <w:p w14:paraId="216B885A" w14:textId="266F4A91" w:rsidR="004C7150" w:rsidRDefault="004C7150" w:rsidP="007A65D0">
                  <w:pPr>
                    <w:jc w:val="center"/>
                    <w:rPr>
                      <w:color w:val="000000"/>
                      <w:lang w:eastAsia="en-GB"/>
                    </w:rPr>
                  </w:pPr>
                  <w:r>
                    <w:rPr>
                      <w:color w:val="000000"/>
                      <w:lang w:eastAsia="en-GB"/>
                    </w:rPr>
                    <w:t>46,935.47</w:t>
                  </w:r>
                </w:p>
              </w:tc>
            </w:tr>
            <w:tr w:rsidR="004C7150" w14:paraId="3D5AEF4C" w14:textId="6CFB12B1" w:rsidTr="0084041B">
              <w:trPr>
                <w:trHeight w:val="300"/>
              </w:trPr>
              <w:tc>
                <w:tcPr>
                  <w:tcW w:w="1730" w:type="dxa"/>
                  <w:noWrap/>
                  <w:tcMar>
                    <w:top w:w="0" w:type="dxa"/>
                    <w:left w:w="108" w:type="dxa"/>
                    <w:bottom w:w="0" w:type="dxa"/>
                    <w:right w:w="108" w:type="dxa"/>
                  </w:tcMar>
                  <w:vAlign w:val="bottom"/>
                  <w:hideMark/>
                </w:tcPr>
                <w:p w14:paraId="14C5CFB8" w14:textId="168C6D3A" w:rsidR="004C7150" w:rsidRDefault="004C7150" w:rsidP="007A65D0">
                  <w:pPr>
                    <w:rPr>
                      <w:rFonts w:eastAsiaTheme="minorHAnsi"/>
                      <w:color w:val="000000"/>
                      <w:sz w:val="22"/>
                      <w:szCs w:val="22"/>
                      <w:lang w:eastAsia="en-GB"/>
                    </w:rPr>
                  </w:pPr>
                </w:p>
              </w:tc>
              <w:tc>
                <w:tcPr>
                  <w:tcW w:w="4394" w:type="dxa"/>
                  <w:noWrap/>
                  <w:tcMar>
                    <w:top w:w="0" w:type="dxa"/>
                    <w:left w:w="108" w:type="dxa"/>
                    <w:bottom w:w="0" w:type="dxa"/>
                    <w:right w:w="108" w:type="dxa"/>
                  </w:tcMar>
                  <w:vAlign w:val="bottom"/>
                  <w:hideMark/>
                </w:tcPr>
                <w:p w14:paraId="03BE79FF" w14:textId="718FF316" w:rsidR="004C7150" w:rsidRPr="0084041B" w:rsidRDefault="004C7150" w:rsidP="007A65D0">
                  <w:pPr>
                    <w:jc w:val="right"/>
                    <w:rPr>
                      <w:b/>
                      <w:bCs/>
                      <w:color w:val="000000"/>
                      <w:lang w:eastAsia="en-GB"/>
                    </w:rPr>
                  </w:pPr>
                  <w:r w:rsidRPr="0084041B">
                    <w:rPr>
                      <w:b/>
                      <w:bCs/>
                      <w:color w:val="000000"/>
                      <w:lang w:eastAsia="en-GB"/>
                    </w:rPr>
                    <w:t>TOTAL in CHF</w:t>
                  </w:r>
                </w:p>
              </w:tc>
              <w:tc>
                <w:tcPr>
                  <w:tcW w:w="1706" w:type="dxa"/>
                </w:tcPr>
                <w:p w14:paraId="770909E8" w14:textId="509783B4" w:rsidR="004C7150" w:rsidRPr="0084041B" w:rsidRDefault="004C7150" w:rsidP="007A65D0">
                  <w:pPr>
                    <w:jc w:val="center"/>
                    <w:rPr>
                      <w:b/>
                      <w:bCs/>
                      <w:color w:val="000000"/>
                      <w:lang w:eastAsia="en-GB"/>
                    </w:rPr>
                  </w:pPr>
                  <w:r w:rsidRPr="0084041B">
                    <w:rPr>
                      <w:b/>
                      <w:bCs/>
                      <w:color w:val="000000"/>
                      <w:lang w:eastAsia="en-GB"/>
                    </w:rPr>
                    <w:t>3,182,186.87</w:t>
                  </w:r>
                </w:p>
              </w:tc>
            </w:tr>
          </w:tbl>
          <w:p w14:paraId="649B1145" w14:textId="77777777" w:rsidR="004B7D57" w:rsidRDefault="004B7D57" w:rsidP="007A65D0">
            <w:pPr>
              <w:rPr>
                <w:rFonts w:ascii="Times New Roman" w:hAnsi="Times New Roman"/>
                <w:sz w:val="20"/>
                <w:lang w:eastAsia="en-GB"/>
              </w:rPr>
            </w:pPr>
          </w:p>
        </w:tc>
      </w:tr>
      <w:tr w:rsidR="004B7D57" w14:paraId="28B06E6B" w14:textId="77777777" w:rsidTr="004B7D57">
        <w:trPr>
          <w:trHeight w:val="300"/>
        </w:trPr>
        <w:tc>
          <w:tcPr>
            <w:tcW w:w="1400" w:type="dxa"/>
            <w:noWrap/>
            <w:tcMar>
              <w:top w:w="0" w:type="dxa"/>
              <w:left w:w="108" w:type="dxa"/>
              <w:bottom w:w="0" w:type="dxa"/>
              <w:right w:w="108" w:type="dxa"/>
            </w:tcMar>
            <w:vAlign w:val="bottom"/>
          </w:tcPr>
          <w:p w14:paraId="52EB51DD" w14:textId="77777777" w:rsidR="004B7D57" w:rsidRDefault="004B7D57" w:rsidP="007A65D0">
            <w:pPr>
              <w:rPr>
                <w:color w:val="000000"/>
                <w:lang w:eastAsia="en-GB"/>
              </w:rPr>
            </w:pPr>
          </w:p>
        </w:tc>
      </w:tr>
    </w:tbl>
    <w:p w14:paraId="61868666" w14:textId="1B3BE70E" w:rsidR="00346ED8" w:rsidRPr="006D267B" w:rsidRDefault="00912BD3" w:rsidP="007A65D0">
      <w:pPr>
        <w:jc w:val="both"/>
        <w:rPr>
          <w:rFonts w:asciiTheme="minorHAnsi" w:hAnsiTheme="minorHAnsi" w:cstheme="minorHAnsi"/>
          <w:color w:val="000000" w:themeColor="text1"/>
        </w:rPr>
      </w:pPr>
      <w:r>
        <w:rPr>
          <w:rFonts w:asciiTheme="minorHAnsi" w:hAnsiTheme="minorHAnsi" w:cstheme="minorHAnsi"/>
          <w:color w:val="000000" w:themeColor="text1"/>
          <w:lang w:eastAsia="ja-JP"/>
        </w:rPr>
        <w:t xml:space="preserve">The </w:t>
      </w:r>
      <w:r w:rsidR="008B5D58" w:rsidRPr="008B5D58">
        <w:rPr>
          <w:rFonts w:asciiTheme="minorHAnsi" w:hAnsiTheme="minorHAnsi" w:cstheme="minorHAnsi"/>
          <w:color w:val="000000" w:themeColor="text1"/>
          <w:lang w:eastAsia="ja-JP"/>
        </w:rPr>
        <w:t>Co</w:t>
      </w:r>
      <w:r w:rsidR="008B5D58">
        <w:rPr>
          <w:rFonts w:asciiTheme="minorHAnsi" w:hAnsiTheme="minorHAnsi" w:cstheme="minorHAnsi"/>
          <w:color w:val="000000" w:themeColor="text1"/>
          <w:lang w:eastAsia="ja-JP"/>
        </w:rPr>
        <w:t xml:space="preserve">uncil decided </w:t>
      </w:r>
      <w:r w:rsidR="00815468">
        <w:rPr>
          <w:rFonts w:asciiTheme="minorHAnsi" w:hAnsiTheme="minorHAnsi" w:cstheme="minorHAnsi"/>
          <w:color w:val="000000" w:themeColor="text1"/>
          <w:lang w:eastAsia="ja-JP"/>
        </w:rPr>
        <w:t xml:space="preserve">at </w:t>
      </w:r>
      <w:r w:rsidR="00E666C4">
        <w:rPr>
          <w:rFonts w:asciiTheme="minorHAnsi" w:hAnsiTheme="minorHAnsi" w:cstheme="minorHAnsi"/>
          <w:color w:val="000000" w:themeColor="text1"/>
          <w:lang w:eastAsia="ja-JP"/>
        </w:rPr>
        <w:t>the</w:t>
      </w:r>
      <w:r w:rsidR="009945B5">
        <w:rPr>
          <w:rFonts w:asciiTheme="minorHAnsi" w:hAnsiTheme="minorHAnsi" w:cstheme="minorHAnsi"/>
          <w:color w:val="000000" w:themeColor="text1"/>
          <w:lang w:eastAsia="ja-JP"/>
        </w:rPr>
        <w:t xml:space="preserve"> extraordinary session </w:t>
      </w:r>
      <w:r w:rsidR="00815468">
        <w:rPr>
          <w:rFonts w:asciiTheme="minorHAnsi" w:hAnsiTheme="minorHAnsi" w:cstheme="minorHAnsi"/>
          <w:color w:val="000000" w:themeColor="text1"/>
          <w:lang w:eastAsia="ja-JP"/>
        </w:rPr>
        <w:t xml:space="preserve">held </w:t>
      </w:r>
      <w:r w:rsidR="009945B5">
        <w:rPr>
          <w:rFonts w:asciiTheme="minorHAnsi" w:hAnsiTheme="minorHAnsi" w:cstheme="minorHAnsi"/>
          <w:color w:val="000000" w:themeColor="text1"/>
          <w:lang w:eastAsia="ja-JP"/>
        </w:rPr>
        <w:t>in September 2019</w:t>
      </w:r>
      <w:r w:rsidR="008B5D58">
        <w:rPr>
          <w:rFonts w:asciiTheme="minorHAnsi" w:hAnsiTheme="minorHAnsi" w:cstheme="minorHAnsi"/>
          <w:color w:val="000000" w:themeColor="text1"/>
          <w:lang w:eastAsia="ja-JP"/>
        </w:rPr>
        <w:t xml:space="preserve"> to create an additional</w:t>
      </w:r>
      <w:r w:rsidR="00F74A6C">
        <w:rPr>
          <w:rFonts w:asciiTheme="minorHAnsi" w:hAnsiTheme="minorHAnsi" w:cstheme="minorHAnsi"/>
          <w:color w:val="000000" w:themeColor="text1"/>
          <w:lang w:eastAsia="ja-JP"/>
        </w:rPr>
        <w:t xml:space="preserve"> </w:t>
      </w:r>
      <w:r w:rsidR="008B5D58">
        <w:rPr>
          <w:rFonts w:asciiTheme="minorHAnsi" w:hAnsiTheme="minorHAnsi" w:cstheme="minorHAnsi"/>
          <w:color w:val="000000" w:themeColor="text1"/>
          <w:lang w:eastAsia="ja-JP"/>
        </w:rPr>
        <w:t>R</w:t>
      </w:r>
      <w:r w:rsidR="00346ED8" w:rsidRPr="009945B5">
        <w:rPr>
          <w:rFonts w:asciiTheme="minorHAnsi" w:hAnsiTheme="minorHAnsi" w:cstheme="minorHAnsi"/>
          <w:color w:val="000000" w:themeColor="text1"/>
          <w:lang w:eastAsia="ja-JP"/>
        </w:rPr>
        <w:t xml:space="preserve">isk </w:t>
      </w:r>
      <w:r w:rsidR="008B5D58">
        <w:rPr>
          <w:rFonts w:asciiTheme="minorHAnsi" w:hAnsiTheme="minorHAnsi" w:cstheme="minorHAnsi"/>
          <w:color w:val="000000" w:themeColor="text1"/>
          <w:lang w:eastAsia="ja-JP"/>
        </w:rPr>
        <w:t>R</w:t>
      </w:r>
      <w:r w:rsidR="00346ED8" w:rsidRPr="009945B5">
        <w:rPr>
          <w:rFonts w:asciiTheme="minorHAnsi" w:hAnsiTheme="minorHAnsi" w:cstheme="minorHAnsi"/>
          <w:color w:val="000000" w:themeColor="text1"/>
          <w:lang w:eastAsia="ja-JP"/>
        </w:rPr>
        <w:t>egister fund</w:t>
      </w:r>
      <w:r w:rsidR="00E4351D" w:rsidRPr="009945B5">
        <w:rPr>
          <w:rFonts w:asciiTheme="minorHAnsi" w:hAnsiTheme="minorHAnsi" w:cstheme="minorHAnsi"/>
          <w:color w:val="000000" w:themeColor="text1"/>
          <w:lang w:eastAsia="ja-JP"/>
        </w:rPr>
        <w:t xml:space="preserve"> </w:t>
      </w:r>
      <w:r w:rsidR="00A06FC4">
        <w:rPr>
          <w:rFonts w:asciiTheme="minorHAnsi" w:hAnsiTheme="minorHAnsi" w:cstheme="minorHAnsi"/>
          <w:color w:val="000000" w:themeColor="text1"/>
          <w:lang w:eastAsia="ja-JP"/>
        </w:rPr>
        <w:t>(D</w:t>
      </w:r>
      <w:r w:rsidR="002949DA" w:rsidRPr="009945B5">
        <w:rPr>
          <w:rFonts w:asciiTheme="minorHAnsi" w:hAnsiTheme="minorHAnsi" w:cstheme="minorHAnsi"/>
          <w:color w:val="000000" w:themeColor="text1"/>
          <w:lang w:eastAsia="ja-JP"/>
        </w:rPr>
        <w:t>ecide</w:t>
      </w:r>
      <w:r w:rsidR="000A24CC" w:rsidRPr="009945B5">
        <w:rPr>
          <w:rFonts w:asciiTheme="minorHAnsi" w:hAnsiTheme="minorHAnsi" w:cstheme="minorHAnsi"/>
          <w:color w:val="000000" w:themeColor="text1"/>
          <w:lang w:eastAsia="ja-JP"/>
        </w:rPr>
        <w:t>s 3 of</w:t>
      </w:r>
      <w:r w:rsidR="00183DC0" w:rsidRPr="009945B5">
        <w:rPr>
          <w:rFonts w:asciiTheme="minorHAnsi" w:hAnsiTheme="minorHAnsi" w:cstheme="minorHAnsi"/>
          <w:color w:val="000000" w:themeColor="text1"/>
          <w:lang w:eastAsia="ja-JP"/>
        </w:rPr>
        <w:t xml:space="preserve"> Decision 619</w:t>
      </w:r>
      <w:r w:rsidR="00A06FC4">
        <w:rPr>
          <w:rFonts w:asciiTheme="minorHAnsi" w:hAnsiTheme="minorHAnsi" w:cstheme="minorHAnsi"/>
          <w:color w:val="000000" w:themeColor="text1"/>
          <w:lang w:eastAsia="ja-JP"/>
        </w:rPr>
        <w:t>)</w:t>
      </w:r>
      <w:r w:rsidR="00183DC0" w:rsidRPr="009945B5">
        <w:rPr>
          <w:rFonts w:asciiTheme="minorHAnsi" w:hAnsiTheme="minorHAnsi" w:cstheme="minorHAnsi"/>
          <w:color w:val="000000" w:themeColor="text1"/>
          <w:lang w:eastAsia="ja-JP"/>
        </w:rPr>
        <w:t xml:space="preserve"> </w:t>
      </w:r>
      <w:r w:rsidR="00795EE5">
        <w:rPr>
          <w:rFonts w:asciiTheme="minorHAnsi" w:hAnsiTheme="minorHAnsi" w:cstheme="minorHAnsi"/>
          <w:szCs w:val="24"/>
        </w:rPr>
        <w:t xml:space="preserve">to provide an additional financial cushion for the non-mitigated risks </w:t>
      </w:r>
      <w:r w:rsidR="00530EBC">
        <w:rPr>
          <w:rFonts w:asciiTheme="minorHAnsi" w:hAnsiTheme="minorHAnsi" w:cstheme="minorHAnsi"/>
          <w:szCs w:val="24"/>
        </w:rPr>
        <w:t xml:space="preserve">and to </w:t>
      </w:r>
      <w:r w:rsidR="002949DA" w:rsidRPr="009945B5">
        <w:rPr>
          <w:rFonts w:asciiTheme="minorHAnsi" w:hAnsiTheme="minorHAnsi" w:cstheme="minorHAnsi"/>
        </w:rPr>
        <w:t>be financed by subsequent Council decisions beginning in 2020</w:t>
      </w:r>
      <w:r w:rsidR="005E68C1">
        <w:rPr>
          <w:rFonts w:asciiTheme="minorHAnsi" w:hAnsiTheme="minorHAnsi" w:cstheme="minorHAnsi"/>
          <w:color w:val="000000" w:themeColor="text1"/>
          <w:lang w:eastAsia="ja-JP"/>
        </w:rPr>
        <w:t>.</w:t>
      </w:r>
      <w:r w:rsidR="00A947F6">
        <w:rPr>
          <w:rFonts w:asciiTheme="minorHAnsi" w:hAnsiTheme="minorHAnsi" w:cstheme="minorHAnsi"/>
          <w:color w:val="000000" w:themeColor="text1"/>
        </w:rPr>
        <w:t xml:space="preserve"> </w:t>
      </w:r>
      <w:r w:rsidR="00F74A6C" w:rsidRPr="006D267B">
        <w:rPr>
          <w:rFonts w:asciiTheme="minorHAnsi" w:hAnsiTheme="minorHAnsi" w:cstheme="minorHAnsi"/>
          <w:color w:val="000000" w:themeColor="text1"/>
        </w:rPr>
        <w:t>CHF 1,425,000</w:t>
      </w:r>
      <w:r w:rsidR="00BE3368" w:rsidRPr="006D267B">
        <w:rPr>
          <w:rFonts w:asciiTheme="minorHAnsi" w:hAnsiTheme="minorHAnsi" w:cstheme="minorHAnsi"/>
          <w:color w:val="000000" w:themeColor="text1"/>
        </w:rPr>
        <w:t xml:space="preserve"> </w:t>
      </w:r>
      <w:r w:rsidR="00A947F6">
        <w:rPr>
          <w:rFonts w:asciiTheme="minorHAnsi" w:hAnsiTheme="minorHAnsi" w:cstheme="minorHAnsi"/>
          <w:color w:val="000000" w:themeColor="text1"/>
        </w:rPr>
        <w:t xml:space="preserve">is </w:t>
      </w:r>
      <w:r w:rsidR="00BE3368" w:rsidRPr="006D267B">
        <w:rPr>
          <w:rFonts w:asciiTheme="minorHAnsi" w:hAnsiTheme="minorHAnsi" w:cstheme="minorHAnsi"/>
          <w:color w:val="000000" w:themeColor="text1"/>
        </w:rPr>
        <w:t>currently allocated to the Risk Register fund</w:t>
      </w:r>
      <w:r w:rsidR="006F5CEC">
        <w:rPr>
          <w:rFonts w:asciiTheme="minorHAnsi" w:hAnsiTheme="minorHAnsi" w:cstheme="minorHAnsi"/>
          <w:color w:val="000000" w:themeColor="text1"/>
        </w:rPr>
        <w:t>.</w:t>
      </w:r>
    </w:p>
    <w:p w14:paraId="6DD16AF4" w14:textId="6C9C6F62" w:rsidR="0086489C" w:rsidRPr="0018606C" w:rsidRDefault="00E83827" w:rsidP="00AC4E66">
      <w:pPr>
        <w:keepNext/>
        <w:spacing w:before="240" w:after="120"/>
        <w:jc w:val="both"/>
        <w:rPr>
          <w:rFonts w:asciiTheme="minorHAnsi" w:hAnsiTheme="minorHAnsi" w:cstheme="minorHAnsi"/>
          <w:b/>
          <w:bCs/>
          <w:color w:val="000000" w:themeColor="text1"/>
        </w:rPr>
      </w:pPr>
      <w:r>
        <w:rPr>
          <w:rFonts w:asciiTheme="minorHAnsi" w:hAnsiTheme="minorHAnsi" w:cstheme="minorHAnsi"/>
          <w:b/>
          <w:bCs/>
          <w:color w:val="000000" w:themeColor="text1"/>
        </w:rPr>
        <w:lastRenderedPageBreak/>
        <w:t>4.2</w:t>
      </w:r>
      <w:r>
        <w:rPr>
          <w:rFonts w:asciiTheme="minorHAnsi" w:hAnsiTheme="minorHAnsi" w:cstheme="minorHAnsi"/>
          <w:b/>
          <w:bCs/>
          <w:color w:val="000000" w:themeColor="text1"/>
        </w:rPr>
        <w:tab/>
      </w:r>
      <w:r w:rsidR="0086489C" w:rsidRPr="0018606C">
        <w:rPr>
          <w:rFonts w:asciiTheme="minorHAnsi" w:hAnsiTheme="minorHAnsi" w:cstheme="minorHAnsi"/>
          <w:b/>
          <w:bCs/>
          <w:color w:val="000000" w:themeColor="text1"/>
        </w:rPr>
        <w:t>Cash flow</w:t>
      </w:r>
    </w:p>
    <w:p w14:paraId="175B196E" w14:textId="356F6503" w:rsidR="0018606C" w:rsidRPr="00ED20B3" w:rsidRDefault="009D3105" w:rsidP="007A65D0">
      <w:pPr>
        <w:spacing w:before="240" w:after="120"/>
        <w:jc w:val="both"/>
        <w:rPr>
          <w:rFonts w:asciiTheme="minorHAnsi" w:hAnsiTheme="minorHAnsi" w:cstheme="minorHAnsi"/>
          <w:color w:val="000000"/>
          <w:szCs w:val="22"/>
          <w:lang w:eastAsia="zh-CN"/>
        </w:rPr>
      </w:pPr>
      <w:r w:rsidRPr="00ED20B3">
        <w:rPr>
          <w:rFonts w:asciiTheme="minorHAnsi" w:hAnsiTheme="minorHAnsi" w:cstheme="minorHAnsi"/>
          <w:color w:val="000000"/>
          <w:szCs w:val="22"/>
          <w:lang w:eastAsia="zh-CN"/>
        </w:rPr>
        <w:t>T</w:t>
      </w:r>
      <w:r w:rsidR="0018606C" w:rsidRPr="00ED20B3">
        <w:rPr>
          <w:rFonts w:asciiTheme="minorHAnsi" w:hAnsiTheme="minorHAnsi" w:cstheme="minorHAnsi"/>
          <w:color w:val="000000"/>
          <w:szCs w:val="22"/>
          <w:lang w:eastAsia="zh-CN"/>
        </w:rPr>
        <w:t xml:space="preserve">he cash flow and the monitoring of the cash flow </w:t>
      </w:r>
      <w:r w:rsidRPr="00ED20B3">
        <w:rPr>
          <w:rFonts w:asciiTheme="minorHAnsi" w:hAnsiTheme="minorHAnsi" w:cstheme="minorHAnsi"/>
          <w:color w:val="000000"/>
          <w:szCs w:val="22"/>
          <w:lang w:eastAsia="zh-CN"/>
        </w:rPr>
        <w:t xml:space="preserve">performed by Hill int. </w:t>
      </w:r>
      <w:r w:rsidR="001C4812" w:rsidRPr="00ED20B3">
        <w:rPr>
          <w:rFonts w:asciiTheme="minorHAnsi" w:hAnsiTheme="minorHAnsi" w:cstheme="minorHAnsi"/>
          <w:color w:val="000000"/>
          <w:szCs w:val="22"/>
          <w:lang w:eastAsia="zh-CN"/>
        </w:rPr>
        <w:t>is</w:t>
      </w:r>
      <w:r w:rsidR="0018606C" w:rsidRPr="00ED20B3">
        <w:rPr>
          <w:rFonts w:asciiTheme="minorHAnsi" w:hAnsiTheme="minorHAnsi" w:cstheme="minorHAnsi"/>
          <w:color w:val="000000"/>
          <w:szCs w:val="22"/>
          <w:lang w:eastAsia="zh-CN"/>
        </w:rPr>
        <w:t xml:space="preserve"> one of the more critical activities of the </w:t>
      </w:r>
      <w:r w:rsidR="00A4346C">
        <w:rPr>
          <w:rFonts w:asciiTheme="minorHAnsi" w:hAnsiTheme="minorHAnsi" w:cstheme="minorHAnsi"/>
          <w:color w:val="000000"/>
          <w:szCs w:val="22"/>
          <w:lang w:eastAsia="zh-CN"/>
        </w:rPr>
        <w:t>P</w:t>
      </w:r>
      <w:r w:rsidR="001C4812" w:rsidRPr="00ED20B3">
        <w:rPr>
          <w:rFonts w:asciiTheme="minorHAnsi" w:hAnsiTheme="minorHAnsi" w:cstheme="minorHAnsi"/>
          <w:color w:val="000000"/>
          <w:szCs w:val="22"/>
          <w:lang w:eastAsia="zh-CN"/>
        </w:rPr>
        <w:t>roject</w:t>
      </w:r>
      <w:r w:rsidR="0018606C" w:rsidRPr="00ED20B3">
        <w:rPr>
          <w:rFonts w:asciiTheme="minorHAnsi" w:hAnsiTheme="minorHAnsi" w:cstheme="minorHAnsi"/>
          <w:color w:val="000000"/>
          <w:szCs w:val="22"/>
          <w:lang w:eastAsia="zh-CN"/>
        </w:rPr>
        <w:t>. The cash flow gives a clear early indication</w:t>
      </w:r>
      <w:r w:rsidR="002C7456" w:rsidRPr="00ED20B3">
        <w:rPr>
          <w:rFonts w:asciiTheme="minorHAnsi" w:hAnsiTheme="minorHAnsi" w:cstheme="minorHAnsi"/>
          <w:color w:val="000000"/>
          <w:szCs w:val="22"/>
          <w:lang w:eastAsia="zh-CN"/>
        </w:rPr>
        <w:t xml:space="preserve"> when</w:t>
      </w:r>
      <w:r w:rsidR="0018606C" w:rsidRPr="00ED20B3">
        <w:rPr>
          <w:rFonts w:asciiTheme="minorHAnsi" w:hAnsiTheme="minorHAnsi" w:cstheme="minorHAnsi"/>
          <w:color w:val="000000"/>
          <w:szCs w:val="22"/>
          <w:lang w:eastAsia="zh-CN"/>
        </w:rPr>
        <w:t xml:space="preserve"> a project is starting to deviate from the planned progress. </w:t>
      </w:r>
      <w:r w:rsidR="005814A9" w:rsidRPr="00ED20B3">
        <w:rPr>
          <w:rFonts w:asciiTheme="minorHAnsi" w:hAnsiTheme="minorHAnsi" w:cstheme="minorHAnsi"/>
          <w:color w:val="000000"/>
          <w:szCs w:val="22"/>
          <w:lang w:eastAsia="zh-CN"/>
        </w:rPr>
        <w:t xml:space="preserve">To avoid such a deviation, </w:t>
      </w:r>
      <w:r w:rsidR="00BD0C37" w:rsidRPr="00ED20B3">
        <w:rPr>
          <w:rFonts w:asciiTheme="minorHAnsi" w:hAnsiTheme="minorHAnsi" w:cstheme="minorHAnsi"/>
          <w:color w:val="000000"/>
          <w:szCs w:val="22"/>
          <w:lang w:eastAsia="zh-CN"/>
        </w:rPr>
        <w:t>a</w:t>
      </w:r>
      <w:r w:rsidR="0018606C" w:rsidRPr="00ED20B3">
        <w:rPr>
          <w:rFonts w:asciiTheme="minorHAnsi" w:hAnsiTheme="minorHAnsi" w:cstheme="minorHAnsi"/>
          <w:color w:val="000000"/>
          <w:szCs w:val="22"/>
          <w:lang w:eastAsia="zh-CN"/>
        </w:rPr>
        <w:t xml:space="preserve"> tested report that graphically details the planned vs. actual, including reasonable fluctuations,</w:t>
      </w:r>
      <w:r w:rsidR="00A947F6">
        <w:rPr>
          <w:rFonts w:asciiTheme="minorHAnsi" w:hAnsiTheme="minorHAnsi" w:cstheme="minorHAnsi"/>
          <w:color w:val="000000"/>
          <w:szCs w:val="22"/>
          <w:lang w:eastAsia="zh-CN"/>
        </w:rPr>
        <w:t xml:space="preserve"> is used</w:t>
      </w:r>
      <w:r w:rsidR="0018606C" w:rsidRPr="00ED20B3">
        <w:rPr>
          <w:rFonts w:asciiTheme="minorHAnsi" w:hAnsiTheme="minorHAnsi" w:cstheme="minorHAnsi"/>
          <w:color w:val="000000"/>
          <w:szCs w:val="22"/>
          <w:lang w:eastAsia="zh-CN"/>
        </w:rPr>
        <w:t xml:space="preserve"> in order that any issues are promptly </w:t>
      </w:r>
      <w:r w:rsidR="000D3D4F" w:rsidRPr="00ED20B3">
        <w:rPr>
          <w:rFonts w:asciiTheme="minorHAnsi" w:hAnsiTheme="minorHAnsi" w:cstheme="minorHAnsi"/>
          <w:color w:val="000000"/>
          <w:szCs w:val="22"/>
          <w:lang w:eastAsia="zh-CN"/>
        </w:rPr>
        <w:t>identified,</w:t>
      </w:r>
      <w:r w:rsidR="0018606C" w:rsidRPr="00ED20B3">
        <w:rPr>
          <w:rFonts w:asciiTheme="minorHAnsi" w:hAnsiTheme="minorHAnsi" w:cstheme="minorHAnsi"/>
          <w:color w:val="000000"/>
          <w:szCs w:val="22"/>
          <w:lang w:eastAsia="zh-CN"/>
        </w:rPr>
        <w:t xml:space="preserve"> mitigation actions can be implemented.</w:t>
      </w:r>
    </w:p>
    <w:p w14:paraId="23F196AB" w14:textId="7673D832" w:rsidR="00855455" w:rsidRDefault="00855455" w:rsidP="007A65D0">
      <w:pPr>
        <w:spacing w:before="240" w:after="120"/>
        <w:jc w:val="both"/>
        <w:rPr>
          <w:rFonts w:asciiTheme="minorHAnsi" w:hAnsiTheme="minorHAnsi" w:cstheme="minorHAnsi"/>
          <w:color w:val="000000"/>
          <w:szCs w:val="22"/>
          <w:lang w:eastAsia="zh-CN"/>
        </w:rPr>
      </w:pPr>
      <w:r w:rsidRPr="00ED20B3">
        <w:rPr>
          <w:rFonts w:asciiTheme="minorHAnsi" w:hAnsiTheme="minorHAnsi" w:cstheme="minorHAnsi"/>
          <w:color w:val="000000"/>
          <w:szCs w:val="22"/>
          <w:lang w:eastAsia="zh-CN"/>
        </w:rPr>
        <w:t xml:space="preserve">Currently the </w:t>
      </w:r>
      <w:r w:rsidR="00A4346C">
        <w:rPr>
          <w:rFonts w:asciiTheme="minorHAnsi" w:hAnsiTheme="minorHAnsi" w:cstheme="minorHAnsi"/>
          <w:color w:val="000000"/>
          <w:szCs w:val="22"/>
          <w:lang w:eastAsia="zh-CN"/>
        </w:rPr>
        <w:t>P</w:t>
      </w:r>
      <w:r w:rsidR="008E7162" w:rsidRPr="00ED20B3">
        <w:rPr>
          <w:rFonts w:asciiTheme="minorHAnsi" w:hAnsiTheme="minorHAnsi" w:cstheme="minorHAnsi"/>
          <w:color w:val="000000"/>
          <w:szCs w:val="22"/>
          <w:lang w:eastAsia="zh-CN"/>
        </w:rPr>
        <w:t xml:space="preserve">roject activities are funded via the first </w:t>
      </w:r>
      <w:r w:rsidR="00A4346C">
        <w:rPr>
          <w:rFonts w:asciiTheme="minorHAnsi" w:hAnsiTheme="minorHAnsi" w:cstheme="minorHAnsi"/>
          <w:color w:val="000000"/>
          <w:szCs w:val="22"/>
          <w:lang w:eastAsia="zh-CN"/>
        </w:rPr>
        <w:t>H</w:t>
      </w:r>
      <w:r w:rsidR="008E7162" w:rsidRPr="00ED20B3">
        <w:rPr>
          <w:rFonts w:asciiTheme="minorHAnsi" w:hAnsiTheme="minorHAnsi" w:cstheme="minorHAnsi"/>
          <w:color w:val="000000"/>
          <w:szCs w:val="22"/>
          <w:lang w:eastAsia="zh-CN"/>
        </w:rPr>
        <w:t xml:space="preserve">ost </w:t>
      </w:r>
      <w:r w:rsidR="00A4346C">
        <w:rPr>
          <w:rFonts w:asciiTheme="minorHAnsi" w:hAnsiTheme="minorHAnsi" w:cstheme="minorHAnsi"/>
          <w:color w:val="000000"/>
          <w:szCs w:val="22"/>
          <w:lang w:eastAsia="zh-CN"/>
        </w:rPr>
        <w:t>C</w:t>
      </w:r>
      <w:r w:rsidR="008E7162" w:rsidRPr="00ED20B3">
        <w:rPr>
          <w:rFonts w:asciiTheme="minorHAnsi" w:hAnsiTheme="minorHAnsi" w:cstheme="minorHAnsi"/>
          <w:color w:val="000000"/>
          <w:szCs w:val="22"/>
          <w:lang w:eastAsia="zh-CN"/>
        </w:rPr>
        <w:t>ountry CHF 12M loan</w:t>
      </w:r>
      <w:r w:rsidR="00B01E19">
        <w:rPr>
          <w:rFonts w:asciiTheme="minorHAnsi" w:hAnsiTheme="minorHAnsi" w:cstheme="minorHAnsi"/>
          <w:color w:val="000000"/>
          <w:szCs w:val="22"/>
          <w:lang w:eastAsia="zh-CN"/>
        </w:rPr>
        <w:t xml:space="preserve">. </w:t>
      </w:r>
      <w:r w:rsidR="00A947F6">
        <w:rPr>
          <w:rFonts w:asciiTheme="minorHAnsi" w:hAnsiTheme="minorHAnsi" w:cstheme="minorHAnsi"/>
          <w:color w:val="000000"/>
          <w:szCs w:val="22"/>
          <w:lang w:eastAsia="zh-CN"/>
        </w:rPr>
        <w:t>T</w:t>
      </w:r>
      <w:r w:rsidR="00B01E19">
        <w:rPr>
          <w:rFonts w:asciiTheme="minorHAnsi" w:hAnsiTheme="minorHAnsi" w:cstheme="minorHAnsi"/>
          <w:color w:val="000000"/>
          <w:szCs w:val="22"/>
          <w:lang w:eastAsia="zh-CN"/>
        </w:rPr>
        <w:t>he availability of the funds until June 2021</w:t>
      </w:r>
      <w:r w:rsidR="00466AEF">
        <w:rPr>
          <w:rFonts w:asciiTheme="minorHAnsi" w:hAnsiTheme="minorHAnsi" w:cstheme="minorHAnsi"/>
          <w:color w:val="000000"/>
          <w:szCs w:val="22"/>
          <w:lang w:eastAsia="zh-CN"/>
        </w:rPr>
        <w:t xml:space="preserve"> </w:t>
      </w:r>
      <w:r w:rsidR="00A947F6">
        <w:rPr>
          <w:rFonts w:asciiTheme="minorHAnsi" w:hAnsiTheme="minorHAnsi" w:cstheme="minorHAnsi"/>
          <w:color w:val="000000"/>
          <w:szCs w:val="22"/>
          <w:lang w:eastAsia="zh-CN"/>
        </w:rPr>
        <w:t xml:space="preserve">is ensured </w:t>
      </w:r>
      <w:r w:rsidR="00466AEF">
        <w:rPr>
          <w:rFonts w:asciiTheme="minorHAnsi" w:hAnsiTheme="minorHAnsi" w:cstheme="minorHAnsi"/>
          <w:color w:val="000000"/>
          <w:szCs w:val="22"/>
          <w:lang w:eastAsia="zh-CN"/>
        </w:rPr>
        <w:t xml:space="preserve">to </w:t>
      </w:r>
      <w:r w:rsidR="00A947F6">
        <w:rPr>
          <w:rFonts w:asciiTheme="minorHAnsi" w:hAnsiTheme="minorHAnsi" w:cstheme="minorHAnsi"/>
          <w:color w:val="000000"/>
          <w:szCs w:val="22"/>
          <w:lang w:eastAsia="zh-CN"/>
        </w:rPr>
        <w:t xml:space="preserve">provide </w:t>
      </w:r>
      <w:r w:rsidR="005A4CCF">
        <w:rPr>
          <w:rFonts w:asciiTheme="minorHAnsi" w:hAnsiTheme="minorHAnsi" w:cstheme="minorHAnsi"/>
          <w:color w:val="000000"/>
          <w:szCs w:val="22"/>
          <w:lang w:eastAsia="zh-CN"/>
        </w:rPr>
        <w:t xml:space="preserve">a continuing </w:t>
      </w:r>
      <w:r w:rsidR="00655907">
        <w:rPr>
          <w:rFonts w:asciiTheme="minorHAnsi" w:hAnsiTheme="minorHAnsi" w:cstheme="minorHAnsi"/>
          <w:color w:val="000000"/>
          <w:szCs w:val="22"/>
          <w:lang w:eastAsia="zh-CN"/>
        </w:rPr>
        <w:t xml:space="preserve">cash flow and </w:t>
      </w:r>
      <w:r w:rsidR="00466AEF">
        <w:rPr>
          <w:rFonts w:asciiTheme="minorHAnsi" w:hAnsiTheme="minorHAnsi" w:cstheme="minorHAnsi"/>
          <w:color w:val="000000"/>
          <w:szCs w:val="22"/>
          <w:lang w:eastAsia="zh-CN"/>
        </w:rPr>
        <w:t xml:space="preserve">allow for </w:t>
      </w:r>
      <w:r w:rsidR="00CD63DD">
        <w:rPr>
          <w:rFonts w:asciiTheme="minorHAnsi" w:hAnsiTheme="minorHAnsi" w:cstheme="minorHAnsi"/>
          <w:color w:val="000000"/>
          <w:szCs w:val="22"/>
          <w:lang w:eastAsia="zh-CN"/>
        </w:rPr>
        <w:t xml:space="preserve">the </w:t>
      </w:r>
      <w:r w:rsidR="00823E46">
        <w:rPr>
          <w:rFonts w:asciiTheme="minorHAnsi" w:hAnsiTheme="minorHAnsi" w:cstheme="minorHAnsi"/>
          <w:color w:val="000000"/>
          <w:szCs w:val="22"/>
          <w:lang w:eastAsia="zh-CN"/>
        </w:rPr>
        <w:t xml:space="preserve">time for the </w:t>
      </w:r>
      <w:r w:rsidR="00C51390">
        <w:rPr>
          <w:rFonts w:asciiTheme="minorHAnsi" w:hAnsiTheme="minorHAnsi" w:cstheme="minorHAnsi"/>
          <w:color w:val="000000"/>
          <w:szCs w:val="22"/>
          <w:lang w:eastAsia="zh-CN"/>
        </w:rPr>
        <w:t xml:space="preserve">approval </w:t>
      </w:r>
      <w:r w:rsidR="00A87084">
        <w:rPr>
          <w:rFonts w:asciiTheme="minorHAnsi" w:hAnsiTheme="minorHAnsi" w:cstheme="minorHAnsi"/>
          <w:color w:val="000000"/>
          <w:szCs w:val="22"/>
          <w:lang w:eastAsia="zh-CN"/>
        </w:rPr>
        <w:t xml:space="preserve">of the second loan </w:t>
      </w:r>
      <w:r w:rsidR="00A4346C">
        <w:rPr>
          <w:rFonts w:asciiTheme="minorHAnsi" w:hAnsiTheme="minorHAnsi" w:cstheme="minorHAnsi"/>
          <w:color w:val="000000"/>
          <w:szCs w:val="22"/>
          <w:lang w:eastAsia="zh-CN"/>
        </w:rPr>
        <w:t xml:space="preserve">of </w:t>
      </w:r>
      <w:r w:rsidR="00A87084">
        <w:rPr>
          <w:rFonts w:asciiTheme="minorHAnsi" w:hAnsiTheme="minorHAnsi" w:cstheme="minorHAnsi"/>
          <w:color w:val="000000"/>
          <w:szCs w:val="22"/>
          <w:lang w:eastAsia="zh-CN"/>
        </w:rPr>
        <w:t>CHF 138M</w:t>
      </w:r>
      <w:r w:rsidR="00116D7A">
        <w:rPr>
          <w:rFonts w:asciiTheme="minorHAnsi" w:hAnsiTheme="minorHAnsi" w:cstheme="minorHAnsi"/>
          <w:color w:val="000000"/>
          <w:szCs w:val="22"/>
          <w:lang w:eastAsia="zh-CN"/>
        </w:rPr>
        <w:t xml:space="preserve"> and signature of the loan contract with FIPOI</w:t>
      </w:r>
      <w:r w:rsidR="00A87084">
        <w:rPr>
          <w:rFonts w:asciiTheme="minorHAnsi" w:hAnsiTheme="minorHAnsi" w:cstheme="minorHAnsi"/>
          <w:color w:val="000000"/>
          <w:szCs w:val="22"/>
          <w:lang w:eastAsia="zh-CN"/>
        </w:rPr>
        <w:t>.</w:t>
      </w:r>
    </w:p>
    <w:p w14:paraId="2691EBC1" w14:textId="69686975" w:rsidR="00685568" w:rsidRDefault="00685568" w:rsidP="007A65D0">
      <w:pPr>
        <w:spacing w:before="240" w:after="120"/>
        <w:jc w:val="both"/>
        <w:rPr>
          <w:rFonts w:asciiTheme="minorHAnsi" w:hAnsiTheme="minorHAnsi" w:cstheme="minorHAnsi"/>
          <w:color w:val="000000"/>
          <w:szCs w:val="22"/>
          <w:lang w:eastAsia="zh-CN"/>
        </w:rPr>
      </w:pPr>
      <w:r w:rsidRPr="0012278C">
        <w:rPr>
          <w:rFonts w:asciiTheme="minorHAnsi" w:hAnsiTheme="minorHAnsi" w:cstheme="minorHAnsi"/>
          <w:color w:val="000000"/>
          <w:szCs w:val="22"/>
          <w:lang w:eastAsia="zh-CN"/>
        </w:rPr>
        <w:t>The financi</w:t>
      </w:r>
      <w:r w:rsidR="00D21EDF">
        <w:rPr>
          <w:rFonts w:asciiTheme="minorHAnsi" w:hAnsiTheme="minorHAnsi" w:cstheme="minorHAnsi"/>
          <w:color w:val="000000"/>
          <w:szCs w:val="22"/>
          <w:lang w:eastAsia="zh-CN"/>
        </w:rPr>
        <w:t>ng</w:t>
      </w:r>
      <w:r w:rsidRPr="0012278C">
        <w:rPr>
          <w:rFonts w:asciiTheme="minorHAnsi" w:hAnsiTheme="minorHAnsi" w:cstheme="minorHAnsi"/>
          <w:color w:val="000000"/>
          <w:szCs w:val="22"/>
          <w:lang w:eastAsia="zh-CN"/>
        </w:rPr>
        <w:t xml:space="preserve"> </w:t>
      </w:r>
      <w:r w:rsidR="00DE124E" w:rsidRPr="00742C7A">
        <w:rPr>
          <w:rFonts w:asciiTheme="minorHAnsi" w:hAnsiTheme="minorHAnsi" w:cstheme="minorHAnsi"/>
          <w:color w:val="000000"/>
          <w:szCs w:val="22"/>
          <w:lang w:eastAsia="zh-CN"/>
        </w:rPr>
        <w:t>schedule</w:t>
      </w:r>
      <w:r w:rsidR="00ED68F7" w:rsidRPr="00742C7A">
        <w:rPr>
          <w:rFonts w:asciiTheme="minorHAnsi" w:hAnsiTheme="minorHAnsi" w:cstheme="minorHAnsi"/>
          <w:color w:val="000000"/>
          <w:szCs w:val="22"/>
          <w:lang w:eastAsia="zh-CN"/>
        </w:rPr>
        <w:t xml:space="preserve"> </w:t>
      </w:r>
      <w:r w:rsidR="001979C7" w:rsidRPr="00742C7A">
        <w:rPr>
          <w:rFonts w:asciiTheme="minorHAnsi" w:hAnsiTheme="minorHAnsi" w:cstheme="minorHAnsi"/>
          <w:color w:val="000000"/>
          <w:szCs w:val="22"/>
          <w:lang w:eastAsia="zh-CN"/>
        </w:rPr>
        <w:t xml:space="preserve">(see </w:t>
      </w:r>
      <w:hyperlink w:anchor="AnnexB" w:history="1">
        <w:r w:rsidR="003378AC" w:rsidRPr="00742C7A">
          <w:rPr>
            <w:rStyle w:val="Hyperlink"/>
            <w:rFonts w:asciiTheme="minorHAnsi" w:hAnsiTheme="minorHAnsi" w:cstheme="minorHAnsi"/>
            <w:szCs w:val="22"/>
            <w:lang w:eastAsia="zh-CN"/>
          </w:rPr>
          <w:t>Annex B</w:t>
        </w:r>
      </w:hyperlink>
      <w:r w:rsidR="001979C7" w:rsidRPr="00742C7A">
        <w:rPr>
          <w:rFonts w:asciiTheme="minorHAnsi" w:hAnsiTheme="minorHAnsi" w:cstheme="minorHAnsi"/>
          <w:color w:val="000000"/>
          <w:szCs w:val="22"/>
          <w:lang w:eastAsia="zh-CN"/>
        </w:rPr>
        <w:t>)</w:t>
      </w:r>
      <w:r w:rsidR="00ED68F7" w:rsidRPr="00742C7A">
        <w:rPr>
          <w:rFonts w:asciiTheme="minorHAnsi" w:hAnsiTheme="minorHAnsi" w:cstheme="minorHAnsi"/>
          <w:color w:val="000000"/>
          <w:szCs w:val="22"/>
          <w:lang w:eastAsia="zh-CN"/>
        </w:rPr>
        <w:t>,</w:t>
      </w:r>
      <w:r w:rsidRPr="00742C7A">
        <w:rPr>
          <w:rFonts w:asciiTheme="minorHAnsi" w:hAnsiTheme="minorHAnsi" w:cstheme="minorHAnsi"/>
          <w:color w:val="000000"/>
          <w:szCs w:val="22"/>
          <w:lang w:eastAsia="zh-CN"/>
        </w:rPr>
        <w:t xml:space="preserve"> determines</w:t>
      </w:r>
      <w:r w:rsidRPr="00685568">
        <w:rPr>
          <w:rFonts w:asciiTheme="minorHAnsi" w:hAnsiTheme="minorHAnsi" w:cstheme="minorHAnsi"/>
          <w:color w:val="000000"/>
          <w:szCs w:val="22"/>
          <w:lang w:eastAsia="zh-CN"/>
        </w:rPr>
        <w:t xml:space="preserve"> the projected expenses that ITU will have to incur during the entire </w:t>
      </w:r>
      <w:r>
        <w:rPr>
          <w:rFonts w:asciiTheme="minorHAnsi" w:hAnsiTheme="minorHAnsi" w:cstheme="minorHAnsi"/>
          <w:color w:val="000000"/>
          <w:szCs w:val="22"/>
          <w:lang w:eastAsia="zh-CN"/>
        </w:rPr>
        <w:t>conception</w:t>
      </w:r>
      <w:r w:rsidRPr="00685568">
        <w:rPr>
          <w:rFonts w:asciiTheme="minorHAnsi" w:hAnsiTheme="minorHAnsi" w:cstheme="minorHAnsi"/>
          <w:color w:val="000000"/>
          <w:szCs w:val="22"/>
          <w:lang w:eastAsia="zh-CN"/>
        </w:rPr>
        <w:t xml:space="preserve"> and execution </w:t>
      </w:r>
      <w:r w:rsidR="00B952A4" w:rsidRPr="00685568">
        <w:rPr>
          <w:rFonts w:asciiTheme="minorHAnsi" w:hAnsiTheme="minorHAnsi" w:cstheme="minorHAnsi"/>
          <w:color w:val="000000"/>
          <w:szCs w:val="22"/>
          <w:lang w:eastAsia="zh-CN"/>
        </w:rPr>
        <w:t xml:space="preserve">period </w:t>
      </w:r>
      <w:r w:rsidRPr="00685568">
        <w:rPr>
          <w:rFonts w:asciiTheme="minorHAnsi" w:hAnsiTheme="minorHAnsi" w:cstheme="minorHAnsi"/>
          <w:color w:val="000000"/>
          <w:szCs w:val="22"/>
          <w:lang w:eastAsia="zh-CN"/>
        </w:rPr>
        <w:t xml:space="preserve">of the new building </w:t>
      </w:r>
      <w:r w:rsidR="00B952A4">
        <w:rPr>
          <w:rFonts w:asciiTheme="minorHAnsi" w:hAnsiTheme="minorHAnsi" w:cstheme="minorHAnsi"/>
          <w:color w:val="000000"/>
          <w:szCs w:val="22"/>
          <w:lang w:eastAsia="zh-CN"/>
        </w:rPr>
        <w:t>works</w:t>
      </w:r>
      <w:r w:rsidR="001421F9">
        <w:rPr>
          <w:rFonts w:asciiTheme="minorHAnsi" w:hAnsiTheme="minorHAnsi" w:cstheme="minorHAnsi"/>
          <w:color w:val="000000"/>
          <w:szCs w:val="22"/>
          <w:lang w:eastAsia="zh-CN"/>
        </w:rPr>
        <w:t xml:space="preserve"> </w:t>
      </w:r>
      <w:r w:rsidRPr="00685568">
        <w:rPr>
          <w:rFonts w:asciiTheme="minorHAnsi" w:hAnsiTheme="minorHAnsi" w:cstheme="minorHAnsi"/>
          <w:color w:val="000000"/>
          <w:szCs w:val="22"/>
          <w:lang w:eastAsia="zh-CN"/>
        </w:rPr>
        <w:t xml:space="preserve">and this according to the </w:t>
      </w:r>
      <w:r w:rsidR="001421F9" w:rsidRPr="00685568">
        <w:rPr>
          <w:rFonts w:asciiTheme="minorHAnsi" w:hAnsiTheme="minorHAnsi" w:cstheme="minorHAnsi"/>
          <w:color w:val="000000"/>
          <w:szCs w:val="22"/>
          <w:lang w:eastAsia="zh-CN"/>
        </w:rPr>
        <w:t xml:space="preserve">CFC </w:t>
      </w:r>
      <w:r w:rsidRPr="00685568">
        <w:rPr>
          <w:rFonts w:asciiTheme="minorHAnsi" w:hAnsiTheme="minorHAnsi" w:cstheme="minorHAnsi"/>
          <w:color w:val="000000"/>
          <w:szCs w:val="22"/>
          <w:lang w:eastAsia="zh-CN"/>
        </w:rPr>
        <w:t xml:space="preserve">distribution </w:t>
      </w:r>
      <w:r w:rsidR="00264584">
        <w:rPr>
          <w:rFonts w:asciiTheme="minorHAnsi" w:hAnsiTheme="minorHAnsi" w:cstheme="minorHAnsi"/>
          <w:color w:val="000000"/>
          <w:szCs w:val="22"/>
          <w:lang w:eastAsia="zh-CN"/>
        </w:rPr>
        <w:t xml:space="preserve">as </w:t>
      </w:r>
      <w:r w:rsidRPr="00685568">
        <w:rPr>
          <w:rFonts w:asciiTheme="minorHAnsi" w:hAnsiTheme="minorHAnsi" w:cstheme="minorHAnsi"/>
          <w:color w:val="000000"/>
          <w:szCs w:val="22"/>
          <w:lang w:eastAsia="zh-CN"/>
        </w:rPr>
        <w:t xml:space="preserve">requested by the </w:t>
      </w:r>
      <w:r w:rsidR="00264584">
        <w:rPr>
          <w:rFonts w:asciiTheme="minorHAnsi" w:hAnsiTheme="minorHAnsi" w:cstheme="minorHAnsi"/>
          <w:color w:val="000000"/>
          <w:szCs w:val="22"/>
          <w:lang w:eastAsia="zh-CN"/>
        </w:rPr>
        <w:t>Host Country</w:t>
      </w:r>
      <w:r w:rsidRPr="00685568">
        <w:rPr>
          <w:rFonts w:asciiTheme="minorHAnsi" w:hAnsiTheme="minorHAnsi" w:cstheme="minorHAnsi"/>
          <w:color w:val="000000"/>
          <w:szCs w:val="22"/>
          <w:lang w:eastAsia="zh-CN"/>
        </w:rPr>
        <w:t>. The amounts appear</w:t>
      </w:r>
      <w:r w:rsidR="00264584">
        <w:rPr>
          <w:rFonts w:asciiTheme="minorHAnsi" w:hAnsiTheme="minorHAnsi" w:cstheme="minorHAnsi"/>
          <w:color w:val="000000"/>
          <w:szCs w:val="22"/>
          <w:lang w:eastAsia="zh-CN"/>
        </w:rPr>
        <w:t xml:space="preserve">ing in the table </w:t>
      </w:r>
      <w:r w:rsidRPr="00685568">
        <w:rPr>
          <w:rFonts w:asciiTheme="minorHAnsi" w:hAnsiTheme="minorHAnsi" w:cstheme="minorHAnsi"/>
          <w:color w:val="000000"/>
          <w:szCs w:val="22"/>
          <w:lang w:eastAsia="zh-CN"/>
        </w:rPr>
        <w:t xml:space="preserve">are partly </w:t>
      </w:r>
      <w:r w:rsidR="004112F3">
        <w:rPr>
          <w:rFonts w:asciiTheme="minorHAnsi" w:hAnsiTheme="minorHAnsi" w:cstheme="minorHAnsi"/>
          <w:color w:val="000000"/>
          <w:szCs w:val="22"/>
          <w:lang w:eastAsia="zh-CN"/>
        </w:rPr>
        <w:t>effective</w:t>
      </w:r>
      <w:r w:rsidRPr="00685568">
        <w:rPr>
          <w:rFonts w:asciiTheme="minorHAnsi" w:hAnsiTheme="minorHAnsi" w:cstheme="minorHAnsi"/>
          <w:color w:val="000000"/>
          <w:szCs w:val="22"/>
          <w:lang w:eastAsia="zh-CN"/>
        </w:rPr>
        <w:t xml:space="preserve"> amounts (2017 to present), but for the majority the prices indicated are amounts estimated on the basis of the provisional planning of studies and works transmitted by the </w:t>
      </w:r>
      <w:r w:rsidR="003645AE">
        <w:rPr>
          <w:rFonts w:asciiTheme="minorHAnsi" w:hAnsiTheme="minorHAnsi" w:cstheme="minorHAnsi"/>
          <w:color w:val="000000"/>
          <w:szCs w:val="22"/>
          <w:lang w:eastAsia="zh-CN"/>
        </w:rPr>
        <w:t>designe</w:t>
      </w:r>
      <w:r w:rsidR="00B30BA3">
        <w:rPr>
          <w:rFonts w:asciiTheme="minorHAnsi" w:hAnsiTheme="minorHAnsi" w:cstheme="minorHAnsi"/>
          <w:color w:val="000000"/>
          <w:szCs w:val="22"/>
          <w:lang w:eastAsia="zh-CN"/>
        </w:rPr>
        <w:t xml:space="preserve">rs and </w:t>
      </w:r>
      <w:r w:rsidRPr="00685568">
        <w:rPr>
          <w:rFonts w:asciiTheme="minorHAnsi" w:hAnsiTheme="minorHAnsi" w:cstheme="minorHAnsi"/>
          <w:color w:val="000000"/>
          <w:szCs w:val="22"/>
          <w:lang w:eastAsia="zh-CN"/>
        </w:rPr>
        <w:t xml:space="preserve">within the framework of the budget approved </w:t>
      </w:r>
      <w:r w:rsidR="00D7765F">
        <w:rPr>
          <w:rFonts w:asciiTheme="minorHAnsi" w:hAnsiTheme="minorHAnsi" w:cstheme="minorHAnsi"/>
          <w:color w:val="000000"/>
          <w:szCs w:val="22"/>
          <w:lang w:eastAsia="zh-CN"/>
        </w:rPr>
        <w:t>at</w:t>
      </w:r>
      <w:r w:rsidRPr="00685568">
        <w:rPr>
          <w:rFonts w:asciiTheme="minorHAnsi" w:hAnsiTheme="minorHAnsi" w:cstheme="minorHAnsi"/>
          <w:color w:val="000000"/>
          <w:szCs w:val="22"/>
          <w:lang w:eastAsia="zh-CN"/>
        </w:rPr>
        <w:t xml:space="preserve"> the additional session of the Council held in Geneva on September 27, 2019.</w:t>
      </w:r>
    </w:p>
    <w:p w14:paraId="58D81E69" w14:textId="585984A9" w:rsidR="00E36A1F" w:rsidRDefault="00E36A1F" w:rsidP="007A65D0">
      <w:pPr>
        <w:spacing w:before="240" w:after="120"/>
        <w:jc w:val="both"/>
        <w:rPr>
          <w:rFonts w:asciiTheme="minorHAnsi" w:hAnsiTheme="minorHAnsi" w:cstheme="minorHAnsi"/>
          <w:b/>
          <w:bCs/>
          <w:color w:val="000000" w:themeColor="text1"/>
        </w:rPr>
      </w:pPr>
      <w:r w:rsidRPr="00D75BAB">
        <w:rPr>
          <w:rFonts w:asciiTheme="minorHAnsi" w:hAnsiTheme="minorHAnsi" w:cstheme="minorHAnsi"/>
          <w:b/>
          <w:bCs/>
          <w:color w:val="000000" w:themeColor="text1"/>
        </w:rPr>
        <w:t>4.3</w:t>
      </w:r>
      <w:r w:rsidRPr="00D75BAB">
        <w:rPr>
          <w:rFonts w:asciiTheme="minorHAnsi" w:hAnsiTheme="minorHAnsi" w:cstheme="minorHAnsi"/>
          <w:b/>
          <w:bCs/>
          <w:color w:val="000000" w:themeColor="text1"/>
        </w:rPr>
        <w:tab/>
        <w:t>Expen</w:t>
      </w:r>
      <w:r w:rsidR="004C0B2D">
        <w:rPr>
          <w:rFonts w:asciiTheme="minorHAnsi" w:hAnsiTheme="minorHAnsi" w:cstheme="minorHAnsi"/>
          <w:b/>
          <w:bCs/>
          <w:color w:val="000000" w:themeColor="text1"/>
        </w:rPr>
        <w:t xml:space="preserve">se </w:t>
      </w:r>
      <w:r w:rsidRPr="00D75BAB">
        <w:rPr>
          <w:rFonts w:asciiTheme="minorHAnsi" w:hAnsiTheme="minorHAnsi" w:cstheme="minorHAnsi"/>
          <w:b/>
          <w:bCs/>
          <w:color w:val="000000" w:themeColor="text1"/>
        </w:rPr>
        <w:t>to date</w:t>
      </w:r>
    </w:p>
    <w:p w14:paraId="76137802" w14:textId="312903EE" w:rsidR="00E36A1F" w:rsidRDefault="00E36A1F" w:rsidP="007A65D0">
      <w:pPr>
        <w:spacing w:before="240"/>
        <w:jc w:val="both"/>
        <w:rPr>
          <w:rFonts w:asciiTheme="minorHAnsi" w:hAnsiTheme="minorHAnsi" w:cstheme="minorHAnsi"/>
          <w:color w:val="000000" w:themeColor="text1"/>
        </w:rPr>
      </w:pPr>
      <w:r w:rsidRPr="00CD78B3">
        <w:rPr>
          <w:rFonts w:asciiTheme="minorHAnsi" w:hAnsiTheme="minorHAnsi" w:cstheme="minorHAnsi"/>
          <w:color w:val="000000"/>
          <w:szCs w:val="22"/>
          <w:lang w:eastAsia="zh-CN"/>
        </w:rPr>
        <w:t xml:space="preserve">The </w:t>
      </w:r>
      <w:r>
        <w:rPr>
          <w:rFonts w:asciiTheme="minorHAnsi" w:hAnsiTheme="minorHAnsi" w:cstheme="minorHAnsi"/>
          <w:color w:val="000000"/>
          <w:szCs w:val="22"/>
          <w:lang w:eastAsia="zh-CN"/>
        </w:rPr>
        <w:t xml:space="preserve">current </w:t>
      </w:r>
      <w:r w:rsidRPr="00CD78B3">
        <w:rPr>
          <w:rFonts w:asciiTheme="minorHAnsi" w:hAnsiTheme="minorHAnsi" w:cstheme="minorHAnsi"/>
          <w:color w:val="000000"/>
          <w:szCs w:val="22"/>
          <w:lang w:eastAsia="zh-CN"/>
        </w:rPr>
        <w:t>expen</w:t>
      </w:r>
      <w:r>
        <w:rPr>
          <w:rFonts w:asciiTheme="minorHAnsi" w:hAnsiTheme="minorHAnsi" w:cstheme="minorHAnsi"/>
          <w:color w:val="000000"/>
          <w:szCs w:val="22"/>
          <w:lang w:eastAsia="zh-CN"/>
        </w:rPr>
        <w:t>ses</w:t>
      </w:r>
      <w:r w:rsidRPr="00CD78B3">
        <w:rPr>
          <w:rFonts w:asciiTheme="minorHAnsi" w:hAnsiTheme="minorHAnsi" w:cstheme="minorHAnsi"/>
          <w:color w:val="000000"/>
          <w:szCs w:val="22"/>
          <w:lang w:eastAsia="zh-CN"/>
        </w:rPr>
        <w:t xml:space="preserve"> </w:t>
      </w:r>
      <w:r w:rsidR="00D74641" w:rsidRPr="00742C7A">
        <w:rPr>
          <w:rFonts w:asciiTheme="minorHAnsi" w:hAnsiTheme="minorHAnsi" w:cstheme="minorHAnsi"/>
          <w:color w:val="000000"/>
          <w:szCs w:val="22"/>
          <w:lang w:eastAsia="zh-CN"/>
        </w:rPr>
        <w:t xml:space="preserve">(see </w:t>
      </w:r>
      <w:hyperlink w:anchor="AnnexB" w:history="1">
        <w:r w:rsidR="00D74641" w:rsidRPr="00742C7A">
          <w:rPr>
            <w:rStyle w:val="Hyperlink"/>
            <w:rFonts w:asciiTheme="minorHAnsi" w:hAnsiTheme="minorHAnsi" w:cstheme="minorHAnsi"/>
            <w:szCs w:val="22"/>
            <w:lang w:eastAsia="zh-CN"/>
          </w:rPr>
          <w:t>Annex B</w:t>
        </w:r>
      </w:hyperlink>
      <w:r w:rsidR="00D74641" w:rsidRPr="00742C7A">
        <w:rPr>
          <w:rFonts w:asciiTheme="minorHAnsi" w:hAnsiTheme="minorHAnsi" w:cstheme="minorHAnsi"/>
          <w:color w:val="000000"/>
          <w:szCs w:val="22"/>
          <w:lang w:eastAsia="zh-CN"/>
        </w:rPr>
        <w:t>)</w:t>
      </w:r>
      <w:r w:rsidR="00D74641">
        <w:rPr>
          <w:rFonts w:asciiTheme="minorHAnsi" w:hAnsiTheme="minorHAnsi" w:cstheme="minorHAnsi"/>
          <w:color w:val="000000"/>
          <w:szCs w:val="22"/>
          <w:lang w:eastAsia="zh-CN"/>
        </w:rPr>
        <w:t xml:space="preserve"> </w:t>
      </w:r>
      <w:r w:rsidRPr="00CD78B3">
        <w:rPr>
          <w:rFonts w:asciiTheme="minorHAnsi" w:hAnsiTheme="minorHAnsi" w:cstheme="minorHAnsi"/>
          <w:color w:val="000000"/>
          <w:szCs w:val="22"/>
          <w:lang w:eastAsia="zh-CN"/>
        </w:rPr>
        <w:t xml:space="preserve">are </w:t>
      </w:r>
      <w:r>
        <w:rPr>
          <w:rFonts w:asciiTheme="minorHAnsi" w:hAnsiTheme="minorHAnsi" w:cstheme="minorHAnsi"/>
          <w:color w:val="000000"/>
          <w:szCs w:val="22"/>
          <w:lang w:eastAsia="zh-CN"/>
        </w:rPr>
        <w:t>exclusively generated by</w:t>
      </w:r>
      <w:r w:rsidRPr="00CD78B3">
        <w:rPr>
          <w:rFonts w:asciiTheme="minorHAnsi" w:hAnsiTheme="minorHAnsi" w:cstheme="minorHAnsi"/>
          <w:color w:val="000000"/>
          <w:szCs w:val="22"/>
          <w:lang w:eastAsia="zh-CN"/>
        </w:rPr>
        <w:t xml:space="preserve"> the fees </w:t>
      </w:r>
      <w:r>
        <w:rPr>
          <w:rFonts w:asciiTheme="minorHAnsi" w:hAnsiTheme="minorHAnsi" w:cstheme="minorHAnsi"/>
          <w:color w:val="000000"/>
          <w:szCs w:val="22"/>
          <w:lang w:eastAsia="zh-CN"/>
        </w:rPr>
        <w:t>of the A</w:t>
      </w:r>
      <w:r w:rsidRPr="00CD78B3">
        <w:rPr>
          <w:rFonts w:asciiTheme="minorHAnsi" w:hAnsiTheme="minorHAnsi" w:cstheme="minorHAnsi"/>
          <w:color w:val="000000"/>
          <w:szCs w:val="22"/>
          <w:lang w:eastAsia="zh-CN"/>
        </w:rPr>
        <w:t xml:space="preserve">rchitects’ </w:t>
      </w:r>
      <w:r>
        <w:rPr>
          <w:rFonts w:asciiTheme="minorHAnsi" w:hAnsiTheme="minorHAnsi" w:cstheme="minorHAnsi"/>
          <w:color w:val="000000"/>
          <w:szCs w:val="22"/>
          <w:lang w:eastAsia="zh-CN"/>
        </w:rPr>
        <w:t>C</w:t>
      </w:r>
      <w:r w:rsidRPr="00CD78B3">
        <w:rPr>
          <w:rFonts w:asciiTheme="minorHAnsi" w:hAnsiTheme="minorHAnsi" w:cstheme="minorHAnsi"/>
          <w:color w:val="000000"/>
          <w:szCs w:val="22"/>
          <w:lang w:eastAsia="zh-CN"/>
        </w:rPr>
        <w:t xml:space="preserve">onsortium, CDTK and </w:t>
      </w:r>
      <w:r>
        <w:rPr>
          <w:rFonts w:asciiTheme="minorHAnsi" w:hAnsiTheme="minorHAnsi" w:cstheme="minorHAnsi"/>
          <w:color w:val="000000"/>
          <w:szCs w:val="22"/>
          <w:lang w:eastAsia="zh-CN"/>
        </w:rPr>
        <w:t>P</w:t>
      </w:r>
      <w:r w:rsidRPr="00CD78B3">
        <w:rPr>
          <w:rFonts w:asciiTheme="minorHAnsi" w:hAnsiTheme="minorHAnsi" w:cstheme="minorHAnsi"/>
          <w:color w:val="000000"/>
          <w:szCs w:val="22"/>
          <w:lang w:eastAsia="zh-CN"/>
        </w:rPr>
        <w:t xml:space="preserve">roject </w:t>
      </w:r>
      <w:r>
        <w:rPr>
          <w:rFonts w:asciiTheme="minorHAnsi" w:hAnsiTheme="minorHAnsi" w:cstheme="minorHAnsi"/>
          <w:color w:val="000000"/>
          <w:szCs w:val="22"/>
          <w:lang w:eastAsia="zh-CN"/>
        </w:rPr>
        <w:t>Management S</w:t>
      </w:r>
      <w:r w:rsidRPr="00CD78B3">
        <w:rPr>
          <w:rFonts w:asciiTheme="minorHAnsi" w:hAnsiTheme="minorHAnsi" w:cstheme="minorHAnsi"/>
          <w:color w:val="000000"/>
          <w:szCs w:val="22"/>
          <w:lang w:eastAsia="zh-CN"/>
        </w:rPr>
        <w:t>upport, Hill int</w:t>
      </w:r>
      <w:r>
        <w:rPr>
          <w:rFonts w:asciiTheme="minorHAnsi" w:hAnsiTheme="minorHAnsi" w:cstheme="minorHAnsi"/>
          <w:color w:val="000000"/>
          <w:szCs w:val="22"/>
          <w:lang w:eastAsia="zh-CN"/>
        </w:rPr>
        <w:t>.</w:t>
      </w:r>
      <w:r w:rsidRPr="00CD78B3">
        <w:rPr>
          <w:rFonts w:asciiTheme="minorHAnsi" w:hAnsiTheme="minorHAnsi" w:cstheme="minorHAnsi"/>
          <w:color w:val="000000"/>
          <w:szCs w:val="22"/>
          <w:lang w:eastAsia="zh-CN"/>
        </w:rPr>
        <w:t xml:space="preserve"> </w:t>
      </w:r>
      <w:r>
        <w:rPr>
          <w:rFonts w:asciiTheme="minorHAnsi" w:hAnsiTheme="minorHAnsi" w:cstheme="minorHAnsi"/>
          <w:color w:val="000000"/>
          <w:szCs w:val="22"/>
          <w:lang w:eastAsia="zh-CN"/>
        </w:rPr>
        <w:t>The expense to date is in line with the projected expenses that are reported on a quarterly basis to the Host Country and f</w:t>
      </w:r>
      <w:r w:rsidRPr="00D75BAB">
        <w:rPr>
          <w:rFonts w:asciiTheme="minorHAnsi" w:hAnsiTheme="minorHAnsi" w:cstheme="minorHAnsi"/>
          <w:color w:val="000000" w:themeColor="text1"/>
        </w:rPr>
        <w:t xml:space="preserve">undraising requests are processed every </w:t>
      </w:r>
      <w:r>
        <w:rPr>
          <w:rFonts w:asciiTheme="minorHAnsi" w:hAnsiTheme="minorHAnsi" w:cstheme="minorHAnsi"/>
          <w:color w:val="000000" w:themeColor="text1"/>
        </w:rPr>
        <w:t xml:space="preserve">quarter </w:t>
      </w:r>
      <w:r w:rsidRPr="00D75BAB">
        <w:rPr>
          <w:rFonts w:asciiTheme="minorHAnsi" w:hAnsiTheme="minorHAnsi" w:cstheme="minorHAnsi"/>
          <w:color w:val="000000" w:themeColor="text1"/>
        </w:rPr>
        <w:t xml:space="preserve">to cover the ongoing </w:t>
      </w:r>
      <w:r>
        <w:rPr>
          <w:rFonts w:asciiTheme="minorHAnsi" w:hAnsiTheme="minorHAnsi" w:cstheme="minorHAnsi"/>
          <w:color w:val="000000" w:themeColor="text1"/>
        </w:rPr>
        <w:t>P</w:t>
      </w:r>
      <w:r w:rsidRPr="00D75BAB">
        <w:rPr>
          <w:rFonts w:asciiTheme="minorHAnsi" w:hAnsiTheme="minorHAnsi" w:cstheme="minorHAnsi"/>
          <w:color w:val="000000" w:themeColor="text1"/>
        </w:rPr>
        <w:t xml:space="preserve">roject expenditures. </w:t>
      </w:r>
    </w:p>
    <w:p w14:paraId="63EFEB12" w14:textId="77777777" w:rsidR="00E36A1F" w:rsidRPr="00467835" w:rsidRDefault="00E36A1F" w:rsidP="007A65D0">
      <w:pPr>
        <w:spacing w:before="240" w:after="120"/>
        <w:jc w:val="both"/>
        <w:rPr>
          <w:rFonts w:asciiTheme="minorHAnsi" w:hAnsiTheme="minorHAnsi" w:cstheme="minorHAnsi"/>
          <w:color w:val="000000"/>
          <w:szCs w:val="22"/>
          <w:lang w:eastAsia="zh-CN"/>
        </w:rPr>
      </w:pPr>
      <w:r w:rsidRPr="000B6339">
        <w:rPr>
          <w:rFonts w:asciiTheme="minorHAnsi" w:hAnsiTheme="minorHAnsi" w:cstheme="minorHAnsi"/>
          <w:color w:val="000000"/>
          <w:szCs w:val="22"/>
          <w:lang w:eastAsia="zh-CN"/>
        </w:rPr>
        <w:t>After verification and validation of the estimated amounts, the</w:t>
      </w:r>
      <w:r>
        <w:rPr>
          <w:rFonts w:asciiTheme="minorHAnsi" w:hAnsiTheme="minorHAnsi" w:cstheme="minorHAnsi"/>
          <w:color w:val="000000"/>
          <w:szCs w:val="22"/>
          <w:lang w:eastAsia="zh-CN"/>
        </w:rPr>
        <w:t xml:space="preserve"> required amount is transferred to the ITU bank account.</w:t>
      </w:r>
    </w:p>
    <w:p w14:paraId="2AD9583B" w14:textId="001DFD93" w:rsidR="00E36A1F" w:rsidRDefault="00E36A1F" w:rsidP="007A65D0">
      <w:pPr>
        <w:spacing w:before="240"/>
        <w:jc w:val="both"/>
        <w:rPr>
          <w:rFonts w:asciiTheme="minorHAnsi" w:hAnsiTheme="minorHAnsi" w:cstheme="minorHAnsi"/>
          <w:color w:val="000000"/>
          <w:szCs w:val="22"/>
          <w:lang w:eastAsia="zh-CN"/>
        </w:rPr>
      </w:pPr>
      <w:r w:rsidRPr="00D406C8">
        <w:rPr>
          <w:rFonts w:asciiTheme="minorHAnsi" w:hAnsiTheme="minorHAnsi" w:cstheme="minorHAnsi"/>
          <w:color w:val="000000"/>
          <w:szCs w:val="22"/>
          <w:lang w:eastAsia="zh-CN"/>
        </w:rPr>
        <w:t xml:space="preserve">The calls for funds represented </w:t>
      </w:r>
      <w:r>
        <w:rPr>
          <w:rFonts w:asciiTheme="minorHAnsi" w:hAnsiTheme="minorHAnsi" w:cstheme="minorHAnsi"/>
          <w:color w:val="000000"/>
          <w:szCs w:val="22"/>
          <w:lang w:eastAsia="zh-CN"/>
        </w:rPr>
        <w:t>in</w:t>
      </w:r>
      <w:r w:rsidRPr="00D406C8">
        <w:rPr>
          <w:rFonts w:asciiTheme="minorHAnsi" w:hAnsiTheme="minorHAnsi" w:cstheme="minorHAnsi"/>
          <w:color w:val="000000"/>
          <w:szCs w:val="22"/>
          <w:lang w:eastAsia="zh-CN"/>
        </w:rPr>
        <w:t xml:space="preserve"> the table below are made</w:t>
      </w:r>
      <w:r>
        <w:rPr>
          <w:rFonts w:asciiTheme="minorHAnsi" w:hAnsiTheme="minorHAnsi" w:cstheme="minorHAnsi"/>
          <w:color w:val="000000"/>
          <w:szCs w:val="22"/>
          <w:lang w:eastAsia="zh-CN"/>
        </w:rPr>
        <w:t xml:space="preserve"> on a</w:t>
      </w:r>
      <w:r w:rsidRPr="00D406C8">
        <w:rPr>
          <w:rFonts w:asciiTheme="minorHAnsi" w:hAnsiTheme="minorHAnsi" w:cstheme="minorHAnsi"/>
          <w:color w:val="000000"/>
          <w:szCs w:val="22"/>
          <w:lang w:eastAsia="zh-CN"/>
        </w:rPr>
        <w:t xml:space="preserve"> quarterly</w:t>
      </w:r>
      <w:r>
        <w:rPr>
          <w:rFonts w:asciiTheme="minorHAnsi" w:hAnsiTheme="minorHAnsi" w:cstheme="minorHAnsi"/>
          <w:color w:val="000000"/>
          <w:szCs w:val="22"/>
          <w:lang w:eastAsia="zh-CN"/>
        </w:rPr>
        <w:t xml:space="preserve"> basis</w:t>
      </w:r>
      <w:r w:rsidRPr="00D406C8">
        <w:rPr>
          <w:rFonts w:asciiTheme="minorHAnsi" w:hAnsiTheme="minorHAnsi" w:cstheme="minorHAnsi"/>
          <w:color w:val="000000"/>
          <w:szCs w:val="22"/>
          <w:lang w:eastAsia="zh-CN"/>
        </w:rPr>
        <w:t xml:space="preserve"> as stipulated above. They are made not only on the basis of a schedule transmitted by the service providers (CDTK and HILL International) but also on potential expenses (for </w:t>
      </w:r>
      <w:r>
        <w:rPr>
          <w:rFonts w:asciiTheme="minorHAnsi" w:hAnsiTheme="minorHAnsi" w:cstheme="minorHAnsi"/>
          <w:color w:val="000000"/>
          <w:szCs w:val="22"/>
          <w:lang w:eastAsia="zh-CN"/>
        </w:rPr>
        <w:t>analysis</w:t>
      </w:r>
      <w:r w:rsidRPr="00D406C8">
        <w:rPr>
          <w:rFonts w:asciiTheme="minorHAnsi" w:hAnsiTheme="minorHAnsi" w:cstheme="minorHAnsi"/>
          <w:color w:val="000000"/>
          <w:szCs w:val="22"/>
          <w:lang w:eastAsia="zh-CN"/>
        </w:rPr>
        <w:t>,</w:t>
      </w:r>
      <w:r>
        <w:rPr>
          <w:rFonts w:asciiTheme="minorHAnsi" w:hAnsiTheme="minorHAnsi" w:cstheme="minorHAnsi"/>
          <w:color w:val="000000"/>
          <w:szCs w:val="22"/>
          <w:lang w:eastAsia="zh-CN"/>
        </w:rPr>
        <w:t xml:space="preserve"> boreholes, topographic surveys,</w:t>
      </w:r>
      <w:r w:rsidRPr="00D406C8">
        <w:rPr>
          <w:rFonts w:asciiTheme="minorHAnsi" w:hAnsiTheme="minorHAnsi" w:cstheme="minorHAnsi"/>
          <w:color w:val="000000"/>
          <w:szCs w:val="22"/>
          <w:lang w:eastAsia="zh-CN"/>
        </w:rPr>
        <w:t xml:space="preserve"> etc.) that may occur during the design phase that the first tranche of the loan supports.</w:t>
      </w:r>
    </w:p>
    <w:p w14:paraId="0AF5F27B" w14:textId="154195A6" w:rsidR="00AA40CE" w:rsidRPr="00536900" w:rsidRDefault="00D824AE" w:rsidP="007A65D0">
      <w:pPr>
        <w:spacing w:before="240" w:after="120"/>
        <w:jc w:val="both"/>
        <w:rPr>
          <w:rFonts w:asciiTheme="minorHAnsi" w:hAnsiTheme="minorHAnsi" w:cstheme="minorHAnsi"/>
          <w:b/>
          <w:bCs/>
          <w:color w:val="000000" w:themeColor="text1"/>
        </w:rPr>
      </w:pPr>
      <w:r w:rsidRPr="00536900">
        <w:rPr>
          <w:rFonts w:asciiTheme="minorHAnsi" w:hAnsiTheme="minorHAnsi" w:cstheme="minorHAnsi"/>
          <w:b/>
          <w:bCs/>
          <w:color w:val="000000" w:themeColor="text1"/>
        </w:rPr>
        <w:t>4.4</w:t>
      </w:r>
      <w:r w:rsidRPr="00536900">
        <w:rPr>
          <w:rFonts w:asciiTheme="minorHAnsi" w:hAnsiTheme="minorHAnsi" w:cstheme="minorHAnsi"/>
          <w:b/>
          <w:bCs/>
          <w:color w:val="000000" w:themeColor="text1"/>
        </w:rPr>
        <w:tab/>
      </w:r>
      <w:r w:rsidR="00AA40CE" w:rsidRPr="00536900">
        <w:rPr>
          <w:rFonts w:asciiTheme="minorHAnsi" w:hAnsiTheme="minorHAnsi" w:cstheme="minorHAnsi"/>
          <w:b/>
          <w:bCs/>
          <w:color w:val="000000" w:themeColor="text1"/>
        </w:rPr>
        <w:t>Foreseen vs. e</w:t>
      </w:r>
      <w:r w:rsidRPr="00536900">
        <w:rPr>
          <w:rFonts w:asciiTheme="minorHAnsi" w:hAnsiTheme="minorHAnsi" w:cstheme="minorHAnsi"/>
          <w:b/>
          <w:bCs/>
          <w:color w:val="000000" w:themeColor="text1"/>
        </w:rPr>
        <w:t xml:space="preserve">xpended </w:t>
      </w:r>
    </w:p>
    <w:p w14:paraId="30ED2124" w14:textId="1406CCF1" w:rsidR="001C25D2" w:rsidRDefault="00536900" w:rsidP="007A65D0">
      <w:pPr>
        <w:spacing w:before="240" w:after="120"/>
        <w:jc w:val="both"/>
        <w:rPr>
          <w:rFonts w:asciiTheme="minorHAnsi" w:hAnsiTheme="minorHAnsi" w:cstheme="minorHAnsi"/>
          <w:b/>
          <w:bCs/>
          <w:color w:val="000000" w:themeColor="text1"/>
        </w:rPr>
      </w:pPr>
      <w:r w:rsidRPr="00536900">
        <w:rPr>
          <w:rFonts w:asciiTheme="minorHAnsi" w:hAnsiTheme="minorHAnsi" w:cstheme="minorHAnsi"/>
          <w:color w:val="000000"/>
          <w:szCs w:val="22"/>
          <w:lang w:eastAsia="zh-CN"/>
        </w:rPr>
        <w:t xml:space="preserve">The graph </w:t>
      </w:r>
      <w:r w:rsidR="00CD69E2">
        <w:rPr>
          <w:rFonts w:asciiTheme="minorHAnsi" w:hAnsiTheme="minorHAnsi" w:cstheme="minorHAnsi"/>
          <w:color w:val="000000"/>
          <w:szCs w:val="22"/>
          <w:lang w:eastAsia="zh-CN"/>
        </w:rPr>
        <w:t xml:space="preserve">presented </w:t>
      </w:r>
      <w:r w:rsidR="00CD69E2" w:rsidRPr="00742C7A">
        <w:rPr>
          <w:rFonts w:asciiTheme="minorHAnsi" w:hAnsiTheme="minorHAnsi" w:cstheme="minorHAnsi"/>
          <w:color w:val="000000"/>
          <w:szCs w:val="22"/>
          <w:lang w:eastAsia="zh-CN"/>
        </w:rPr>
        <w:t xml:space="preserve">in </w:t>
      </w:r>
      <w:hyperlink w:anchor="AnnexC" w:history="1">
        <w:r w:rsidR="00CD69E2" w:rsidRPr="00742C7A">
          <w:rPr>
            <w:rStyle w:val="Hyperlink"/>
            <w:rFonts w:asciiTheme="minorHAnsi" w:hAnsiTheme="minorHAnsi" w:cstheme="minorHAnsi"/>
            <w:szCs w:val="22"/>
            <w:lang w:eastAsia="zh-CN"/>
          </w:rPr>
          <w:t>Annex C</w:t>
        </w:r>
      </w:hyperlink>
      <w:r w:rsidR="00CD69E2" w:rsidRPr="00742C7A">
        <w:rPr>
          <w:rFonts w:asciiTheme="minorHAnsi" w:hAnsiTheme="minorHAnsi" w:cstheme="minorHAnsi"/>
          <w:color w:val="000000"/>
          <w:szCs w:val="22"/>
          <w:lang w:eastAsia="zh-CN"/>
        </w:rPr>
        <w:t xml:space="preserve"> </w:t>
      </w:r>
      <w:r w:rsidRPr="00742C7A">
        <w:rPr>
          <w:rFonts w:asciiTheme="minorHAnsi" w:hAnsiTheme="minorHAnsi" w:cstheme="minorHAnsi"/>
          <w:color w:val="000000"/>
          <w:szCs w:val="22"/>
          <w:lang w:eastAsia="zh-CN"/>
        </w:rPr>
        <w:t>represents</w:t>
      </w:r>
      <w:r w:rsidRPr="00536900">
        <w:rPr>
          <w:rFonts w:asciiTheme="minorHAnsi" w:hAnsiTheme="minorHAnsi" w:cstheme="minorHAnsi"/>
          <w:color w:val="000000"/>
          <w:szCs w:val="22"/>
          <w:lang w:eastAsia="zh-CN"/>
        </w:rPr>
        <w:t xml:space="preserve"> the actual expenses (red sticks) compared to the planned expenses (blue sticks)</w:t>
      </w:r>
      <w:r>
        <w:rPr>
          <w:rFonts w:asciiTheme="minorHAnsi" w:hAnsiTheme="minorHAnsi" w:cstheme="minorHAnsi"/>
          <w:color w:val="000000"/>
          <w:szCs w:val="22"/>
          <w:lang w:eastAsia="zh-CN"/>
        </w:rPr>
        <w:t>.</w:t>
      </w:r>
      <w:r w:rsidR="0074124E">
        <w:rPr>
          <w:rFonts w:asciiTheme="minorHAnsi" w:hAnsiTheme="minorHAnsi" w:cstheme="minorHAnsi"/>
          <w:color w:val="000000"/>
          <w:szCs w:val="22"/>
          <w:lang w:eastAsia="zh-CN"/>
        </w:rPr>
        <w:t xml:space="preserve"> T</w:t>
      </w:r>
      <w:r w:rsidRPr="00536900">
        <w:rPr>
          <w:rFonts w:asciiTheme="minorHAnsi" w:hAnsiTheme="minorHAnsi" w:cstheme="minorHAnsi"/>
          <w:color w:val="000000"/>
          <w:szCs w:val="22"/>
          <w:lang w:eastAsia="zh-CN"/>
        </w:rPr>
        <w:t>his graph allows a monthly and measurable monitoring of the expenses in order to bring</w:t>
      </w:r>
      <w:r w:rsidR="0074124E">
        <w:rPr>
          <w:rFonts w:asciiTheme="minorHAnsi" w:hAnsiTheme="minorHAnsi" w:cstheme="minorHAnsi"/>
          <w:color w:val="000000"/>
          <w:szCs w:val="22"/>
          <w:lang w:eastAsia="zh-CN"/>
        </w:rPr>
        <w:t>,</w:t>
      </w:r>
      <w:r w:rsidRPr="00536900">
        <w:rPr>
          <w:rFonts w:asciiTheme="minorHAnsi" w:hAnsiTheme="minorHAnsi" w:cstheme="minorHAnsi"/>
          <w:color w:val="000000"/>
          <w:szCs w:val="22"/>
          <w:lang w:eastAsia="zh-CN"/>
        </w:rPr>
        <w:t xml:space="preserve"> if necessary</w:t>
      </w:r>
      <w:r w:rsidR="0074124E">
        <w:rPr>
          <w:rFonts w:asciiTheme="minorHAnsi" w:hAnsiTheme="minorHAnsi" w:cstheme="minorHAnsi"/>
          <w:color w:val="000000"/>
          <w:szCs w:val="22"/>
          <w:lang w:eastAsia="zh-CN"/>
        </w:rPr>
        <w:t>,</w:t>
      </w:r>
      <w:r w:rsidRPr="00536900">
        <w:rPr>
          <w:rFonts w:asciiTheme="minorHAnsi" w:hAnsiTheme="minorHAnsi" w:cstheme="minorHAnsi"/>
          <w:color w:val="000000"/>
          <w:szCs w:val="22"/>
          <w:lang w:eastAsia="zh-CN"/>
        </w:rPr>
        <w:t xml:space="preserve"> the corrective measures in a reactive manner. In addition, it also </w:t>
      </w:r>
      <w:r w:rsidR="005E3477">
        <w:rPr>
          <w:rFonts w:asciiTheme="minorHAnsi" w:hAnsiTheme="minorHAnsi" w:cstheme="minorHAnsi"/>
          <w:color w:val="000000"/>
          <w:szCs w:val="22"/>
          <w:lang w:eastAsia="zh-CN"/>
        </w:rPr>
        <w:t>allows</w:t>
      </w:r>
      <w:r w:rsidR="005570F9">
        <w:rPr>
          <w:rFonts w:asciiTheme="minorHAnsi" w:hAnsiTheme="minorHAnsi" w:cstheme="minorHAnsi"/>
          <w:color w:val="000000"/>
          <w:szCs w:val="22"/>
          <w:lang w:eastAsia="zh-CN"/>
        </w:rPr>
        <w:t xml:space="preserve"> to</w:t>
      </w:r>
      <w:r w:rsidRPr="00536900">
        <w:rPr>
          <w:rFonts w:asciiTheme="minorHAnsi" w:hAnsiTheme="minorHAnsi" w:cstheme="minorHAnsi"/>
          <w:color w:val="000000"/>
          <w:szCs w:val="22"/>
          <w:lang w:eastAsia="zh-CN"/>
        </w:rPr>
        <w:t xml:space="preserve"> monitor the amount linked to the risk register (black dashed line) as the project progresses. The contingency (green line) will change as and when we draw </w:t>
      </w:r>
      <w:r w:rsidR="005E09B3">
        <w:rPr>
          <w:rFonts w:asciiTheme="minorHAnsi" w:hAnsiTheme="minorHAnsi" w:cstheme="minorHAnsi"/>
          <w:color w:val="000000"/>
          <w:szCs w:val="22"/>
          <w:lang w:eastAsia="zh-CN"/>
        </w:rPr>
        <w:t>from the contingency</w:t>
      </w:r>
      <w:r w:rsidRPr="00536900">
        <w:rPr>
          <w:rFonts w:asciiTheme="minorHAnsi" w:hAnsiTheme="minorHAnsi" w:cstheme="minorHAnsi"/>
          <w:color w:val="000000"/>
          <w:szCs w:val="22"/>
          <w:lang w:eastAsia="zh-CN"/>
        </w:rPr>
        <w:t xml:space="preserve"> according to the approach specified in chapter 3.8.</w:t>
      </w:r>
    </w:p>
    <w:p w14:paraId="7047DD6E" w14:textId="67011E1D" w:rsidR="00D824AE" w:rsidRDefault="00D824AE" w:rsidP="007A65D0">
      <w:pPr>
        <w:spacing w:before="240" w:after="120"/>
        <w:jc w:val="both"/>
        <w:rPr>
          <w:rFonts w:asciiTheme="minorHAnsi" w:hAnsiTheme="minorHAnsi" w:cstheme="minorHAnsi"/>
          <w:b/>
          <w:bCs/>
          <w:color w:val="000000" w:themeColor="text1"/>
        </w:rPr>
      </w:pPr>
      <w:r w:rsidRPr="00D75BAB">
        <w:rPr>
          <w:rFonts w:asciiTheme="minorHAnsi" w:hAnsiTheme="minorHAnsi" w:cstheme="minorHAnsi"/>
          <w:b/>
          <w:bCs/>
          <w:color w:val="000000" w:themeColor="text1"/>
        </w:rPr>
        <w:t>4.5</w:t>
      </w:r>
      <w:r w:rsidRPr="00D75BAB">
        <w:rPr>
          <w:rFonts w:asciiTheme="minorHAnsi" w:hAnsiTheme="minorHAnsi" w:cstheme="minorHAnsi"/>
          <w:b/>
          <w:bCs/>
          <w:color w:val="000000" w:themeColor="text1"/>
        </w:rPr>
        <w:tab/>
        <w:t xml:space="preserve">Indirect </w:t>
      </w:r>
      <w:r w:rsidR="0041182C" w:rsidRPr="00D75BAB">
        <w:rPr>
          <w:rFonts w:asciiTheme="minorHAnsi" w:hAnsiTheme="minorHAnsi" w:cstheme="minorHAnsi"/>
          <w:b/>
          <w:bCs/>
          <w:color w:val="000000" w:themeColor="text1"/>
        </w:rPr>
        <w:t>project costs</w:t>
      </w:r>
    </w:p>
    <w:p w14:paraId="04CB69A9" w14:textId="092627BA" w:rsidR="00663269" w:rsidRDefault="009D1802" w:rsidP="007A65D0">
      <w:pPr>
        <w:tabs>
          <w:tab w:val="clear" w:pos="567"/>
          <w:tab w:val="clear" w:pos="1134"/>
          <w:tab w:val="clear" w:pos="1701"/>
          <w:tab w:val="clear" w:pos="2268"/>
          <w:tab w:val="clear" w:pos="283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both"/>
        <w:textAlignment w:val="auto"/>
        <w:rPr>
          <w:rFonts w:asciiTheme="minorHAnsi" w:hAnsiTheme="minorHAnsi" w:cstheme="minorHAnsi"/>
          <w:color w:val="000000"/>
          <w:szCs w:val="22"/>
          <w:lang w:eastAsia="zh-CN"/>
        </w:rPr>
      </w:pPr>
      <w:r w:rsidRPr="002E1E58">
        <w:rPr>
          <w:rFonts w:asciiTheme="minorHAnsi" w:hAnsiTheme="minorHAnsi" w:cstheme="minorHAnsi"/>
          <w:color w:val="000000"/>
          <w:szCs w:val="22"/>
          <w:lang w:eastAsia="zh-CN"/>
        </w:rPr>
        <w:t>I</w:t>
      </w:r>
      <w:r w:rsidRPr="009D1802">
        <w:rPr>
          <w:rFonts w:asciiTheme="minorHAnsi" w:hAnsiTheme="minorHAnsi" w:cstheme="minorHAnsi"/>
          <w:color w:val="000000"/>
          <w:szCs w:val="22"/>
          <w:lang w:eastAsia="zh-CN"/>
        </w:rPr>
        <w:t xml:space="preserve">n accordance with </w:t>
      </w:r>
      <w:r w:rsidR="00116D7A">
        <w:rPr>
          <w:rFonts w:asciiTheme="minorHAnsi" w:hAnsiTheme="minorHAnsi" w:cstheme="minorHAnsi"/>
          <w:color w:val="000000"/>
          <w:szCs w:val="22"/>
          <w:lang w:eastAsia="zh-CN"/>
        </w:rPr>
        <w:t xml:space="preserve">Council </w:t>
      </w:r>
      <w:r w:rsidRPr="002E1E58">
        <w:rPr>
          <w:rFonts w:asciiTheme="minorHAnsi" w:hAnsiTheme="minorHAnsi" w:cstheme="minorHAnsi"/>
          <w:color w:val="000000"/>
          <w:szCs w:val="22"/>
          <w:lang w:eastAsia="zh-CN"/>
        </w:rPr>
        <w:t>Decision</w:t>
      </w:r>
      <w:r w:rsidRPr="009D1802">
        <w:rPr>
          <w:rFonts w:asciiTheme="minorHAnsi" w:hAnsiTheme="minorHAnsi" w:cstheme="minorHAnsi"/>
          <w:color w:val="000000"/>
          <w:szCs w:val="22"/>
          <w:lang w:eastAsia="zh-CN"/>
        </w:rPr>
        <w:t xml:space="preserve"> 619 </w:t>
      </w:r>
      <w:r w:rsidR="00607F8E" w:rsidRPr="002E1E58">
        <w:rPr>
          <w:rFonts w:asciiTheme="minorHAnsi" w:hAnsiTheme="minorHAnsi" w:cstheme="minorHAnsi"/>
          <w:color w:val="000000"/>
          <w:szCs w:val="22"/>
          <w:lang w:eastAsia="zh-CN"/>
        </w:rPr>
        <w:t>and as per the table presented at C</w:t>
      </w:r>
      <w:r w:rsidR="005E1F5A" w:rsidRPr="002E1E58">
        <w:rPr>
          <w:rFonts w:asciiTheme="minorHAnsi" w:hAnsiTheme="minorHAnsi" w:cstheme="minorHAnsi"/>
          <w:color w:val="000000"/>
          <w:szCs w:val="22"/>
          <w:lang w:eastAsia="zh-CN"/>
        </w:rPr>
        <w:t>WG-FHR in February 2020,</w:t>
      </w:r>
      <w:r w:rsidR="00607F8E" w:rsidRPr="002E1E58">
        <w:rPr>
          <w:rFonts w:asciiTheme="minorHAnsi" w:hAnsiTheme="minorHAnsi" w:cstheme="minorHAnsi"/>
          <w:color w:val="000000"/>
          <w:szCs w:val="22"/>
          <w:lang w:eastAsia="zh-CN"/>
        </w:rPr>
        <w:t xml:space="preserve"> </w:t>
      </w:r>
      <w:r w:rsidRPr="009D1802">
        <w:rPr>
          <w:rFonts w:asciiTheme="minorHAnsi" w:hAnsiTheme="minorHAnsi" w:cstheme="minorHAnsi"/>
          <w:color w:val="000000"/>
          <w:szCs w:val="22"/>
          <w:lang w:eastAsia="zh-CN"/>
        </w:rPr>
        <w:t>CH</w:t>
      </w:r>
      <w:r w:rsidRPr="002E1E58">
        <w:rPr>
          <w:rFonts w:asciiTheme="minorHAnsi" w:hAnsiTheme="minorHAnsi" w:cstheme="minorHAnsi"/>
          <w:color w:val="000000"/>
          <w:szCs w:val="22"/>
          <w:lang w:eastAsia="zh-CN"/>
        </w:rPr>
        <w:t>F</w:t>
      </w:r>
      <w:r w:rsidRPr="009D1802">
        <w:rPr>
          <w:rFonts w:asciiTheme="minorHAnsi" w:hAnsiTheme="minorHAnsi" w:cstheme="minorHAnsi"/>
          <w:color w:val="000000"/>
          <w:szCs w:val="22"/>
          <w:lang w:eastAsia="zh-CN"/>
        </w:rPr>
        <w:t xml:space="preserve"> 935</w:t>
      </w:r>
      <w:r w:rsidRPr="002E1E58">
        <w:rPr>
          <w:rFonts w:asciiTheme="minorHAnsi" w:hAnsiTheme="minorHAnsi" w:cstheme="minorHAnsi"/>
          <w:color w:val="000000"/>
          <w:szCs w:val="22"/>
          <w:lang w:eastAsia="zh-CN"/>
        </w:rPr>
        <w:t>K</w:t>
      </w:r>
      <w:r w:rsidRPr="009D1802">
        <w:rPr>
          <w:rFonts w:asciiTheme="minorHAnsi" w:hAnsiTheme="minorHAnsi" w:cstheme="minorHAnsi"/>
          <w:color w:val="000000"/>
          <w:szCs w:val="22"/>
          <w:lang w:eastAsia="zh-CN"/>
        </w:rPr>
        <w:t xml:space="preserve"> will be allocated for indirect costs</w:t>
      </w:r>
      <w:r w:rsidR="002E1E58">
        <w:rPr>
          <w:rFonts w:asciiTheme="minorHAnsi" w:hAnsiTheme="minorHAnsi" w:cstheme="minorHAnsi"/>
          <w:color w:val="000000"/>
          <w:szCs w:val="22"/>
          <w:lang w:eastAsia="zh-CN"/>
        </w:rPr>
        <w:t>.</w:t>
      </w:r>
      <w:r w:rsidR="00B14993" w:rsidRPr="00B14993">
        <w:rPr>
          <w:rFonts w:asciiTheme="minorHAnsi" w:hAnsiTheme="minorHAnsi" w:cstheme="minorHAnsi"/>
          <w:color w:val="000000"/>
          <w:szCs w:val="22"/>
          <w:lang w:eastAsia="zh-CN"/>
        </w:rPr>
        <w:t xml:space="preserve"> </w:t>
      </w:r>
      <w:r w:rsidR="00B14993">
        <w:rPr>
          <w:rFonts w:asciiTheme="minorHAnsi" w:hAnsiTheme="minorHAnsi" w:cstheme="minorHAnsi"/>
          <w:color w:val="000000"/>
          <w:szCs w:val="22"/>
          <w:lang w:eastAsia="zh-CN"/>
        </w:rPr>
        <w:t xml:space="preserve">The indirect project costs table is presented in </w:t>
      </w:r>
      <w:hyperlink w:anchor="AnnexD" w:history="1">
        <w:r w:rsidR="00B14993" w:rsidRPr="00B14993">
          <w:rPr>
            <w:rStyle w:val="Hyperlink"/>
            <w:rFonts w:asciiTheme="minorHAnsi" w:hAnsiTheme="minorHAnsi" w:cstheme="minorHAnsi"/>
            <w:szCs w:val="22"/>
            <w:lang w:eastAsia="zh-CN"/>
          </w:rPr>
          <w:t>Annex D</w:t>
        </w:r>
      </w:hyperlink>
      <w:r w:rsidR="00B14993">
        <w:rPr>
          <w:rFonts w:asciiTheme="minorHAnsi" w:hAnsiTheme="minorHAnsi" w:cstheme="minorHAnsi"/>
          <w:color w:val="000000"/>
          <w:szCs w:val="22"/>
          <w:lang w:eastAsia="zh-CN"/>
        </w:rPr>
        <w:t>.</w:t>
      </w:r>
    </w:p>
    <w:p w14:paraId="096656D2" w14:textId="77777777" w:rsidR="00D52500" w:rsidRDefault="00D52500" w:rsidP="007A65D0">
      <w:pPr>
        <w:tabs>
          <w:tab w:val="clear" w:pos="567"/>
          <w:tab w:val="clear" w:pos="1134"/>
          <w:tab w:val="clear" w:pos="1701"/>
          <w:tab w:val="clear" w:pos="2268"/>
          <w:tab w:val="clear" w:pos="283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both"/>
        <w:textAlignment w:val="auto"/>
        <w:rPr>
          <w:rFonts w:asciiTheme="minorHAnsi" w:hAnsiTheme="minorHAnsi" w:cstheme="minorHAnsi"/>
          <w:color w:val="000000"/>
          <w:szCs w:val="22"/>
          <w:lang w:eastAsia="zh-CN"/>
        </w:rPr>
      </w:pPr>
    </w:p>
    <w:p w14:paraId="602C8981" w14:textId="5539FFCE" w:rsidR="00D52500" w:rsidRPr="00D52500" w:rsidRDefault="00D52500" w:rsidP="007A65D0">
      <w:pPr>
        <w:tabs>
          <w:tab w:val="clear" w:pos="567"/>
          <w:tab w:val="clear" w:pos="1134"/>
          <w:tab w:val="clear" w:pos="1701"/>
          <w:tab w:val="clear" w:pos="2268"/>
          <w:tab w:val="clear" w:pos="283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both"/>
        <w:textAlignment w:val="auto"/>
        <w:rPr>
          <w:rFonts w:asciiTheme="minorHAnsi" w:hAnsiTheme="minorHAnsi" w:cstheme="minorHAnsi"/>
          <w:color w:val="000000"/>
          <w:szCs w:val="22"/>
          <w:lang w:eastAsia="zh-CN"/>
        </w:rPr>
      </w:pPr>
      <w:r w:rsidRPr="00D52500">
        <w:rPr>
          <w:rFonts w:asciiTheme="minorHAnsi" w:hAnsiTheme="minorHAnsi" w:cstheme="minorHAnsi"/>
          <w:color w:val="000000"/>
          <w:szCs w:val="22"/>
          <w:lang w:eastAsia="zh-CN"/>
        </w:rPr>
        <w:lastRenderedPageBreak/>
        <w:t xml:space="preserve">Indirect costs are to be provisioned annually according to the indications presented in the table below and are included in the ITU operating budget during the </w:t>
      </w:r>
      <w:r w:rsidR="00116D7A">
        <w:rPr>
          <w:rFonts w:asciiTheme="minorHAnsi" w:hAnsiTheme="minorHAnsi" w:cstheme="minorHAnsi"/>
          <w:color w:val="000000"/>
          <w:szCs w:val="22"/>
          <w:lang w:eastAsia="zh-CN"/>
        </w:rPr>
        <w:t>P</w:t>
      </w:r>
      <w:r w:rsidRPr="00D52500">
        <w:rPr>
          <w:rFonts w:asciiTheme="minorHAnsi" w:hAnsiTheme="minorHAnsi" w:cstheme="minorHAnsi"/>
          <w:color w:val="000000"/>
          <w:szCs w:val="22"/>
          <w:lang w:eastAsia="zh-CN"/>
        </w:rPr>
        <w:t>roject period.</w:t>
      </w:r>
    </w:p>
    <w:p w14:paraId="3198468F" w14:textId="487398AC" w:rsidR="00133FBC" w:rsidRPr="00355EFF" w:rsidRDefault="006742B6" w:rsidP="00AC4E66">
      <w:pPr>
        <w:pStyle w:val="ListParagraph"/>
        <w:numPr>
          <w:ilvl w:val="0"/>
          <w:numId w:val="37"/>
        </w:numPr>
        <w:spacing w:before="120" w:after="120"/>
        <w:ind w:hanging="720"/>
        <w:jc w:val="both"/>
        <w:rPr>
          <w:rFonts w:asciiTheme="minorHAnsi" w:hAnsiTheme="minorHAnsi" w:cstheme="minorHAnsi"/>
          <w:b/>
          <w:bCs/>
          <w:color w:val="000000" w:themeColor="text1"/>
          <w:sz w:val="28"/>
          <w:szCs w:val="28"/>
          <w:lang w:eastAsia="ja-JP"/>
        </w:rPr>
      </w:pPr>
      <w:r w:rsidRPr="00355EFF">
        <w:rPr>
          <w:rFonts w:asciiTheme="minorHAnsi" w:hAnsiTheme="minorHAnsi" w:cstheme="minorHAnsi"/>
          <w:b/>
          <w:bCs/>
          <w:color w:val="000000" w:themeColor="text1"/>
          <w:sz w:val="28"/>
          <w:szCs w:val="28"/>
          <w:lang w:eastAsia="ja-JP"/>
        </w:rPr>
        <w:t xml:space="preserve">Definition of </w:t>
      </w:r>
      <w:r w:rsidR="00895B7B" w:rsidRPr="00355EFF">
        <w:rPr>
          <w:rFonts w:asciiTheme="minorHAnsi" w:hAnsiTheme="minorHAnsi" w:cstheme="minorHAnsi"/>
          <w:b/>
          <w:bCs/>
          <w:color w:val="000000" w:themeColor="text1"/>
          <w:sz w:val="28"/>
          <w:szCs w:val="28"/>
          <w:lang w:eastAsia="ja-JP"/>
        </w:rPr>
        <w:t>Easement Instalment</w:t>
      </w:r>
      <w:r w:rsidRPr="00355EFF">
        <w:rPr>
          <w:rFonts w:asciiTheme="minorHAnsi" w:hAnsiTheme="minorHAnsi" w:cstheme="minorHAnsi"/>
          <w:b/>
          <w:bCs/>
          <w:color w:val="000000" w:themeColor="text1"/>
          <w:sz w:val="28"/>
          <w:szCs w:val="28"/>
          <w:lang w:eastAsia="ja-JP"/>
        </w:rPr>
        <w:t>s</w:t>
      </w:r>
      <w:r w:rsidR="00E52A4F" w:rsidRPr="00355EFF">
        <w:rPr>
          <w:rFonts w:asciiTheme="minorHAnsi" w:hAnsiTheme="minorHAnsi" w:cstheme="minorHAnsi"/>
          <w:b/>
          <w:bCs/>
          <w:color w:val="000000" w:themeColor="text1"/>
          <w:sz w:val="28"/>
          <w:szCs w:val="28"/>
          <w:lang w:eastAsia="ja-JP"/>
        </w:rPr>
        <w:t xml:space="preserve"> </w:t>
      </w:r>
      <w:r w:rsidR="00AB2D3B" w:rsidRPr="00355EFF">
        <w:rPr>
          <w:rFonts w:asciiTheme="minorHAnsi" w:hAnsiTheme="minorHAnsi" w:cstheme="minorHAnsi"/>
          <w:b/>
          <w:bCs/>
          <w:color w:val="000000" w:themeColor="text1"/>
          <w:sz w:val="28"/>
          <w:szCs w:val="28"/>
          <w:lang w:eastAsia="ja-JP"/>
        </w:rPr>
        <w:t xml:space="preserve">prior to the </w:t>
      </w:r>
      <w:r w:rsidR="00DF70EA" w:rsidRPr="00355EFF">
        <w:rPr>
          <w:rFonts w:asciiTheme="minorHAnsi" w:hAnsiTheme="minorHAnsi" w:cstheme="minorHAnsi"/>
          <w:b/>
          <w:bCs/>
          <w:color w:val="000000" w:themeColor="text1"/>
          <w:sz w:val="28"/>
          <w:szCs w:val="28"/>
          <w:lang w:eastAsia="ja-JP"/>
        </w:rPr>
        <w:t xml:space="preserve">Permitting </w:t>
      </w:r>
      <w:r w:rsidR="00F873E0" w:rsidRPr="00355EFF">
        <w:rPr>
          <w:rFonts w:asciiTheme="minorHAnsi" w:hAnsiTheme="minorHAnsi" w:cstheme="minorHAnsi"/>
          <w:b/>
          <w:bCs/>
          <w:color w:val="000000" w:themeColor="text1"/>
          <w:sz w:val="28"/>
          <w:szCs w:val="28"/>
          <w:lang w:eastAsia="ja-JP"/>
        </w:rPr>
        <w:t xml:space="preserve">Request </w:t>
      </w:r>
      <w:r w:rsidR="00D157EA" w:rsidRPr="00355EFF">
        <w:rPr>
          <w:rFonts w:asciiTheme="minorHAnsi" w:hAnsiTheme="minorHAnsi" w:cstheme="minorHAnsi"/>
          <w:b/>
          <w:bCs/>
          <w:color w:val="000000" w:themeColor="text1"/>
          <w:sz w:val="28"/>
          <w:szCs w:val="28"/>
          <w:lang w:eastAsia="ja-JP"/>
        </w:rPr>
        <w:t>Submission</w:t>
      </w:r>
    </w:p>
    <w:p w14:paraId="7C10B94A" w14:textId="7C7A1074" w:rsidR="00894E27" w:rsidRDefault="00194883" w:rsidP="007A65D0">
      <w:pPr>
        <w:spacing w:after="120"/>
        <w:jc w:val="both"/>
        <w:rPr>
          <w:rFonts w:asciiTheme="minorHAnsi" w:hAnsiTheme="minorHAnsi" w:cstheme="minorHAnsi"/>
          <w:color w:val="000000"/>
          <w:szCs w:val="22"/>
          <w:lang w:eastAsia="zh-CN"/>
        </w:rPr>
      </w:pPr>
      <w:r>
        <w:rPr>
          <w:rFonts w:asciiTheme="minorHAnsi" w:hAnsiTheme="minorHAnsi" w:cstheme="minorHAnsi"/>
          <w:color w:val="000000"/>
          <w:szCs w:val="22"/>
          <w:lang w:eastAsia="zh-CN"/>
        </w:rPr>
        <w:t xml:space="preserve">Prior to the </w:t>
      </w:r>
      <w:r w:rsidR="00862F8D">
        <w:rPr>
          <w:rFonts w:asciiTheme="minorHAnsi" w:hAnsiTheme="minorHAnsi" w:cstheme="minorHAnsi"/>
          <w:color w:val="000000"/>
          <w:szCs w:val="22"/>
          <w:lang w:eastAsia="zh-CN"/>
        </w:rPr>
        <w:t>submission of the construction permit request</w:t>
      </w:r>
      <w:r w:rsidR="0043555B">
        <w:rPr>
          <w:rFonts w:asciiTheme="minorHAnsi" w:hAnsiTheme="minorHAnsi" w:cstheme="minorHAnsi"/>
          <w:color w:val="000000"/>
          <w:szCs w:val="22"/>
          <w:lang w:eastAsia="zh-CN"/>
        </w:rPr>
        <w:t xml:space="preserve">, </w:t>
      </w:r>
      <w:r w:rsidR="00DA02C8" w:rsidRPr="00DA02C8">
        <w:rPr>
          <w:rFonts w:asciiTheme="minorHAnsi" w:hAnsiTheme="minorHAnsi" w:cstheme="minorHAnsi"/>
          <w:color w:val="000000"/>
          <w:szCs w:val="22"/>
          <w:lang w:eastAsia="zh-CN"/>
        </w:rPr>
        <w:t xml:space="preserve">existing and new easement </w:t>
      </w:r>
      <w:r w:rsidR="00590651" w:rsidRPr="00DA02C8">
        <w:rPr>
          <w:rFonts w:asciiTheme="minorHAnsi" w:hAnsiTheme="minorHAnsi" w:cstheme="minorHAnsi"/>
          <w:color w:val="000000"/>
          <w:szCs w:val="22"/>
          <w:lang w:eastAsia="zh-CN"/>
        </w:rPr>
        <w:t>instalments</w:t>
      </w:r>
      <w:r w:rsidR="00DA02C8" w:rsidRPr="00DA02C8">
        <w:rPr>
          <w:rFonts w:asciiTheme="minorHAnsi" w:hAnsiTheme="minorHAnsi" w:cstheme="minorHAnsi"/>
          <w:color w:val="000000"/>
          <w:szCs w:val="22"/>
          <w:lang w:eastAsia="zh-CN"/>
        </w:rPr>
        <w:t xml:space="preserve"> </w:t>
      </w:r>
      <w:r w:rsidR="000A4147">
        <w:rPr>
          <w:rFonts w:asciiTheme="minorHAnsi" w:hAnsiTheme="minorHAnsi" w:cstheme="minorHAnsi"/>
          <w:color w:val="000000"/>
          <w:szCs w:val="22"/>
          <w:lang w:eastAsia="zh-CN"/>
        </w:rPr>
        <w:t>must</w:t>
      </w:r>
      <w:r w:rsidR="0043555B">
        <w:rPr>
          <w:rFonts w:asciiTheme="minorHAnsi" w:hAnsiTheme="minorHAnsi" w:cstheme="minorHAnsi"/>
          <w:color w:val="000000"/>
          <w:szCs w:val="22"/>
          <w:lang w:eastAsia="zh-CN"/>
        </w:rPr>
        <w:t xml:space="preserve"> be </w:t>
      </w:r>
      <w:r w:rsidR="00EC5530">
        <w:rPr>
          <w:rFonts w:asciiTheme="minorHAnsi" w:hAnsiTheme="minorHAnsi" w:cstheme="minorHAnsi"/>
          <w:color w:val="000000"/>
          <w:szCs w:val="22"/>
          <w:lang w:eastAsia="zh-CN"/>
        </w:rPr>
        <w:t xml:space="preserve">identified and </w:t>
      </w:r>
      <w:r w:rsidR="004257BE">
        <w:rPr>
          <w:rFonts w:asciiTheme="minorHAnsi" w:hAnsiTheme="minorHAnsi" w:cstheme="minorHAnsi"/>
          <w:color w:val="000000"/>
          <w:szCs w:val="22"/>
          <w:lang w:eastAsia="zh-CN"/>
        </w:rPr>
        <w:t>addressed</w:t>
      </w:r>
      <w:r w:rsidR="00E909C4">
        <w:rPr>
          <w:rFonts w:asciiTheme="minorHAnsi" w:hAnsiTheme="minorHAnsi" w:cstheme="minorHAnsi"/>
          <w:color w:val="000000"/>
          <w:szCs w:val="22"/>
          <w:lang w:eastAsia="zh-CN"/>
        </w:rPr>
        <w:t xml:space="preserve">. The Secretariat is currently in the process of appointing </w:t>
      </w:r>
      <w:r w:rsidR="00A7380A">
        <w:rPr>
          <w:rFonts w:asciiTheme="minorHAnsi" w:hAnsiTheme="minorHAnsi" w:cstheme="minorHAnsi"/>
          <w:color w:val="000000"/>
          <w:szCs w:val="22"/>
          <w:lang w:eastAsia="zh-CN"/>
        </w:rPr>
        <w:t>the</w:t>
      </w:r>
      <w:r w:rsidR="00E909C4">
        <w:rPr>
          <w:rFonts w:asciiTheme="minorHAnsi" w:hAnsiTheme="minorHAnsi" w:cstheme="minorHAnsi"/>
          <w:color w:val="000000"/>
          <w:szCs w:val="22"/>
          <w:lang w:eastAsia="zh-CN"/>
        </w:rPr>
        <w:t xml:space="preserve"> </w:t>
      </w:r>
      <w:r w:rsidR="008561B9">
        <w:rPr>
          <w:rFonts w:asciiTheme="minorHAnsi" w:hAnsiTheme="minorHAnsi" w:cstheme="minorHAnsi"/>
          <w:color w:val="000000"/>
          <w:szCs w:val="22"/>
          <w:lang w:eastAsia="zh-CN"/>
        </w:rPr>
        <w:t>N</w:t>
      </w:r>
      <w:r w:rsidR="00F15D30">
        <w:rPr>
          <w:rFonts w:asciiTheme="minorHAnsi" w:hAnsiTheme="minorHAnsi" w:cstheme="minorHAnsi"/>
          <w:color w:val="000000"/>
          <w:szCs w:val="22"/>
          <w:lang w:eastAsia="zh-CN"/>
        </w:rPr>
        <w:t xml:space="preserve">otary </w:t>
      </w:r>
      <w:r w:rsidR="00590651">
        <w:rPr>
          <w:rFonts w:asciiTheme="minorHAnsi" w:hAnsiTheme="minorHAnsi" w:cstheme="minorHAnsi"/>
          <w:color w:val="000000"/>
          <w:szCs w:val="22"/>
          <w:lang w:eastAsia="zh-CN"/>
        </w:rPr>
        <w:t xml:space="preserve">familiar with the </w:t>
      </w:r>
      <w:r w:rsidR="00A7380A">
        <w:rPr>
          <w:rFonts w:asciiTheme="minorHAnsi" w:hAnsiTheme="minorHAnsi" w:cstheme="minorHAnsi"/>
          <w:color w:val="000000"/>
          <w:szCs w:val="22"/>
          <w:lang w:eastAsia="zh-CN"/>
        </w:rPr>
        <w:t>history of the ITU buildings</w:t>
      </w:r>
      <w:r w:rsidR="00116D7A">
        <w:rPr>
          <w:rFonts w:asciiTheme="minorHAnsi" w:hAnsiTheme="minorHAnsi" w:cstheme="minorHAnsi"/>
          <w:color w:val="000000"/>
          <w:szCs w:val="22"/>
          <w:lang w:eastAsia="zh-CN"/>
        </w:rPr>
        <w:t>, as well as with ITU status, privileges and immunities</w:t>
      </w:r>
      <w:r w:rsidR="00A7380A">
        <w:rPr>
          <w:rFonts w:asciiTheme="minorHAnsi" w:hAnsiTheme="minorHAnsi" w:cstheme="minorHAnsi"/>
          <w:color w:val="000000"/>
          <w:szCs w:val="22"/>
          <w:lang w:eastAsia="zh-CN"/>
        </w:rPr>
        <w:t xml:space="preserve">. </w:t>
      </w:r>
      <w:r w:rsidR="000F2C6E">
        <w:rPr>
          <w:rFonts w:asciiTheme="minorHAnsi" w:hAnsiTheme="minorHAnsi" w:cstheme="minorHAnsi"/>
          <w:color w:val="000000"/>
          <w:szCs w:val="22"/>
          <w:lang w:eastAsia="zh-CN"/>
        </w:rPr>
        <w:t>Prior to the establishment of th</w:t>
      </w:r>
      <w:r w:rsidR="00F81A45">
        <w:rPr>
          <w:rFonts w:asciiTheme="minorHAnsi" w:hAnsiTheme="minorHAnsi" w:cstheme="minorHAnsi"/>
          <w:color w:val="000000"/>
          <w:szCs w:val="22"/>
          <w:lang w:eastAsia="zh-CN"/>
        </w:rPr>
        <w:t>e notarial</w:t>
      </w:r>
      <w:r w:rsidR="005A683B">
        <w:rPr>
          <w:rFonts w:asciiTheme="minorHAnsi" w:hAnsiTheme="minorHAnsi" w:cstheme="minorHAnsi"/>
          <w:color w:val="000000"/>
          <w:szCs w:val="22"/>
          <w:lang w:eastAsia="zh-CN"/>
        </w:rPr>
        <w:t xml:space="preserve"> acts, consultations with </w:t>
      </w:r>
      <w:r w:rsidR="008D4CE9">
        <w:rPr>
          <w:rFonts w:asciiTheme="minorHAnsi" w:hAnsiTheme="minorHAnsi" w:cstheme="minorHAnsi"/>
          <w:color w:val="000000"/>
          <w:szCs w:val="22"/>
          <w:lang w:eastAsia="zh-CN"/>
        </w:rPr>
        <w:t xml:space="preserve">different </w:t>
      </w:r>
      <w:r w:rsidR="005C68B7">
        <w:rPr>
          <w:rFonts w:asciiTheme="minorHAnsi" w:hAnsiTheme="minorHAnsi" w:cstheme="minorHAnsi"/>
          <w:color w:val="000000"/>
          <w:szCs w:val="22"/>
          <w:lang w:eastAsia="zh-CN"/>
        </w:rPr>
        <w:t>landowners</w:t>
      </w:r>
      <w:r w:rsidR="00A179D5">
        <w:rPr>
          <w:rFonts w:asciiTheme="minorHAnsi" w:hAnsiTheme="minorHAnsi" w:cstheme="minorHAnsi"/>
          <w:color w:val="000000"/>
          <w:szCs w:val="22"/>
          <w:lang w:eastAsia="zh-CN"/>
        </w:rPr>
        <w:t xml:space="preserve"> and</w:t>
      </w:r>
      <w:r w:rsidR="009F0862">
        <w:rPr>
          <w:rFonts w:asciiTheme="minorHAnsi" w:hAnsiTheme="minorHAnsi" w:cstheme="minorHAnsi"/>
          <w:color w:val="000000"/>
          <w:szCs w:val="22"/>
          <w:lang w:eastAsia="zh-CN"/>
        </w:rPr>
        <w:t>/or</w:t>
      </w:r>
      <w:r w:rsidR="00A179D5">
        <w:rPr>
          <w:rFonts w:asciiTheme="minorHAnsi" w:hAnsiTheme="minorHAnsi" w:cstheme="minorHAnsi"/>
          <w:color w:val="000000"/>
          <w:szCs w:val="22"/>
          <w:lang w:eastAsia="zh-CN"/>
        </w:rPr>
        <w:t xml:space="preserve"> beneficiaries will have to take place to agree on the </w:t>
      </w:r>
      <w:r w:rsidR="008D4CE9">
        <w:rPr>
          <w:rFonts w:asciiTheme="minorHAnsi" w:hAnsiTheme="minorHAnsi" w:cstheme="minorHAnsi"/>
          <w:color w:val="000000"/>
          <w:szCs w:val="22"/>
          <w:lang w:eastAsia="zh-CN"/>
        </w:rPr>
        <w:t>modalities</w:t>
      </w:r>
      <w:r w:rsidR="007F3583">
        <w:rPr>
          <w:rFonts w:asciiTheme="minorHAnsi" w:hAnsiTheme="minorHAnsi" w:cstheme="minorHAnsi"/>
          <w:color w:val="000000"/>
          <w:szCs w:val="22"/>
          <w:lang w:eastAsia="zh-CN"/>
        </w:rPr>
        <w:t xml:space="preserve"> </w:t>
      </w:r>
      <w:r w:rsidR="00A947F6">
        <w:rPr>
          <w:rFonts w:asciiTheme="minorHAnsi" w:hAnsiTheme="minorHAnsi" w:cstheme="minorHAnsi"/>
          <w:color w:val="000000"/>
          <w:szCs w:val="22"/>
          <w:lang w:eastAsia="zh-CN"/>
        </w:rPr>
        <w:t>of</w:t>
      </w:r>
      <w:r w:rsidR="007F3583">
        <w:rPr>
          <w:rFonts w:asciiTheme="minorHAnsi" w:hAnsiTheme="minorHAnsi" w:cstheme="minorHAnsi"/>
          <w:color w:val="000000"/>
          <w:szCs w:val="22"/>
          <w:lang w:eastAsia="zh-CN"/>
        </w:rPr>
        <w:t xml:space="preserve"> the form of </w:t>
      </w:r>
      <w:r w:rsidR="005C68B7">
        <w:rPr>
          <w:rFonts w:asciiTheme="minorHAnsi" w:hAnsiTheme="minorHAnsi" w:cstheme="minorHAnsi"/>
          <w:color w:val="000000"/>
          <w:szCs w:val="22"/>
          <w:lang w:eastAsia="zh-CN"/>
        </w:rPr>
        <w:t>written agreement</w:t>
      </w:r>
      <w:r w:rsidR="00A30FC3">
        <w:rPr>
          <w:rFonts w:asciiTheme="minorHAnsi" w:hAnsiTheme="minorHAnsi" w:cstheme="minorHAnsi"/>
          <w:color w:val="000000"/>
          <w:szCs w:val="22"/>
          <w:lang w:eastAsia="zh-CN"/>
        </w:rPr>
        <w:t xml:space="preserve"> </w:t>
      </w:r>
      <w:r w:rsidR="00610933">
        <w:rPr>
          <w:rFonts w:asciiTheme="minorHAnsi" w:hAnsiTheme="minorHAnsi" w:cstheme="minorHAnsi"/>
          <w:color w:val="000000"/>
          <w:szCs w:val="22"/>
          <w:lang w:eastAsia="zh-CN"/>
        </w:rPr>
        <w:t xml:space="preserve">that has to </w:t>
      </w:r>
      <w:r w:rsidR="00A30FC3">
        <w:rPr>
          <w:rFonts w:asciiTheme="minorHAnsi" w:hAnsiTheme="minorHAnsi" w:cstheme="minorHAnsi"/>
          <w:color w:val="000000"/>
          <w:szCs w:val="22"/>
          <w:lang w:eastAsia="zh-CN"/>
        </w:rPr>
        <w:t>be part of the permitting request.</w:t>
      </w:r>
      <w:r w:rsidR="00893979">
        <w:rPr>
          <w:rFonts w:asciiTheme="minorHAnsi" w:hAnsiTheme="minorHAnsi" w:cstheme="minorHAnsi"/>
          <w:color w:val="000000"/>
          <w:szCs w:val="22"/>
          <w:lang w:eastAsia="zh-CN"/>
        </w:rPr>
        <w:t xml:space="preserve"> The notary will </w:t>
      </w:r>
      <w:r w:rsidR="002F49A0">
        <w:rPr>
          <w:rFonts w:asciiTheme="minorHAnsi" w:hAnsiTheme="minorHAnsi" w:cstheme="minorHAnsi"/>
          <w:color w:val="000000"/>
          <w:szCs w:val="22"/>
          <w:lang w:eastAsia="zh-CN"/>
        </w:rPr>
        <w:t xml:space="preserve">certify the agreement and </w:t>
      </w:r>
      <w:r w:rsidR="00A947F6">
        <w:rPr>
          <w:rFonts w:asciiTheme="minorHAnsi" w:hAnsiTheme="minorHAnsi" w:cstheme="minorHAnsi"/>
          <w:color w:val="000000"/>
          <w:szCs w:val="22"/>
          <w:lang w:eastAsia="zh-CN"/>
        </w:rPr>
        <w:t xml:space="preserve">then </w:t>
      </w:r>
      <w:r w:rsidR="00893979">
        <w:rPr>
          <w:rFonts w:asciiTheme="minorHAnsi" w:hAnsiTheme="minorHAnsi" w:cstheme="minorHAnsi"/>
          <w:color w:val="000000"/>
          <w:szCs w:val="22"/>
          <w:lang w:eastAsia="zh-CN"/>
        </w:rPr>
        <w:t xml:space="preserve">proceed with the establishment of </w:t>
      </w:r>
      <w:r w:rsidR="00F4214A">
        <w:rPr>
          <w:rFonts w:asciiTheme="minorHAnsi" w:hAnsiTheme="minorHAnsi" w:cstheme="minorHAnsi"/>
          <w:color w:val="000000"/>
          <w:szCs w:val="22"/>
          <w:lang w:eastAsia="zh-CN"/>
        </w:rPr>
        <w:t>every</w:t>
      </w:r>
      <w:r w:rsidR="00893979">
        <w:rPr>
          <w:rFonts w:asciiTheme="minorHAnsi" w:hAnsiTheme="minorHAnsi" w:cstheme="minorHAnsi"/>
          <w:color w:val="000000"/>
          <w:szCs w:val="22"/>
          <w:lang w:eastAsia="zh-CN"/>
        </w:rPr>
        <w:t xml:space="preserve"> single easement instalment</w:t>
      </w:r>
      <w:r w:rsidR="00542C7E">
        <w:rPr>
          <w:rFonts w:asciiTheme="minorHAnsi" w:hAnsiTheme="minorHAnsi" w:cstheme="minorHAnsi"/>
          <w:color w:val="000000"/>
          <w:szCs w:val="22"/>
          <w:lang w:eastAsia="zh-CN"/>
        </w:rPr>
        <w:t>.</w:t>
      </w:r>
    </w:p>
    <w:p w14:paraId="431BBC56" w14:textId="6ED574D3" w:rsidR="00DA02C8" w:rsidRPr="00D27794" w:rsidRDefault="005D388C" w:rsidP="007A65D0">
      <w:pPr>
        <w:pStyle w:val="ListParagraph"/>
        <w:numPr>
          <w:ilvl w:val="0"/>
          <w:numId w:val="37"/>
        </w:numPr>
        <w:tabs>
          <w:tab w:val="left" w:pos="720"/>
        </w:tabs>
        <w:spacing w:before="120" w:after="120"/>
        <w:ind w:left="0" w:firstLine="0"/>
        <w:rPr>
          <w:rFonts w:asciiTheme="minorHAnsi" w:hAnsiTheme="minorHAnsi" w:cstheme="minorHAnsi"/>
          <w:b/>
          <w:bCs/>
          <w:color w:val="000000" w:themeColor="text1"/>
          <w:sz w:val="28"/>
          <w:szCs w:val="28"/>
          <w:lang w:val="en-GB" w:eastAsia="ja-JP"/>
        </w:rPr>
      </w:pPr>
      <w:r w:rsidRPr="00355EFF">
        <w:rPr>
          <w:rFonts w:asciiTheme="minorHAnsi" w:hAnsiTheme="minorHAnsi" w:cstheme="minorHAnsi"/>
          <w:b/>
          <w:bCs/>
          <w:color w:val="000000" w:themeColor="text1"/>
          <w:sz w:val="28"/>
          <w:szCs w:val="28"/>
          <w:lang w:eastAsia="ja-JP"/>
        </w:rPr>
        <w:t>Development of file classification to move towards a paperless environment</w:t>
      </w:r>
    </w:p>
    <w:p w14:paraId="791B0FB8" w14:textId="2A8728ED" w:rsidR="00D27794" w:rsidRPr="00355EFF" w:rsidRDefault="00D27794" w:rsidP="007A65D0">
      <w:pPr>
        <w:spacing w:after="120"/>
        <w:jc w:val="both"/>
        <w:rPr>
          <w:lang w:eastAsia="ja-JP"/>
        </w:rPr>
      </w:pPr>
      <w:r>
        <w:t xml:space="preserve">As ITU transitions to its new building, the need for flexible working and paperless procedures becomes urgent, and although ITU has been adopting electronic working methods for many years, many processes are not fully digital as has been highlighted in the current crisis. ITU staff, members, and other stakeholders need to be able to access and use information online from multiple sources, in real-time and anytime (24/7), and there is a growing demand for more collaborative tools.  </w:t>
      </w:r>
      <w:hyperlink r:id="rId40" w:history="1">
        <w:r w:rsidRPr="00742C7A">
          <w:rPr>
            <w:rStyle w:val="Hyperlink"/>
          </w:rPr>
          <w:t>Document C20/53</w:t>
        </w:r>
      </w:hyperlink>
      <w:r>
        <w:rPr>
          <w:b/>
          <w:bCs/>
        </w:rPr>
        <w:t xml:space="preserve"> </w:t>
      </w:r>
      <w:r>
        <w:t xml:space="preserve">Business Continuity - Information management and </w:t>
      </w:r>
      <w:hyperlink r:id="rId41" w:history="1">
        <w:r w:rsidRPr="00742C7A">
          <w:rPr>
            <w:rStyle w:val="Hyperlink"/>
          </w:rPr>
          <w:t>Document C20/15</w:t>
        </w:r>
      </w:hyperlink>
      <w:r>
        <w:t xml:space="preserve"> ORMS Status report provide further details. </w:t>
      </w:r>
    </w:p>
    <w:p w14:paraId="28132E9B" w14:textId="6516B9EB" w:rsidR="00A25547" w:rsidRDefault="0086489C" w:rsidP="00AC4E66">
      <w:pPr>
        <w:pStyle w:val="ListParagraph"/>
        <w:numPr>
          <w:ilvl w:val="0"/>
          <w:numId w:val="37"/>
        </w:numPr>
        <w:spacing w:before="120" w:after="120"/>
        <w:ind w:hanging="720"/>
        <w:jc w:val="both"/>
        <w:rPr>
          <w:rFonts w:asciiTheme="minorHAnsi" w:hAnsiTheme="minorHAnsi" w:cstheme="minorHAnsi"/>
          <w:b/>
          <w:bCs/>
          <w:color w:val="000000" w:themeColor="text1"/>
          <w:sz w:val="28"/>
          <w:szCs w:val="28"/>
          <w:lang w:eastAsia="ja-JP"/>
        </w:rPr>
      </w:pPr>
      <w:r w:rsidRPr="00355EFF">
        <w:rPr>
          <w:rFonts w:asciiTheme="minorHAnsi" w:hAnsiTheme="minorHAnsi" w:cstheme="minorHAnsi"/>
          <w:b/>
          <w:bCs/>
          <w:color w:val="000000" w:themeColor="text1"/>
          <w:sz w:val="28"/>
          <w:szCs w:val="28"/>
          <w:lang w:eastAsia="ja-JP"/>
        </w:rPr>
        <w:t xml:space="preserve">Business Continuity – Conferences during </w:t>
      </w:r>
      <w:proofErr w:type="spellStart"/>
      <w:r w:rsidRPr="00355EFF">
        <w:rPr>
          <w:rFonts w:asciiTheme="minorHAnsi" w:hAnsiTheme="minorHAnsi" w:cstheme="minorHAnsi"/>
          <w:b/>
          <w:bCs/>
          <w:color w:val="000000" w:themeColor="text1"/>
          <w:sz w:val="28"/>
          <w:szCs w:val="28"/>
          <w:lang w:eastAsia="ja-JP"/>
        </w:rPr>
        <w:t>Varembé</w:t>
      </w:r>
      <w:proofErr w:type="spellEnd"/>
      <w:r w:rsidRPr="00355EFF">
        <w:rPr>
          <w:rFonts w:asciiTheme="minorHAnsi" w:hAnsiTheme="minorHAnsi" w:cstheme="minorHAnsi"/>
          <w:b/>
          <w:bCs/>
          <w:color w:val="000000" w:themeColor="text1"/>
          <w:sz w:val="28"/>
          <w:szCs w:val="28"/>
          <w:lang w:eastAsia="ja-JP"/>
        </w:rPr>
        <w:t xml:space="preserve"> demolition and new building construction</w:t>
      </w:r>
    </w:p>
    <w:p w14:paraId="33E75160" w14:textId="2C51F881" w:rsidR="00F31F7E" w:rsidRPr="006009B5" w:rsidRDefault="006009B5" w:rsidP="007A65D0">
      <w:pPr>
        <w:spacing w:after="120"/>
        <w:jc w:val="both"/>
        <w:rPr>
          <w:rFonts w:asciiTheme="minorHAnsi" w:hAnsiTheme="minorHAnsi" w:cstheme="minorHAnsi"/>
          <w:color w:val="000000"/>
          <w:lang w:eastAsia="en-GB"/>
        </w:rPr>
      </w:pPr>
      <w:r w:rsidRPr="000B5F2D">
        <w:rPr>
          <w:rFonts w:asciiTheme="minorHAnsi" w:hAnsiTheme="minorHAnsi" w:cstheme="minorHAnsi"/>
          <w:color w:val="000000"/>
          <w:szCs w:val="22"/>
          <w:lang w:eastAsia="zh-CN"/>
        </w:rPr>
        <w:t xml:space="preserve">After having obtained the room requirements from all sectors of ITU from mid-2022 to 2025/2026, working sessions were held between ITU and FIPOI/CICG in order to respond to all requests (except for the </w:t>
      </w:r>
      <w:r w:rsidR="002239FA">
        <w:rPr>
          <w:rFonts w:asciiTheme="minorHAnsi" w:hAnsiTheme="minorHAnsi" w:cstheme="minorHAnsi"/>
          <w:color w:val="000000"/>
          <w:szCs w:val="22"/>
          <w:lang w:eastAsia="zh-CN"/>
        </w:rPr>
        <w:t>ITU-R</w:t>
      </w:r>
      <w:r w:rsidR="002239FA" w:rsidRPr="000B5F2D">
        <w:rPr>
          <w:rFonts w:asciiTheme="minorHAnsi" w:hAnsiTheme="minorHAnsi" w:cstheme="minorHAnsi"/>
          <w:color w:val="000000"/>
          <w:szCs w:val="22"/>
          <w:lang w:eastAsia="zh-CN"/>
        </w:rPr>
        <w:t xml:space="preserve"> </w:t>
      </w:r>
      <w:r w:rsidRPr="000B5F2D">
        <w:rPr>
          <w:rFonts w:asciiTheme="minorHAnsi" w:hAnsiTheme="minorHAnsi" w:cstheme="minorHAnsi"/>
          <w:color w:val="000000"/>
          <w:szCs w:val="22"/>
          <w:lang w:eastAsia="zh-CN"/>
        </w:rPr>
        <w:t xml:space="preserve">Working Parties and some </w:t>
      </w:r>
      <w:r w:rsidR="002239FA">
        <w:rPr>
          <w:rFonts w:asciiTheme="minorHAnsi" w:hAnsiTheme="minorHAnsi" w:cstheme="minorHAnsi"/>
          <w:color w:val="000000"/>
          <w:szCs w:val="22"/>
          <w:lang w:eastAsia="zh-CN"/>
        </w:rPr>
        <w:t>ITU-T</w:t>
      </w:r>
      <w:r w:rsidR="002239FA" w:rsidRPr="000B5F2D">
        <w:rPr>
          <w:rFonts w:asciiTheme="minorHAnsi" w:hAnsiTheme="minorHAnsi" w:cstheme="minorHAnsi"/>
          <w:color w:val="000000"/>
          <w:szCs w:val="22"/>
          <w:lang w:eastAsia="zh-CN"/>
        </w:rPr>
        <w:t xml:space="preserve"> </w:t>
      </w:r>
      <w:r w:rsidRPr="000B5F2D">
        <w:rPr>
          <w:rFonts w:asciiTheme="minorHAnsi" w:hAnsiTheme="minorHAnsi" w:cstheme="minorHAnsi"/>
          <w:color w:val="000000"/>
          <w:szCs w:val="22"/>
          <w:lang w:eastAsia="zh-CN"/>
        </w:rPr>
        <w:t xml:space="preserve">Working Groups, venues of these meetings are to be decided). This research work is now complete and a compilation with all these proposals will be submit to ITU sectors. Each sector will then have to study the rooms and dates proposals before validating them with C&amp;P and therefore with FIPOI/CICG. Once the dates </w:t>
      </w:r>
      <w:r w:rsidR="005C756C">
        <w:rPr>
          <w:rFonts w:asciiTheme="minorHAnsi" w:hAnsiTheme="minorHAnsi" w:cstheme="minorHAnsi"/>
          <w:color w:val="000000"/>
          <w:szCs w:val="22"/>
          <w:lang w:eastAsia="zh-CN"/>
        </w:rPr>
        <w:t xml:space="preserve">are </w:t>
      </w:r>
      <w:r w:rsidRPr="000B5F2D">
        <w:rPr>
          <w:rFonts w:asciiTheme="minorHAnsi" w:hAnsiTheme="minorHAnsi" w:cstheme="minorHAnsi"/>
          <w:color w:val="000000"/>
          <w:szCs w:val="22"/>
          <w:lang w:eastAsia="zh-CN"/>
        </w:rPr>
        <w:t xml:space="preserve">approved they will be notified in the </w:t>
      </w:r>
      <w:hyperlink r:id="rId42" w:history="1">
        <w:r w:rsidRPr="00742C7A">
          <w:rPr>
            <w:rStyle w:val="Hyperlink"/>
            <w:rFonts w:asciiTheme="minorHAnsi" w:hAnsiTheme="minorHAnsi" w:cstheme="minorHAnsi"/>
            <w:szCs w:val="22"/>
            <w:lang w:eastAsia="zh-CN"/>
          </w:rPr>
          <w:t xml:space="preserve">Doc. </w:t>
        </w:r>
        <w:r w:rsidR="00742C7A">
          <w:rPr>
            <w:rStyle w:val="Hyperlink"/>
            <w:rFonts w:asciiTheme="minorHAnsi" w:hAnsiTheme="minorHAnsi" w:cstheme="minorHAnsi"/>
            <w:szCs w:val="22"/>
            <w:lang w:eastAsia="zh-CN"/>
          </w:rPr>
          <w:t>C</w:t>
        </w:r>
        <w:r w:rsidRPr="00742C7A">
          <w:rPr>
            <w:rStyle w:val="Hyperlink"/>
            <w:rFonts w:asciiTheme="minorHAnsi" w:hAnsiTheme="minorHAnsi" w:cstheme="minorHAnsi"/>
            <w:szCs w:val="22"/>
            <w:lang w:eastAsia="zh-CN"/>
          </w:rPr>
          <w:t>20/2</w:t>
        </w:r>
      </w:hyperlink>
      <w:r w:rsidRPr="000B5F2D">
        <w:rPr>
          <w:rFonts w:asciiTheme="minorHAnsi" w:hAnsiTheme="minorHAnsi" w:cstheme="minorHAnsi"/>
          <w:color w:val="000000"/>
          <w:szCs w:val="22"/>
          <w:lang w:eastAsia="zh-CN"/>
        </w:rPr>
        <w:t xml:space="preserve"> on Proposed dates and duration of the 2021, 2022, 2023, 2024, 2025, and 2026 sessions of the Council and the CWG clusters for 2020 and 2021 and the </w:t>
      </w:r>
      <w:hyperlink r:id="rId43" w:history="1">
        <w:r w:rsidRPr="00742C7A">
          <w:rPr>
            <w:rStyle w:val="Hyperlink"/>
            <w:rFonts w:asciiTheme="minorHAnsi" w:hAnsiTheme="minorHAnsi" w:cstheme="minorHAnsi"/>
            <w:szCs w:val="22"/>
            <w:lang w:eastAsia="zh-CN"/>
          </w:rPr>
          <w:t xml:space="preserve">Doc. </w:t>
        </w:r>
        <w:r w:rsidR="00742C7A">
          <w:rPr>
            <w:rStyle w:val="Hyperlink"/>
            <w:rFonts w:asciiTheme="minorHAnsi" w:hAnsiTheme="minorHAnsi" w:cstheme="minorHAnsi"/>
            <w:szCs w:val="22"/>
            <w:lang w:eastAsia="zh-CN"/>
          </w:rPr>
          <w:t>C</w:t>
        </w:r>
        <w:r w:rsidRPr="00742C7A">
          <w:rPr>
            <w:rStyle w:val="Hyperlink"/>
            <w:rFonts w:asciiTheme="minorHAnsi" w:hAnsiTheme="minorHAnsi" w:cstheme="minorHAnsi"/>
            <w:szCs w:val="22"/>
            <w:lang w:eastAsia="zh-CN"/>
          </w:rPr>
          <w:t>20/37</w:t>
        </w:r>
      </w:hyperlink>
      <w:r w:rsidRPr="000B5F2D">
        <w:rPr>
          <w:rFonts w:asciiTheme="minorHAnsi" w:hAnsiTheme="minorHAnsi" w:cstheme="minorHAnsi"/>
          <w:color w:val="000000"/>
          <w:szCs w:val="22"/>
          <w:lang w:eastAsia="zh-CN"/>
        </w:rPr>
        <w:t xml:space="preserve"> on the schedule of future con</w:t>
      </w:r>
      <w:r w:rsidRPr="006009B5">
        <w:rPr>
          <w:rFonts w:asciiTheme="minorHAnsi" w:hAnsiTheme="minorHAnsi" w:cstheme="minorHAnsi"/>
          <w:color w:val="000000"/>
          <w:lang w:eastAsia="en-GB"/>
        </w:rPr>
        <w:t>ferences, assemblies and meetings of the Union 2020-2023.</w:t>
      </w:r>
    </w:p>
    <w:p w14:paraId="48B4C3C8" w14:textId="6AF0B4B8" w:rsidR="00D338E0" w:rsidRDefault="00ED2364" w:rsidP="00AC4E66">
      <w:pPr>
        <w:pStyle w:val="ListParagraph"/>
        <w:numPr>
          <w:ilvl w:val="0"/>
          <w:numId w:val="37"/>
        </w:numPr>
        <w:spacing w:before="120" w:after="120"/>
        <w:ind w:hanging="720"/>
        <w:jc w:val="both"/>
        <w:rPr>
          <w:rFonts w:asciiTheme="minorHAnsi" w:hAnsiTheme="minorHAnsi" w:cstheme="minorHAnsi"/>
          <w:b/>
          <w:bCs/>
          <w:color w:val="000000" w:themeColor="text1"/>
          <w:sz w:val="28"/>
          <w:szCs w:val="28"/>
          <w:lang w:eastAsia="ja-JP"/>
        </w:rPr>
      </w:pPr>
      <w:r>
        <w:rPr>
          <w:rFonts w:asciiTheme="minorHAnsi" w:hAnsiTheme="minorHAnsi" w:cstheme="minorHAnsi"/>
          <w:b/>
          <w:bCs/>
          <w:color w:val="000000" w:themeColor="text1"/>
          <w:sz w:val="28"/>
          <w:szCs w:val="28"/>
          <w:lang w:eastAsia="ja-JP"/>
        </w:rPr>
        <w:t>Internal and external c</w:t>
      </w:r>
      <w:r w:rsidR="004125E4" w:rsidRPr="00355EFF">
        <w:rPr>
          <w:rFonts w:asciiTheme="minorHAnsi" w:hAnsiTheme="minorHAnsi" w:cstheme="minorHAnsi"/>
          <w:b/>
          <w:bCs/>
          <w:color w:val="000000" w:themeColor="text1"/>
          <w:sz w:val="28"/>
          <w:szCs w:val="28"/>
          <w:lang w:eastAsia="ja-JP"/>
        </w:rPr>
        <w:t xml:space="preserve">ommunication </w:t>
      </w:r>
      <w:r>
        <w:rPr>
          <w:rFonts w:asciiTheme="minorHAnsi" w:hAnsiTheme="minorHAnsi" w:cstheme="minorHAnsi"/>
          <w:b/>
          <w:bCs/>
          <w:color w:val="000000" w:themeColor="text1"/>
          <w:sz w:val="28"/>
          <w:szCs w:val="28"/>
          <w:lang w:eastAsia="ja-JP"/>
        </w:rPr>
        <w:t xml:space="preserve">in the context of the new building construction </w:t>
      </w:r>
    </w:p>
    <w:p w14:paraId="5F117515" w14:textId="1995AE12" w:rsidR="002803AF" w:rsidRDefault="0059123D" w:rsidP="007A65D0">
      <w:pPr>
        <w:spacing w:after="120"/>
        <w:jc w:val="both"/>
        <w:rPr>
          <w:rFonts w:asciiTheme="minorHAnsi" w:hAnsiTheme="minorHAnsi" w:cstheme="minorHAnsi"/>
          <w:color w:val="000000"/>
          <w:szCs w:val="22"/>
          <w:lang w:eastAsia="zh-CN"/>
        </w:rPr>
      </w:pPr>
      <w:r w:rsidRPr="0059123D">
        <w:rPr>
          <w:rFonts w:asciiTheme="minorHAnsi" w:hAnsiTheme="minorHAnsi" w:cstheme="minorHAnsi"/>
          <w:color w:val="000000"/>
          <w:szCs w:val="22"/>
          <w:lang w:eastAsia="zh-CN"/>
        </w:rPr>
        <w:t xml:space="preserve">ITU has </w:t>
      </w:r>
      <w:r w:rsidR="000D6024">
        <w:rPr>
          <w:rFonts w:asciiTheme="minorHAnsi" w:hAnsiTheme="minorHAnsi" w:cstheme="minorHAnsi"/>
          <w:color w:val="000000"/>
          <w:szCs w:val="22"/>
          <w:lang w:eastAsia="zh-CN"/>
        </w:rPr>
        <w:t xml:space="preserve">developed </w:t>
      </w:r>
      <w:r w:rsidRPr="0059123D">
        <w:rPr>
          <w:rFonts w:asciiTheme="minorHAnsi" w:hAnsiTheme="minorHAnsi" w:cstheme="minorHAnsi"/>
          <w:color w:val="000000"/>
          <w:szCs w:val="22"/>
          <w:lang w:eastAsia="zh-CN"/>
        </w:rPr>
        <w:t xml:space="preserve">a communication strategy with regard to internal and external communications about the future ITU Headquarters and related change management issues in the context of the Staff Working Conditions Strategy and Implementation Plan. The recruitment of a temporary P3 Officer for internal and external communications to drive the implementation of the strategy is in process. </w:t>
      </w:r>
    </w:p>
    <w:p w14:paraId="1E43AED3" w14:textId="77777777" w:rsidR="00674A61" w:rsidRDefault="00674A61" w:rsidP="007A65D0">
      <w:pPr>
        <w:spacing w:after="120"/>
        <w:jc w:val="both"/>
        <w:rPr>
          <w:rFonts w:asciiTheme="minorHAnsi" w:hAnsiTheme="minorHAnsi" w:cstheme="minorHAnsi"/>
          <w:color w:val="000000"/>
          <w:szCs w:val="22"/>
          <w:lang w:eastAsia="zh-CN"/>
        </w:rPr>
      </w:pPr>
    </w:p>
    <w:p w14:paraId="406D0A2F" w14:textId="539B889B" w:rsidR="00A947F6" w:rsidRDefault="002803AF" w:rsidP="007A65D0">
      <w:pPr>
        <w:pStyle w:val="ListParagraph"/>
        <w:spacing w:before="120" w:after="120"/>
        <w:ind w:left="0"/>
        <w:jc w:val="both"/>
        <w:rPr>
          <w:rFonts w:asciiTheme="minorHAnsi" w:hAnsiTheme="minorHAnsi" w:cstheme="minorHAnsi"/>
          <w:b/>
          <w:bCs/>
          <w:color w:val="000000" w:themeColor="text1"/>
          <w:sz w:val="28"/>
          <w:szCs w:val="28"/>
          <w:lang w:eastAsia="ja-JP"/>
        </w:rPr>
      </w:pPr>
      <w:r>
        <w:rPr>
          <w:rFonts w:asciiTheme="minorHAnsi" w:hAnsiTheme="minorHAnsi" w:cstheme="minorHAnsi"/>
          <w:b/>
          <w:bCs/>
          <w:color w:val="000000" w:themeColor="text1"/>
          <w:sz w:val="28"/>
          <w:szCs w:val="28"/>
          <w:lang w:eastAsia="ja-JP"/>
        </w:rPr>
        <w:t>9</w:t>
      </w:r>
      <w:r>
        <w:rPr>
          <w:rFonts w:asciiTheme="minorHAnsi" w:hAnsiTheme="minorHAnsi" w:cstheme="minorHAnsi"/>
          <w:b/>
          <w:bCs/>
          <w:color w:val="000000" w:themeColor="text1"/>
          <w:sz w:val="28"/>
          <w:szCs w:val="28"/>
          <w:lang w:eastAsia="ja-JP"/>
        </w:rPr>
        <w:tab/>
      </w:r>
      <w:r w:rsidR="00A947F6">
        <w:rPr>
          <w:rFonts w:asciiTheme="minorHAnsi" w:hAnsiTheme="minorHAnsi" w:cstheme="minorHAnsi"/>
          <w:b/>
          <w:bCs/>
          <w:color w:val="000000" w:themeColor="text1"/>
          <w:sz w:val="28"/>
          <w:szCs w:val="28"/>
          <w:lang w:eastAsia="ja-JP"/>
        </w:rPr>
        <w:t>Impact on Covid-19</w:t>
      </w:r>
    </w:p>
    <w:p w14:paraId="044BD51E" w14:textId="77777777" w:rsidR="000E438A" w:rsidRPr="00845A83" w:rsidRDefault="000E438A" w:rsidP="007A65D0">
      <w:pPr>
        <w:jc w:val="both"/>
        <w:rPr>
          <w:rFonts w:asciiTheme="minorHAnsi" w:hAnsiTheme="minorHAnsi" w:cstheme="minorHAnsi"/>
          <w:color w:val="000000"/>
          <w:szCs w:val="22"/>
          <w:lang w:eastAsia="zh-CN"/>
        </w:rPr>
      </w:pPr>
      <w:r w:rsidRPr="00D639B1">
        <w:rPr>
          <w:rFonts w:asciiTheme="minorHAnsi" w:hAnsiTheme="minorHAnsi" w:cstheme="minorHAnsi"/>
          <w:color w:val="000000"/>
          <w:szCs w:val="22"/>
          <w:lang w:eastAsia="zh-CN"/>
        </w:rPr>
        <w:t>As the entire ITU</w:t>
      </w:r>
      <w:r w:rsidRPr="00916534">
        <w:rPr>
          <w:rFonts w:asciiTheme="minorHAnsi" w:hAnsiTheme="minorHAnsi" w:cstheme="minorHAnsi"/>
          <w:color w:val="000000"/>
          <w:szCs w:val="22"/>
          <w:lang w:eastAsia="zh-CN"/>
        </w:rPr>
        <w:t xml:space="preserve">, the BPD team has been teleworking since mid-March. All design activities including thematical workshops, technical coordination meetings with CDTK and their subcontractors, </w:t>
      </w:r>
      <w:r w:rsidRPr="00916534">
        <w:rPr>
          <w:rFonts w:asciiTheme="minorHAnsi" w:hAnsiTheme="minorHAnsi" w:cstheme="minorHAnsi"/>
          <w:color w:val="000000"/>
          <w:szCs w:val="22"/>
          <w:lang w:eastAsia="zh-CN"/>
        </w:rPr>
        <w:lastRenderedPageBreak/>
        <w:t>internal stakeholder consultations for the conf</w:t>
      </w:r>
      <w:r w:rsidRPr="004B4C6D">
        <w:rPr>
          <w:rFonts w:asciiTheme="minorHAnsi" w:hAnsiTheme="minorHAnsi" w:cstheme="minorHAnsi"/>
          <w:color w:val="000000"/>
          <w:szCs w:val="22"/>
          <w:lang w:eastAsia="zh-CN"/>
        </w:rPr>
        <w:t xml:space="preserve">irmation of functional, specifically, technical requirements have been pursued and have taken place remotely. Because of the Covid-19 contamination, several </w:t>
      </w:r>
      <w:r w:rsidRPr="00845A83">
        <w:rPr>
          <w:rFonts w:asciiTheme="minorHAnsi" w:hAnsiTheme="minorHAnsi" w:cstheme="minorHAnsi"/>
          <w:color w:val="000000"/>
          <w:szCs w:val="22"/>
          <w:lang w:eastAsia="zh-CN"/>
        </w:rPr>
        <w:t>team members</w:t>
      </w:r>
      <w:r w:rsidRPr="00916534">
        <w:rPr>
          <w:rFonts w:asciiTheme="minorHAnsi" w:hAnsiTheme="minorHAnsi" w:cstheme="minorHAnsi"/>
          <w:color w:val="000000"/>
          <w:szCs w:val="22"/>
          <w:lang w:eastAsia="zh-CN"/>
        </w:rPr>
        <w:t xml:space="preserve"> </w:t>
      </w:r>
      <w:r w:rsidRPr="00845A83">
        <w:rPr>
          <w:rFonts w:asciiTheme="minorHAnsi" w:hAnsiTheme="minorHAnsi" w:cstheme="minorHAnsi"/>
          <w:color w:val="000000"/>
          <w:szCs w:val="22"/>
          <w:lang w:eastAsia="zh-CN"/>
        </w:rPr>
        <w:t>on the contractor’s</w:t>
      </w:r>
      <w:r w:rsidRPr="00916534">
        <w:rPr>
          <w:rFonts w:asciiTheme="minorHAnsi" w:hAnsiTheme="minorHAnsi" w:cstheme="minorHAnsi"/>
          <w:color w:val="000000"/>
          <w:szCs w:val="22"/>
          <w:lang w:eastAsia="zh-CN"/>
        </w:rPr>
        <w:t xml:space="preserve"> side had to take sick leave and BPD has been as flexible as pos</w:t>
      </w:r>
      <w:r w:rsidRPr="00845A83">
        <w:rPr>
          <w:rFonts w:asciiTheme="minorHAnsi" w:hAnsiTheme="minorHAnsi" w:cstheme="minorHAnsi"/>
          <w:color w:val="000000"/>
          <w:szCs w:val="22"/>
          <w:lang w:eastAsia="zh-CN"/>
        </w:rPr>
        <w:t>sible in adapting the contractor’s schedule of deliverables to ensure business continuity.</w:t>
      </w:r>
    </w:p>
    <w:p w14:paraId="6C3B98FE" w14:textId="77777777" w:rsidR="000E438A" w:rsidRPr="00845A83" w:rsidRDefault="000E438A" w:rsidP="007A65D0">
      <w:pPr>
        <w:jc w:val="both"/>
        <w:rPr>
          <w:rFonts w:asciiTheme="minorHAnsi" w:hAnsiTheme="minorHAnsi" w:cstheme="minorHAnsi"/>
          <w:color w:val="000000"/>
          <w:szCs w:val="22"/>
          <w:lang w:eastAsia="zh-CN"/>
        </w:rPr>
      </w:pPr>
      <w:r w:rsidRPr="00845A83">
        <w:rPr>
          <w:rFonts w:asciiTheme="minorHAnsi" w:hAnsiTheme="minorHAnsi" w:cstheme="minorHAnsi"/>
          <w:color w:val="000000"/>
          <w:szCs w:val="22"/>
          <w:lang w:eastAsia="zh-CN"/>
        </w:rPr>
        <w:t>The other critical milestone this year is the submission of the permitting request at end of 2020. In this context, ITU has to consult the local authorities</w:t>
      </w:r>
      <w:r w:rsidRPr="00916534">
        <w:rPr>
          <w:rFonts w:asciiTheme="minorHAnsi" w:hAnsiTheme="minorHAnsi" w:cstheme="minorHAnsi"/>
          <w:color w:val="000000"/>
          <w:szCs w:val="22"/>
          <w:lang w:eastAsia="zh-CN"/>
        </w:rPr>
        <w:t xml:space="preserve"> that are</w:t>
      </w:r>
      <w:r w:rsidRPr="00845A83">
        <w:rPr>
          <w:rFonts w:asciiTheme="minorHAnsi" w:hAnsiTheme="minorHAnsi" w:cstheme="minorHAnsi"/>
          <w:color w:val="000000"/>
          <w:szCs w:val="22"/>
          <w:lang w:eastAsia="zh-CN"/>
        </w:rPr>
        <w:t xml:space="preserve"> closed </w:t>
      </w:r>
      <w:r w:rsidRPr="00916534">
        <w:rPr>
          <w:rFonts w:asciiTheme="minorHAnsi" w:hAnsiTheme="minorHAnsi" w:cstheme="minorHAnsi"/>
          <w:color w:val="000000"/>
          <w:szCs w:val="22"/>
          <w:lang w:eastAsia="zh-CN"/>
        </w:rPr>
        <w:t>until further notice. De</w:t>
      </w:r>
      <w:r w:rsidRPr="00845A83">
        <w:rPr>
          <w:rFonts w:asciiTheme="minorHAnsi" w:hAnsiTheme="minorHAnsi" w:cstheme="minorHAnsi"/>
          <w:color w:val="000000"/>
          <w:szCs w:val="22"/>
          <w:lang w:eastAsia="zh-CN"/>
        </w:rPr>
        <w:t>pending on the length of the period of closure, BPD will have to postpone the engagement process and probably also the subsequent submission of the permitting request</w:t>
      </w:r>
      <w:r w:rsidRPr="00916534">
        <w:rPr>
          <w:rFonts w:asciiTheme="minorHAnsi" w:hAnsiTheme="minorHAnsi" w:cstheme="minorHAnsi"/>
          <w:color w:val="000000"/>
          <w:szCs w:val="22"/>
          <w:lang w:eastAsia="zh-CN"/>
        </w:rPr>
        <w:t xml:space="preserve">. </w:t>
      </w:r>
    </w:p>
    <w:p w14:paraId="456931D9" w14:textId="77777777" w:rsidR="000E438A" w:rsidRPr="00916534" w:rsidRDefault="000E438A" w:rsidP="007A65D0">
      <w:pPr>
        <w:jc w:val="both"/>
        <w:rPr>
          <w:rFonts w:asciiTheme="minorHAnsi" w:hAnsiTheme="minorHAnsi" w:cstheme="minorHAnsi"/>
          <w:color w:val="000000"/>
          <w:szCs w:val="22"/>
          <w:lang w:eastAsia="zh-CN"/>
        </w:rPr>
      </w:pPr>
      <w:r w:rsidRPr="00845A83">
        <w:rPr>
          <w:rFonts w:asciiTheme="minorHAnsi" w:hAnsiTheme="minorHAnsi" w:cstheme="minorHAnsi"/>
          <w:color w:val="000000" w:themeColor="text1"/>
        </w:rPr>
        <w:t>Also, another consequence of the Covid19 emergency is that the Parliaments’ Spring Session</w:t>
      </w:r>
      <w:r w:rsidRPr="00916534">
        <w:rPr>
          <w:rFonts w:asciiTheme="minorHAnsi" w:hAnsiTheme="minorHAnsi" w:cstheme="minorHAnsi"/>
          <w:color w:val="000000" w:themeColor="text1"/>
        </w:rPr>
        <w:t xml:space="preserve"> was cancelled. Nevertheless, the Host Country confirmed that, at this stage, there is currently no reason to worry about the processing of the ITU loan application. The message needs to get through to Parliament in fall / winter and that the cancellation </w:t>
      </w:r>
      <w:r w:rsidRPr="00845A83">
        <w:rPr>
          <w:rFonts w:asciiTheme="minorHAnsi" w:hAnsiTheme="minorHAnsi" w:cstheme="minorHAnsi"/>
          <w:color w:val="000000" w:themeColor="text1"/>
        </w:rPr>
        <w:t>of the spring session has no effect on the ITU message.</w:t>
      </w:r>
    </w:p>
    <w:p w14:paraId="6DF87B8D" w14:textId="622EB48E" w:rsidR="000E438A" w:rsidRPr="00D639B1" w:rsidRDefault="000E438A" w:rsidP="007A65D0">
      <w:pPr>
        <w:jc w:val="both"/>
      </w:pPr>
      <w:r w:rsidRPr="00845A83">
        <w:rPr>
          <w:rFonts w:asciiTheme="minorHAnsi" w:hAnsiTheme="minorHAnsi" w:cstheme="minorHAnsi"/>
          <w:color w:val="000000"/>
          <w:szCs w:val="22"/>
          <w:lang w:eastAsia="zh-CN"/>
        </w:rPr>
        <w:t>The risks have changed, and the Risk register is being updated taking into account the actual crisis, re-evaluating the likelihood, impact and mitigation measures.</w:t>
      </w:r>
      <w:r w:rsidR="002239FA">
        <w:rPr>
          <w:rFonts w:asciiTheme="minorHAnsi" w:hAnsiTheme="minorHAnsi" w:cstheme="minorHAnsi"/>
          <w:color w:val="000000"/>
          <w:szCs w:val="22"/>
          <w:lang w:eastAsia="zh-CN"/>
        </w:rPr>
        <w:t xml:space="preserve"> </w:t>
      </w:r>
      <w:r w:rsidRPr="00845A83">
        <w:rPr>
          <w:rFonts w:asciiTheme="minorHAnsi" w:hAnsiTheme="minorHAnsi" w:cstheme="minorHAnsi"/>
          <w:color w:val="000000"/>
          <w:szCs w:val="22"/>
          <w:lang w:eastAsia="zh-CN"/>
        </w:rPr>
        <w:t>On the other hand, there are also some positive lessons to be learned as i</w:t>
      </w:r>
      <w:r w:rsidRPr="00845A83">
        <w:rPr>
          <w:lang w:val="en-US"/>
        </w:rPr>
        <w:t xml:space="preserve">t is a good demonstration of the power of technology, and it has proved that ITU can work effectively using teleworking and to the extent possible electronically. </w:t>
      </w:r>
      <w:r w:rsidRPr="00916534">
        <w:t xml:space="preserve"> </w:t>
      </w:r>
      <w:r w:rsidRPr="00845A83">
        <w:t>Member states are showing flexibility, meeting virtually and taking necessary decisions. ITU organizational Resilience is being tested and ITU Council20 being inform of needs and requirements (</w:t>
      </w:r>
      <w:r w:rsidR="0003275B">
        <w:t xml:space="preserve">cf. </w:t>
      </w:r>
      <w:hyperlink r:id="rId44" w:history="1">
        <w:r w:rsidR="0003275B" w:rsidRPr="00742C7A">
          <w:rPr>
            <w:rStyle w:val="Hyperlink"/>
          </w:rPr>
          <w:t>Document C20/53</w:t>
        </w:r>
      </w:hyperlink>
      <w:r w:rsidR="0003275B">
        <w:rPr>
          <w:b/>
          <w:bCs/>
        </w:rPr>
        <w:t xml:space="preserve"> </w:t>
      </w:r>
      <w:r w:rsidR="0003275B">
        <w:t xml:space="preserve">Business Continuity - Information management and Document </w:t>
      </w:r>
      <w:hyperlink r:id="rId45" w:history="1">
        <w:r w:rsidR="0003275B" w:rsidRPr="00742C7A">
          <w:rPr>
            <w:rStyle w:val="Hyperlink"/>
          </w:rPr>
          <w:t>C20/15</w:t>
        </w:r>
      </w:hyperlink>
      <w:r w:rsidR="0003275B">
        <w:t xml:space="preserve"> ORMS Status report)</w:t>
      </w:r>
      <w:r w:rsidRPr="00845A83">
        <w:t xml:space="preserve"> to advance resiliency and en</w:t>
      </w:r>
      <w:r w:rsidRPr="004B4C6D">
        <w:t xml:space="preserve">sure business continuity. </w:t>
      </w:r>
      <w:r w:rsidRPr="005C61B2">
        <w:t>ITU management meet virtually</w:t>
      </w:r>
      <w:r w:rsidRPr="00D639B1">
        <w:t xml:space="preserve"> on a regular basis, minimizing the impact on internal decision making.</w:t>
      </w:r>
    </w:p>
    <w:p w14:paraId="55C1D624" w14:textId="77777777" w:rsidR="00195F4D" w:rsidRPr="00845A83" w:rsidRDefault="00195F4D" w:rsidP="007A65D0">
      <w:pPr>
        <w:jc w:val="both"/>
        <w:rPr>
          <w:rFonts w:asciiTheme="minorHAnsi" w:hAnsiTheme="minorHAnsi" w:cstheme="minorHAnsi"/>
          <w:color w:val="000000"/>
          <w:szCs w:val="22"/>
          <w:lang w:eastAsia="zh-CN"/>
        </w:rPr>
      </w:pPr>
      <w:r>
        <w:rPr>
          <w:rFonts w:asciiTheme="minorHAnsi" w:hAnsiTheme="minorHAnsi" w:cstheme="minorHAnsi"/>
          <w:color w:val="000000"/>
          <w:szCs w:val="22"/>
          <w:lang w:eastAsia="zh-CN"/>
        </w:rPr>
        <w:t xml:space="preserve">The current restriction on access to the </w:t>
      </w:r>
      <w:proofErr w:type="spellStart"/>
      <w:r>
        <w:rPr>
          <w:rFonts w:asciiTheme="minorHAnsi" w:hAnsiTheme="minorHAnsi" w:cstheme="minorHAnsi"/>
          <w:color w:val="000000"/>
          <w:szCs w:val="22"/>
          <w:lang w:eastAsia="zh-CN"/>
        </w:rPr>
        <w:t>Varembé</w:t>
      </w:r>
      <w:proofErr w:type="spellEnd"/>
      <w:r>
        <w:rPr>
          <w:rFonts w:asciiTheme="minorHAnsi" w:hAnsiTheme="minorHAnsi" w:cstheme="minorHAnsi"/>
          <w:color w:val="000000"/>
          <w:szCs w:val="22"/>
          <w:lang w:eastAsia="zh-CN"/>
        </w:rPr>
        <w:t xml:space="preserve"> building may have an impact on the move of the BR archive.</w:t>
      </w:r>
    </w:p>
    <w:p w14:paraId="494BB673" w14:textId="77777777" w:rsidR="009E2931" w:rsidRDefault="000E438A" w:rsidP="007A65D0">
      <w:pPr>
        <w:jc w:val="both"/>
        <w:rPr>
          <w:rFonts w:asciiTheme="minorHAnsi" w:hAnsiTheme="minorHAnsi" w:cstheme="minorHAnsi"/>
          <w:color w:val="000000"/>
          <w:szCs w:val="22"/>
          <w:lang w:eastAsia="zh-CN"/>
        </w:rPr>
      </w:pPr>
      <w:r w:rsidRPr="00916534">
        <w:rPr>
          <w:rFonts w:asciiTheme="minorHAnsi" w:hAnsiTheme="minorHAnsi" w:cstheme="minorHAnsi"/>
          <w:color w:val="000000"/>
          <w:szCs w:val="22"/>
          <w:lang w:eastAsia="zh-CN"/>
        </w:rPr>
        <w:t>Unfortunately, nobody can, at this point in time, anticipate the r</w:t>
      </w:r>
      <w:r w:rsidRPr="00845A83">
        <w:rPr>
          <w:rFonts w:asciiTheme="minorHAnsi" w:hAnsiTheme="minorHAnsi" w:cstheme="minorHAnsi"/>
          <w:color w:val="000000"/>
          <w:szCs w:val="22"/>
          <w:lang w:eastAsia="zh-CN"/>
        </w:rPr>
        <w:t>eal impact the Covid-19 will have on the project duration and its eventual financial impact. ITU will do its best to minimize its impact as much as possible in recovering eventual delays later, once the consequences of the pandemic will be known.</w:t>
      </w:r>
    </w:p>
    <w:p w14:paraId="70A8C2A3" w14:textId="65030B1C" w:rsidR="000E438A" w:rsidRDefault="0099459E" w:rsidP="007A65D0">
      <w:pPr>
        <w:jc w:val="both"/>
        <w:rPr>
          <w:rFonts w:asciiTheme="minorHAnsi" w:hAnsiTheme="minorHAnsi" w:cstheme="minorHAnsi"/>
          <w:color w:val="000000"/>
          <w:szCs w:val="22"/>
          <w:lang w:eastAsia="zh-CN"/>
        </w:rPr>
      </w:pPr>
      <w:r>
        <w:rPr>
          <w:rFonts w:asciiTheme="minorHAnsi" w:hAnsiTheme="minorHAnsi" w:cstheme="minorHAnsi"/>
          <w:color w:val="000000"/>
          <w:szCs w:val="22"/>
          <w:lang w:eastAsia="zh-CN"/>
        </w:rPr>
        <w:t>Nevertheless,</w:t>
      </w:r>
      <w:r w:rsidR="00634F40">
        <w:rPr>
          <w:rFonts w:asciiTheme="minorHAnsi" w:hAnsiTheme="minorHAnsi" w:cstheme="minorHAnsi"/>
          <w:color w:val="000000"/>
          <w:szCs w:val="22"/>
          <w:lang w:eastAsia="zh-CN"/>
        </w:rPr>
        <w:t xml:space="preserve"> an item has been added to the Risk Register to cover </w:t>
      </w:r>
      <w:r>
        <w:rPr>
          <w:rFonts w:asciiTheme="minorHAnsi" w:hAnsiTheme="minorHAnsi" w:cstheme="minorHAnsi"/>
          <w:color w:val="000000"/>
          <w:szCs w:val="22"/>
          <w:lang w:eastAsia="zh-CN"/>
        </w:rPr>
        <w:t xml:space="preserve">and anticipate for </w:t>
      </w:r>
      <w:r w:rsidR="00E53309">
        <w:rPr>
          <w:rFonts w:asciiTheme="minorHAnsi" w:hAnsiTheme="minorHAnsi" w:cstheme="minorHAnsi"/>
          <w:color w:val="000000"/>
          <w:szCs w:val="22"/>
          <w:lang w:eastAsia="zh-CN"/>
        </w:rPr>
        <w:t xml:space="preserve">eventual changes that might occur </w:t>
      </w:r>
      <w:r w:rsidR="009E2931">
        <w:rPr>
          <w:rFonts w:asciiTheme="minorHAnsi" w:hAnsiTheme="minorHAnsi" w:cstheme="minorHAnsi"/>
          <w:color w:val="000000"/>
          <w:szCs w:val="22"/>
          <w:lang w:eastAsia="zh-CN"/>
        </w:rPr>
        <w:t xml:space="preserve">in the design </w:t>
      </w:r>
      <w:r w:rsidR="00E53309">
        <w:rPr>
          <w:rFonts w:asciiTheme="minorHAnsi" w:hAnsiTheme="minorHAnsi" w:cstheme="minorHAnsi"/>
          <w:color w:val="000000"/>
          <w:szCs w:val="22"/>
          <w:lang w:eastAsia="zh-CN"/>
        </w:rPr>
        <w:t xml:space="preserve">from </w:t>
      </w:r>
      <w:r w:rsidR="00634F40">
        <w:rPr>
          <w:rFonts w:asciiTheme="minorHAnsi" w:hAnsiTheme="minorHAnsi" w:cstheme="minorHAnsi"/>
          <w:color w:val="000000"/>
          <w:szCs w:val="22"/>
          <w:lang w:eastAsia="zh-CN"/>
        </w:rPr>
        <w:t>a</w:t>
      </w:r>
      <w:r w:rsidR="00E53309">
        <w:rPr>
          <w:rFonts w:asciiTheme="minorHAnsi" w:hAnsiTheme="minorHAnsi" w:cstheme="minorHAnsi"/>
          <w:color w:val="000000"/>
          <w:szCs w:val="22"/>
          <w:lang w:eastAsia="zh-CN"/>
        </w:rPr>
        <w:t xml:space="preserve"> post Covid</w:t>
      </w:r>
      <w:r w:rsidR="00634F40">
        <w:rPr>
          <w:rFonts w:asciiTheme="minorHAnsi" w:hAnsiTheme="minorHAnsi" w:cstheme="minorHAnsi"/>
          <w:color w:val="000000"/>
          <w:szCs w:val="22"/>
          <w:lang w:eastAsia="zh-CN"/>
        </w:rPr>
        <w:t>19 impact analysis</w:t>
      </w:r>
      <w:r w:rsidR="00656E34">
        <w:rPr>
          <w:rFonts w:asciiTheme="minorHAnsi" w:hAnsiTheme="minorHAnsi" w:cstheme="minorHAnsi"/>
          <w:color w:val="000000"/>
          <w:szCs w:val="22"/>
          <w:lang w:eastAsia="zh-CN"/>
        </w:rPr>
        <w:t xml:space="preserve"> on the new building programme requirements</w:t>
      </w:r>
      <w:r>
        <w:rPr>
          <w:rFonts w:asciiTheme="minorHAnsi" w:hAnsiTheme="minorHAnsi" w:cstheme="minorHAnsi"/>
          <w:color w:val="000000"/>
          <w:szCs w:val="22"/>
          <w:lang w:eastAsia="zh-CN"/>
        </w:rPr>
        <w:t>.</w:t>
      </w:r>
    </w:p>
    <w:p w14:paraId="0E1DB671" w14:textId="77777777" w:rsidR="007B4A7F" w:rsidRDefault="007B4A7F" w:rsidP="007A65D0">
      <w:pPr>
        <w:jc w:val="both"/>
        <w:sectPr w:rsidR="007B4A7F" w:rsidSect="00163C86">
          <w:headerReference w:type="default" r:id="rId46"/>
          <w:footerReference w:type="first" r:id="rId47"/>
          <w:pgSz w:w="11907" w:h="16834" w:code="9"/>
          <w:pgMar w:top="1418" w:right="1134" w:bottom="1418" w:left="1134" w:header="720" w:footer="720" w:gutter="0"/>
          <w:paperSrc w:first="15" w:other="15"/>
          <w:cols w:space="720"/>
          <w:titlePg/>
          <w:docGrid w:linePitch="326"/>
        </w:sectPr>
      </w:pPr>
    </w:p>
    <w:p w14:paraId="7D95FBF2" w14:textId="4A5EA840" w:rsidR="007B4A7F" w:rsidRPr="00887A3E" w:rsidRDefault="007B4A7F" w:rsidP="007A65D0">
      <w:pPr>
        <w:jc w:val="both"/>
        <w:rPr>
          <w:rFonts w:asciiTheme="minorHAnsi" w:hAnsiTheme="minorHAnsi" w:cstheme="minorHAnsi"/>
          <w:b/>
          <w:bCs/>
          <w:color w:val="000000" w:themeColor="text1"/>
          <w:szCs w:val="24"/>
          <w:lang w:val="en-US"/>
        </w:rPr>
      </w:pPr>
      <w:bookmarkStart w:id="9" w:name="AnnexA"/>
      <w:bookmarkEnd w:id="9"/>
      <w:r>
        <w:rPr>
          <w:rFonts w:asciiTheme="minorHAnsi" w:hAnsiTheme="minorHAnsi" w:cstheme="minorHAnsi"/>
          <w:b/>
          <w:bCs/>
          <w:color w:val="000000" w:themeColor="text1"/>
          <w:szCs w:val="24"/>
          <w:lang w:val="en-US"/>
        </w:rPr>
        <w:lastRenderedPageBreak/>
        <w:t>Annex</w:t>
      </w:r>
      <w:r w:rsidRPr="00887A3E">
        <w:rPr>
          <w:rFonts w:asciiTheme="minorHAnsi" w:hAnsiTheme="minorHAnsi" w:cstheme="minorHAnsi"/>
          <w:b/>
          <w:bCs/>
          <w:color w:val="000000" w:themeColor="text1"/>
          <w:szCs w:val="24"/>
          <w:lang w:val="en-US"/>
        </w:rPr>
        <w:t xml:space="preserve"> A. </w:t>
      </w:r>
    </w:p>
    <w:p w14:paraId="40CE1547" w14:textId="66745933" w:rsidR="007B4A7F" w:rsidRPr="007B4A7F" w:rsidRDefault="007B4A7F" w:rsidP="007A65D0">
      <w:pPr>
        <w:jc w:val="both"/>
        <w:rPr>
          <w:lang w:val="en-US"/>
        </w:rPr>
      </w:pPr>
    </w:p>
    <w:p w14:paraId="188EE056" w14:textId="77777777" w:rsidR="007B4A7F" w:rsidRPr="00845A83" w:rsidRDefault="007B4A7F" w:rsidP="007A65D0">
      <w:pPr>
        <w:jc w:val="both"/>
      </w:pPr>
    </w:p>
    <w:p w14:paraId="7BF434FC" w14:textId="7DEF6986" w:rsidR="000E438A" w:rsidRDefault="007B4A7F" w:rsidP="007A65D0">
      <w:pPr>
        <w:jc w:val="center"/>
        <w:rPr>
          <w:rFonts w:asciiTheme="minorHAnsi" w:hAnsiTheme="minorHAnsi" w:cstheme="minorHAnsi"/>
          <w:color w:val="000000"/>
          <w:szCs w:val="22"/>
          <w:lang w:eastAsia="zh-CN"/>
        </w:rPr>
      </w:pPr>
      <w:r>
        <w:rPr>
          <w:rFonts w:asciiTheme="minorHAnsi" w:hAnsiTheme="minorHAnsi" w:cstheme="minorHAnsi"/>
          <w:noProof/>
          <w:color w:val="000000"/>
          <w:szCs w:val="22"/>
          <w:lang w:eastAsia="zh-CN"/>
        </w:rPr>
        <w:drawing>
          <wp:inline distT="0" distB="0" distL="0" distR="0" wp14:anchorId="011A897E" wp14:editId="5CD338BF">
            <wp:extent cx="8289925" cy="430103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311527" cy="4312239"/>
                    </a:xfrm>
                    <a:prstGeom prst="rect">
                      <a:avLst/>
                    </a:prstGeom>
                    <a:noFill/>
                  </pic:spPr>
                </pic:pic>
              </a:graphicData>
            </a:graphic>
          </wp:inline>
        </w:drawing>
      </w:r>
    </w:p>
    <w:p w14:paraId="5503035E" w14:textId="6F2EE31E" w:rsidR="00E43F7B" w:rsidRDefault="007B4A7F" w:rsidP="007A65D0">
      <w:pPr>
        <w:jc w:val="both"/>
        <w:rPr>
          <w:rFonts w:asciiTheme="minorHAnsi" w:hAnsiTheme="minorHAnsi" w:cstheme="minorHAnsi"/>
          <w:b/>
          <w:bCs/>
          <w:color w:val="000000" w:themeColor="text1"/>
          <w:szCs w:val="24"/>
          <w:lang w:val="en-US"/>
        </w:rPr>
      </w:pPr>
      <w:r w:rsidRPr="00887A3E">
        <w:rPr>
          <w:rFonts w:asciiTheme="minorHAnsi" w:hAnsiTheme="minorHAnsi" w:cstheme="minorHAnsi"/>
          <w:b/>
          <w:bCs/>
          <w:color w:val="000000" w:themeColor="text1"/>
          <w:szCs w:val="24"/>
          <w:lang w:val="en-US"/>
        </w:rPr>
        <w:t>Figure A. Relationships between risk management principles, framework and process.</w:t>
      </w:r>
    </w:p>
    <w:p w14:paraId="74CBF4C0" w14:textId="77777777" w:rsidR="00E43F7B" w:rsidRDefault="00E43F7B" w:rsidP="007A65D0">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themeColor="text1"/>
          <w:szCs w:val="24"/>
          <w:lang w:val="en-US"/>
        </w:rPr>
      </w:pPr>
      <w:r>
        <w:rPr>
          <w:rFonts w:asciiTheme="minorHAnsi" w:hAnsiTheme="minorHAnsi" w:cstheme="minorHAnsi"/>
          <w:b/>
          <w:bCs/>
          <w:color w:val="000000" w:themeColor="text1"/>
          <w:szCs w:val="24"/>
          <w:lang w:val="en-US"/>
        </w:rPr>
        <w:br w:type="page"/>
      </w:r>
    </w:p>
    <w:p w14:paraId="3FD865D0" w14:textId="18E0F3A7" w:rsidR="005C5885" w:rsidRDefault="005C5885" w:rsidP="007A65D0">
      <w:pPr>
        <w:spacing w:before="240" w:after="120"/>
        <w:rPr>
          <w:rFonts w:asciiTheme="minorHAnsi" w:hAnsiTheme="minorHAnsi" w:cstheme="minorHAnsi"/>
          <w:b/>
          <w:bCs/>
          <w:color w:val="000000"/>
          <w:szCs w:val="24"/>
          <w:lang w:eastAsia="zh-CN"/>
        </w:rPr>
      </w:pPr>
      <w:bookmarkStart w:id="10" w:name="AnnexB"/>
      <w:bookmarkEnd w:id="10"/>
      <w:r>
        <w:rPr>
          <w:rFonts w:asciiTheme="minorHAnsi" w:hAnsiTheme="minorHAnsi" w:cstheme="minorHAnsi"/>
          <w:b/>
          <w:bCs/>
          <w:color w:val="000000"/>
          <w:szCs w:val="24"/>
          <w:lang w:eastAsia="zh-CN"/>
        </w:rPr>
        <w:lastRenderedPageBreak/>
        <w:t>Annex B</w:t>
      </w:r>
    </w:p>
    <w:p w14:paraId="5B76694D" w14:textId="63BC09FF" w:rsidR="009A3A54" w:rsidRDefault="009A3A54" w:rsidP="007A65D0">
      <w:pPr>
        <w:spacing w:before="240" w:after="120"/>
        <w:rPr>
          <w:rFonts w:asciiTheme="minorHAnsi" w:hAnsiTheme="minorHAnsi" w:cstheme="minorHAnsi"/>
          <w:b/>
          <w:bCs/>
          <w:color w:val="000000"/>
          <w:szCs w:val="24"/>
          <w:lang w:eastAsia="zh-CN"/>
        </w:rPr>
      </w:pPr>
      <w:r w:rsidRPr="00133F2F">
        <w:rPr>
          <w:rFonts w:asciiTheme="minorHAnsi" w:hAnsiTheme="minorHAnsi" w:cstheme="minorHAnsi"/>
          <w:b/>
          <w:bCs/>
          <w:color w:val="000000"/>
          <w:szCs w:val="24"/>
          <w:lang w:eastAsia="zh-CN"/>
        </w:rPr>
        <w:t>Figure B - Cash Flow in CHF (March 2020)</w:t>
      </w:r>
    </w:p>
    <w:p w14:paraId="68B29D57" w14:textId="77777777" w:rsidR="009A3A54" w:rsidRPr="00133F2F" w:rsidRDefault="009A3A54" w:rsidP="007A65D0">
      <w:pPr>
        <w:spacing w:before="240" w:after="120"/>
        <w:rPr>
          <w:rFonts w:asciiTheme="minorHAnsi" w:hAnsiTheme="minorHAnsi" w:cstheme="minorHAnsi"/>
          <w:b/>
          <w:bCs/>
          <w:color w:val="000000"/>
          <w:szCs w:val="24"/>
          <w:lang w:eastAsia="zh-CN"/>
        </w:rPr>
      </w:pPr>
      <w:r w:rsidRPr="00DA0194">
        <w:rPr>
          <w:noProof/>
        </w:rPr>
        <w:drawing>
          <wp:inline distT="0" distB="0" distL="0" distR="0" wp14:anchorId="67AA3F38" wp14:editId="0948339E">
            <wp:extent cx="8888730" cy="1877060"/>
            <wp:effectExtent l="0" t="0" r="762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888730" cy="1877060"/>
                    </a:xfrm>
                    <a:prstGeom prst="rect">
                      <a:avLst/>
                    </a:prstGeom>
                    <a:noFill/>
                    <a:ln>
                      <a:noFill/>
                    </a:ln>
                  </pic:spPr>
                </pic:pic>
              </a:graphicData>
            </a:graphic>
          </wp:inline>
        </w:drawing>
      </w:r>
    </w:p>
    <w:p w14:paraId="274B01CD" w14:textId="77777777" w:rsidR="009A3A54" w:rsidRDefault="009A3A54" w:rsidP="007A65D0">
      <w:pPr>
        <w:spacing w:before="240" w:after="120"/>
        <w:jc w:val="both"/>
        <w:rPr>
          <w:rFonts w:asciiTheme="minorHAnsi" w:hAnsiTheme="minorHAnsi" w:cstheme="minorHAnsi"/>
          <w:b/>
          <w:bCs/>
          <w:color w:val="000000"/>
          <w:szCs w:val="24"/>
          <w:lang w:eastAsia="zh-CN"/>
        </w:rPr>
      </w:pPr>
      <w:r w:rsidRPr="00133F2F">
        <w:rPr>
          <w:rFonts w:asciiTheme="minorHAnsi" w:hAnsiTheme="minorHAnsi" w:cstheme="minorHAnsi"/>
          <w:b/>
          <w:bCs/>
          <w:color w:val="000000"/>
          <w:szCs w:val="24"/>
          <w:lang w:eastAsia="zh-CN"/>
        </w:rPr>
        <w:t>Figure C - Financial Planning of the first loan</w:t>
      </w:r>
      <w:r>
        <w:rPr>
          <w:rFonts w:asciiTheme="minorHAnsi" w:hAnsiTheme="minorHAnsi" w:cstheme="minorHAnsi"/>
          <w:b/>
          <w:bCs/>
          <w:color w:val="000000"/>
          <w:szCs w:val="24"/>
          <w:lang w:eastAsia="zh-CN"/>
        </w:rPr>
        <w:t xml:space="preserve"> (March 2020)</w:t>
      </w:r>
    </w:p>
    <w:p w14:paraId="0390DE3B" w14:textId="77777777" w:rsidR="009A3A54" w:rsidRDefault="009A3A54" w:rsidP="007A65D0">
      <w:pPr>
        <w:spacing w:before="240" w:after="120"/>
        <w:jc w:val="both"/>
        <w:rPr>
          <w:rFonts w:asciiTheme="minorHAnsi" w:hAnsiTheme="minorHAnsi" w:cstheme="minorHAnsi"/>
          <w:b/>
          <w:bCs/>
          <w:color w:val="000000" w:themeColor="text1"/>
        </w:rPr>
        <w:sectPr w:rsidR="009A3A54" w:rsidSect="008A0AA6">
          <w:headerReference w:type="first" r:id="rId50"/>
          <w:footerReference w:type="first" r:id="rId51"/>
          <w:pgSz w:w="16834" w:h="11907" w:orient="landscape"/>
          <w:pgMar w:top="1134" w:right="1418" w:bottom="1134" w:left="1418" w:header="720" w:footer="720" w:gutter="0"/>
          <w:paperSrc w:first="15" w:other="15"/>
          <w:cols w:space="720"/>
          <w:titlePg/>
          <w:docGrid w:linePitch="326"/>
        </w:sectPr>
      </w:pPr>
      <w:r w:rsidRPr="00EB4160">
        <w:rPr>
          <w:noProof/>
        </w:rPr>
        <w:drawing>
          <wp:inline distT="0" distB="0" distL="0" distR="0" wp14:anchorId="31F0F9EF" wp14:editId="04B10EE2">
            <wp:extent cx="8888730" cy="2715260"/>
            <wp:effectExtent l="0" t="0" r="762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8888730" cy="2715260"/>
                    </a:xfrm>
                    <a:prstGeom prst="rect">
                      <a:avLst/>
                    </a:prstGeom>
                    <a:noFill/>
                    <a:ln>
                      <a:noFill/>
                    </a:ln>
                  </pic:spPr>
                </pic:pic>
              </a:graphicData>
            </a:graphic>
          </wp:inline>
        </w:drawing>
      </w:r>
    </w:p>
    <w:p w14:paraId="66C6AEDB" w14:textId="787565FA" w:rsidR="007B4A7F" w:rsidRDefault="005C5885" w:rsidP="007A65D0">
      <w:pPr>
        <w:jc w:val="both"/>
        <w:rPr>
          <w:rFonts w:asciiTheme="minorHAnsi" w:hAnsiTheme="minorHAnsi" w:cstheme="minorHAnsi"/>
          <w:b/>
          <w:bCs/>
          <w:color w:val="000000" w:themeColor="text1"/>
          <w:szCs w:val="24"/>
          <w:lang w:val="en-US"/>
        </w:rPr>
      </w:pPr>
      <w:bookmarkStart w:id="11" w:name="AnnexC"/>
      <w:bookmarkEnd w:id="11"/>
      <w:r>
        <w:rPr>
          <w:rFonts w:asciiTheme="minorHAnsi" w:hAnsiTheme="minorHAnsi" w:cstheme="minorHAnsi"/>
          <w:b/>
          <w:bCs/>
          <w:color w:val="000000" w:themeColor="text1"/>
          <w:szCs w:val="24"/>
          <w:lang w:val="en-US"/>
        </w:rPr>
        <w:lastRenderedPageBreak/>
        <w:t>Annex C</w:t>
      </w:r>
    </w:p>
    <w:p w14:paraId="4AD6155D" w14:textId="11FE8035" w:rsidR="005C5885" w:rsidRDefault="005C5885" w:rsidP="007A65D0">
      <w:pPr>
        <w:jc w:val="both"/>
        <w:rPr>
          <w:rFonts w:asciiTheme="minorHAnsi" w:hAnsiTheme="minorHAnsi" w:cstheme="minorHAnsi"/>
          <w:b/>
          <w:bCs/>
          <w:color w:val="000000" w:themeColor="text1"/>
          <w:szCs w:val="24"/>
          <w:lang w:val="en-US"/>
        </w:rPr>
      </w:pPr>
    </w:p>
    <w:p w14:paraId="6B89288C" w14:textId="64B9EADC" w:rsidR="005C5885" w:rsidRPr="00887A3E" w:rsidRDefault="00315833" w:rsidP="007A65D0">
      <w:pPr>
        <w:jc w:val="center"/>
        <w:rPr>
          <w:rFonts w:asciiTheme="minorHAnsi" w:hAnsiTheme="minorHAnsi" w:cstheme="minorHAnsi"/>
          <w:b/>
          <w:bCs/>
          <w:color w:val="000000" w:themeColor="text1"/>
          <w:szCs w:val="24"/>
          <w:lang w:val="en-US"/>
        </w:rPr>
      </w:pPr>
      <w:r>
        <w:rPr>
          <w:rFonts w:asciiTheme="minorHAnsi" w:hAnsiTheme="minorHAnsi" w:cstheme="minorHAnsi"/>
          <w:noProof/>
          <w:color w:val="000000" w:themeColor="text1"/>
          <w:lang w:val="es-ES" w:eastAsia="es-ES"/>
        </w:rPr>
        <w:drawing>
          <wp:inline distT="0" distB="0" distL="0" distR="0" wp14:anchorId="4B73F39B" wp14:editId="1C4532C2">
            <wp:extent cx="8056890" cy="541020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8072892" cy="5420945"/>
                    </a:xfrm>
                    <a:prstGeom prst="rect">
                      <a:avLst/>
                    </a:prstGeom>
                    <a:noFill/>
                  </pic:spPr>
                </pic:pic>
              </a:graphicData>
            </a:graphic>
          </wp:inline>
        </w:drawing>
      </w:r>
    </w:p>
    <w:p w14:paraId="519F7E28" w14:textId="77777777" w:rsidR="00AE479E" w:rsidRDefault="00AE479E" w:rsidP="007A65D0">
      <w:pPr>
        <w:jc w:val="center"/>
        <w:rPr>
          <w:rFonts w:asciiTheme="minorHAnsi" w:hAnsiTheme="minorHAnsi" w:cstheme="minorHAnsi"/>
          <w:color w:val="000000"/>
          <w:szCs w:val="22"/>
          <w:lang w:val="en-US" w:eastAsia="zh-CN"/>
        </w:rPr>
      </w:pPr>
    </w:p>
    <w:p w14:paraId="64B02832" w14:textId="2AAFAC2D" w:rsidR="007B4A7F" w:rsidRPr="001556DB" w:rsidRDefault="00AE479E" w:rsidP="007A65D0">
      <w:pPr>
        <w:rPr>
          <w:rFonts w:asciiTheme="minorHAnsi" w:hAnsiTheme="minorHAnsi" w:cstheme="minorHAnsi"/>
          <w:b/>
          <w:bCs/>
          <w:color w:val="000000"/>
          <w:szCs w:val="22"/>
          <w:lang w:val="en-US" w:eastAsia="zh-CN"/>
        </w:rPr>
      </w:pPr>
      <w:bookmarkStart w:id="12" w:name="AnnexD"/>
      <w:bookmarkEnd w:id="12"/>
      <w:r w:rsidRPr="001556DB">
        <w:rPr>
          <w:rFonts w:asciiTheme="minorHAnsi" w:hAnsiTheme="minorHAnsi" w:cstheme="minorHAnsi"/>
          <w:b/>
          <w:bCs/>
          <w:color w:val="000000"/>
          <w:szCs w:val="22"/>
          <w:lang w:val="en-US" w:eastAsia="zh-CN"/>
        </w:rPr>
        <w:t>Annex D</w:t>
      </w:r>
    </w:p>
    <w:p w14:paraId="1731DDF1" w14:textId="6F1C2DCE" w:rsidR="00AE479E" w:rsidRDefault="00AE479E" w:rsidP="007A65D0">
      <w:pPr>
        <w:rPr>
          <w:rFonts w:asciiTheme="minorHAnsi" w:hAnsiTheme="minorHAnsi" w:cstheme="minorHAnsi"/>
          <w:color w:val="000000"/>
          <w:szCs w:val="22"/>
          <w:lang w:val="en-US" w:eastAsia="zh-CN"/>
        </w:rPr>
      </w:pPr>
    </w:p>
    <w:p w14:paraId="3C8A39A7" w14:textId="2B764943" w:rsidR="001556DB" w:rsidRPr="002E1E58" w:rsidRDefault="001556DB" w:rsidP="007A65D0">
      <w:pPr>
        <w:tabs>
          <w:tab w:val="clear" w:pos="567"/>
          <w:tab w:val="clear" w:pos="1134"/>
          <w:tab w:val="clear" w:pos="1701"/>
          <w:tab w:val="clear" w:pos="2268"/>
          <w:tab w:val="clear" w:pos="283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both"/>
        <w:textAlignment w:val="auto"/>
        <w:rPr>
          <w:rFonts w:asciiTheme="minorHAnsi" w:hAnsiTheme="minorHAnsi" w:cstheme="minorHAnsi"/>
          <w:color w:val="000000"/>
          <w:szCs w:val="22"/>
          <w:lang w:eastAsia="zh-CN"/>
        </w:rPr>
      </w:pPr>
      <w:r w:rsidRPr="00EB4160">
        <w:rPr>
          <w:rFonts w:asciiTheme="minorHAnsi" w:hAnsiTheme="minorHAnsi" w:cstheme="minorHAnsi"/>
          <w:b/>
          <w:bCs/>
          <w:color w:val="000000"/>
          <w:szCs w:val="22"/>
          <w:lang w:eastAsia="zh-CN"/>
        </w:rPr>
        <w:t>Table of anticipated indirect costs for 2020.</w:t>
      </w:r>
    </w:p>
    <w:p w14:paraId="19A849B3" w14:textId="2AD56548" w:rsidR="001556DB" w:rsidRDefault="001556DB" w:rsidP="007A65D0">
      <w:pPr>
        <w:spacing w:before="240" w:after="120"/>
        <w:jc w:val="center"/>
        <w:rPr>
          <w:rFonts w:asciiTheme="minorHAnsi" w:hAnsiTheme="minorHAnsi" w:cstheme="minorHAnsi"/>
          <w:b/>
          <w:bCs/>
          <w:color w:val="000000" w:themeColor="text1"/>
          <w:sz w:val="28"/>
          <w:szCs w:val="28"/>
          <w:lang w:eastAsia="ja-JP"/>
        </w:rPr>
      </w:pPr>
      <w:r w:rsidRPr="007E51F2">
        <w:rPr>
          <w:noProof/>
          <w:lang w:val="es-ES" w:eastAsia="es-ES"/>
        </w:rPr>
        <w:drawing>
          <wp:inline distT="0" distB="0" distL="0" distR="0" wp14:anchorId="2B55F7F1" wp14:editId="529C7760">
            <wp:extent cx="9319480" cy="414972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9349302" cy="4163004"/>
                    </a:xfrm>
                    <a:prstGeom prst="rect">
                      <a:avLst/>
                    </a:prstGeom>
                    <a:noFill/>
                    <a:ln>
                      <a:noFill/>
                    </a:ln>
                  </pic:spPr>
                </pic:pic>
              </a:graphicData>
            </a:graphic>
          </wp:inline>
        </w:drawing>
      </w:r>
    </w:p>
    <w:p w14:paraId="579B41D0" w14:textId="77777777" w:rsidR="00892263" w:rsidRDefault="00892263" w:rsidP="007A65D0">
      <w:pPr>
        <w:spacing w:before="240" w:after="120"/>
        <w:jc w:val="center"/>
        <w:rPr>
          <w:rFonts w:asciiTheme="minorHAnsi" w:hAnsiTheme="minorHAnsi" w:cstheme="minorHAnsi"/>
          <w:b/>
          <w:bCs/>
          <w:color w:val="000000" w:themeColor="text1"/>
          <w:sz w:val="28"/>
          <w:szCs w:val="28"/>
          <w:lang w:eastAsia="ja-JP"/>
        </w:rPr>
      </w:pPr>
    </w:p>
    <w:p w14:paraId="652EFAD6" w14:textId="25534335" w:rsidR="007B4A7F" w:rsidRPr="00742C7A" w:rsidRDefault="00742C7A" w:rsidP="007A65D0">
      <w:pPr>
        <w:jc w:val="center"/>
        <w:rPr>
          <w:rFonts w:asciiTheme="minorHAnsi" w:hAnsiTheme="minorHAnsi" w:cstheme="minorHAnsi"/>
          <w:color w:val="000000"/>
          <w:szCs w:val="22"/>
          <w:u w:val="single"/>
          <w:lang w:val="en-US" w:eastAsia="zh-CN"/>
        </w:rPr>
      </w:pPr>
      <w:r>
        <w:rPr>
          <w:rFonts w:asciiTheme="minorHAnsi" w:hAnsiTheme="minorHAnsi" w:cstheme="minorHAnsi"/>
          <w:color w:val="000000"/>
          <w:szCs w:val="22"/>
          <w:u w:val="single"/>
          <w:lang w:val="en-US" w:eastAsia="zh-CN"/>
        </w:rPr>
        <w:t>                                          </w:t>
      </w:r>
    </w:p>
    <w:sectPr w:rsidR="007B4A7F" w:rsidRPr="00742C7A" w:rsidSect="00315833">
      <w:footerReference w:type="first" r:id="rId55"/>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F6EC5" w14:textId="77777777" w:rsidR="008A40DC" w:rsidRDefault="008A40DC">
      <w:r>
        <w:separator/>
      </w:r>
    </w:p>
  </w:endnote>
  <w:endnote w:type="continuationSeparator" w:id="0">
    <w:p w14:paraId="0292273D" w14:textId="77777777" w:rsidR="008A40DC" w:rsidRDefault="008A40DC">
      <w:r>
        <w:continuationSeparator/>
      </w:r>
    </w:p>
  </w:endnote>
  <w:endnote w:type="continuationNotice" w:id="1">
    <w:p w14:paraId="31FA9660" w14:textId="77777777" w:rsidR="008A40DC" w:rsidRDefault="008A40D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4FA9D" w14:textId="77777777" w:rsidR="00163C86" w:rsidRDefault="00163C86" w:rsidP="00163C86">
    <w:pPr>
      <w:spacing w:after="120"/>
      <w:jc w:val="center"/>
    </w:pPr>
    <w:r>
      <w:t xml:space="preserve">• </w:t>
    </w:r>
    <w:hyperlink r:id="rId1" w:history="1">
      <w:r>
        <w:rPr>
          <w:rStyle w:val="Hyperlink"/>
        </w:rPr>
        <w:t>http://www.itu.int/council</w:t>
      </w:r>
    </w:hyperlink>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8C6DF" w14:textId="50C21075" w:rsidR="00CD5C44" w:rsidRPr="00CD5C44" w:rsidRDefault="00CD5C44" w:rsidP="00CD5C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0D133" w14:textId="49DF8A96" w:rsidR="00CD5C44" w:rsidRPr="00CD5C44" w:rsidRDefault="00CD5C44" w:rsidP="00CD5C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867BF" w14:textId="77777777" w:rsidR="008A40DC" w:rsidRDefault="008A40DC">
      <w:r>
        <w:t>____________________</w:t>
      </w:r>
    </w:p>
  </w:footnote>
  <w:footnote w:type="continuationSeparator" w:id="0">
    <w:p w14:paraId="6761FD8A" w14:textId="77777777" w:rsidR="008A40DC" w:rsidRDefault="008A40DC">
      <w:r>
        <w:continuationSeparator/>
      </w:r>
    </w:p>
  </w:footnote>
  <w:footnote w:type="continuationNotice" w:id="1">
    <w:p w14:paraId="385F03E7" w14:textId="77777777" w:rsidR="008A40DC" w:rsidRDefault="008A40DC">
      <w:pPr>
        <w:spacing w:before="0"/>
      </w:pPr>
    </w:p>
  </w:footnote>
  <w:footnote w:id="2">
    <w:p w14:paraId="752A2A79" w14:textId="77777777" w:rsidR="00C74B05" w:rsidRPr="00C74B05" w:rsidRDefault="00C74B05" w:rsidP="00C74B05">
      <w:pPr>
        <w:spacing w:line="276" w:lineRule="auto"/>
        <w:jc w:val="both"/>
        <w:rPr>
          <w:rFonts w:asciiTheme="minorHAnsi" w:hAnsiTheme="minorHAnsi" w:cstheme="minorHAnsi"/>
          <w:color w:val="000000" w:themeColor="text1"/>
        </w:rPr>
      </w:pPr>
      <w:r>
        <w:rPr>
          <w:rStyle w:val="FootnoteReference"/>
        </w:rPr>
        <w:footnoteRef/>
      </w:r>
      <w:r>
        <w:t xml:space="preserve"> </w:t>
      </w:r>
      <w:r w:rsidRPr="00C74B05">
        <w:rPr>
          <w:rFonts w:asciiTheme="minorHAnsi" w:hAnsiTheme="minorHAnsi" w:cstheme="minorHAnsi"/>
          <w:color w:val="000000" w:themeColor="text1"/>
          <w:sz w:val="20"/>
        </w:rPr>
        <w:t>Value engineering promotes the substitution of materials and methods with less expensive alternatives, without sacrificing functionality.</w:t>
      </w:r>
    </w:p>
    <w:p w14:paraId="75520A77" w14:textId="6DAC4A28" w:rsidR="00C74B05" w:rsidRPr="00C74B05" w:rsidRDefault="00C74B05">
      <w:pPr>
        <w:pStyle w:val="FootnoteText"/>
        <w:rPr>
          <w:lang w:val="en-US"/>
        </w:rPr>
      </w:pPr>
    </w:p>
  </w:footnote>
  <w:footnote w:id="3">
    <w:p w14:paraId="6F5B55EF" w14:textId="590DF50F" w:rsidR="00555630" w:rsidRPr="00555630" w:rsidRDefault="00555630">
      <w:pPr>
        <w:pStyle w:val="FootnoteText"/>
      </w:pPr>
      <w:r>
        <w:rPr>
          <w:rStyle w:val="FootnoteReference"/>
        </w:rPr>
        <w:footnoteRef/>
      </w:r>
      <w:r>
        <w:t xml:space="preserve"> </w:t>
      </w:r>
      <w:r w:rsidR="003D0572">
        <w:t xml:space="preserve"> </w:t>
      </w:r>
      <w:r w:rsidR="003D0572" w:rsidRPr="003D0572">
        <w:rPr>
          <w:sz w:val="20"/>
        </w:rPr>
        <w:t>Value calculated on data from December 2019.</w:t>
      </w:r>
    </w:p>
  </w:footnote>
  <w:footnote w:id="4">
    <w:p w14:paraId="43FDF731" w14:textId="60107732" w:rsidR="000537A7" w:rsidRPr="000E3F43" w:rsidRDefault="000537A7" w:rsidP="00C13D61">
      <w:pPr>
        <w:pStyle w:val="HTMLPreformatted"/>
        <w:spacing w:line="276" w:lineRule="auto"/>
      </w:pPr>
      <w:r w:rsidRPr="000E3F43">
        <w:rPr>
          <w:rStyle w:val="FootnoteReference"/>
        </w:rPr>
        <w:footnoteRef/>
      </w:r>
      <w:r w:rsidR="003D0572">
        <w:t xml:space="preserve"> </w:t>
      </w:r>
      <w:r w:rsidRPr="000E3F43">
        <w:rPr>
          <w:rFonts w:asciiTheme="minorHAnsi" w:hAnsiTheme="minorHAnsi" w:cstheme="minorHAnsi"/>
          <w:color w:val="222222"/>
          <w:lang w:val="en"/>
        </w:rPr>
        <w:t xml:space="preserve">The calculation </w:t>
      </w:r>
      <w:r>
        <w:rPr>
          <w:rFonts w:asciiTheme="minorHAnsi" w:hAnsiTheme="minorHAnsi" w:cstheme="minorHAnsi"/>
          <w:color w:val="222222"/>
          <w:lang w:val="en"/>
        </w:rPr>
        <w:t xml:space="preserve">for a </w:t>
      </w:r>
      <w:r w:rsidRPr="000E3F43">
        <w:rPr>
          <w:rFonts w:asciiTheme="minorHAnsi" w:hAnsiTheme="minorHAnsi" w:cstheme="minorHAnsi"/>
          <w:color w:val="222222"/>
          <w:lang w:val="en"/>
        </w:rPr>
        <w:t xml:space="preserve">period </w:t>
      </w:r>
      <w:r>
        <w:rPr>
          <w:rFonts w:asciiTheme="minorHAnsi" w:hAnsiTheme="minorHAnsi" w:cstheme="minorHAnsi"/>
          <w:color w:val="222222"/>
          <w:lang w:val="en"/>
        </w:rPr>
        <w:t>about</w:t>
      </w:r>
      <w:r w:rsidRPr="000E3F43">
        <w:rPr>
          <w:rFonts w:asciiTheme="minorHAnsi" w:hAnsiTheme="minorHAnsi" w:cstheme="minorHAnsi"/>
          <w:color w:val="222222"/>
          <w:lang w:val="en"/>
        </w:rPr>
        <w:t xml:space="preserve"> 10 years from April 1, 2020 to March 31, 2030.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E4FA6" w14:textId="50B59E52" w:rsidR="0017596B" w:rsidRDefault="0017596B" w:rsidP="00CE433C">
    <w:pPr>
      <w:pStyle w:val="Header"/>
    </w:pPr>
    <w:r>
      <w:fldChar w:fldCharType="begin"/>
    </w:r>
    <w:r>
      <w:instrText>PAGE</w:instrText>
    </w:r>
    <w:r>
      <w:fldChar w:fldCharType="separate"/>
    </w:r>
    <w:r w:rsidR="00F46A62">
      <w:rPr>
        <w:noProof/>
      </w:rPr>
      <w:t>9</w:t>
    </w:r>
    <w:r>
      <w:rPr>
        <w:noProof/>
      </w:rPr>
      <w:fldChar w:fldCharType="end"/>
    </w:r>
  </w:p>
  <w:p w14:paraId="02F27790" w14:textId="32470A3D" w:rsidR="0017596B" w:rsidRPr="00623AE3" w:rsidRDefault="0017596B" w:rsidP="00D338E0">
    <w:pPr>
      <w:pStyle w:val="Header"/>
      <w:rPr>
        <w:bCs/>
      </w:rPr>
    </w:pPr>
    <w:r>
      <w:rPr>
        <w:bCs/>
      </w:rPr>
      <w:t>C20</w:t>
    </w:r>
    <w:r w:rsidRPr="00623AE3">
      <w:rPr>
        <w:bCs/>
      </w:rPr>
      <w:t>/</w:t>
    </w:r>
    <w:r w:rsidR="005A703C">
      <w:rPr>
        <w:bCs/>
      </w:rPr>
      <w:t>7</w:t>
    </w:r>
    <w:r w:rsidRPr="00623AE3">
      <w:rPr>
        <w:bCs/>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220C7" w14:textId="77777777" w:rsidR="00742C7A" w:rsidRDefault="00742C7A" w:rsidP="00742C7A">
    <w:pPr>
      <w:pStyle w:val="Header"/>
    </w:pPr>
    <w:r>
      <w:fldChar w:fldCharType="begin"/>
    </w:r>
    <w:r>
      <w:instrText>PAGE</w:instrText>
    </w:r>
    <w:r>
      <w:fldChar w:fldCharType="separate"/>
    </w:r>
    <w:r>
      <w:t>2</w:t>
    </w:r>
    <w:r>
      <w:rPr>
        <w:noProof/>
      </w:rPr>
      <w:fldChar w:fldCharType="end"/>
    </w:r>
  </w:p>
  <w:p w14:paraId="54302744" w14:textId="77777777" w:rsidR="00742C7A" w:rsidRPr="00623AE3" w:rsidRDefault="00742C7A" w:rsidP="00742C7A">
    <w:pPr>
      <w:pStyle w:val="Header"/>
      <w:rPr>
        <w:bCs/>
      </w:rPr>
    </w:pPr>
    <w:r>
      <w:rPr>
        <w:bCs/>
      </w:rPr>
      <w:t>C20</w:t>
    </w:r>
    <w:r w:rsidRPr="00623AE3">
      <w:rPr>
        <w:bCs/>
      </w:rPr>
      <w:t>/</w:t>
    </w:r>
    <w:r>
      <w:rPr>
        <w:bCs/>
      </w:rPr>
      <w:t>7</w:t>
    </w:r>
    <w:r w:rsidRPr="00623AE3">
      <w:rPr>
        <w:bCs/>
      </w:rPr>
      <w:t>-E</w:t>
    </w:r>
  </w:p>
  <w:p w14:paraId="55AA9E27" w14:textId="77777777" w:rsidR="00742C7A" w:rsidRDefault="00742C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34FEA67"/>
    <w:multiLevelType w:val="hybridMultilevel"/>
    <w:tmpl w:val="224268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727991"/>
    <w:multiLevelType w:val="hybridMultilevel"/>
    <w:tmpl w:val="85C0AB76"/>
    <w:lvl w:ilvl="0" w:tplc="BB38F7B4">
      <w:start w:val="1"/>
      <w:numFmt w:val="bullet"/>
      <w:pStyle w:val="B-Square"/>
      <w:lvlText w:val=""/>
      <w:lvlJc w:val="left"/>
      <w:pPr>
        <w:ind w:left="720" w:hanging="360"/>
      </w:pPr>
      <w:rPr>
        <w:rFonts w:ascii="Wingdings" w:hAnsi="Wingdings" w:hint="default"/>
        <w:color w:val="000000" w:themeColor="text1"/>
      </w:rPr>
    </w:lvl>
    <w:lvl w:ilvl="1" w:tplc="562A090C">
      <w:start w:val="1"/>
      <w:numFmt w:val="bullet"/>
      <w:pStyle w:val="B-Round"/>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E125CF"/>
    <w:multiLevelType w:val="hybridMultilevel"/>
    <w:tmpl w:val="7158B2DC"/>
    <w:lvl w:ilvl="0" w:tplc="3C609348">
      <w:start w:val="1"/>
      <w:numFmt w:val="bullet"/>
      <w:lvlText w:val="•"/>
      <w:lvlJc w:val="left"/>
      <w:pPr>
        <w:tabs>
          <w:tab w:val="num" w:pos="720"/>
        </w:tabs>
        <w:ind w:left="720" w:hanging="360"/>
      </w:pPr>
      <w:rPr>
        <w:rFonts w:ascii="Arial" w:hAnsi="Arial" w:hint="default"/>
      </w:rPr>
    </w:lvl>
    <w:lvl w:ilvl="1" w:tplc="A394EA00">
      <w:start w:val="1"/>
      <w:numFmt w:val="bullet"/>
      <w:lvlText w:val="•"/>
      <w:lvlJc w:val="left"/>
      <w:pPr>
        <w:tabs>
          <w:tab w:val="num" w:pos="1440"/>
        </w:tabs>
        <w:ind w:left="1440" w:hanging="360"/>
      </w:pPr>
      <w:rPr>
        <w:rFonts w:ascii="Arial" w:hAnsi="Arial" w:hint="default"/>
      </w:rPr>
    </w:lvl>
    <w:lvl w:ilvl="2" w:tplc="C204B53E" w:tentative="1">
      <w:start w:val="1"/>
      <w:numFmt w:val="bullet"/>
      <w:lvlText w:val="•"/>
      <w:lvlJc w:val="left"/>
      <w:pPr>
        <w:tabs>
          <w:tab w:val="num" w:pos="2160"/>
        </w:tabs>
        <w:ind w:left="2160" w:hanging="360"/>
      </w:pPr>
      <w:rPr>
        <w:rFonts w:ascii="Arial" w:hAnsi="Arial" w:hint="default"/>
      </w:rPr>
    </w:lvl>
    <w:lvl w:ilvl="3" w:tplc="A6EE8BBA" w:tentative="1">
      <w:start w:val="1"/>
      <w:numFmt w:val="bullet"/>
      <w:lvlText w:val="•"/>
      <w:lvlJc w:val="left"/>
      <w:pPr>
        <w:tabs>
          <w:tab w:val="num" w:pos="2880"/>
        </w:tabs>
        <w:ind w:left="2880" w:hanging="360"/>
      </w:pPr>
      <w:rPr>
        <w:rFonts w:ascii="Arial" w:hAnsi="Arial" w:hint="default"/>
      </w:rPr>
    </w:lvl>
    <w:lvl w:ilvl="4" w:tplc="EDB62458" w:tentative="1">
      <w:start w:val="1"/>
      <w:numFmt w:val="bullet"/>
      <w:lvlText w:val="•"/>
      <w:lvlJc w:val="left"/>
      <w:pPr>
        <w:tabs>
          <w:tab w:val="num" w:pos="3600"/>
        </w:tabs>
        <w:ind w:left="3600" w:hanging="360"/>
      </w:pPr>
      <w:rPr>
        <w:rFonts w:ascii="Arial" w:hAnsi="Arial" w:hint="default"/>
      </w:rPr>
    </w:lvl>
    <w:lvl w:ilvl="5" w:tplc="A810E4AE" w:tentative="1">
      <w:start w:val="1"/>
      <w:numFmt w:val="bullet"/>
      <w:lvlText w:val="•"/>
      <w:lvlJc w:val="left"/>
      <w:pPr>
        <w:tabs>
          <w:tab w:val="num" w:pos="4320"/>
        </w:tabs>
        <w:ind w:left="4320" w:hanging="360"/>
      </w:pPr>
      <w:rPr>
        <w:rFonts w:ascii="Arial" w:hAnsi="Arial" w:hint="default"/>
      </w:rPr>
    </w:lvl>
    <w:lvl w:ilvl="6" w:tplc="7B04AECA" w:tentative="1">
      <w:start w:val="1"/>
      <w:numFmt w:val="bullet"/>
      <w:lvlText w:val="•"/>
      <w:lvlJc w:val="left"/>
      <w:pPr>
        <w:tabs>
          <w:tab w:val="num" w:pos="5040"/>
        </w:tabs>
        <w:ind w:left="5040" w:hanging="360"/>
      </w:pPr>
      <w:rPr>
        <w:rFonts w:ascii="Arial" w:hAnsi="Arial" w:hint="default"/>
      </w:rPr>
    </w:lvl>
    <w:lvl w:ilvl="7" w:tplc="E66EA9AC" w:tentative="1">
      <w:start w:val="1"/>
      <w:numFmt w:val="bullet"/>
      <w:lvlText w:val="•"/>
      <w:lvlJc w:val="left"/>
      <w:pPr>
        <w:tabs>
          <w:tab w:val="num" w:pos="5760"/>
        </w:tabs>
        <w:ind w:left="5760" w:hanging="360"/>
      </w:pPr>
      <w:rPr>
        <w:rFonts w:ascii="Arial" w:hAnsi="Arial" w:hint="default"/>
      </w:rPr>
    </w:lvl>
    <w:lvl w:ilvl="8" w:tplc="B1823C8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612270"/>
    <w:multiLevelType w:val="hybridMultilevel"/>
    <w:tmpl w:val="BEA2C034"/>
    <w:lvl w:ilvl="0" w:tplc="08090001">
      <w:start w:val="1"/>
      <w:numFmt w:val="bullet"/>
      <w:lvlText w:val=""/>
      <w:lvlJc w:val="left"/>
      <w:pPr>
        <w:ind w:left="590" w:hanging="360"/>
      </w:pPr>
      <w:rPr>
        <w:rFonts w:ascii="Symbol" w:hAnsi="Symbol" w:hint="default"/>
      </w:rPr>
    </w:lvl>
    <w:lvl w:ilvl="1" w:tplc="08090003" w:tentative="1">
      <w:start w:val="1"/>
      <w:numFmt w:val="bullet"/>
      <w:lvlText w:val="o"/>
      <w:lvlJc w:val="left"/>
      <w:pPr>
        <w:ind w:left="1310" w:hanging="360"/>
      </w:pPr>
      <w:rPr>
        <w:rFonts w:ascii="Courier New" w:hAnsi="Courier New" w:cs="Courier New" w:hint="default"/>
      </w:rPr>
    </w:lvl>
    <w:lvl w:ilvl="2" w:tplc="08090005" w:tentative="1">
      <w:start w:val="1"/>
      <w:numFmt w:val="bullet"/>
      <w:lvlText w:val=""/>
      <w:lvlJc w:val="left"/>
      <w:pPr>
        <w:ind w:left="2030" w:hanging="360"/>
      </w:pPr>
      <w:rPr>
        <w:rFonts w:ascii="Wingdings" w:hAnsi="Wingdings" w:hint="default"/>
      </w:rPr>
    </w:lvl>
    <w:lvl w:ilvl="3" w:tplc="08090001" w:tentative="1">
      <w:start w:val="1"/>
      <w:numFmt w:val="bullet"/>
      <w:lvlText w:val=""/>
      <w:lvlJc w:val="left"/>
      <w:pPr>
        <w:ind w:left="2750" w:hanging="360"/>
      </w:pPr>
      <w:rPr>
        <w:rFonts w:ascii="Symbol" w:hAnsi="Symbol" w:hint="default"/>
      </w:rPr>
    </w:lvl>
    <w:lvl w:ilvl="4" w:tplc="08090003" w:tentative="1">
      <w:start w:val="1"/>
      <w:numFmt w:val="bullet"/>
      <w:lvlText w:val="o"/>
      <w:lvlJc w:val="left"/>
      <w:pPr>
        <w:ind w:left="3470" w:hanging="360"/>
      </w:pPr>
      <w:rPr>
        <w:rFonts w:ascii="Courier New" w:hAnsi="Courier New" w:cs="Courier New" w:hint="default"/>
      </w:rPr>
    </w:lvl>
    <w:lvl w:ilvl="5" w:tplc="08090005" w:tentative="1">
      <w:start w:val="1"/>
      <w:numFmt w:val="bullet"/>
      <w:lvlText w:val=""/>
      <w:lvlJc w:val="left"/>
      <w:pPr>
        <w:ind w:left="4190" w:hanging="360"/>
      </w:pPr>
      <w:rPr>
        <w:rFonts w:ascii="Wingdings" w:hAnsi="Wingdings" w:hint="default"/>
      </w:rPr>
    </w:lvl>
    <w:lvl w:ilvl="6" w:tplc="08090001" w:tentative="1">
      <w:start w:val="1"/>
      <w:numFmt w:val="bullet"/>
      <w:lvlText w:val=""/>
      <w:lvlJc w:val="left"/>
      <w:pPr>
        <w:ind w:left="4910" w:hanging="360"/>
      </w:pPr>
      <w:rPr>
        <w:rFonts w:ascii="Symbol" w:hAnsi="Symbol" w:hint="default"/>
      </w:rPr>
    </w:lvl>
    <w:lvl w:ilvl="7" w:tplc="08090003" w:tentative="1">
      <w:start w:val="1"/>
      <w:numFmt w:val="bullet"/>
      <w:lvlText w:val="o"/>
      <w:lvlJc w:val="left"/>
      <w:pPr>
        <w:ind w:left="5630" w:hanging="360"/>
      </w:pPr>
      <w:rPr>
        <w:rFonts w:ascii="Courier New" w:hAnsi="Courier New" w:cs="Courier New" w:hint="default"/>
      </w:rPr>
    </w:lvl>
    <w:lvl w:ilvl="8" w:tplc="08090005" w:tentative="1">
      <w:start w:val="1"/>
      <w:numFmt w:val="bullet"/>
      <w:lvlText w:val=""/>
      <w:lvlJc w:val="left"/>
      <w:pPr>
        <w:ind w:left="6350" w:hanging="360"/>
      </w:pPr>
      <w:rPr>
        <w:rFonts w:ascii="Wingdings" w:hAnsi="Wingdings" w:hint="default"/>
      </w:rPr>
    </w:lvl>
  </w:abstractNum>
  <w:abstractNum w:abstractNumId="5" w15:restartNumberingAfterBreak="0">
    <w:nsid w:val="0D0A6BEC"/>
    <w:multiLevelType w:val="hybridMultilevel"/>
    <w:tmpl w:val="7846A43C"/>
    <w:lvl w:ilvl="0" w:tplc="17009FE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FB7264"/>
    <w:multiLevelType w:val="multilevel"/>
    <w:tmpl w:val="70A2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761FCF"/>
    <w:multiLevelType w:val="hybridMultilevel"/>
    <w:tmpl w:val="F0CEA06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BA55051"/>
    <w:multiLevelType w:val="multilevel"/>
    <w:tmpl w:val="CFD8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D36FA3"/>
    <w:multiLevelType w:val="multilevel"/>
    <w:tmpl w:val="4274B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536C60"/>
    <w:multiLevelType w:val="hybridMultilevel"/>
    <w:tmpl w:val="5A387F8E"/>
    <w:lvl w:ilvl="0" w:tplc="D4323866">
      <w:numFmt w:val="bullet"/>
      <w:lvlText w:val="-"/>
      <w:lvlJc w:val="left"/>
      <w:pPr>
        <w:ind w:left="1069" w:hanging="360"/>
      </w:pPr>
      <w:rPr>
        <w:rFonts w:ascii="Calibri" w:eastAsia="SimSun" w:hAnsi="Calibri" w:cs="Calibri" w:hint="default"/>
      </w:rPr>
    </w:lvl>
    <w:lvl w:ilvl="1" w:tplc="08090001">
      <w:start w:val="1"/>
      <w:numFmt w:val="bullet"/>
      <w:lvlText w:val=""/>
      <w:lvlJc w:val="left"/>
      <w:pPr>
        <w:ind w:left="1789" w:hanging="360"/>
      </w:pPr>
      <w:rPr>
        <w:rFonts w:ascii="Symbol" w:hAnsi="Symbol"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20190F3D"/>
    <w:multiLevelType w:val="multilevel"/>
    <w:tmpl w:val="B1E4F6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26510F"/>
    <w:multiLevelType w:val="multilevel"/>
    <w:tmpl w:val="E698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482D2C"/>
    <w:multiLevelType w:val="multilevel"/>
    <w:tmpl w:val="40E4B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BD3761"/>
    <w:multiLevelType w:val="multilevel"/>
    <w:tmpl w:val="6DE8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7C7A03"/>
    <w:multiLevelType w:val="hybridMultilevel"/>
    <w:tmpl w:val="30D48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1A2CDF"/>
    <w:multiLevelType w:val="multilevel"/>
    <w:tmpl w:val="69240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C6677"/>
    <w:multiLevelType w:val="hybridMultilevel"/>
    <w:tmpl w:val="84C05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961349"/>
    <w:multiLevelType w:val="multilevel"/>
    <w:tmpl w:val="34B45F5C"/>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D456B4"/>
    <w:multiLevelType w:val="hybridMultilevel"/>
    <w:tmpl w:val="DDACB45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8DC1825"/>
    <w:multiLevelType w:val="multilevel"/>
    <w:tmpl w:val="FCAA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B25AFD"/>
    <w:multiLevelType w:val="hybridMultilevel"/>
    <w:tmpl w:val="B3762BB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11B5876"/>
    <w:multiLevelType w:val="multilevel"/>
    <w:tmpl w:val="BC74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061EC1"/>
    <w:multiLevelType w:val="multilevel"/>
    <w:tmpl w:val="F6EEA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9F757B"/>
    <w:multiLevelType w:val="multilevel"/>
    <w:tmpl w:val="6242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A43067"/>
    <w:multiLevelType w:val="multilevel"/>
    <w:tmpl w:val="4364D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760F77"/>
    <w:multiLevelType w:val="hybridMultilevel"/>
    <w:tmpl w:val="ED601D6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490B7FC2"/>
    <w:multiLevelType w:val="multilevel"/>
    <w:tmpl w:val="2440E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3C0ACB"/>
    <w:multiLevelType w:val="multilevel"/>
    <w:tmpl w:val="7A08F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6E4A73"/>
    <w:multiLevelType w:val="hybridMultilevel"/>
    <w:tmpl w:val="B0124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E20CF5"/>
    <w:multiLevelType w:val="hybridMultilevel"/>
    <w:tmpl w:val="9AD088CC"/>
    <w:lvl w:ilvl="0" w:tplc="08090001">
      <w:start w:val="1"/>
      <w:numFmt w:val="bullet"/>
      <w:lvlText w:val=""/>
      <w:lvlJc w:val="left"/>
      <w:pPr>
        <w:ind w:left="1069" w:hanging="360"/>
      </w:pPr>
      <w:rPr>
        <w:rFonts w:ascii="Symbol" w:hAnsi="Symbol" w:hint="default"/>
      </w:rPr>
    </w:lvl>
    <w:lvl w:ilvl="1" w:tplc="08090001">
      <w:start w:val="1"/>
      <w:numFmt w:val="bullet"/>
      <w:lvlText w:val=""/>
      <w:lvlJc w:val="left"/>
      <w:pPr>
        <w:ind w:left="1789" w:hanging="360"/>
      </w:pPr>
      <w:rPr>
        <w:rFonts w:ascii="Symbol" w:hAnsi="Symbol"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1" w15:restartNumberingAfterBreak="0">
    <w:nsid w:val="5D0A1D92"/>
    <w:multiLevelType w:val="multilevel"/>
    <w:tmpl w:val="3B66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CA2435"/>
    <w:multiLevelType w:val="multilevel"/>
    <w:tmpl w:val="72243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645676"/>
    <w:multiLevelType w:val="multilevel"/>
    <w:tmpl w:val="59208150"/>
    <w:lvl w:ilvl="0">
      <w:start w:val="1"/>
      <w:numFmt w:val="decimal"/>
      <w:lvlText w:val="%1"/>
      <w:lvlJc w:val="left"/>
      <w:pPr>
        <w:ind w:left="708" w:hanging="708"/>
      </w:pPr>
      <w:rPr>
        <w:rFonts w:hint="default"/>
      </w:rPr>
    </w:lvl>
    <w:lvl w:ilvl="1">
      <w:start w:val="1"/>
      <w:numFmt w:val="bullet"/>
      <w:lvlText w:val=""/>
      <w:lvlJc w:val="left"/>
      <w:pPr>
        <w:ind w:left="708" w:hanging="708"/>
      </w:pPr>
      <w:rPr>
        <w:rFonts w:ascii="Symbol" w:hAnsi="Symbol"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15678B6"/>
    <w:multiLevelType w:val="multilevel"/>
    <w:tmpl w:val="7594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994AB7"/>
    <w:multiLevelType w:val="hybridMultilevel"/>
    <w:tmpl w:val="0608C92E"/>
    <w:lvl w:ilvl="0" w:tplc="F086E36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661E8D"/>
    <w:multiLevelType w:val="multilevel"/>
    <w:tmpl w:val="9F6C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FE38B1"/>
    <w:multiLevelType w:val="multilevel"/>
    <w:tmpl w:val="0D70FFFA"/>
    <w:lvl w:ilvl="0">
      <w:start w:val="1"/>
      <w:numFmt w:val="decimal"/>
      <w:lvlText w:val="%1."/>
      <w:lvlJc w:val="left"/>
      <w:pPr>
        <w:ind w:left="360" w:hanging="360"/>
      </w:pPr>
      <w:rPr>
        <w:rFonts w:hint="default"/>
      </w:rPr>
    </w:lvl>
    <w:lvl w:ilvl="1">
      <w:start w:val="2"/>
      <w:numFmt w:val="decimal"/>
      <w:isLgl/>
      <w:lvlText w:val="%1.%2"/>
      <w:lvlJc w:val="left"/>
      <w:pPr>
        <w:ind w:left="708" w:hanging="70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66232BA4"/>
    <w:multiLevelType w:val="multilevel"/>
    <w:tmpl w:val="E344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C856E2"/>
    <w:multiLevelType w:val="multilevel"/>
    <w:tmpl w:val="A6E4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ED78EB"/>
    <w:multiLevelType w:val="multilevel"/>
    <w:tmpl w:val="585E7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F51E4F"/>
    <w:multiLevelType w:val="multilevel"/>
    <w:tmpl w:val="D6529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7E2934"/>
    <w:multiLevelType w:val="hybridMultilevel"/>
    <w:tmpl w:val="9B686420"/>
    <w:lvl w:ilvl="0" w:tplc="5234F02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9D24810"/>
    <w:multiLevelType w:val="hybridMultilevel"/>
    <w:tmpl w:val="5C6C07D2"/>
    <w:lvl w:ilvl="0" w:tplc="07CA39F2">
      <w:start w:val="33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7"/>
  </w:num>
  <w:num w:numId="3">
    <w:abstractNumId w:val="18"/>
  </w:num>
  <w:num w:numId="4">
    <w:abstractNumId w:val="10"/>
  </w:num>
  <w:num w:numId="5">
    <w:abstractNumId w:val="11"/>
  </w:num>
  <w:num w:numId="6">
    <w:abstractNumId w:val="3"/>
  </w:num>
  <w:num w:numId="7">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38"/>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34"/>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4"/>
  </w:num>
  <w:num w:numId="17">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40"/>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33"/>
  </w:num>
  <w:num w:numId="22">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39"/>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41"/>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31">
    <w:abstractNumId w:val="43"/>
  </w:num>
  <w:num w:numId="32">
    <w:abstractNumId w:val="2"/>
  </w:num>
  <w:num w:numId="33">
    <w:abstractNumId w:val="17"/>
  </w:num>
  <w:num w:numId="34">
    <w:abstractNumId w:val="15"/>
  </w:num>
  <w:num w:numId="35">
    <w:abstractNumId w:val="29"/>
  </w:num>
  <w:num w:numId="36">
    <w:abstractNumId w:val="5"/>
  </w:num>
  <w:num w:numId="37">
    <w:abstractNumId w:val="35"/>
  </w:num>
  <w:num w:numId="38">
    <w:abstractNumId w:val="42"/>
  </w:num>
  <w:num w:numId="39">
    <w:abstractNumId w:val="26"/>
  </w:num>
  <w:num w:numId="40">
    <w:abstractNumId w:val="7"/>
  </w:num>
  <w:num w:numId="41">
    <w:abstractNumId w:val="19"/>
  </w:num>
  <w:num w:numId="42">
    <w:abstractNumId w:val="21"/>
  </w:num>
  <w:num w:numId="43">
    <w:abstractNumId w:val="30"/>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00D1F"/>
    <w:rsid w:val="00002976"/>
    <w:rsid w:val="0000400E"/>
    <w:rsid w:val="00005191"/>
    <w:rsid w:val="00005DA5"/>
    <w:rsid w:val="000068ED"/>
    <w:rsid w:val="00010C5C"/>
    <w:rsid w:val="0001205E"/>
    <w:rsid w:val="00014B9A"/>
    <w:rsid w:val="000210D4"/>
    <w:rsid w:val="00021473"/>
    <w:rsid w:val="00023561"/>
    <w:rsid w:val="00023FDB"/>
    <w:rsid w:val="0002490A"/>
    <w:rsid w:val="00026006"/>
    <w:rsid w:val="0003275B"/>
    <w:rsid w:val="00033F1C"/>
    <w:rsid w:val="00037EC4"/>
    <w:rsid w:val="00043736"/>
    <w:rsid w:val="00044EB0"/>
    <w:rsid w:val="0004676C"/>
    <w:rsid w:val="0004705C"/>
    <w:rsid w:val="0005204E"/>
    <w:rsid w:val="0005258E"/>
    <w:rsid w:val="0005336D"/>
    <w:rsid w:val="000537A7"/>
    <w:rsid w:val="00054E8D"/>
    <w:rsid w:val="00055CEA"/>
    <w:rsid w:val="00056D69"/>
    <w:rsid w:val="00061745"/>
    <w:rsid w:val="00063016"/>
    <w:rsid w:val="000640A9"/>
    <w:rsid w:val="00066795"/>
    <w:rsid w:val="000675E4"/>
    <w:rsid w:val="00072EE0"/>
    <w:rsid w:val="00073A08"/>
    <w:rsid w:val="00073D03"/>
    <w:rsid w:val="00076687"/>
    <w:rsid w:val="00076AF6"/>
    <w:rsid w:val="0008462E"/>
    <w:rsid w:val="0008491A"/>
    <w:rsid w:val="00085174"/>
    <w:rsid w:val="00085CF2"/>
    <w:rsid w:val="000861FF"/>
    <w:rsid w:val="000863FF"/>
    <w:rsid w:val="00093E25"/>
    <w:rsid w:val="00096C48"/>
    <w:rsid w:val="00097B7B"/>
    <w:rsid w:val="00097DEE"/>
    <w:rsid w:val="000A24CC"/>
    <w:rsid w:val="000A2F90"/>
    <w:rsid w:val="000A4147"/>
    <w:rsid w:val="000A4E50"/>
    <w:rsid w:val="000A64CC"/>
    <w:rsid w:val="000A6BA7"/>
    <w:rsid w:val="000A754F"/>
    <w:rsid w:val="000B1705"/>
    <w:rsid w:val="000B5332"/>
    <w:rsid w:val="000B5A0E"/>
    <w:rsid w:val="000B5F2D"/>
    <w:rsid w:val="000B6339"/>
    <w:rsid w:val="000C1FCC"/>
    <w:rsid w:val="000D070F"/>
    <w:rsid w:val="000D3D4F"/>
    <w:rsid w:val="000D4C18"/>
    <w:rsid w:val="000D5319"/>
    <w:rsid w:val="000D5FD5"/>
    <w:rsid w:val="000D6024"/>
    <w:rsid w:val="000D6BB8"/>
    <w:rsid w:val="000D6D29"/>
    <w:rsid w:val="000D75B2"/>
    <w:rsid w:val="000E0269"/>
    <w:rsid w:val="000E034A"/>
    <w:rsid w:val="000E0478"/>
    <w:rsid w:val="000E0A82"/>
    <w:rsid w:val="000E2C12"/>
    <w:rsid w:val="000E3F43"/>
    <w:rsid w:val="000E438A"/>
    <w:rsid w:val="000E7644"/>
    <w:rsid w:val="000F0E0D"/>
    <w:rsid w:val="000F1BEA"/>
    <w:rsid w:val="000F2C6E"/>
    <w:rsid w:val="000F3F8A"/>
    <w:rsid w:val="000F551D"/>
    <w:rsid w:val="000F5C06"/>
    <w:rsid w:val="000F6114"/>
    <w:rsid w:val="000F7A72"/>
    <w:rsid w:val="001012E7"/>
    <w:rsid w:val="00105736"/>
    <w:rsid w:val="00106171"/>
    <w:rsid w:val="00111E12"/>
    <w:rsid w:val="001121F5"/>
    <w:rsid w:val="001164C0"/>
    <w:rsid w:val="0011668E"/>
    <w:rsid w:val="00116D7A"/>
    <w:rsid w:val="00117591"/>
    <w:rsid w:val="00120A23"/>
    <w:rsid w:val="0012278C"/>
    <w:rsid w:val="00122E26"/>
    <w:rsid w:val="00123718"/>
    <w:rsid w:val="00132DF9"/>
    <w:rsid w:val="001337E9"/>
    <w:rsid w:val="00133F2F"/>
    <w:rsid w:val="00133FBC"/>
    <w:rsid w:val="00137F5B"/>
    <w:rsid w:val="001400DC"/>
    <w:rsid w:val="00140CE1"/>
    <w:rsid w:val="00141AB5"/>
    <w:rsid w:val="001421F9"/>
    <w:rsid w:val="00144B65"/>
    <w:rsid w:val="00145DD9"/>
    <w:rsid w:val="001556DB"/>
    <w:rsid w:val="00155709"/>
    <w:rsid w:val="0015649C"/>
    <w:rsid w:val="001570DD"/>
    <w:rsid w:val="00163C86"/>
    <w:rsid w:val="00164632"/>
    <w:rsid w:val="00167BE6"/>
    <w:rsid w:val="001719AC"/>
    <w:rsid w:val="00172FBB"/>
    <w:rsid w:val="0017539C"/>
    <w:rsid w:val="0017596B"/>
    <w:rsid w:val="00175AC2"/>
    <w:rsid w:val="00175DD0"/>
    <w:rsid w:val="0017609F"/>
    <w:rsid w:val="0017675B"/>
    <w:rsid w:val="00177595"/>
    <w:rsid w:val="00181DB2"/>
    <w:rsid w:val="00183DC0"/>
    <w:rsid w:val="00184D5A"/>
    <w:rsid w:val="00184E9F"/>
    <w:rsid w:val="0018606C"/>
    <w:rsid w:val="00187EA6"/>
    <w:rsid w:val="001905D4"/>
    <w:rsid w:val="00190B7E"/>
    <w:rsid w:val="0019187A"/>
    <w:rsid w:val="00191A57"/>
    <w:rsid w:val="00193349"/>
    <w:rsid w:val="00194883"/>
    <w:rsid w:val="00195F4D"/>
    <w:rsid w:val="00196B6A"/>
    <w:rsid w:val="001979C7"/>
    <w:rsid w:val="00197F5C"/>
    <w:rsid w:val="001A2766"/>
    <w:rsid w:val="001A3D78"/>
    <w:rsid w:val="001B1DD9"/>
    <w:rsid w:val="001B25C6"/>
    <w:rsid w:val="001B2F6D"/>
    <w:rsid w:val="001B707F"/>
    <w:rsid w:val="001B719A"/>
    <w:rsid w:val="001C25D2"/>
    <w:rsid w:val="001C2B89"/>
    <w:rsid w:val="001C4812"/>
    <w:rsid w:val="001C502E"/>
    <w:rsid w:val="001C628E"/>
    <w:rsid w:val="001C7C20"/>
    <w:rsid w:val="001D011E"/>
    <w:rsid w:val="001D0D67"/>
    <w:rsid w:val="001D5BD5"/>
    <w:rsid w:val="001D5C17"/>
    <w:rsid w:val="001E0367"/>
    <w:rsid w:val="001E0F7B"/>
    <w:rsid w:val="001E1931"/>
    <w:rsid w:val="001E23D5"/>
    <w:rsid w:val="001E63A8"/>
    <w:rsid w:val="001E7703"/>
    <w:rsid w:val="001F0FE9"/>
    <w:rsid w:val="001F7DEC"/>
    <w:rsid w:val="00210C85"/>
    <w:rsid w:val="002119FD"/>
    <w:rsid w:val="00211E8F"/>
    <w:rsid w:val="002130E0"/>
    <w:rsid w:val="00214B0B"/>
    <w:rsid w:val="002153EA"/>
    <w:rsid w:val="00220029"/>
    <w:rsid w:val="00220267"/>
    <w:rsid w:val="00222168"/>
    <w:rsid w:val="002239FA"/>
    <w:rsid w:val="00225512"/>
    <w:rsid w:val="002268DE"/>
    <w:rsid w:val="0023016A"/>
    <w:rsid w:val="002403C8"/>
    <w:rsid w:val="002418D1"/>
    <w:rsid w:val="002419EE"/>
    <w:rsid w:val="002427F2"/>
    <w:rsid w:val="00244D5E"/>
    <w:rsid w:val="00256335"/>
    <w:rsid w:val="0026017F"/>
    <w:rsid w:val="00261158"/>
    <w:rsid w:val="00264425"/>
    <w:rsid w:val="00264584"/>
    <w:rsid w:val="0026518E"/>
    <w:rsid w:val="00265875"/>
    <w:rsid w:val="00265E11"/>
    <w:rsid w:val="00267910"/>
    <w:rsid w:val="00271081"/>
    <w:rsid w:val="0027303B"/>
    <w:rsid w:val="00273ADF"/>
    <w:rsid w:val="00274D02"/>
    <w:rsid w:val="00275E9B"/>
    <w:rsid w:val="00276706"/>
    <w:rsid w:val="00277EC0"/>
    <w:rsid w:val="002803AF"/>
    <w:rsid w:val="0028109B"/>
    <w:rsid w:val="002868C0"/>
    <w:rsid w:val="00292F2D"/>
    <w:rsid w:val="00293970"/>
    <w:rsid w:val="002949DA"/>
    <w:rsid w:val="00296FD2"/>
    <w:rsid w:val="002A2188"/>
    <w:rsid w:val="002A2FCA"/>
    <w:rsid w:val="002A5D2E"/>
    <w:rsid w:val="002B13D2"/>
    <w:rsid w:val="002B1F58"/>
    <w:rsid w:val="002B4B78"/>
    <w:rsid w:val="002B6FFB"/>
    <w:rsid w:val="002B72C7"/>
    <w:rsid w:val="002C1C7A"/>
    <w:rsid w:val="002C3871"/>
    <w:rsid w:val="002C7456"/>
    <w:rsid w:val="002D0351"/>
    <w:rsid w:val="002D0982"/>
    <w:rsid w:val="002D228B"/>
    <w:rsid w:val="002D34A7"/>
    <w:rsid w:val="002D4C61"/>
    <w:rsid w:val="002E138B"/>
    <w:rsid w:val="002E16C7"/>
    <w:rsid w:val="002E1A1B"/>
    <w:rsid w:val="002E1E58"/>
    <w:rsid w:val="002F1DD8"/>
    <w:rsid w:val="002F3923"/>
    <w:rsid w:val="002F49A0"/>
    <w:rsid w:val="002F4F62"/>
    <w:rsid w:val="002F5F77"/>
    <w:rsid w:val="00300806"/>
    <w:rsid w:val="0030160F"/>
    <w:rsid w:val="00307E0F"/>
    <w:rsid w:val="00314E68"/>
    <w:rsid w:val="00315833"/>
    <w:rsid w:val="00317257"/>
    <w:rsid w:val="00322D0D"/>
    <w:rsid w:val="003378AC"/>
    <w:rsid w:val="00340492"/>
    <w:rsid w:val="00341911"/>
    <w:rsid w:val="0034644D"/>
    <w:rsid w:val="00346ED8"/>
    <w:rsid w:val="00351E55"/>
    <w:rsid w:val="003523CE"/>
    <w:rsid w:val="00355EFF"/>
    <w:rsid w:val="00356D15"/>
    <w:rsid w:val="00357F4D"/>
    <w:rsid w:val="003615BE"/>
    <w:rsid w:val="003645AE"/>
    <w:rsid w:val="00366066"/>
    <w:rsid w:val="00367024"/>
    <w:rsid w:val="003713CB"/>
    <w:rsid w:val="003713D5"/>
    <w:rsid w:val="00373BE6"/>
    <w:rsid w:val="0037607F"/>
    <w:rsid w:val="003837FB"/>
    <w:rsid w:val="00383AF1"/>
    <w:rsid w:val="00383E7B"/>
    <w:rsid w:val="00384EAA"/>
    <w:rsid w:val="003942D4"/>
    <w:rsid w:val="003958A8"/>
    <w:rsid w:val="00397A6E"/>
    <w:rsid w:val="003A39AC"/>
    <w:rsid w:val="003A3DF7"/>
    <w:rsid w:val="003B2333"/>
    <w:rsid w:val="003B2E50"/>
    <w:rsid w:val="003B2E90"/>
    <w:rsid w:val="003B4E79"/>
    <w:rsid w:val="003B7E71"/>
    <w:rsid w:val="003C0A95"/>
    <w:rsid w:val="003C1A20"/>
    <w:rsid w:val="003C2533"/>
    <w:rsid w:val="003D0572"/>
    <w:rsid w:val="003D5568"/>
    <w:rsid w:val="003D5D27"/>
    <w:rsid w:val="003E1090"/>
    <w:rsid w:val="003E3450"/>
    <w:rsid w:val="003E3DB2"/>
    <w:rsid w:val="003E77FB"/>
    <w:rsid w:val="0040435A"/>
    <w:rsid w:val="0040576A"/>
    <w:rsid w:val="004112F3"/>
    <w:rsid w:val="0041182C"/>
    <w:rsid w:val="00412594"/>
    <w:rsid w:val="004125E4"/>
    <w:rsid w:val="00412C33"/>
    <w:rsid w:val="00413211"/>
    <w:rsid w:val="004132E4"/>
    <w:rsid w:val="00413533"/>
    <w:rsid w:val="004156E0"/>
    <w:rsid w:val="00416A24"/>
    <w:rsid w:val="004257BE"/>
    <w:rsid w:val="00431D9E"/>
    <w:rsid w:val="00433CE8"/>
    <w:rsid w:val="00434A5C"/>
    <w:rsid w:val="0043555B"/>
    <w:rsid w:val="004422AB"/>
    <w:rsid w:val="00442A88"/>
    <w:rsid w:val="004447AC"/>
    <w:rsid w:val="0044536E"/>
    <w:rsid w:val="00446BB7"/>
    <w:rsid w:val="0045052D"/>
    <w:rsid w:val="00451656"/>
    <w:rsid w:val="00452788"/>
    <w:rsid w:val="004544D9"/>
    <w:rsid w:val="004552F0"/>
    <w:rsid w:val="00455A3E"/>
    <w:rsid w:val="00455F68"/>
    <w:rsid w:val="00456273"/>
    <w:rsid w:val="0045699D"/>
    <w:rsid w:val="00461E4F"/>
    <w:rsid w:val="0046213F"/>
    <w:rsid w:val="00465F02"/>
    <w:rsid w:val="00466AEF"/>
    <w:rsid w:val="004670D3"/>
    <w:rsid w:val="00467835"/>
    <w:rsid w:val="00474444"/>
    <w:rsid w:val="0047664E"/>
    <w:rsid w:val="00490E72"/>
    <w:rsid w:val="00491157"/>
    <w:rsid w:val="004921C8"/>
    <w:rsid w:val="00494694"/>
    <w:rsid w:val="0049470B"/>
    <w:rsid w:val="00495BDA"/>
    <w:rsid w:val="004A2FD5"/>
    <w:rsid w:val="004A3E64"/>
    <w:rsid w:val="004B1CD5"/>
    <w:rsid w:val="004B3F11"/>
    <w:rsid w:val="004B4C6D"/>
    <w:rsid w:val="004B501E"/>
    <w:rsid w:val="004B70C1"/>
    <w:rsid w:val="004B7D57"/>
    <w:rsid w:val="004C0B2D"/>
    <w:rsid w:val="004C0C1C"/>
    <w:rsid w:val="004C45F6"/>
    <w:rsid w:val="004C7150"/>
    <w:rsid w:val="004D1851"/>
    <w:rsid w:val="004D599D"/>
    <w:rsid w:val="004D66AA"/>
    <w:rsid w:val="004E2EA5"/>
    <w:rsid w:val="004E3AEB"/>
    <w:rsid w:val="004E6841"/>
    <w:rsid w:val="004E70B9"/>
    <w:rsid w:val="004F1432"/>
    <w:rsid w:val="004F385B"/>
    <w:rsid w:val="004F4846"/>
    <w:rsid w:val="004F6C17"/>
    <w:rsid w:val="0050223C"/>
    <w:rsid w:val="005038A3"/>
    <w:rsid w:val="00504C1C"/>
    <w:rsid w:val="00506F8B"/>
    <w:rsid w:val="0051103A"/>
    <w:rsid w:val="0051123C"/>
    <w:rsid w:val="005134F3"/>
    <w:rsid w:val="00513F82"/>
    <w:rsid w:val="00514BD4"/>
    <w:rsid w:val="00517B36"/>
    <w:rsid w:val="00517C9D"/>
    <w:rsid w:val="00520293"/>
    <w:rsid w:val="005243FF"/>
    <w:rsid w:val="005250B3"/>
    <w:rsid w:val="00527528"/>
    <w:rsid w:val="00530EBC"/>
    <w:rsid w:val="0053407B"/>
    <w:rsid w:val="0053489D"/>
    <w:rsid w:val="00536900"/>
    <w:rsid w:val="00536BF2"/>
    <w:rsid w:val="0053709C"/>
    <w:rsid w:val="00542C7E"/>
    <w:rsid w:val="00543571"/>
    <w:rsid w:val="005436E8"/>
    <w:rsid w:val="00544165"/>
    <w:rsid w:val="0054538C"/>
    <w:rsid w:val="005453AB"/>
    <w:rsid w:val="00545542"/>
    <w:rsid w:val="00545FF9"/>
    <w:rsid w:val="005507D2"/>
    <w:rsid w:val="00553183"/>
    <w:rsid w:val="00554A13"/>
    <w:rsid w:val="00555630"/>
    <w:rsid w:val="005570F9"/>
    <w:rsid w:val="00557F43"/>
    <w:rsid w:val="00560C07"/>
    <w:rsid w:val="00562CE0"/>
    <w:rsid w:val="00562E68"/>
    <w:rsid w:val="00562F32"/>
    <w:rsid w:val="00563911"/>
    <w:rsid w:val="0056429A"/>
    <w:rsid w:val="00564FBC"/>
    <w:rsid w:val="00570ADA"/>
    <w:rsid w:val="0057154E"/>
    <w:rsid w:val="005722C1"/>
    <w:rsid w:val="005726D9"/>
    <w:rsid w:val="00572B1C"/>
    <w:rsid w:val="005730D3"/>
    <w:rsid w:val="00573B5C"/>
    <w:rsid w:val="00573BDC"/>
    <w:rsid w:val="00574FA9"/>
    <w:rsid w:val="00576BED"/>
    <w:rsid w:val="00581255"/>
    <w:rsid w:val="005814A9"/>
    <w:rsid w:val="00582442"/>
    <w:rsid w:val="005838C0"/>
    <w:rsid w:val="00585429"/>
    <w:rsid w:val="00590651"/>
    <w:rsid w:val="00590AD4"/>
    <w:rsid w:val="0059123D"/>
    <w:rsid w:val="00591F1F"/>
    <w:rsid w:val="005A230D"/>
    <w:rsid w:val="005A459A"/>
    <w:rsid w:val="005A4CCF"/>
    <w:rsid w:val="005A5FE8"/>
    <w:rsid w:val="005A683B"/>
    <w:rsid w:val="005A703C"/>
    <w:rsid w:val="005B2FCB"/>
    <w:rsid w:val="005B3C85"/>
    <w:rsid w:val="005B6458"/>
    <w:rsid w:val="005B7A74"/>
    <w:rsid w:val="005C5885"/>
    <w:rsid w:val="005C61B2"/>
    <w:rsid w:val="005C68B7"/>
    <w:rsid w:val="005C72C1"/>
    <w:rsid w:val="005C756C"/>
    <w:rsid w:val="005D388C"/>
    <w:rsid w:val="005D63F8"/>
    <w:rsid w:val="005D7E0A"/>
    <w:rsid w:val="005E09B3"/>
    <w:rsid w:val="005E1617"/>
    <w:rsid w:val="005E1F5A"/>
    <w:rsid w:val="005E3242"/>
    <w:rsid w:val="005E3477"/>
    <w:rsid w:val="005E3742"/>
    <w:rsid w:val="005E68C1"/>
    <w:rsid w:val="005E7B7B"/>
    <w:rsid w:val="005F3269"/>
    <w:rsid w:val="005F3285"/>
    <w:rsid w:val="005F4A5B"/>
    <w:rsid w:val="005F4F3A"/>
    <w:rsid w:val="005F5E44"/>
    <w:rsid w:val="006009B5"/>
    <w:rsid w:val="00604D23"/>
    <w:rsid w:val="00607E4D"/>
    <w:rsid w:val="00607F8E"/>
    <w:rsid w:val="00610933"/>
    <w:rsid w:val="00611E66"/>
    <w:rsid w:val="0061284B"/>
    <w:rsid w:val="0062049A"/>
    <w:rsid w:val="006226D1"/>
    <w:rsid w:val="006233A4"/>
    <w:rsid w:val="00623AE3"/>
    <w:rsid w:val="00625486"/>
    <w:rsid w:val="006254D6"/>
    <w:rsid w:val="0062641C"/>
    <w:rsid w:val="00626747"/>
    <w:rsid w:val="00632BD8"/>
    <w:rsid w:val="00634F40"/>
    <w:rsid w:val="0063757E"/>
    <w:rsid w:val="00637DC2"/>
    <w:rsid w:val="006408A7"/>
    <w:rsid w:val="00644660"/>
    <w:rsid w:val="006450AE"/>
    <w:rsid w:val="00646963"/>
    <w:rsid w:val="0064737F"/>
    <w:rsid w:val="006520F6"/>
    <w:rsid w:val="0065289E"/>
    <w:rsid w:val="006535F1"/>
    <w:rsid w:val="00653D6D"/>
    <w:rsid w:val="00654F0F"/>
    <w:rsid w:val="0065557D"/>
    <w:rsid w:val="00655907"/>
    <w:rsid w:val="00656E34"/>
    <w:rsid w:val="00657DDB"/>
    <w:rsid w:val="0066186E"/>
    <w:rsid w:val="00661E76"/>
    <w:rsid w:val="00662984"/>
    <w:rsid w:val="00662ED3"/>
    <w:rsid w:val="00663269"/>
    <w:rsid w:val="0066586B"/>
    <w:rsid w:val="00670140"/>
    <w:rsid w:val="00670A63"/>
    <w:rsid w:val="006716BB"/>
    <w:rsid w:val="006742B6"/>
    <w:rsid w:val="00674A61"/>
    <w:rsid w:val="00675BA4"/>
    <w:rsid w:val="006821A6"/>
    <w:rsid w:val="0068483A"/>
    <w:rsid w:val="00685568"/>
    <w:rsid w:val="006909A6"/>
    <w:rsid w:val="00691140"/>
    <w:rsid w:val="0069272C"/>
    <w:rsid w:val="00692C85"/>
    <w:rsid w:val="00694DD1"/>
    <w:rsid w:val="006973E2"/>
    <w:rsid w:val="006A29CD"/>
    <w:rsid w:val="006A2A69"/>
    <w:rsid w:val="006A4CA8"/>
    <w:rsid w:val="006A4DA5"/>
    <w:rsid w:val="006A567A"/>
    <w:rsid w:val="006B13EC"/>
    <w:rsid w:val="006B36CA"/>
    <w:rsid w:val="006B5505"/>
    <w:rsid w:val="006B6680"/>
    <w:rsid w:val="006B6DCC"/>
    <w:rsid w:val="006C188C"/>
    <w:rsid w:val="006C1B3B"/>
    <w:rsid w:val="006C1D5A"/>
    <w:rsid w:val="006C404D"/>
    <w:rsid w:val="006C477D"/>
    <w:rsid w:val="006C6A0C"/>
    <w:rsid w:val="006D267B"/>
    <w:rsid w:val="006D293A"/>
    <w:rsid w:val="006D6679"/>
    <w:rsid w:val="006E0E84"/>
    <w:rsid w:val="006E3341"/>
    <w:rsid w:val="006E344A"/>
    <w:rsid w:val="006E5A16"/>
    <w:rsid w:val="006E7A49"/>
    <w:rsid w:val="006F3DB8"/>
    <w:rsid w:val="006F5CEC"/>
    <w:rsid w:val="006F66F5"/>
    <w:rsid w:val="006F7EBB"/>
    <w:rsid w:val="007003F1"/>
    <w:rsid w:val="00702DEF"/>
    <w:rsid w:val="00705360"/>
    <w:rsid w:val="00706861"/>
    <w:rsid w:val="00707218"/>
    <w:rsid w:val="00707253"/>
    <w:rsid w:val="00707816"/>
    <w:rsid w:val="00712FC5"/>
    <w:rsid w:val="00713D6C"/>
    <w:rsid w:val="00727786"/>
    <w:rsid w:val="00740FE3"/>
    <w:rsid w:val="0074124E"/>
    <w:rsid w:val="00741C11"/>
    <w:rsid w:val="00741D74"/>
    <w:rsid w:val="00742C7A"/>
    <w:rsid w:val="00745B18"/>
    <w:rsid w:val="00746BBA"/>
    <w:rsid w:val="0075051B"/>
    <w:rsid w:val="00754D0A"/>
    <w:rsid w:val="007554E6"/>
    <w:rsid w:val="00755D94"/>
    <w:rsid w:val="007611B1"/>
    <w:rsid w:val="007623B5"/>
    <w:rsid w:val="00762CA3"/>
    <w:rsid w:val="00767996"/>
    <w:rsid w:val="00770F2D"/>
    <w:rsid w:val="0078004C"/>
    <w:rsid w:val="0079313F"/>
    <w:rsid w:val="00793188"/>
    <w:rsid w:val="00794C07"/>
    <w:rsid w:val="00794D34"/>
    <w:rsid w:val="00795EE5"/>
    <w:rsid w:val="007A1421"/>
    <w:rsid w:val="007A5890"/>
    <w:rsid w:val="007A6321"/>
    <w:rsid w:val="007A65D0"/>
    <w:rsid w:val="007B086F"/>
    <w:rsid w:val="007B1CA3"/>
    <w:rsid w:val="007B3D9F"/>
    <w:rsid w:val="007B4A7F"/>
    <w:rsid w:val="007C153D"/>
    <w:rsid w:val="007C640B"/>
    <w:rsid w:val="007D19A2"/>
    <w:rsid w:val="007D4C28"/>
    <w:rsid w:val="007D5504"/>
    <w:rsid w:val="007E0955"/>
    <w:rsid w:val="007E49CA"/>
    <w:rsid w:val="007E51F2"/>
    <w:rsid w:val="007E5CC9"/>
    <w:rsid w:val="007E66E9"/>
    <w:rsid w:val="007E69E6"/>
    <w:rsid w:val="007F03D2"/>
    <w:rsid w:val="007F3583"/>
    <w:rsid w:val="007F5AC8"/>
    <w:rsid w:val="007F73CF"/>
    <w:rsid w:val="00810600"/>
    <w:rsid w:val="008120D0"/>
    <w:rsid w:val="00813E5E"/>
    <w:rsid w:val="008143DF"/>
    <w:rsid w:val="00814758"/>
    <w:rsid w:val="00814C25"/>
    <w:rsid w:val="00815468"/>
    <w:rsid w:val="00815D29"/>
    <w:rsid w:val="00816767"/>
    <w:rsid w:val="00817B42"/>
    <w:rsid w:val="00820D5D"/>
    <w:rsid w:val="00821924"/>
    <w:rsid w:val="0082239B"/>
    <w:rsid w:val="0082267F"/>
    <w:rsid w:val="00823E46"/>
    <w:rsid w:val="00825B5D"/>
    <w:rsid w:val="0083581B"/>
    <w:rsid w:val="0083706D"/>
    <w:rsid w:val="008376DC"/>
    <w:rsid w:val="0084041B"/>
    <w:rsid w:val="00845A83"/>
    <w:rsid w:val="00847452"/>
    <w:rsid w:val="0085534C"/>
    <w:rsid w:val="00855455"/>
    <w:rsid w:val="0085615F"/>
    <w:rsid w:val="008561B9"/>
    <w:rsid w:val="00862F8D"/>
    <w:rsid w:val="0086489C"/>
    <w:rsid w:val="00864AFF"/>
    <w:rsid w:val="008722C1"/>
    <w:rsid w:val="00873B9A"/>
    <w:rsid w:val="00873DF7"/>
    <w:rsid w:val="008749D5"/>
    <w:rsid w:val="0088190E"/>
    <w:rsid w:val="00883F3A"/>
    <w:rsid w:val="00884871"/>
    <w:rsid w:val="008861B9"/>
    <w:rsid w:val="00887A3E"/>
    <w:rsid w:val="00890218"/>
    <w:rsid w:val="00892263"/>
    <w:rsid w:val="00893979"/>
    <w:rsid w:val="00894486"/>
    <w:rsid w:val="00894E27"/>
    <w:rsid w:val="00895B7B"/>
    <w:rsid w:val="008A0AA6"/>
    <w:rsid w:val="008A2BD8"/>
    <w:rsid w:val="008A40DC"/>
    <w:rsid w:val="008A5373"/>
    <w:rsid w:val="008A54A9"/>
    <w:rsid w:val="008B0ADE"/>
    <w:rsid w:val="008B0CBD"/>
    <w:rsid w:val="008B2F57"/>
    <w:rsid w:val="008B4A6A"/>
    <w:rsid w:val="008B5D58"/>
    <w:rsid w:val="008B7471"/>
    <w:rsid w:val="008C0733"/>
    <w:rsid w:val="008C1001"/>
    <w:rsid w:val="008C2BED"/>
    <w:rsid w:val="008C7E27"/>
    <w:rsid w:val="008D0794"/>
    <w:rsid w:val="008D18E8"/>
    <w:rsid w:val="008D1926"/>
    <w:rsid w:val="008D3D9F"/>
    <w:rsid w:val="008D4CE9"/>
    <w:rsid w:val="008D5440"/>
    <w:rsid w:val="008D5FB8"/>
    <w:rsid w:val="008E0BB8"/>
    <w:rsid w:val="008E4544"/>
    <w:rsid w:val="008E5B77"/>
    <w:rsid w:val="008E68FB"/>
    <w:rsid w:val="008E6FA6"/>
    <w:rsid w:val="008E7162"/>
    <w:rsid w:val="008E71E4"/>
    <w:rsid w:val="008E78EB"/>
    <w:rsid w:val="008E7AF5"/>
    <w:rsid w:val="008F4257"/>
    <w:rsid w:val="008F6679"/>
    <w:rsid w:val="0090117D"/>
    <w:rsid w:val="00901FC2"/>
    <w:rsid w:val="00903325"/>
    <w:rsid w:val="00912BD3"/>
    <w:rsid w:val="009157F0"/>
    <w:rsid w:val="00916534"/>
    <w:rsid w:val="009172D3"/>
    <w:rsid w:val="009173EF"/>
    <w:rsid w:val="00931BEF"/>
    <w:rsid w:val="00932906"/>
    <w:rsid w:val="0093401E"/>
    <w:rsid w:val="00934DC0"/>
    <w:rsid w:val="00935030"/>
    <w:rsid w:val="00936E35"/>
    <w:rsid w:val="00943673"/>
    <w:rsid w:val="0094420B"/>
    <w:rsid w:val="00950BBD"/>
    <w:rsid w:val="009511C0"/>
    <w:rsid w:val="0095139F"/>
    <w:rsid w:val="009519FE"/>
    <w:rsid w:val="009548D8"/>
    <w:rsid w:val="00955438"/>
    <w:rsid w:val="00955640"/>
    <w:rsid w:val="00961B0B"/>
    <w:rsid w:val="00963D0A"/>
    <w:rsid w:val="00966772"/>
    <w:rsid w:val="009733D3"/>
    <w:rsid w:val="00974F3E"/>
    <w:rsid w:val="00975BA9"/>
    <w:rsid w:val="00981FDB"/>
    <w:rsid w:val="009833D3"/>
    <w:rsid w:val="00991704"/>
    <w:rsid w:val="00992E2E"/>
    <w:rsid w:val="0099459E"/>
    <w:rsid w:val="009945B5"/>
    <w:rsid w:val="00996241"/>
    <w:rsid w:val="00997322"/>
    <w:rsid w:val="009A069E"/>
    <w:rsid w:val="009A185B"/>
    <w:rsid w:val="009A3863"/>
    <w:rsid w:val="009A3A54"/>
    <w:rsid w:val="009A4560"/>
    <w:rsid w:val="009A4ADA"/>
    <w:rsid w:val="009B1438"/>
    <w:rsid w:val="009B2548"/>
    <w:rsid w:val="009B3788"/>
    <w:rsid w:val="009B38C3"/>
    <w:rsid w:val="009B466E"/>
    <w:rsid w:val="009C021E"/>
    <w:rsid w:val="009C78BA"/>
    <w:rsid w:val="009C7A92"/>
    <w:rsid w:val="009D1802"/>
    <w:rsid w:val="009D3105"/>
    <w:rsid w:val="009D4F2E"/>
    <w:rsid w:val="009D5630"/>
    <w:rsid w:val="009E17BD"/>
    <w:rsid w:val="009E2931"/>
    <w:rsid w:val="009E485A"/>
    <w:rsid w:val="009E5CE6"/>
    <w:rsid w:val="009E6702"/>
    <w:rsid w:val="009F084B"/>
    <w:rsid w:val="009F0862"/>
    <w:rsid w:val="009F1589"/>
    <w:rsid w:val="009F1F11"/>
    <w:rsid w:val="009F4305"/>
    <w:rsid w:val="009F66A3"/>
    <w:rsid w:val="00A00F75"/>
    <w:rsid w:val="00A02D19"/>
    <w:rsid w:val="00A030DE"/>
    <w:rsid w:val="00A034B6"/>
    <w:rsid w:val="00A04CEC"/>
    <w:rsid w:val="00A04FF1"/>
    <w:rsid w:val="00A05246"/>
    <w:rsid w:val="00A069F5"/>
    <w:rsid w:val="00A06FC4"/>
    <w:rsid w:val="00A118A2"/>
    <w:rsid w:val="00A13666"/>
    <w:rsid w:val="00A15767"/>
    <w:rsid w:val="00A157BF"/>
    <w:rsid w:val="00A179D5"/>
    <w:rsid w:val="00A20E60"/>
    <w:rsid w:val="00A225B7"/>
    <w:rsid w:val="00A237F1"/>
    <w:rsid w:val="00A25547"/>
    <w:rsid w:val="00A2587A"/>
    <w:rsid w:val="00A27441"/>
    <w:rsid w:val="00A27F92"/>
    <w:rsid w:val="00A30FC3"/>
    <w:rsid w:val="00A32257"/>
    <w:rsid w:val="00A32DFC"/>
    <w:rsid w:val="00A36D20"/>
    <w:rsid w:val="00A416B2"/>
    <w:rsid w:val="00A4346C"/>
    <w:rsid w:val="00A444CA"/>
    <w:rsid w:val="00A459A4"/>
    <w:rsid w:val="00A55622"/>
    <w:rsid w:val="00A66F1A"/>
    <w:rsid w:val="00A67FEF"/>
    <w:rsid w:val="00A71171"/>
    <w:rsid w:val="00A71303"/>
    <w:rsid w:val="00A7380A"/>
    <w:rsid w:val="00A73F95"/>
    <w:rsid w:val="00A82F66"/>
    <w:rsid w:val="00A83502"/>
    <w:rsid w:val="00A8382F"/>
    <w:rsid w:val="00A860BE"/>
    <w:rsid w:val="00A87084"/>
    <w:rsid w:val="00A87D63"/>
    <w:rsid w:val="00A908EB"/>
    <w:rsid w:val="00A91F12"/>
    <w:rsid w:val="00A947F6"/>
    <w:rsid w:val="00A96BE4"/>
    <w:rsid w:val="00AA3F84"/>
    <w:rsid w:val="00AA40CE"/>
    <w:rsid w:val="00AA433B"/>
    <w:rsid w:val="00AA4633"/>
    <w:rsid w:val="00AB0D75"/>
    <w:rsid w:val="00AB13A2"/>
    <w:rsid w:val="00AB2D3B"/>
    <w:rsid w:val="00AB39DE"/>
    <w:rsid w:val="00AB404F"/>
    <w:rsid w:val="00AC475E"/>
    <w:rsid w:val="00AC47C8"/>
    <w:rsid w:val="00AC4E66"/>
    <w:rsid w:val="00AC607B"/>
    <w:rsid w:val="00AD15B3"/>
    <w:rsid w:val="00AD1D2E"/>
    <w:rsid w:val="00AD4C78"/>
    <w:rsid w:val="00AE127A"/>
    <w:rsid w:val="00AE21F4"/>
    <w:rsid w:val="00AE3665"/>
    <w:rsid w:val="00AE479E"/>
    <w:rsid w:val="00AF3E4D"/>
    <w:rsid w:val="00AF5CBC"/>
    <w:rsid w:val="00AF6734"/>
    <w:rsid w:val="00AF6E49"/>
    <w:rsid w:val="00B0142C"/>
    <w:rsid w:val="00B01E19"/>
    <w:rsid w:val="00B0264A"/>
    <w:rsid w:val="00B036C5"/>
    <w:rsid w:val="00B04001"/>
    <w:rsid w:val="00B04447"/>
    <w:rsid w:val="00B04A67"/>
    <w:rsid w:val="00B0583C"/>
    <w:rsid w:val="00B0602A"/>
    <w:rsid w:val="00B1164C"/>
    <w:rsid w:val="00B1327F"/>
    <w:rsid w:val="00B13D7E"/>
    <w:rsid w:val="00B142CC"/>
    <w:rsid w:val="00B14993"/>
    <w:rsid w:val="00B152CB"/>
    <w:rsid w:val="00B211B3"/>
    <w:rsid w:val="00B24A3C"/>
    <w:rsid w:val="00B26884"/>
    <w:rsid w:val="00B26981"/>
    <w:rsid w:val="00B27E3C"/>
    <w:rsid w:val="00B30BA3"/>
    <w:rsid w:val="00B336A3"/>
    <w:rsid w:val="00B40A81"/>
    <w:rsid w:val="00B42DBB"/>
    <w:rsid w:val="00B44910"/>
    <w:rsid w:val="00B51A22"/>
    <w:rsid w:val="00B5232F"/>
    <w:rsid w:val="00B547BA"/>
    <w:rsid w:val="00B54A96"/>
    <w:rsid w:val="00B6097F"/>
    <w:rsid w:val="00B60E9D"/>
    <w:rsid w:val="00B61589"/>
    <w:rsid w:val="00B63555"/>
    <w:rsid w:val="00B647FD"/>
    <w:rsid w:val="00B65187"/>
    <w:rsid w:val="00B66322"/>
    <w:rsid w:val="00B66901"/>
    <w:rsid w:val="00B66906"/>
    <w:rsid w:val="00B66923"/>
    <w:rsid w:val="00B70CC4"/>
    <w:rsid w:val="00B721A5"/>
    <w:rsid w:val="00B72267"/>
    <w:rsid w:val="00B76EB6"/>
    <w:rsid w:val="00B7737B"/>
    <w:rsid w:val="00B8206B"/>
    <w:rsid w:val="00B824C8"/>
    <w:rsid w:val="00B826C8"/>
    <w:rsid w:val="00B8487D"/>
    <w:rsid w:val="00B84915"/>
    <w:rsid w:val="00B90C5D"/>
    <w:rsid w:val="00B952A4"/>
    <w:rsid w:val="00B9580A"/>
    <w:rsid w:val="00B95959"/>
    <w:rsid w:val="00B97B53"/>
    <w:rsid w:val="00B97C3F"/>
    <w:rsid w:val="00BA13DC"/>
    <w:rsid w:val="00BA5229"/>
    <w:rsid w:val="00BB2B72"/>
    <w:rsid w:val="00BC202F"/>
    <w:rsid w:val="00BC251A"/>
    <w:rsid w:val="00BC3DB4"/>
    <w:rsid w:val="00BD032B"/>
    <w:rsid w:val="00BD0C37"/>
    <w:rsid w:val="00BD4B94"/>
    <w:rsid w:val="00BD68AD"/>
    <w:rsid w:val="00BD7B1F"/>
    <w:rsid w:val="00BE08B5"/>
    <w:rsid w:val="00BE2640"/>
    <w:rsid w:val="00BE3368"/>
    <w:rsid w:val="00BE56AD"/>
    <w:rsid w:val="00BE6451"/>
    <w:rsid w:val="00BF0721"/>
    <w:rsid w:val="00BF47DD"/>
    <w:rsid w:val="00BF4AEC"/>
    <w:rsid w:val="00BF67CC"/>
    <w:rsid w:val="00BF67E3"/>
    <w:rsid w:val="00BF6AC0"/>
    <w:rsid w:val="00BF79F1"/>
    <w:rsid w:val="00C01189"/>
    <w:rsid w:val="00C109FD"/>
    <w:rsid w:val="00C12F01"/>
    <w:rsid w:val="00C13D61"/>
    <w:rsid w:val="00C149B9"/>
    <w:rsid w:val="00C14CF4"/>
    <w:rsid w:val="00C15060"/>
    <w:rsid w:val="00C1633D"/>
    <w:rsid w:val="00C1740E"/>
    <w:rsid w:val="00C213B0"/>
    <w:rsid w:val="00C213E1"/>
    <w:rsid w:val="00C221C5"/>
    <w:rsid w:val="00C23290"/>
    <w:rsid w:val="00C303D1"/>
    <w:rsid w:val="00C3194B"/>
    <w:rsid w:val="00C374DE"/>
    <w:rsid w:val="00C440C8"/>
    <w:rsid w:val="00C472BF"/>
    <w:rsid w:val="00C47AD4"/>
    <w:rsid w:val="00C50441"/>
    <w:rsid w:val="00C50C0E"/>
    <w:rsid w:val="00C51390"/>
    <w:rsid w:val="00C52D81"/>
    <w:rsid w:val="00C55198"/>
    <w:rsid w:val="00C57A7A"/>
    <w:rsid w:val="00C62428"/>
    <w:rsid w:val="00C638AD"/>
    <w:rsid w:val="00C66237"/>
    <w:rsid w:val="00C7219B"/>
    <w:rsid w:val="00C74167"/>
    <w:rsid w:val="00C74B05"/>
    <w:rsid w:val="00C803A9"/>
    <w:rsid w:val="00C914EC"/>
    <w:rsid w:val="00C9351A"/>
    <w:rsid w:val="00C93C7C"/>
    <w:rsid w:val="00C93E0C"/>
    <w:rsid w:val="00C960CB"/>
    <w:rsid w:val="00C96AC6"/>
    <w:rsid w:val="00C97952"/>
    <w:rsid w:val="00CA0AA3"/>
    <w:rsid w:val="00CA107B"/>
    <w:rsid w:val="00CA6393"/>
    <w:rsid w:val="00CA7181"/>
    <w:rsid w:val="00CA725B"/>
    <w:rsid w:val="00CB0133"/>
    <w:rsid w:val="00CB124E"/>
    <w:rsid w:val="00CB18FF"/>
    <w:rsid w:val="00CB206B"/>
    <w:rsid w:val="00CC4263"/>
    <w:rsid w:val="00CD0C08"/>
    <w:rsid w:val="00CD1434"/>
    <w:rsid w:val="00CD539E"/>
    <w:rsid w:val="00CD53D6"/>
    <w:rsid w:val="00CD5C44"/>
    <w:rsid w:val="00CD61B6"/>
    <w:rsid w:val="00CD63DD"/>
    <w:rsid w:val="00CD69E2"/>
    <w:rsid w:val="00CD6AD4"/>
    <w:rsid w:val="00CD6AE0"/>
    <w:rsid w:val="00CD78B3"/>
    <w:rsid w:val="00CE03FB"/>
    <w:rsid w:val="00CE263C"/>
    <w:rsid w:val="00CE433C"/>
    <w:rsid w:val="00CE6012"/>
    <w:rsid w:val="00CE69AF"/>
    <w:rsid w:val="00CF2D4C"/>
    <w:rsid w:val="00CF33F3"/>
    <w:rsid w:val="00CF3573"/>
    <w:rsid w:val="00CF74D2"/>
    <w:rsid w:val="00D023EF"/>
    <w:rsid w:val="00D03361"/>
    <w:rsid w:val="00D0385F"/>
    <w:rsid w:val="00D04BFB"/>
    <w:rsid w:val="00D06183"/>
    <w:rsid w:val="00D06C19"/>
    <w:rsid w:val="00D06F11"/>
    <w:rsid w:val="00D0702A"/>
    <w:rsid w:val="00D10ADE"/>
    <w:rsid w:val="00D13B54"/>
    <w:rsid w:val="00D157EA"/>
    <w:rsid w:val="00D16568"/>
    <w:rsid w:val="00D21EDF"/>
    <w:rsid w:val="00D22C42"/>
    <w:rsid w:val="00D23E5B"/>
    <w:rsid w:val="00D24A85"/>
    <w:rsid w:val="00D2514F"/>
    <w:rsid w:val="00D27794"/>
    <w:rsid w:val="00D3103F"/>
    <w:rsid w:val="00D338E0"/>
    <w:rsid w:val="00D33A14"/>
    <w:rsid w:val="00D33C8A"/>
    <w:rsid w:val="00D3563D"/>
    <w:rsid w:val="00D35D92"/>
    <w:rsid w:val="00D406C8"/>
    <w:rsid w:val="00D41C9F"/>
    <w:rsid w:val="00D44ED2"/>
    <w:rsid w:val="00D506D9"/>
    <w:rsid w:val="00D51149"/>
    <w:rsid w:val="00D52209"/>
    <w:rsid w:val="00D52500"/>
    <w:rsid w:val="00D54622"/>
    <w:rsid w:val="00D551ED"/>
    <w:rsid w:val="00D57D64"/>
    <w:rsid w:val="00D639B1"/>
    <w:rsid w:val="00D641D8"/>
    <w:rsid w:val="00D64616"/>
    <w:rsid w:val="00D65041"/>
    <w:rsid w:val="00D74641"/>
    <w:rsid w:val="00D7520E"/>
    <w:rsid w:val="00D75BAB"/>
    <w:rsid w:val="00D7765F"/>
    <w:rsid w:val="00D81B7D"/>
    <w:rsid w:val="00D824AE"/>
    <w:rsid w:val="00D83351"/>
    <w:rsid w:val="00D879C2"/>
    <w:rsid w:val="00D90162"/>
    <w:rsid w:val="00D923A1"/>
    <w:rsid w:val="00D93826"/>
    <w:rsid w:val="00D95AC5"/>
    <w:rsid w:val="00DA0194"/>
    <w:rsid w:val="00DA02C8"/>
    <w:rsid w:val="00DA03BE"/>
    <w:rsid w:val="00DA196A"/>
    <w:rsid w:val="00DA38CA"/>
    <w:rsid w:val="00DB384B"/>
    <w:rsid w:val="00DB3ED3"/>
    <w:rsid w:val="00DB4E2C"/>
    <w:rsid w:val="00DB59C8"/>
    <w:rsid w:val="00DC0F78"/>
    <w:rsid w:val="00DC3300"/>
    <w:rsid w:val="00DC66E0"/>
    <w:rsid w:val="00DD513F"/>
    <w:rsid w:val="00DD5686"/>
    <w:rsid w:val="00DD6A55"/>
    <w:rsid w:val="00DE040B"/>
    <w:rsid w:val="00DE124E"/>
    <w:rsid w:val="00DF1A5C"/>
    <w:rsid w:val="00DF4A1E"/>
    <w:rsid w:val="00DF563E"/>
    <w:rsid w:val="00DF70EA"/>
    <w:rsid w:val="00E02A75"/>
    <w:rsid w:val="00E050FD"/>
    <w:rsid w:val="00E07F42"/>
    <w:rsid w:val="00E10E80"/>
    <w:rsid w:val="00E124F0"/>
    <w:rsid w:val="00E171C4"/>
    <w:rsid w:val="00E22EC6"/>
    <w:rsid w:val="00E23F08"/>
    <w:rsid w:val="00E24428"/>
    <w:rsid w:val="00E2536C"/>
    <w:rsid w:val="00E33F2D"/>
    <w:rsid w:val="00E350B1"/>
    <w:rsid w:val="00E36A1F"/>
    <w:rsid w:val="00E37694"/>
    <w:rsid w:val="00E3772D"/>
    <w:rsid w:val="00E40359"/>
    <w:rsid w:val="00E421A3"/>
    <w:rsid w:val="00E4351D"/>
    <w:rsid w:val="00E435B4"/>
    <w:rsid w:val="00E43F7B"/>
    <w:rsid w:val="00E44377"/>
    <w:rsid w:val="00E46200"/>
    <w:rsid w:val="00E52A4F"/>
    <w:rsid w:val="00E52B00"/>
    <w:rsid w:val="00E53309"/>
    <w:rsid w:val="00E56FA0"/>
    <w:rsid w:val="00E56FDE"/>
    <w:rsid w:val="00E60F04"/>
    <w:rsid w:val="00E63A0E"/>
    <w:rsid w:val="00E63C96"/>
    <w:rsid w:val="00E64DE0"/>
    <w:rsid w:val="00E65B13"/>
    <w:rsid w:val="00E666C4"/>
    <w:rsid w:val="00E67F0D"/>
    <w:rsid w:val="00E70663"/>
    <w:rsid w:val="00E71086"/>
    <w:rsid w:val="00E71EAC"/>
    <w:rsid w:val="00E757AB"/>
    <w:rsid w:val="00E83827"/>
    <w:rsid w:val="00E83D4A"/>
    <w:rsid w:val="00E854E4"/>
    <w:rsid w:val="00E878C9"/>
    <w:rsid w:val="00E909C4"/>
    <w:rsid w:val="00E97C1F"/>
    <w:rsid w:val="00EA1409"/>
    <w:rsid w:val="00EA1A5E"/>
    <w:rsid w:val="00EA3DC8"/>
    <w:rsid w:val="00EB087C"/>
    <w:rsid w:val="00EB0D6F"/>
    <w:rsid w:val="00EB2232"/>
    <w:rsid w:val="00EB4160"/>
    <w:rsid w:val="00EB79FA"/>
    <w:rsid w:val="00EC1F5F"/>
    <w:rsid w:val="00EC5337"/>
    <w:rsid w:val="00EC5530"/>
    <w:rsid w:val="00EC5B36"/>
    <w:rsid w:val="00EC63CE"/>
    <w:rsid w:val="00ED08CD"/>
    <w:rsid w:val="00ED20B3"/>
    <w:rsid w:val="00ED2364"/>
    <w:rsid w:val="00ED48F4"/>
    <w:rsid w:val="00ED68F7"/>
    <w:rsid w:val="00EE0880"/>
    <w:rsid w:val="00EF2A56"/>
    <w:rsid w:val="00EF2E41"/>
    <w:rsid w:val="00EF38E2"/>
    <w:rsid w:val="00EF3EA0"/>
    <w:rsid w:val="00F006D6"/>
    <w:rsid w:val="00F02EEC"/>
    <w:rsid w:val="00F034CB"/>
    <w:rsid w:val="00F03F2E"/>
    <w:rsid w:val="00F054E2"/>
    <w:rsid w:val="00F05830"/>
    <w:rsid w:val="00F05EF7"/>
    <w:rsid w:val="00F10F17"/>
    <w:rsid w:val="00F12301"/>
    <w:rsid w:val="00F12C8C"/>
    <w:rsid w:val="00F15D30"/>
    <w:rsid w:val="00F164B8"/>
    <w:rsid w:val="00F20029"/>
    <w:rsid w:val="00F2150A"/>
    <w:rsid w:val="00F22FD8"/>
    <w:rsid w:val="00F231D8"/>
    <w:rsid w:val="00F24D6C"/>
    <w:rsid w:val="00F2610E"/>
    <w:rsid w:val="00F314E9"/>
    <w:rsid w:val="00F31F7E"/>
    <w:rsid w:val="00F32054"/>
    <w:rsid w:val="00F3488B"/>
    <w:rsid w:val="00F4214A"/>
    <w:rsid w:val="00F4455D"/>
    <w:rsid w:val="00F45B51"/>
    <w:rsid w:val="00F466BE"/>
    <w:rsid w:val="00F46A62"/>
    <w:rsid w:val="00F46C5F"/>
    <w:rsid w:val="00F47C43"/>
    <w:rsid w:val="00F53A76"/>
    <w:rsid w:val="00F53FD9"/>
    <w:rsid w:val="00F5481C"/>
    <w:rsid w:val="00F551FB"/>
    <w:rsid w:val="00F55E5D"/>
    <w:rsid w:val="00F622BD"/>
    <w:rsid w:val="00F63D9F"/>
    <w:rsid w:val="00F649F0"/>
    <w:rsid w:val="00F7013F"/>
    <w:rsid w:val="00F701C8"/>
    <w:rsid w:val="00F713DF"/>
    <w:rsid w:val="00F74A6C"/>
    <w:rsid w:val="00F75151"/>
    <w:rsid w:val="00F753FE"/>
    <w:rsid w:val="00F761EF"/>
    <w:rsid w:val="00F807D0"/>
    <w:rsid w:val="00F80973"/>
    <w:rsid w:val="00F81A45"/>
    <w:rsid w:val="00F825CB"/>
    <w:rsid w:val="00F82A23"/>
    <w:rsid w:val="00F86F1F"/>
    <w:rsid w:val="00F873E0"/>
    <w:rsid w:val="00F906EC"/>
    <w:rsid w:val="00F92CD7"/>
    <w:rsid w:val="00F94A63"/>
    <w:rsid w:val="00FA1ADD"/>
    <w:rsid w:val="00FA1C28"/>
    <w:rsid w:val="00FA25B7"/>
    <w:rsid w:val="00FA45AA"/>
    <w:rsid w:val="00FA6D12"/>
    <w:rsid w:val="00FA74A9"/>
    <w:rsid w:val="00FB05FB"/>
    <w:rsid w:val="00FB113B"/>
    <w:rsid w:val="00FB1279"/>
    <w:rsid w:val="00FB6882"/>
    <w:rsid w:val="00FB6A78"/>
    <w:rsid w:val="00FB7596"/>
    <w:rsid w:val="00FC5176"/>
    <w:rsid w:val="00FC5252"/>
    <w:rsid w:val="00FD061D"/>
    <w:rsid w:val="00FD0791"/>
    <w:rsid w:val="00FD39B9"/>
    <w:rsid w:val="00FD5459"/>
    <w:rsid w:val="00FD5F07"/>
    <w:rsid w:val="00FD758D"/>
    <w:rsid w:val="00FE23E2"/>
    <w:rsid w:val="00FE2613"/>
    <w:rsid w:val="00FE39A1"/>
    <w:rsid w:val="00FE3C8D"/>
    <w:rsid w:val="00FE4077"/>
    <w:rsid w:val="00FE5B10"/>
    <w:rsid w:val="00FE6979"/>
    <w:rsid w:val="00FE77D2"/>
    <w:rsid w:val="00FF1C34"/>
    <w:rsid w:val="00FF4026"/>
    <w:rsid w:val="00FF62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724EAD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aliases w:val="titre"/>
    <w:basedOn w:val="Normal"/>
    <w:link w:val="ListParagraphChar"/>
    <w:uiPriority w:val="34"/>
    <w:qFormat/>
    <w:rsid w:val="0086489C"/>
    <w:pPr>
      <w:tabs>
        <w:tab w:val="clear" w:pos="567"/>
        <w:tab w:val="clear" w:pos="1134"/>
        <w:tab w:val="clear" w:pos="1701"/>
        <w:tab w:val="clear" w:pos="2268"/>
        <w:tab w:val="clear" w:pos="2835"/>
      </w:tabs>
      <w:overflowPunct/>
      <w:autoSpaceDE/>
      <w:autoSpaceDN/>
      <w:adjustRightInd/>
      <w:spacing w:before="0"/>
      <w:ind w:left="720"/>
      <w:textAlignment w:val="auto"/>
    </w:pPr>
    <w:rPr>
      <w:rFonts w:ascii="Arial" w:eastAsia="SimSun" w:hAnsi="Arial"/>
      <w:sz w:val="22"/>
      <w:szCs w:val="24"/>
      <w:lang w:val="en-US" w:eastAsia="zh-CN"/>
    </w:rPr>
  </w:style>
  <w:style w:type="paragraph" w:styleId="Caption">
    <w:name w:val="caption"/>
    <w:basedOn w:val="Normal"/>
    <w:next w:val="Normal"/>
    <w:uiPriority w:val="35"/>
    <w:unhideWhenUsed/>
    <w:qFormat/>
    <w:rsid w:val="00D23E5B"/>
    <w:pPr>
      <w:tabs>
        <w:tab w:val="clear" w:pos="567"/>
        <w:tab w:val="clear" w:pos="1134"/>
        <w:tab w:val="clear" w:pos="1701"/>
        <w:tab w:val="clear" w:pos="2268"/>
        <w:tab w:val="clear" w:pos="2835"/>
      </w:tabs>
      <w:overflowPunct/>
      <w:autoSpaceDE/>
      <w:autoSpaceDN/>
      <w:adjustRightInd/>
      <w:spacing w:before="0" w:after="200"/>
      <w:jc w:val="center"/>
      <w:textAlignment w:val="auto"/>
    </w:pPr>
    <w:rPr>
      <w:rFonts w:asciiTheme="minorHAnsi" w:eastAsiaTheme="minorHAnsi" w:hAnsiTheme="minorHAnsi" w:cstheme="minorBidi"/>
      <w:i/>
      <w:iCs/>
      <w:color w:val="000000" w:themeColor="text1"/>
      <w:sz w:val="18"/>
      <w:szCs w:val="18"/>
    </w:rPr>
  </w:style>
  <w:style w:type="paragraph" w:customStyle="1" w:styleId="B-Square">
    <w:name w:val="B-Square"/>
    <w:basedOn w:val="ListParagraph"/>
    <w:qFormat/>
    <w:rsid w:val="00EF2E41"/>
    <w:pPr>
      <w:numPr>
        <w:numId w:val="32"/>
      </w:numPr>
      <w:spacing w:before="60" w:after="60" w:line="276" w:lineRule="auto"/>
      <w:contextualSpacing/>
      <w:jc w:val="both"/>
    </w:pPr>
    <w:rPr>
      <w:rFonts w:asciiTheme="minorHAnsi" w:eastAsiaTheme="minorHAnsi" w:hAnsiTheme="minorHAnsi" w:cs="Arial"/>
      <w:szCs w:val="22"/>
      <w:lang w:val="en-GB" w:eastAsia="en-US"/>
    </w:rPr>
  </w:style>
  <w:style w:type="character" w:customStyle="1" w:styleId="B-RoundChar">
    <w:name w:val="B-Round Char"/>
    <w:basedOn w:val="DefaultParagraphFont"/>
    <w:link w:val="B-Round"/>
    <w:locked/>
    <w:rsid w:val="00EF2E41"/>
    <w:rPr>
      <w:rFonts w:ascii="Arial" w:hAnsi="Arial" w:cs="Arial"/>
    </w:rPr>
  </w:style>
  <w:style w:type="paragraph" w:customStyle="1" w:styleId="B-Round">
    <w:name w:val="B-Round"/>
    <w:basedOn w:val="B-Square"/>
    <w:link w:val="B-RoundChar"/>
    <w:qFormat/>
    <w:rsid w:val="00EF2E41"/>
    <w:pPr>
      <w:numPr>
        <w:ilvl w:val="1"/>
      </w:numPr>
      <w:tabs>
        <w:tab w:val="num" w:pos="360"/>
      </w:tabs>
      <w:ind w:left="2127" w:hanging="357"/>
    </w:pPr>
    <w:rPr>
      <w:rFonts w:ascii="Arial" w:eastAsia="Times New Roman" w:hAnsi="Arial"/>
      <w:sz w:val="20"/>
      <w:szCs w:val="20"/>
      <w:lang w:val="en-US" w:eastAsia="zh-CN"/>
    </w:rPr>
  </w:style>
  <w:style w:type="character" w:styleId="SubtleEmphasis">
    <w:name w:val="Subtle Emphasis"/>
    <w:aliases w:val="Graphics"/>
    <w:basedOn w:val="DefaultParagraphFont"/>
    <w:uiPriority w:val="19"/>
    <w:qFormat/>
    <w:rsid w:val="00EF2E41"/>
    <w:rPr>
      <w:b/>
      <w:bCs w:val="0"/>
      <w:iCs/>
      <w:sz w:val="18"/>
    </w:rPr>
  </w:style>
  <w:style w:type="paragraph" w:customStyle="1" w:styleId="ocpalertsection">
    <w:name w:val="ocpalertsection"/>
    <w:basedOn w:val="Normal"/>
    <w:rsid w:val="00F86F1F"/>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styleId="NormalWeb">
    <w:name w:val="Normal (Web)"/>
    <w:basedOn w:val="Normal"/>
    <w:uiPriority w:val="99"/>
    <w:semiHidden/>
    <w:unhideWhenUsed/>
    <w:rsid w:val="00F86F1F"/>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Default">
    <w:name w:val="Default"/>
    <w:rsid w:val="0018606C"/>
    <w:pPr>
      <w:autoSpaceDE w:val="0"/>
      <w:autoSpaceDN w:val="0"/>
      <w:adjustRightInd w:val="0"/>
    </w:pPr>
    <w:rPr>
      <w:rFonts w:ascii="Arial" w:hAnsi="Arial" w:cs="Arial"/>
      <w:color w:val="000000"/>
      <w:sz w:val="24"/>
      <w:szCs w:val="24"/>
      <w:lang w:val="en-GB"/>
    </w:rPr>
  </w:style>
  <w:style w:type="character" w:styleId="CommentReference">
    <w:name w:val="annotation reference"/>
    <w:basedOn w:val="DefaultParagraphFont"/>
    <w:uiPriority w:val="99"/>
    <w:semiHidden/>
    <w:unhideWhenUsed/>
    <w:rsid w:val="000A24CC"/>
    <w:rPr>
      <w:sz w:val="16"/>
      <w:szCs w:val="16"/>
    </w:rPr>
  </w:style>
  <w:style w:type="paragraph" w:styleId="CommentText">
    <w:name w:val="annotation text"/>
    <w:basedOn w:val="Normal"/>
    <w:link w:val="CommentTextChar"/>
    <w:uiPriority w:val="99"/>
    <w:semiHidden/>
    <w:unhideWhenUsed/>
    <w:rsid w:val="000A24CC"/>
    <w:rPr>
      <w:sz w:val="20"/>
    </w:rPr>
  </w:style>
  <w:style w:type="character" w:customStyle="1" w:styleId="CommentTextChar">
    <w:name w:val="Comment Text Char"/>
    <w:basedOn w:val="DefaultParagraphFont"/>
    <w:link w:val="CommentText"/>
    <w:uiPriority w:val="99"/>
    <w:semiHidden/>
    <w:rsid w:val="000A24CC"/>
    <w:rPr>
      <w:rFonts w:ascii="Calibri" w:hAnsi="Calibri"/>
      <w:lang w:val="en-GB" w:eastAsia="en-US"/>
    </w:rPr>
  </w:style>
  <w:style w:type="paragraph" w:styleId="CommentSubject">
    <w:name w:val="annotation subject"/>
    <w:basedOn w:val="CommentText"/>
    <w:next w:val="CommentText"/>
    <w:link w:val="CommentSubjectChar"/>
    <w:semiHidden/>
    <w:unhideWhenUsed/>
    <w:rsid w:val="000A24CC"/>
    <w:rPr>
      <w:b/>
      <w:bCs/>
    </w:rPr>
  </w:style>
  <w:style w:type="character" w:customStyle="1" w:styleId="CommentSubjectChar">
    <w:name w:val="Comment Subject Char"/>
    <w:basedOn w:val="CommentTextChar"/>
    <w:link w:val="CommentSubject"/>
    <w:semiHidden/>
    <w:rsid w:val="000A24CC"/>
    <w:rPr>
      <w:rFonts w:ascii="Calibri" w:hAnsi="Calibri"/>
      <w:b/>
      <w:bCs/>
      <w:lang w:val="en-GB" w:eastAsia="en-US"/>
    </w:rPr>
  </w:style>
  <w:style w:type="paragraph" w:styleId="BalloonText">
    <w:name w:val="Balloon Text"/>
    <w:basedOn w:val="Normal"/>
    <w:link w:val="BalloonTextChar"/>
    <w:semiHidden/>
    <w:unhideWhenUsed/>
    <w:rsid w:val="000A24C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A24CC"/>
    <w:rPr>
      <w:rFonts w:ascii="Segoe UI" w:hAnsi="Segoe UI" w:cs="Segoe UI"/>
      <w:sz w:val="18"/>
      <w:szCs w:val="18"/>
      <w:lang w:val="en-GB" w:eastAsia="en-US"/>
    </w:rPr>
  </w:style>
  <w:style w:type="paragraph" w:styleId="HTMLPreformatted">
    <w:name w:val="HTML Preformatted"/>
    <w:basedOn w:val="Normal"/>
    <w:link w:val="HTMLPreformattedChar"/>
    <w:uiPriority w:val="99"/>
    <w:unhideWhenUsed/>
    <w:rsid w:val="009D1802"/>
    <w:pPr>
      <w:tabs>
        <w:tab w:val="clear" w:pos="567"/>
        <w:tab w:val="clear" w:pos="1134"/>
        <w:tab w:val="clear" w:pos="1701"/>
        <w:tab w:val="clear" w:pos="2268"/>
        <w:tab w:val="clear" w:pos="283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en-GB"/>
    </w:rPr>
  </w:style>
  <w:style w:type="character" w:customStyle="1" w:styleId="HTMLPreformattedChar">
    <w:name w:val="HTML Preformatted Char"/>
    <w:basedOn w:val="DefaultParagraphFont"/>
    <w:link w:val="HTMLPreformatted"/>
    <w:uiPriority w:val="99"/>
    <w:rsid w:val="009D1802"/>
    <w:rPr>
      <w:rFonts w:ascii="Courier New" w:hAnsi="Courier New" w:cs="Courier New"/>
      <w:lang w:val="en-GB" w:eastAsia="en-GB"/>
    </w:rPr>
  </w:style>
  <w:style w:type="character" w:customStyle="1" w:styleId="normaltextrun">
    <w:name w:val="normaltextrun"/>
    <w:basedOn w:val="DefaultParagraphFont"/>
    <w:rsid w:val="00CA0AA3"/>
  </w:style>
  <w:style w:type="table" w:styleId="TableGrid">
    <w:name w:val="Table Grid"/>
    <w:basedOn w:val="TableNormal"/>
    <w:uiPriority w:val="39"/>
    <w:rsid w:val="00CA0AA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itre Char"/>
    <w:basedOn w:val="DefaultParagraphFont"/>
    <w:link w:val="ListParagraph"/>
    <w:uiPriority w:val="34"/>
    <w:locked/>
    <w:rsid w:val="00F55E5D"/>
    <w:rPr>
      <w:rFonts w:ascii="Arial" w:eastAsia="SimSun" w:hAnsi="Arial"/>
      <w:sz w:val="22"/>
      <w:szCs w:val="24"/>
    </w:rPr>
  </w:style>
  <w:style w:type="character" w:customStyle="1" w:styleId="FooterChar">
    <w:name w:val="Footer Char"/>
    <w:basedOn w:val="DefaultParagraphFont"/>
    <w:link w:val="Footer"/>
    <w:uiPriority w:val="99"/>
    <w:rsid w:val="00646963"/>
    <w:rPr>
      <w:rFonts w:ascii="Calibri" w:hAnsi="Calibri"/>
      <w:caps/>
      <w:noProof/>
      <w:sz w:val="16"/>
      <w:lang w:val="en-GB" w:eastAsia="en-US"/>
    </w:rPr>
  </w:style>
  <w:style w:type="character" w:styleId="UnresolvedMention">
    <w:name w:val="Unresolved Mention"/>
    <w:basedOn w:val="DefaultParagraphFont"/>
    <w:uiPriority w:val="99"/>
    <w:semiHidden/>
    <w:unhideWhenUsed/>
    <w:rsid w:val="00163C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5617">
      <w:bodyDiv w:val="1"/>
      <w:marLeft w:val="0"/>
      <w:marRight w:val="0"/>
      <w:marTop w:val="0"/>
      <w:marBottom w:val="0"/>
      <w:divBdr>
        <w:top w:val="none" w:sz="0" w:space="0" w:color="auto"/>
        <w:left w:val="none" w:sz="0" w:space="0" w:color="auto"/>
        <w:bottom w:val="none" w:sz="0" w:space="0" w:color="auto"/>
        <w:right w:val="none" w:sz="0" w:space="0" w:color="auto"/>
      </w:divBdr>
    </w:div>
    <w:div w:id="24134248">
      <w:bodyDiv w:val="1"/>
      <w:marLeft w:val="0"/>
      <w:marRight w:val="0"/>
      <w:marTop w:val="0"/>
      <w:marBottom w:val="0"/>
      <w:divBdr>
        <w:top w:val="none" w:sz="0" w:space="0" w:color="auto"/>
        <w:left w:val="none" w:sz="0" w:space="0" w:color="auto"/>
        <w:bottom w:val="none" w:sz="0" w:space="0" w:color="auto"/>
        <w:right w:val="none" w:sz="0" w:space="0" w:color="auto"/>
      </w:divBdr>
    </w:div>
    <w:div w:id="54015449">
      <w:bodyDiv w:val="1"/>
      <w:marLeft w:val="0"/>
      <w:marRight w:val="0"/>
      <w:marTop w:val="0"/>
      <w:marBottom w:val="0"/>
      <w:divBdr>
        <w:top w:val="none" w:sz="0" w:space="0" w:color="auto"/>
        <w:left w:val="none" w:sz="0" w:space="0" w:color="auto"/>
        <w:bottom w:val="none" w:sz="0" w:space="0" w:color="auto"/>
        <w:right w:val="none" w:sz="0" w:space="0" w:color="auto"/>
      </w:divBdr>
    </w:div>
    <w:div w:id="74324729">
      <w:bodyDiv w:val="1"/>
      <w:marLeft w:val="0"/>
      <w:marRight w:val="0"/>
      <w:marTop w:val="0"/>
      <w:marBottom w:val="0"/>
      <w:divBdr>
        <w:top w:val="none" w:sz="0" w:space="0" w:color="auto"/>
        <w:left w:val="none" w:sz="0" w:space="0" w:color="auto"/>
        <w:bottom w:val="none" w:sz="0" w:space="0" w:color="auto"/>
        <w:right w:val="none" w:sz="0" w:space="0" w:color="auto"/>
      </w:divBdr>
    </w:div>
    <w:div w:id="115566908">
      <w:bodyDiv w:val="1"/>
      <w:marLeft w:val="0"/>
      <w:marRight w:val="0"/>
      <w:marTop w:val="0"/>
      <w:marBottom w:val="0"/>
      <w:divBdr>
        <w:top w:val="none" w:sz="0" w:space="0" w:color="auto"/>
        <w:left w:val="none" w:sz="0" w:space="0" w:color="auto"/>
        <w:bottom w:val="none" w:sz="0" w:space="0" w:color="auto"/>
        <w:right w:val="none" w:sz="0" w:space="0" w:color="auto"/>
      </w:divBdr>
    </w:div>
    <w:div w:id="127751270">
      <w:bodyDiv w:val="1"/>
      <w:marLeft w:val="0"/>
      <w:marRight w:val="0"/>
      <w:marTop w:val="0"/>
      <w:marBottom w:val="0"/>
      <w:divBdr>
        <w:top w:val="none" w:sz="0" w:space="0" w:color="auto"/>
        <w:left w:val="none" w:sz="0" w:space="0" w:color="auto"/>
        <w:bottom w:val="none" w:sz="0" w:space="0" w:color="auto"/>
        <w:right w:val="none" w:sz="0" w:space="0" w:color="auto"/>
      </w:divBdr>
    </w:div>
    <w:div w:id="133066299">
      <w:bodyDiv w:val="1"/>
      <w:marLeft w:val="0"/>
      <w:marRight w:val="0"/>
      <w:marTop w:val="0"/>
      <w:marBottom w:val="0"/>
      <w:divBdr>
        <w:top w:val="none" w:sz="0" w:space="0" w:color="auto"/>
        <w:left w:val="none" w:sz="0" w:space="0" w:color="auto"/>
        <w:bottom w:val="none" w:sz="0" w:space="0" w:color="auto"/>
        <w:right w:val="none" w:sz="0" w:space="0" w:color="auto"/>
      </w:divBdr>
      <w:divsChild>
        <w:div w:id="1452627250">
          <w:marLeft w:val="0"/>
          <w:marRight w:val="0"/>
          <w:marTop w:val="0"/>
          <w:marBottom w:val="0"/>
          <w:divBdr>
            <w:top w:val="none" w:sz="0" w:space="0" w:color="auto"/>
            <w:left w:val="none" w:sz="0" w:space="0" w:color="auto"/>
            <w:bottom w:val="none" w:sz="0" w:space="0" w:color="auto"/>
            <w:right w:val="none" w:sz="0" w:space="0" w:color="auto"/>
          </w:divBdr>
        </w:div>
      </w:divsChild>
    </w:div>
    <w:div w:id="148058327">
      <w:bodyDiv w:val="1"/>
      <w:marLeft w:val="0"/>
      <w:marRight w:val="0"/>
      <w:marTop w:val="0"/>
      <w:marBottom w:val="0"/>
      <w:divBdr>
        <w:top w:val="none" w:sz="0" w:space="0" w:color="auto"/>
        <w:left w:val="none" w:sz="0" w:space="0" w:color="auto"/>
        <w:bottom w:val="none" w:sz="0" w:space="0" w:color="auto"/>
        <w:right w:val="none" w:sz="0" w:space="0" w:color="auto"/>
      </w:divBdr>
    </w:div>
    <w:div w:id="169879068">
      <w:bodyDiv w:val="1"/>
      <w:marLeft w:val="0"/>
      <w:marRight w:val="0"/>
      <w:marTop w:val="0"/>
      <w:marBottom w:val="0"/>
      <w:divBdr>
        <w:top w:val="none" w:sz="0" w:space="0" w:color="auto"/>
        <w:left w:val="none" w:sz="0" w:space="0" w:color="auto"/>
        <w:bottom w:val="none" w:sz="0" w:space="0" w:color="auto"/>
        <w:right w:val="none" w:sz="0" w:space="0" w:color="auto"/>
      </w:divBdr>
    </w:div>
    <w:div w:id="203520546">
      <w:bodyDiv w:val="1"/>
      <w:marLeft w:val="0"/>
      <w:marRight w:val="0"/>
      <w:marTop w:val="0"/>
      <w:marBottom w:val="0"/>
      <w:divBdr>
        <w:top w:val="none" w:sz="0" w:space="0" w:color="auto"/>
        <w:left w:val="none" w:sz="0" w:space="0" w:color="auto"/>
        <w:bottom w:val="none" w:sz="0" w:space="0" w:color="auto"/>
        <w:right w:val="none" w:sz="0" w:space="0" w:color="auto"/>
      </w:divBdr>
    </w:div>
    <w:div w:id="221604056">
      <w:bodyDiv w:val="1"/>
      <w:marLeft w:val="0"/>
      <w:marRight w:val="0"/>
      <w:marTop w:val="0"/>
      <w:marBottom w:val="0"/>
      <w:divBdr>
        <w:top w:val="none" w:sz="0" w:space="0" w:color="auto"/>
        <w:left w:val="none" w:sz="0" w:space="0" w:color="auto"/>
        <w:bottom w:val="none" w:sz="0" w:space="0" w:color="auto"/>
        <w:right w:val="none" w:sz="0" w:space="0" w:color="auto"/>
      </w:divBdr>
    </w:div>
    <w:div w:id="291598632">
      <w:bodyDiv w:val="1"/>
      <w:marLeft w:val="0"/>
      <w:marRight w:val="0"/>
      <w:marTop w:val="0"/>
      <w:marBottom w:val="0"/>
      <w:divBdr>
        <w:top w:val="none" w:sz="0" w:space="0" w:color="auto"/>
        <w:left w:val="none" w:sz="0" w:space="0" w:color="auto"/>
        <w:bottom w:val="none" w:sz="0" w:space="0" w:color="auto"/>
        <w:right w:val="none" w:sz="0" w:space="0" w:color="auto"/>
      </w:divBdr>
    </w:div>
    <w:div w:id="311522989">
      <w:bodyDiv w:val="1"/>
      <w:marLeft w:val="0"/>
      <w:marRight w:val="0"/>
      <w:marTop w:val="0"/>
      <w:marBottom w:val="0"/>
      <w:divBdr>
        <w:top w:val="none" w:sz="0" w:space="0" w:color="auto"/>
        <w:left w:val="none" w:sz="0" w:space="0" w:color="auto"/>
        <w:bottom w:val="none" w:sz="0" w:space="0" w:color="auto"/>
        <w:right w:val="none" w:sz="0" w:space="0" w:color="auto"/>
      </w:divBdr>
      <w:divsChild>
        <w:div w:id="1828209259">
          <w:marLeft w:val="1166"/>
          <w:marRight w:val="0"/>
          <w:marTop w:val="120"/>
          <w:marBottom w:val="0"/>
          <w:divBdr>
            <w:top w:val="none" w:sz="0" w:space="0" w:color="auto"/>
            <w:left w:val="none" w:sz="0" w:space="0" w:color="auto"/>
            <w:bottom w:val="none" w:sz="0" w:space="0" w:color="auto"/>
            <w:right w:val="none" w:sz="0" w:space="0" w:color="auto"/>
          </w:divBdr>
        </w:div>
        <w:div w:id="1834105889">
          <w:marLeft w:val="1166"/>
          <w:marRight w:val="0"/>
          <w:marTop w:val="120"/>
          <w:marBottom w:val="0"/>
          <w:divBdr>
            <w:top w:val="none" w:sz="0" w:space="0" w:color="auto"/>
            <w:left w:val="none" w:sz="0" w:space="0" w:color="auto"/>
            <w:bottom w:val="none" w:sz="0" w:space="0" w:color="auto"/>
            <w:right w:val="none" w:sz="0" w:space="0" w:color="auto"/>
          </w:divBdr>
        </w:div>
        <w:div w:id="2078745852">
          <w:marLeft w:val="1166"/>
          <w:marRight w:val="0"/>
          <w:marTop w:val="120"/>
          <w:marBottom w:val="0"/>
          <w:divBdr>
            <w:top w:val="none" w:sz="0" w:space="0" w:color="auto"/>
            <w:left w:val="none" w:sz="0" w:space="0" w:color="auto"/>
            <w:bottom w:val="none" w:sz="0" w:space="0" w:color="auto"/>
            <w:right w:val="none" w:sz="0" w:space="0" w:color="auto"/>
          </w:divBdr>
        </w:div>
        <w:div w:id="2045012525">
          <w:marLeft w:val="1166"/>
          <w:marRight w:val="0"/>
          <w:marTop w:val="120"/>
          <w:marBottom w:val="0"/>
          <w:divBdr>
            <w:top w:val="none" w:sz="0" w:space="0" w:color="auto"/>
            <w:left w:val="none" w:sz="0" w:space="0" w:color="auto"/>
            <w:bottom w:val="none" w:sz="0" w:space="0" w:color="auto"/>
            <w:right w:val="none" w:sz="0" w:space="0" w:color="auto"/>
          </w:divBdr>
        </w:div>
        <w:div w:id="1325623714">
          <w:marLeft w:val="1166"/>
          <w:marRight w:val="0"/>
          <w:marTop w:val="120"/>
          <w:marBottom w:val="0"/>
          <w:divBdr>
            <w:top w:val="none" w:sz="0" w:space="0" w:color="auto"/>
            <w:left w:val="none" w:sz="0" w:space="0" w:color="auto"/>
            <w:bottom w:val="none" w:sz="0" w:space="0" w:color="auto"/>
            <w:right w:val="none" w:sz="0" w:space="0" w:color="auto"/>
          </w:divBdr>
        </w:div>
        <w:div w:id="1853033797">
          <w:marLeft w:val="1166"/>
          <w:marRight w:val="0"/>
          <w:marTop w:val="120"/>
          <w:marBottom w:val="0"/>
          <w:divBdr>
            <w:top w:val="none" w:sz="0" w:space="0" w:color="auto"/>
            <w:left w:val="none" w:sz="0" w:space="0" w:color="auto"/>
            <w:bottom w:val="none" w:sz="0" w:space="0" w:color="auto"/>
            <w:right w:val="none" w:sz="0" w:space="0" w:color="auto"/>
          </w:divBdr>
        </w:div>
      </w:divsChild>
    </w:div>
    <w:div w:id="316761045">
      <w:bodyDiv w:val="1"/>
      <w:marLeft w:val="0"/>
      <w:marRight w:val="0"/>
      <w:marTop w:val="0"/>
      <w:marBottom w:val="0"/>
      <w:divBdr>
        <w:top w:val="none" w:sz="0" w:space="0" w:color="auto"/>
        <w:left w:val="none" w:sz="0" w:space="0" w:color="auto"/>
        <w:bottom w:val="none" w:sz="0" w:space="0" w:color="auto"/>
        <w:right w:val="none" w:sz="0" w:space="0" w:color="auto"/>
      </w:divBdr>
    </w:div>
    <w:div w:id="346904988">
      <w:bodyDiv w:val="1"/>
      <w:marLeft w:val="0"/>
      <w:marRight w:val="0"/>
      <w:marTop w:val="0"/>
      <w:marBottom w:val="0"/>
      <w:divBdr>
        <w:top w:val="none" w:sz="0" w:space="0" w:color="auto"/>
        <w:left w:val="none" w:sz="0" w:space="0" w:color="auto"/>
        <w:bottom w:val="none" w:sz="0" w:space="0" w:color="auto"/>
        <w:right w:val="none" w:sz="0" w:space="0" w:color="auto"/>
      </w:divBdr>
    </w:div>
    <w:div w:id="471749182">
      <w:bodyDiv w:val="1"/>
      <w:marLeft w:val="0"/>
      <w:marRight w:val="0"/>
      <w:marTop w:val="0"/>
      <w:marBottom w:val="0"/>
      <w:divBdr>
        <w:top w:val="none" w:sz="0" w:space="0" w:color="auto"/>
        <w:left w:val="none" w:sz="0" w:space="0" w:color="auto"/>
        <w:bottom w:val="none" w:sz="0" w:space="0" w:color="auto"/>
        <w:right w:val="none" w:sz="0" w:space="0" w:color="auto"/>
      </w:divBdr>
    </w:div>
    <w:div w:id="489030850">
      <w:bodyDiv w:val="1"/>
      <w:marLeft w:val="0"/>
      <w:marRight w:val="0"/>
      <w:marTop w:val="0"/>
      <w:marBottom w:val="0"/>
      <w:divBdr>
        <w:top w:val="none" w:sz="0" w:space="0" w:color="auto"/>
        <w:left w:val="none" w:sz="0" w:space="0" w:color="auto"/>
        <w:bottom w:val="none" w:sz="0" w:space="0" w:color="auto"/>
        <w:right w:val="none" w:sz="0" w:space="0" w:color="auto"/>
      </w:divBdr>
    </w:div>
    <w:div w:id="625624424">
      <w:bodyDiv w:val="1"/>
      <w:marLeft w:val="0"/>
      <w:marRight w:val="0"/>
      <w:marTop w:val="0"/>
      <w:marBottom w:val="0"/>
      <w:divBdr>
        <w:top w:val="none" w:sz="0" w:space="0" w:color="auto"/>
        <w:left w:val="none" w:sz="0" w:space="0" w:color="auto"/>
        <w:bottom w:val="none" w:sz="0" w:space="0" w:color="auto"/>
        <w:right w:val="none" w:sz="0" w:space="0" w:color="auto"/>
      </w:divBdr>
    </w:div>
    <w:div w:id="640883590">
      <w:bodyDiv w:val="1"/>
      <w:marLeft w:val="0"/>
      <w:marRight w:val="0"/>
      <w:marTop w:val="0"/>
      <w:marBottom w:val="0"/>
      <w:divBdr>
        <w:top w:val="none" w:sz="0" w:space="0" w:color="auto"/>
        <w:left w:val="none" w:sz="0" w:space="0" w:color="auto"/>
        <w:bottom w:val="none" w:sz="0" w:space="0" w:color="auto"/>
        <w:right w:val="none" w:sz="0" w:space="0" w:color="auto"/>
      </w:divBdr>
    </w:div>
    <w:div w:id="647133367">
      <w:bodyDiv w:val="1"/>
      <w:marLeft w:val="0"/>
      <w:marRight w:val="0"/>
      <w:marTop w:val="0"/>
      <w:marBottom w:val="0"/>
      <w:divBdr>
        <w:top w:val="none" w:sz="0" w:space="0" w:color="auto"/>
        <w:left w:val="none" w:sz="0" w:space="0" w:color="auto"/>
        <w:bottom w:val="none" w:sz="0" w:space="0" w:color="auto"/>
        <w:right w:val="none" w:sz="0" w:space="0" w:color="auto"/>
      </w:divBdr>
    </w:div>
    <w:div w:id="664554886">
      <w:bodyDiv w:val="1"/>
      <w:marLeft w:val="0"/>
      <w:marRight w:val="0"/>
      <w:marTop w:val="0"/>
      <w:marBottom w:val="0"/>
      <w:divBdr>
        <w:top w:val="none" w:sz="0" w:space="0" w:color="auto"/>
        <w:left w:val="none" w:sz="0" w:space="0" w:color="auto"/>
        <w:bottom w:val="none" w:sz="0" w:space="0" w:color="auto"/>
        <w:right w:val="none" w:sz="0" w:space="0" w:color="auto"/>
      </w:divBdr>
    </w:div>
    <w:div w:id="689376980">
      <w:bodyDiv w:val="1"/>
      <w:marLeft w:val="0"/>
      <w:marRight w:val="0"/>
      <w:marTop w:val="0"/>
      <w:marBottom w:val="0"/>
      <w:divBdr>
        <w:top w:val="none" w:sz="0" w:space="0" w:color="auto"/>
        <w:left w:val="none" w:sz="0" w:space="0" w:color="auto"/>
        <w:bottom w:val="none" w:sz="0" w:space="0" w:color="auto"/>
        <w:right w:val="none" w:sz="0" w:space="0" w:color="auto"/>
      </w:divBdr>
    </w:div>
    <w:div w:id="833884485">
      <w:bodyDiv w:val="1"/>
      <w:marLeft w:val="0"/>
      <w:marRight w:val="0"/>
      <w:marTop w:val="0"/>
      <w:marBottom w:val="0"/>
      <w:divBdr>
        <w:top w:val="none" w:sz="0" w:space="0" w:color="auto"/>
        <w:left w:val="none" w:sz="0" w:space="0" w:color="auto"/>
        <w:bottom w:val="none" w:sz="0" w:space="0" w:color="auto"/>
        <w:right w:val="none" w:sz="0" w:space="0" w:color="auto"/>
      </w:divBdr>
    </w:div>
    <w:div w:id="856774278">
      <w:bodyDiv w:val="1"/>
      <w:marLeft w:val="0"/>
      <w:marRight w:val="0"/>
      <w:marTop w:val="0"/>
      <w:marBottom w:val="0"/>
      <w:divBdr>
        <w:top w:val="none" w:sz="0" w:space="0" w:color="auto"/>
        <w:left w:val="none" w:sz="0" w:space="0" w:color="auto"/>
        <w:bottom w:val="none" w:sz="0" w:space="0" w:color="auto"/>
        <w:right w:val="none" w:sz="0" w:space="0" w:color="auto"/>
      </w:divBdr>
    </w:div>
    <w:div w:id="864633895">
      <w:bodyDiv w:val="1"/>
      <w:marLeft w:val="0"/>
      <w:marRight w:val="0"/>
      <w:marTop w:val="0"/>
      <w:marBottom w:val="0"/>
      <w:divBdr>
        <w:top w:val="none" w:sz="0" w:space="0" w:color="auto"/>
        <w:left w:val="none" w:sz="0" w:space="0" w:color="auto"/>
        <w:bottom w:val="none" w:sz="0" w:space="0" w:color="auto"/>
        <w:right w:val="none" w:sz="0" w:space="0" w:color="auto"/>
      </w:divBdr>
    </w:div>
    <w:div w:id="874315782">
      <w:bodyDiv w:val="1"/>
      <w:marLeft w:val="0"/>
      <w:marRight w:val="0"/>
      <w:marTop w:val="0"/>
      <w:marBottom w:val="0"/>
      <w:divBdr>
        <w:top w:val="none" w:sz="0" w:space="0" w:color="auto"/>
        <w:left w:val="none" w:sz="0" w:space="0" w:color="auto"/>
        <w:bottom w:val="none" w:sz="0" w:space="0" w:color="auto"/>
        <w:right w:val="none" w:sz="0" w:space="0" w:color="auto"/>
      </w:divBdr>
    </w:div>
    <w:div w:id="914558970">
      <w:bodyDiv w:val="1"/>
      <w:marLeft w:val="0"/>
      <w:marRight w:val="0"/>
      <w:marTop w:val="0"/>
      <w:marBottom w:val="0"/>
      <w:divBdr>
        <w:top w:val="none" w:sz="0" w:space="0" w:color="auto"/>
        <w:left w:val="none" w:sz="0" w:space="0" w:color="auto"/>
        <w:bottom w:val="none" w:sz="0" w:space="0" w:color="auto"/>
        <w:right w:val="none" w:sz="0" w:space="0" w:color="auto"/>
      </w:divBdr>
    </w:div>
    <w:div w:id="979312006">
      <w:bodyDiv w:val="1"/>
      <w:marLeft w:val="0"/>
      <w:marRight w:val="0"/>
      <w:marTop w:val="0"/>
      <w:marBottom w:val="0"/>
      <w:divBdr>
        <w:top w:val="none" w:sz="0" w:space="0" w:color="auto"/>
        <w:left w:val="none" w:sz="0" w:space="0" w:color="auto"/>
        <w:bottom w:val="none" w:sz="0" w:space="0" w:color="auto"/>
        <w:right w:val="none" w:sz="0" w:space="0" w:color="auto"/>
      </w:divBdr>
    </w:div>
    <w:div w:id="1046636482">
      <w:bodyDiv w:val="1"/>
      <w:marLeft w:val="0"/>
      <w:marRight w:val="0"/>
      <w:marTop w:val="0"/>
      <w:marBottom w:val="0"/>
      <w:divBdr>
        <w:top w:val="none" w:sz="0" w:space="0" w:color="auto"/>
        <w:left w:val="none" w:sz="0" w:space="0" w:color="auto"/>
        <w:bottom w:val="none" w:sz="0" w:space="0" w:color="auto"/>
        <w:right w:val="none" w:sz="0" w:space="0" w:color="auto"/>
      </w:divBdr>
      <w:divsChild>
        <w:div w:id="1632128067">
          <w:marLeft w:val="0"/>
          <w:marRight w:val="0"/>
          <w:marTop w:val="0"/>
          <w:marBottom w:val="0"/>
          <w:divBdr>
            <w:top w:val="none" w:sz="0" w:space="0" w:color="auto"/>
            <w:left w:val="none" w:sz="0" w:space="0" w:color="auto"/>
            <w:bottom w:val="none" w:sz="0" w:space="0" w:color="auto"/>
            <w:right w:val="none" w:sz="0" w:space="0" w:color="auto"/>
          </w:divBdr>
        </w:div>
      </w:divsChild>
    </w:div>
    <w:div w:id="1092821676">
      <w:bodyDiv w:val="1"/>
      <w:marLeft w:val="0"/>
      <w:marRight w:val="0"/>
      <w:marTop w:val="0"/>
      <w:marBottom w:val="0"/>
      <w:divBdr>
        <w:top w:val="none" w:sz="0" w:space="0" w:color="auto"/>
        <w:left w:val="none" w:sz="0" w:space="0" w:color="auto"/>
        <w:bottom w:val="none" w:sz="0" w:space="0" w:color="auto"/>
        <w:right w:val="none" w:sz="0" w:space="0" w:color="auto"/>
      </w:divBdr>
    </w:div>
    <w:div w:id="1237280510">
      <w:bodyDiv w:val="1"/>
      <w:marLeft w:val="0"/>
      <w:marRight w:val="0"/>
      <w:marTop w:val="0"/>
      <w:marBottom w:val="0"/>
      <w:divBdr>
        <w:top w:val="none" w:sz="0" w:space="0" w:color="auto"/>
        <w:left w:val="none" w:sz="0" w:space="0" w:color="auto"/>
        <w:bottom w:val="none" w:sz="0" w:space="0" w:color="auto"/>
        <w:right w:val="none" w:sz="0" w:space="0" w:color="auto"/>
      </w:divBdr>
    </w:div>
    <w:div w:id="1252855267">
      <w:bodyDiv w:val="1"/>
      <w:marLeft w:val="0"/>
      <w:marRight w:val="0"/>
      <w:marTop w:val="0"/>
      <w:marBottom w:val="0"/>
      <w:divBdr>
        <w:top w:val="none" w:sz="0" w:space="0" w:color="auto"/>
        <w:left w:val="none" w:sz="0" w:space="0" w:color="auto"/>
        <w:bottom w:val="none" w:sz="0" w:space="0" w:color="auto"/>
        <w:right w:val="none" w:sz="0" w:space="0" w:color="auto"/>
      </w:divBdr>
      <w:divsChild>
        <w:div w:id="734157812">
          <w:marLeft w:val="0"/>
          <w:marRight w:val="0"/>
          <w:marTop w:val="0"/>
          <w:marBottom w:val="0"/>
          <w:divBdr>
            <w:top w:val="none" w:sz="0" w:space="0" w:color="auto"/>
            <w:left w:val="none" w:sz="0" w:space="0" w:color="auto"/>
            <w:bottom w:val="none" w:sz="0" w:space="0" w:color="auto"/>
            <w:right w:val="none" w:sz="0" w:space="0" w:color="auto"/>
          </w:divBdr>
        </w:div>
      </w:divsChild>
    </w:div>
    <w:div w:id="1295789736">
      <w:bodyDiv w:val="1"/>
      <w:marLeft w:val="0"/>
      <w:marRight w:val="0"/>
      <w:marTop w:val="0"/>
      <w:marBottom w:val="0"/>
      <w:divBdr>
        <w:top w:val="none" w:sz="0" w:space="0" w:color="auto"/>
        <w:left w:val="none" w:sz="0" w:space="0" w:color="auto"/>
        <w:bottom w:val="none" w:sz="0" w:space="0" w:color="auto"/>
        <w:right w:val="none" w:sz="0" w:space="0" w:color="auto"/>
      </w:divBdr>
    </w:div>
    <w:div w:id="1339498061">
      <w:bodyDiv w:val="1"/>
      <w:marLeft w:val="0"/>
      <w:marRight w:val="0"/>
      <w:marTop w:val="0"/>
      <w:marBottom w:val="0"/>
      <w:divBdr>
        <w:top w:val="none" w:sz="0" w:space="0" w:color="auto"/>
        <w:left w:val="none" w:sz="0" w:space="0" w:color="auto"/>
        <w:bottom w:val="none" w:sz="0" w:space="0" w:color="auto"/>
        <w:right w:val="none" w:sz="0" w:space="0" w:color="auto"/>
      </w:divBdr>
    </w:div>
    <w:div w:id="1412313903">
      <w:bodyDiv w:val="1"/>
      <w:marLeft w:val="0"/>
      <w:marRight w:val="0"/>
      <w:marTop w:val="0"/>
      <w:marBottom w:val="0"/>
      <w:divBdr>
        <w:top w:val="none" w:sz="0" w:space="0" w:color="auto"/>
        <w:left w:val="none" w:sz="0" w:space="0" w:color="auto"/>
        <w:bottom w:val="none" w:sz="0" w:space="0" w:color="auto"/>
        <w:right w:val="none" w:sz="0" w:space="0" w:color="auto"/>
      </w:divBdr>
    </w:div>
    <w:div w:id="1433235345">
      <w:bodyDiv w:val="1"/>
      <w:marLeft w:val="0"/>
      <w:marRight w:val="0"/>
      <w:marTop w:val="0"/>
      <w:marBottom w:val="0"/>
      <w:divBdr>
        <w:top w:val="none" w:sz="0" w:space="0" w:color="auto"/>
        <w:left w:val="none" w:sz="0" w:space="0" w:color="auto"/>
        <w:bottom w:val="none" w:sz="0" w:space="0" w:color="auto"/>
        <w:right w:val="none" w:sz="0" w:space="0" w:color="auto"/>
      </w:divBdr>
    </w:div>
    <w:div w:id="1482653434">
      <w:bodyDiv w:val="1"/>
      <w:marLeft w:val="0"/>
      <w:marRight w:val="0"/>
      <w:marTop w:val="0"/>
      <w:marBottom w:val="0"/>
      <w:divBdr>
        <w:top w:val="none" w:sz="0" w:space="0" w:color="auto"/>
        <w:left w:val="none" w:sz="0" w:space="0" w:color="auto"/>
        <w:bottom w:val="none" w:sz="0" w:space="0" w:color="auto"/>
        <w:right w:val="none" w:sz="0" w:space="0" w:color="auto"/>
      </w:divBdr>
    </w:div>
    <w:div w:id="1618684314">
      <w:bodyDiv w:val="1"/>
      <w:marLeft w:val="0"/>
      <w:marRight w:val="0"/>
      <w:marTop w:val="0"/>
      <w:marBottom w:val="0"/>
      <w:divBdr>
        <w:top w:val="none" w:sz="0" w:space="0" w:color="auto"/>
        <w:left w:val="none" w:sz="0" w:space="0" w:color="auto"/>
        <w:bottom w:val="none" w:sz="0" w:space="0" w:color="auto"/>
        <w:right w:val="none" w:sz="0" w:space="0" w:color="auto"/>
      </w:divBdr>
    </w:div>
    <w:div w:id="1622111901">
      <w:bodyDiv w:val="1"/>
      <w:marLeft w:val="0"/>
      <w:marRight w:val="0"/>
      <w:marTop w:val="0"/>
      <w:marBottom w:val="0"/>
      <w:divBdr>
        <w:top w:val="none" w:sz="0" w:space="0" w:color="auto"/>
        <w:left w:val="none" w:sz="0" w:space="0" w:color="auto"/>
        <w:bottom w:val="none" w:sz="0" w:space="0" w:color="auto"/>
        <w:right w:val="none" w:sz="0" w:space="0" w:color="auto"/>
      </w:divBdr>
    </w:div>
    <w:div w:id="1632782313">
      <w:bodyDiv w:val="1"/>
      <w:marLeft w:val="0"/>
      <w:marRight w:val="0"/>
      <w:marTop w:val="0"/>
      <w:marBottom w:val="0"/>
      <w:divBdr>
        <w:top w:val="none" w:sz="0" w:space="0" w:color="auto"/>
        <w:left w:val="none" w:sz="0" w:space="0" w:color="auto"/>
        <w:bottom w:val="none" w:sz="0" w:space="0" w:color="auto"/>
        <w:right w:val="none" w:sz="0" w:space="0" w:color="auto"/>
      </w:divBdr>
    </w:div>
    <w:div w:id="1683358927">
      <w:bodyDiv w:val="1"/>
      <w:marLeft w:val="0"/>
      <w:marRight w:val="0"/>
      <w:marTop w:val="0"/>
      <w:marBottom w:val="0"/>
      <w:divBdr>
        <w:top w:val="none" w:sz="0" w:space="0" w:color="auto"/>
        <w:left w:val="none" w:sz="0" w:space="0" w:color="auto"/>
        <w:bottom w:val="none" w:sz="0" w:space="0" w:color="auto"/>
        <w:right w:val="none" w:sz="0" w:space="0" w:color="auto"/>
      </w:divBdr>
    </w:div>
    <w:div w:id="1705205017">
      <w:bodyDiv w:val="1"/>
      <w:marLeft w:val="0"/>
      <w:marRight w:val="0"/>
      <w:marTop w:val="0"/>
      <w:marBottom w:val="0"/>
      <w:divBdr>
        <w:top w:val="none" w:sz="0" w:space="0" w:color="auto"/>
        <w:left w:val="none" w:sz="0" w:space="0" w:color="auto"/>
        <w:bottom w:val="none" w:sz="0" w:space="0" w:color="auto"/>
        <w:right w:val="none" w:sz="0" w:space="0" w:color="auto"/>
      </w:divBdr>
    </w:div>
    <w:div w:id="1745030414">
      <w:bodyDiv w:val="1"/>
      <w:marLeft w:val="0"/>
      <w:marRight w:val="0"/>
      <w:marTop w:val="0"/>
      <w:marBottom w:val="0"/>
      <w:divBdr>
        <w:top w:val="none" w:sz="0" w:space="0" w:color="auto"/>
        <w:left w:val="none" w:sz="0" w:space="0" w:color="auto"/>
        <w:bottom w:val="none" w:sz="0" w:space="0" w:color="auto"/>
        <w:right w:val="none" w:sz="0" w:space="0" w:color="auto"/>
      </w:divBdr>
      <w:divsChild>
        <w:div w:id="356663420">
          <w:marLeft w:val="0"/>
          <w:marRight w:val="0"/>
          <w:marTop w:val="240"/>
          <w:marBottom w:val="240"/>
          <w:divBdr>
            <w:top w:val="none" w:sz="0" w:space="0" w:color="auto"/>
            <w:left w:val="none" w:sz="0" w:space="0" w:color="auto"/>
            <w:bottom w:val="none" w:sz="0" w:space="0" w:color="auto"/>
            <w:right w:val="none" w:sz="0" w:space="0" w:color="auto"/>
          </w:divBdr>
        </w:div>
      </w:divsChild>
    </w:div>
    <w:div w:id="1784496678">
      <w:bodyDiv w:val="1"/>
      <w:marLeft w:val="0"/>
      <w:marRight w:val="0"/>
      <w:marTop w:val="0"/>
      <w:marBottom w:val="0"/>
      <w:divBdr>
        <w:top w:val="none" w:sz="0" w:space="0" w:color="auto"/>
        <w:left w:val="none" w:sz="0" w:space="0" w:color="auto"/>
        <w:bottom w:val="none" w:sz="0" w:space="0" w:color="auto"/>
        <w:right w:val="none" w:sz="0" w:space="0" w:color="auto"/>
      </w:divBdr>
    </w:div>
    <w:div w:id="1791123591">
      <w:bodyDiv w:val="1"/>
      <w:marLeft w:val="0"/>
      <w:marRight w:val="0"/>
      <w:marTop w:val="0"/>
      <w:marBottom w:val="0"/>
      <w:divBdr>
        <w:top w:val="none" w:sz="0" w:space="0" w:color="auto"/>
        <w:left w:val="none" w:sz="0" w:space="0" w:color="auto"/>
        <w:bottom w:val="none" w:sz="0" w:space="0" w:color="auto"/>
        <w:right w:val="none" w:sz="0" w:space="0" w:color="auto"/>
      </w:divBdr>
    </w:div>
    <w:div w:id="1881554673">
      <w:bodyDiv w:val="1"/>
      <w:marLeft w:val="0"/>
      <w:marRight w:val="0"/>
      <w:marTop w:val="0"/>
      <w:marBottom w:val="0"/>
      <w:divBdr>
        <w:top w:val="none" w:sz="0" w:space="0" w:color="auto"/>
        <w:left w:val="none" w:sz="0" w:space="0" w:color="auto"/>
        <w:bottom w:val="none" w:sz="0" w:space="0" w:color="auto"/>
        <w:right w:val="none" w:sz="0" w:space="0" w:color="auto"/>
      </w:divBdr>
    </w:div>
    <w:div w:id="1921794415">
      <w:bodyDiv w:val="1"/>
      <w:marLeft w:val="0"/>
      <w:marRight w:val="0"/>
      <w:marTop w:val="0"/>
      <w:marBottom w:val="0"/>
      <w:divBdr>
        <w:top w:val="none" w:sz="0" w:space="0" w:color="auto"/>
        <w:left w:val="none" w:sz="0" w:space="0" w:color="auto"/>
        <w:bottom w:val="none" w:sz="0" w:space="0" w:color="auto"/>
        <w:right w:val="none" w:sz="0" w:space="0" w:color="auto"/>
      </w:divBdr>
    </w:div>
    <w:div w:id="1960338069">
      <w:bodyDiv w:val="1"/>
      <w:marLeft w:val="0"/>
      <w:marRight w:val="0"/>
      <w:marTop w:val="0"/>
      <w:marBottom w:val="0"/>
      <w:divBdr>
        <w:top w:val="none" w:sz="0" w:space="0" w:color="auto"/>
        <w:left w:val="none" w:sz="0" w:space="0" w:color="auto"/>
        <w:bottom w:val="none" w:sz="0" w:space="0" w:color="auto"/>
        <w:right w:val="none" w:sz="0" w:space="0" w:color="auto"/>
      </w:divBdr>
    </w:div>
    <w:div w:id="2009673455">
      <w:bodyDiv w:val="1"/>
      <w:marLeft w:val="0"/>
      <w:marRight w:val="0"/>
      <w:marTop w:val="0"/>
      <w:marBottom w:val="0"/>
      <w:divBdr>
        <w:top w:val="none" w:sz="0" w:space="0" w:color="auto"/>
        <w:left w:val="none" w:sz="0" w:space="0" w:color="auto"/>
        <w:bottom w:val="none" w:sz="0" w:space="0" w:color="auto"/>
        <w:right w:val="none" w:sz="0" w:space="0" w:color="auto"/>
      </w:divBdr>
    </w:div>
    <w:div w:id="2032799784">
      <w:bodyDiv w:val="1"/>
      <w:marLeft w:val="0"/>
      <w:marRight w:val="0"/>
      <w:marTop w:val="0"/>
      <w:marBottom w:val="0"/>
      <w:divBdr>
        <w:top w:val="none" w:sz="0" w:space="0" w:color="auto"/>
        <w:left w:val="none" w:sz="0" w:space="0" w:color="auto"/>
        <w:bottom w:val="none" w:sz="0" w:space="0" w:color="auto"/>
        <w:right w:val="none" w:sz="0" w:space="0" w:color="auto"/>
      </w:divBdr>
    </w:div>
    <w:div w:id="2044482059">
      <w:bodyDiv w:val="1"/>
      <w:marLeft w:val="0"/>
      <w:marRight w:val="0"/>
      <w:marTop w:val="0"/>
      <w:marBottom w:val="0"/>
      <w:divBdr>
        <w:top w:val="none" w:sz="0" w:space="0" w:color="auto"/>
        <w:left w:val="none" w:sz="0" w:space="0" w:color="auto"/>
        <w:bottom w:val="none" w:sz="0" w:space="0" w:color="auto"/>
        <w:right w:val="none" w:sz="0" w:space="0" w:color="auto"/>
      </w:divBdr>
    </w:div>
    <w:div w:id="214619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council/Documents/basic-texts/RES-212-E.pdf" TargetMode="External"/><Relationship Id="rId18" Type="http://schemas.openxmlformats.org/officeDocument/2006/relationships/hyperlink" Target="https://www.itu.int/md/S19-CLADD-C-0005/en" TargetMode="External"/><Relationship Id="rId26" Type="http://schemas.openxmlformats.org/officeDocument/2006/relationships/hyperlink" Target="https://www.designingbuildings.co.uk/wiki/Concept_design" TargetMode="External"/><Relationship Id="rId39" Type="http://schemas.openxmlformats.org/officeDocument/2006/relationships/hyperlink" Target="https://www.itu.int/en/council/2020/Documents/007/INF%20F_Expertise%20Tour_R%C3%A9sum%C3%A9.pdf" TargetMode="External"/><Relationship Id="rId21" Type="http://schemas.openxmlformats.org/officeDocument/2006/relationships/hyperlink" Target="https://www.itu.int/md/S20-CL-C-0053/en" TargetMode="External"/><Relationship Id="rId34" Type="http://schemas.openxmlformats.org/officeDocument/2006/relationships/hyperlink" Target="https://www.itu.int/en/council/2020/Documents/007/INF%20A_Preconsultations.pdf" TargetMode="External"/><Relationship Id="rId42" Type="http://schemas.openxmlformats.org/officeDocument/2006/relationships/hyperlink" Target="https://www.itu.int/md/S20-CL-C-0002/en" TargetMode="External"/><Relationship Id="rId47" Type="http://schemas.openxmlformats.org/officeDocument/2006/relationships/footer" Target="footer1.xml"/><Relationship Id="rId50" Type="http://schemas.openxmlformats.org/officeDocument/2006/relationships/header" Target="header2.xml"/><Relationship Id="rId55"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S16-CL-C-0007/en" TargetMode="External"/><Relationship Id="rId29" Type="http://schemas.openxmlformats.org/officeDocument/2006/relationships/hyperlink" Target="https://www.designingbuildings.co.uk/wiki/Component" TargetMode="External"/><Relationship Id="rId11" Type="http://schemas.openxmlformats.org/officeDocument/2006/relationships/image" Target="media/image1.jpeg"/><Relationship Id="rId24" Type="http://schemas.openxmlformats.org/officeDocument/2006/relationships/hyperlink" Target="https://www.designingbuildings.co.uk/wiki/Developed_design" TargetMode="External"/><Relationship Id="rId32" Type="http://schemas.openxmlformats.org/officeDocument/2006/relationships/hyperlink" Target="https://www.designingbuildings.co.uk/wiki/Information" TargetMode="External"/><Relationship Id="rId37" Type="http://schemas.openxmlformats.org/officeDocument/2006/relationships/hyperlink" Target="https://www.itu.int/en/council/2020/Documents/007/INF%20D_Schedule%20of%20expenditure%2017_27_EN.xlsx" TargetMode="External"/><Relationship Id="rId40" Type="http://schemas.openxmlformats.org/officeDocument/2006/relationships/hyperlink" Target="https://www.itu.int/md/S16-CL-C-0124/en" TargetMode="External"/><Relationship Id="rId45" Type="http://schemas.openxmlformats.org/officeDocument/2006/relationships/hyperlink" Target="https://www.itu.int/md/S20-CL-C-0015/en" TargetMode="External"/><Relationship Id="rId53" Type="http://schemas.openxmlformats.org/officeDocument/2006/relationships/image" Target="media/image5.jpeg"/><Relationship Id="rId5" Type="http://schemas.openxmlformats.org/officeDocument/2006/relationships/numbering" Target="numbering.xml"/><Relationship Id="rId19" Type="http://schemas.openxmlformats.org/officeDocument/2006/relationships/hyperlink" Target="https://www.itu.int/md/S20-CL-C-0037/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8-CL-C-0123/en" TargetMode="External"/><Relationship Id="rId22" Type="http://schemas.openxmlformats.org/officeDocument/2006/relationships/hyperlink" Target="https://www.itu.int/md/S20-CL-C-0015/en" TargetMode="External"/><Relationship Id="rId27" Type="http://schemas.openxmlformats.org/officeDocument/2006/relationships/hyperlink" Target="https://www.designingbuildings.co.uk/wiki/Design" TargetMode="External"/><Relationship Id="rId30" Type="http://schemas.openxmlformats.org/officeDocument/2006/relationships/hyperlink" Target="https://www.designingbuildings.co.uk/wiki/Building" TargetMode="External"/><Relationship Id="rId35" Type="http://schemas.openxmlformats.org/officeDocument/2006/relationships/hyperlink" Target="https://www.itu.int/en/council/2020/Documents/007/INF%20B_Letter%20MIGE_s%C3%A9curit%C3%A9%20p%C3%A9riph%C3%A9rique.pdf" TargetMode="External"/><Relationship Id="rId43" Type="http://schemas.openxmlformats.org/officeDocument/2006/relationships/hyperlink" Target="https://www.itu.int/md/S20-CL-C-0037/en" TargetMode="External"/><Relationship Id="rId48" Type="http://schemas.openxmlformats.org/officeDocument/2006/relationships/image" Target="media/image2.png"/><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itu.int/md/S16-CL-C-0124/en" TargetMode="External"/><Relationship Id="rId17" Type="http://schemas.openxmlformats.org/officeDocument/2006/relationships/hyperlink" Target="https://www.itu.int/md/S19-CLADD-C-0002/en" TargetMode="External"/><Relationship Id="rId25" Type="http://schemas.openxmlformats.org/officeDocument/2006/relationships/hyperlink" Target="https://www.designingbuildings.co.uk/wiki/Approved" TargetMode="External"/><Relationship Id="rId33" Type="http://schemas.openxmlformats.org/officeDocument/2006/relationships/hyperlink" Target="https://www.designingbuildings.co.uk/wiki/Statutory_approvals" TargetMode="External"/><Relationship Id="rId38" Type="http://schemas.openxmlformats.org/officeDocument/2006/relationships/hyperlink" Target="https://www.itu.int/en/council/2020/Documents/007/INF%20E_Schedule.pdf" TargetMode="External"/><Relationship Id="rId46" Type="http://schemas.openxmlformats.org/officeDocument/2006/relationships/header" Target="header1.xml"/><Relationship Id="rId20" Type="http://schemas.openxmlformats.org/officeDocument/2006/relationships/hyperlink" Target="https://www.itu.int/md/S20-CL-C-0029/en" TargetMode="External"/><Relationship Id="rId41" Type="http://schemas.openxmlformats.org/officeDocument/2006/relationships/hyperlink" Target="https://www.itu.int/md/S20-CL-C-0015/en" TargetMode="External"/><Relationship Id="rId54"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itu.int/md/S19-CL-190610-DL-0012/en" TargetMode="External"/><Relationship Id="rId23" Type="http://schemas.openxmlformats.org/officeDocument/2006/relationships/hyperlink" Target="https://www.designingbuildings.co.uk/wiki/Detailed_design" TargetMode="External"/><Relationship Id="rId28" Type="http://schemas.openxmlformats.org/officeDocument/2006/relationships/hyperlink" Target="https://www.designingbuildings.co.uk/wiki/Mains" TargetMode="External"/><Relationship Id="rId36" Type="http://schemas.openxmlformats.org/officeDocument/2006/relationships/hyperlink" Target="https://www.itu.int/en/council/2020/Documents/007/INF%20C_Risk%20register.xlsx" TargetMode="External"/><Relationship Id="rId49" Type="http://schemas.openxmlformats.org/officeDocument/2006/relationships/image" Target="media/image3.emf"/><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designingbuildings.co.uk/wiki/Detailed_design" TargetMode="External"/><Relationship Id="rId44" Type="http://schemas.openxmlformats.org/officeDocument/2006/relationships/hyperlink" Target="https://www.itu.int/md/S20-CL-C-0053/en" TargetMode="External"/><Relationship Id="rId52"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6E2D9F1064C94388CCA3D14D44BD29" ma:contentTypeVersion="12" ma:contentTypeDescription="Create a new document." ma:contentTypeScope="" ma:versionID="bb4f7b81e402f30c5c12d1b494a842af">
  <xsd:schema xmlns:xsd="http://www.w3.org/2001/XMLSchema" xmlns:xs="http://www.w3.org/2001/XMLSchema" xmlns:p="http://schemas.microsoft.com/office/2006/metadata/properties" xmlns:ns2="b9cb8e48-1496-495a-9185-61308b326d65" xmlns:ns3="d7f20348-7d28-4ef6-bb65-6aac1f9b6f82" targetNamespace="http://schemas.microsoft.com/office/2006/metadata/properties" ma:root="true" ma:fieldsID="9224af8959991c6462ce3f005e514e3a" ns2:_="" ns3:_="">
    <xsd:import namespace="b9cb8e48-1496-495a-9185-61308b326d65"/>
    <xsd:import namespace="d7f20348-7d28-4ef6-bb65-6aac1f9b6f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b8e48-1496-495a-9185-61308b326d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f20348-7d28-4ef6-bb65-6aac1f9b6f8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B7837-3C2B-4D5B-8796-D7FF9691A9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11CCF2-2D12-481A-94D0-60BABA3E3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cb8e48-1496-495a-9185-61308b326d65"/>
    <ds:schemaRef ds:uri="d7f20348-7d28-4ef6-bb65-6aac1f9b6f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43CB77-73EB-4AA8-AE24-309932946DDE}">
  <ds:schemaRefs>
    <ds:schemaRef ds:uri="http://schemas.microsoft.com/sharepoint/v3/contenttype/forms"/>
  </ds:schemaRefs>
</ds:datastoreItem>
</file>

<file path=customXml/itemProps4.xml><?xml version="1.0" encoding="utf-8"?>
<ds:datastoreItem xmlns:ds="http://schemas.openxmlformats.org/officeDocument/2006/customXml" ds:itemID="{3EA2B593-B315-4204-9B88-9FEA4E087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4003</Words>
  <Characters>24571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Report on HQ</vt:lpstr>
    </vt:vector>
  </TitlesOfParts>
  <Manager>General Secretariat - Pool</Manager>
  <Company>International Telecommunication Union (ITU)</Company>
  <LinksUpToDate>false</LinksUpToDate>
  <CharactersWithSpaces>28517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HQ</dc:title>
  <dc:subject>Council 2018</dc:subject>
  <dc:creator>Brouard, Ricarda</dc:creator>
  <cp:keywords>C2020, C20</cp:keywords>
  <dc:description/>
  <cp:lastModifiedBy>Janin, Patricia</cp:lastModifiedBy>
  <cp:revision>4</cp:revision>
  <cp:lastPrinted>2020-03-31T09:59:00Z</cp:lastPrinted>
  <dcterms:created xsi:type="dcterms:W3CDTF">2020-05-06T15:07:00Z</dcterms:created>
  <dcterms:modified xsi:type="dcterms:W3CDTF">2020-05-06T15:47:00Z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0x010100746E2D9F1064C94388CCA3D14D44BD29</vt:lpwstr>
  </property>
</Properties>
</file>