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F3242" w:rsidRPr="00D44FD4" w14:paraId="708BD5F4" w14:textId="77777777" w:rsidTr="73EAA821">
        <w:trPr>
          <w:cantSplit/>
        </w:trPr>
        <w:tc>
          <w:tcPr>
            <w:tcW w:w="6911" w:type="dxa"/>
          </w:tcPr>
          <w:p w14:paraId="09143CBF" w14:textId="77777777" w:rsidR="00AF3242" w:rsidRPr="00D44FD4" w:rsidRDefault="00AF3242" w:rsidP="00945F67">
            <w:pPr>
              <w:spacing w:before="360" w:after="48" w:line="240" w:lineRule="atLeast"/>
            </w:pPr>
            <w:r w:rsidRPr="00D44FD4">
              <w:rPr>
                <w:b/>
                <w:bCs/>
                <w:position w:val="6"/>
                <w:sz w:val="30"/>
                <w:szCs w:val="30"/>
              </w:rPr>
              <w:t>Consejo 2020</w:t>
            </w:r>
            <w:r w:rsidRPr="00D44FD4">
              <w:rPr>
                <w:rFonts w:cs="Times"/>
                <w:b/>
                <w:position w:val="6"/>
                <w:sz w:val="26"/>
                <w:szCs w:val="26"/>
              </w:rPr>
              <w:br/>
            </w:r>
            <w:r w:rsidRPr="00D44FD4">
              <w:rPr>
                <w:b/>
                <w:bCs/>
                <w:position w:val="6"/>
              </w:rPr>
              <w:t>Ginebra, 9-19 de junio de 2020</w:t>
            </w:r>
          </w:p>
        </w:tc>
        <w:tc>
          <w:tcPr>
            <w:tcW w:w="3120" w:type="dxa"/>
          </w:tcPr>
          <w:p w14:paraId="686B1EDC" w14:textId="77777777" w:rsidR="00AF3242" w:rsidRPr="00D44FD4" w:rsidRDefault="00AF3242" w:rsidP="00832C22">
            <w:pPr>
              <w:spacing w:before="0" w:line="240" w:lineRule="atLeast"/>
            </w:pPr>
            <w:bookmarkStart w:id="0" w:name="ditulogo"/>
            <w:bookmarkEnd w:id="0"/>
            <w:r w:rsidRPr="00D44FD4">
              <w:rPr>
                <w:noProof/>
                <w:lang w:eastAsia="zh-CN"/>
              </w:rPr>
              <w:drawing>
                <wp:inline distT="0" distB="0" distL="0" distR="0" wp14:anchorId="4F279D62" wp14:editId="3DCD8C5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F3242" w:rsidRPr="00D44FD4" w14:paraId="7B564BFE" w14:textId="77777777" w:rsidTr="73EAA821">
        <w:trPr>
          <w:cantSplit/>
        </w:trPr>
        <w:tc>
          <w:tcPr>
            <w:tcW w:w="6911" w:type="dxa"/>
            <w:tcBorders>
              <w:bottom w:val="single" w:sz="12" w:space="0" w:color="auto"/>
            </w:tcBorders>
          </w:tcPr>
          <w:p w14:paraId="3F9BF165" w14:textId="77777777" w:rsidR="00AF3242" w:rsidRPr="00D44FD4" w:rsidRDefault="00AF3242" w:rsidP="007C7EDC">
            <w:pPr>
              <w:spacing w:before="0" w:after="48" w:line="240" w:lineRule="atLeast"/>
              <w:rPr>
                <w:b/>
                <w:smallCaps/>
                <w:szCs w:val="24"/>
              </w:rPr>
            </w:pPr>
          </w:p>
        </w:tc>
        <w:tc>
          <w:tcPr>
            <w:tcW w:w="3120" w:type="dxa"/>
            <w:tcBorders>
              <w:bottom w:val="single" w:sz="12" w:space="0" w:color="auto"/>
            </w:tcBorders>
          </w:tcPr>
          <w:p w14:paraId="5C887DFD" w14:textId="77777777" w:rsidR="00AF3242" w:rsidRPr="00D44FD4" w:rsidRDefault="00AF3242" w:rsidP="007C7EDC">
            <w:pPr>
              <w:spacing w:before="0" w:line="240" w:lineRule="atLeast"/>
              <w:rPr>
                <w:szCs w:val="24"/>
              </w:rPr>
            </w:pPr>
          </w:p>
        </w:tc>
      </w:tr>
      <w:tr w:rsidR="00AF3242" w:rsidRPr="00D44FD4" w14:paraId="53639FC6" w14:textId="77777777" w:rsidTr="73EAA821">
        <w:trPr>
          <w:cantSplit/>
        </w:trPr>
        <w:tc>
          <w:tcPr>
            <w:tcW w:w="6911" w:type="dxa"/>
            <w:tcBorders>
              <w:top w:val="single" w:sz="12" w:space="0" w:color="auto"/>
            </w:tcBorders>
          </w:tcPr>
          <w:p w14:paraId="38AE3D7E" w14:textId="77777777" w:rsidR="00AF3242" w:rsidRPr="00D44FD4" w:rsidRDefault="00AF3242" w:rsidP="007C7EDC">
            <w:pPr>
              <w:spacing w:before="0" w:after="48" w:line="240" w:lineRule="atLeast"/>
              <w:rPr>
                <w:b/>
                <w:smallCaps/>
                <w:szCs w:val="24"/>
              </w:rPr>
            </w:pPr>
          </w:p>
        </w:tc>
        <w:tc>
          <w:tcPr>
            <w:tcW w:w="3120" w:type="dxa"/>
            <w:tcBorders>
              <w:top w:val="single" w:sz="12" w:space="0" w:color="auto"/>
            </w:tcBorders>
          </w:tcPr>
          <w:p w14:paraId="0F79EC1C" w14:textId="77777777" w:rsidR="00AF3242" w:rsidRPr="00D44FD4" w:rsidRDefault="00AF3242" w:rsidP="007C7EDC">
            <w:pPr>
              <w:spacing w:before="0" w:line="240" w:lineRule="atLeast"/>
              <w:rPr>
                <w:szCs w:val="24"/>
              </w:rPr>
            </w:pPr>
          </w:p>
        </w:tc>
      </w:tr>
      <w:tr w:rsidR="00AF3242" w:rsidRPr="00D44FD4" w14:paraId="7EC73EC5" w14:textId="77777777" w:rsidTr="73EAA821">
        <w:trPr>
          <w:cantSplit/>
          <w:trHeight w:val="23"/>
        </w:trPr>
        <w:tc>
          <w:tcPr>
            <w:tcW w:w="6911" w:type="dxa"/>
            <w:vMerge w:val="restart"/>
          </w:tcPr>
          <w:p w14:paraId="2FF55236" w14:textId="77777777" w:rsidR="00AF3242" w:rsidRPr="00D44FD4" w:rsidRDefault="00AF3242" w:rsidP="00632727">
            <w:pPr>
              <w:tabs>
                <w:tab w:val="left" w:pos="851"/>
              </w:tabs>
              <w:spacing w:before="0" w:line="240" w:lineRule="atLeast"/>
              <w:rPr>
                <w:b/>
              </w:rPr>
            </w:pPr>
            <w:bookmarkStart w:id="1" w:name="dmeeting" w:colFirst="0" w:colLast="0"/>
            <w:bookmarkStart w:id="2" w:name="dnum" w:colFirst="1" w:colLast="1"/>
            <w:r w:rsidRPr="00D44FD4">
              <w:rPr>
                <w:b/>
              </w:rPr>
              <w:t>Punto del orden del día: PL 1.9</w:t>
            </w:r>
          </w:p>
        </w:tc>
        <w:tc>
          <w:tcPr>
            <w:tcW w:w="3120" w:type="dxa"/>
          </w:tcPr>
          <w:p w14:paraId="715FAEF1" w14:textId="211D9978" w:rsidR="00AF3242" w:rsidRPr="00D44FD4" w:rsidRDefault="00AF3242" w:rsidP="73EAA821">
            <w:pPr>
              <w:tabs>
                <w:tab w:val="left" w:pos="851"/>
              </w:tabs>
              <w:spacing w:before="0" w:line="240" w:lineRule="atLeast"/>
              <w:rPr>
                <w:b/>
                <w:bCs/>
              </w:rPr>
            </w:pPr>
            <w:r w:rsidRPr="00D44FD4">
              <w:rPr>
                <w:b/>
                <w:bCs/>
              </w:rPr>
              <w:t>Document</w:t>
            </w:r>
            <w:r w:rsidR="00137E15" w:rsidRPr="00D44FD4">
              <w:rPr>
                <w:b/>
                <w:bCs/>
              </w:rPr>
              <w:t>o</w:t>
            </w:r>
            <w:r w:rsidRPr="00D44FD4">
              <w:rPr>
                <w:b/>
                <w:bCs/>
              </w:rPr>
              <w:t xml:space="preserve"> C20/6-S</w:t>
            </w:r>
          </w:p>
        </w:tc>
      </w:tr>
      <w:tr w:rsidR="00AF3242" w:rsidRPr="00D44FD4" w14:paraId="7065375B" w14:textId="77777777" w:rsidTr="73EAA821">
        <w:trPr>
          <w:cantSplit/>
          <w:trHeight w:val="23"/>
        </w:trPr>
        <w:tc>
          <w:tcPr>
            <w:tcW w:w="6911" w:type="dxa"/>
            <w:vMerge/>
          </w:tcPr>
          <w:p w14:paraId="3CC00912" w14:textId="77777777" w:rsidR="00AF3242" w:rsidRPr="00D44FD4" w:rsidRDefault="00AF3242" w:rsidP="007C7EDC">
            <w:pPr>
              <w:tabs>
                <w:tab w:val="left" w:pos="851"/>
              </w:tabs>
              <w:spacing w:line="240" w:lineRule="atLeast"/>
              <w:rPr>
                <w:b/>
              </w:rPr>
            </w:pPr>
            <w:bookmarkStart w:id="3" w:name="ddate" w:colFirst="1" w:colLast="1"/>
            <w:bookmarkEnd w:id="1"/>
            <w:bookmarkEnd w:id="2"/>
          </w:p>
        </w:tc>
        <w:tc>
          <w:tcPr>
            <w:tcW w:w="3120" w:type="dxa"/>
          </w:tcPr>
          <w:p w14:paraId="2E28DAF8" w14:textId="77777777" w:rsidR="00AF3242" w:rsidRPr="00D44FD4" w:rsidRDefault="00AF3242" w:rsidP="73EAA821">
            <w:pPr>
              <w:tabs>
                <w:tab w:val="left" w:pos="993"/>
              </w:tabs>
              <w:spacing w:before="0"/>
              <w:rPr>
                <w:b/>
                <w:bCs/>
              </w:rPr>
            </w:pPr>
            <w:r w:rsidRPr="00D44FD4">
              <w:rPr>
                <w:b/>
                <w:bCs/>
              </w:rPr>
              <w:t>3 de marzo de 2020</w:t>
            </w:r>
          </w:p>
        </w:tc>
      </w:tr>
      <w:tr w:rsidR="00AF3242" w:rsidRPr="00D44FD4" w14:paraId="00F3D512" w14:textId="77777777" w:rsidTr="73EAA821">
        <w:trPr>
          <w:cantSplit/>
          <w:trHeight w:val="23"/>
        </w:trPr>
        <w:tc>
          <w:tcPr>
            <w:tcW w:w="6911" w:type="dxa"/>
            <w:vMerge/>
          </w:tcPr>
          <w:p w14:paraId="76098109" w14:textId="77777777" w:rsidR="00AF3242" w:rsidRPr="00D44FD4" w:rsidRDefault="00AF3242" w:rsidP="007C7EDC">
            <w:pPr>
              <w:tabs>
                <w:tab w:val="left" w:pos="851"/>
              </w:tabs>
              <w:spacing w:line="240" w:lineRule="atLeast"/>
              <w:rPr>
                <w:b/>
              </w:rPr>
            </w:pPr>
            <w:bookmarkStart w:id="4" w:name="dorlang" w:colFirst="1" w:colLast="1"/>
            <w:bookmarkEnd w:id="3"/>
          </w:p>
        </w:tc>
        <w:tc>
          <w:tcPr>
            <w:tcW w:w="3120" w:type="dxa"/>
          </w:tcPr>
          <w:p w14:paraId="65A83486" w14:textId="77777777" w:rsidR="00AF3242" w:rsidRPr="00D44FD4" w:rsidRDefault="00AF3242" w:rsidP="007C7EDC">
            <w:pPr>
              <w:tabs>
                <w:tab w:val="left" w:pos="993"/>
              </w:tabs>
              <w:spacing w:before="0"/>
              <w:rPr>
                <w:b/>
              </w:rPr>
            </w:pPr>
            <w:r w:rsidRPr="00D44FD4">
              <w:rPr>
                <w:b/>
              </w:rPr>
              <w:t>Original: inglés</w:t>
            </w:r>
          </w:p>
        </w:tc>
      </w:tr>
      <w:tr w:rsidR="00AF3242" w:rsidRPr="00D44FD4" w14:paraId="67461895" w14:textId="77777777" w:rsidTr="73EAA821">
        <w:trPr>
          <w:cantSplit/>
        </w:trPr>
        <w:tc>
          <w:tcPr>
            <w:tcW w:w="10031" w:type="dxa"/>
            <w:gridSpan w:val="2"/>
          </w:tcPr>
          <w:p w14:paraId="2541C598" w14:textId="77777777" w:rsidR="00AF3242" w:rsidRPr="00D44FD4" w:rsidRDefault="00AF3242" w:rsidP="007C7EDC">
            <w:pPr>
              <w:pStyle w:val="Source"/>
            </w:pPr>
            <w:bookmarkStart w:id="5" w:name="dsource" w:colFirst="0" w:colLast="0"/>
            <w:bookmarkEnd w:id="4"/>
            <w:r w:rsidRPr="00D44FD4">
              <w:t xml:space="preserve">Informe del Secretario General </w:t>
            </w:r>
          </w:p>
        </w:tc>
      </w:tr>
      <w:tr w:rsidR="00AF3242" w:rsidRPr="00D44FD4" w14:paraId="6F4C86EF" w14:textId="77777777" w:rsidTr="73EAA821">
        <w:trPr>
          <w:cantSplit/>
        </w:trPr>
        <w:tc>
          <w:tcPr>
            <w:tcW w:w="10031" w:type="dxa"/>
            <w:gridSpan w:val="2"/>
          </w:tcPr>
          <w:p w14:paraId="0729F299" w14:textId="77777777" w:rsidR="00AF3242" w:rsidRPr="00D44FD4" w:rsidRDefault="00AF3242" w:rsidP="007C7EDC">
            <w:pPr>
              <w:pStyle w:val="Title1"/>
            </w:pPr>
            <w:bookmarkStart w:id="6" w:name="dtitle1"/>
            <w:bookmarkEnd w:id="5"/>
            <w:r w:rsidRPr="00D44FD4">
              <w:t xml:space="preserve">ACTIVIDADES DE LA UIT RELACIONADAS CON LA RESOLUCIÓN 70 (REV. DUBÁI, 2018) </w:t>
            </w:r>
          </w:p>
        </w:tc>
      </w:tr>
      <w:bookmarkEnd w:id="6"/>
    </w:tbl>
    <w:p w14:paraId="65E1773B" w14:textId="77777777" w:rsidR="00AF3242" w:rsidRPr="00D44FD4" w:rsidRDefault="00AF3242"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F3242" w:rsidRPr="00D44FD4" w14:paraId="326BD026" w14:textId="77777777" w:rsidTr="73EAA821">
        <w:trPr>
          <w:trHeight w:val="3372"/>
        </w:trPr>
        <w:tc>
          <w:tcPr>
            <w:tcW w:w="8080" w:type="dxa"/>
            <w:tcBorders>
              <w:top w:val="single" w:sz="12" w:space="0" w:color="auto"/>
              <w:left w:val="single" w:sz="12" w:space="0" w:color="auto"/>
              <w:bottom w:val="single" w:sz="12" w:space="0" w:color="auto"/>
              <w:right w:val="single" w:sz="12" w:space="0" w:color="auto"/>
            </w:tcBorders>
          </w:tcPr>
          <w:p w14:paraId="15A80EBE" w14:textId="77777777" w:rsidR="00AF3242" w:rsidRPr="00D44FD4" w:rsidRDefault="00AF3242" w:rsidP="007C7EDC">
            <w:pPr>
              <w:pStyle w:val="Headingb"/>
            </w:pPr>
            <w:r w:rsidRPr="00D44FD4">
              <w:t>Resumen</w:t>
            </w:r>
          </w:p>
          <w:p w14:paraId="6B4A4F9C" w14:textId="77777777" w:rsidR="00AF3242" w:rsidRPr="00D44FD4" w:rsidRDefault="00AF3242" w:rsidP="00137E15">
            <w:r w:rsidRPr="00D44FD4">
              <w:t>En el presente documento se resumen las actividades de la UIT relativas a la aplicación de la Resolución 70 (Rev. Dubái, 2018) realizadas desde la reunión de 2019 del Consejo.</w:t>
            </w:r>
          </w:p>
          <w:p w14:paraId="1CDD038B" w14:textId="77777777" w:rsidR="00AF3242" w:rsidRPr="00D44FD4" w:rsidRDefault="00AF3242" w:rsidP="00952F58">
            <w:pPr>
              <w:pStyle w:val="Headingb"/>
            </w:pPr>
            <w:r w:rsidRPr="00D44FD4">
              <w:t>Acción solicitada</w:t>
            </w:r>
          </w:p>
          <w:p w14:paraId="65DDA650" w14:textId="77777777" w:rsidR="00AF3242" w:rsidRPr="00D44FD4" w:rsidRDefault="00AF3242" w:rsidP="00952F58">
            <w:r w:rsidRPr="00D44FD4">
              <w:t xml:space="preserve">Se invita al Consejo a </w:t>
            </w:r>
            <w:r w:rsidRPr="00D44FD4">
              <w:rPr>
                <w:b/>
                <w:bCs/>
              </w:rPr>
              <w:t>tomar nota</w:t>
            </w:r>
            <w:r w:rsidRPr="00D44FD4">
              <w:t xml:space="preserve"> del informe.</w:t>
            </w:r>
          </w:p>
          <w:p w14:paraId="03423B75" w14:textId="77777777" w:rsidR="00AF3242" w:rsidRPr="00D44FD4" w:rsidRDefault="00AF3242" w:rsidP="00D04E39">
            <w:pPr>
              <w:pStyle w:val="Table"/>
              <w:keepNext w:val="0"/>
              <w:spacing w:before="120"/>
              <w:rPr>
                <w:caps w:val="0"/>
                <w:sz w:val="22"/>
                <w:lang w:val="es-ES_tradnl"/>
              </w:rPr>
            </w:pPr>
            <w:r w:rsidRPr="00D44FD4">
              <w:rPr>
                <w:caps w:val="0"/>
                <w:sz w:val="22"/>
                <w:lang w:val="es-ES_tradnl"/>
              </w:rPr>
              <w:t>____________</w:t>
            </w:r>
          </w:p>
          <w:p w14:paraId="1EEFBCAA" w14:textId="77777777" w:rsidR="00AF3242" w:rsidRPr="00D44FD4" w:rsidRDefault="00AF3242" w:rsidP="007C7EDC">
            <w:pPr>
              <w:pStyle w:val="Headingb"/>
            </w:pPr>
            <w:r w:rsidRPr="00D44FD4">
              <w:t>Referencias</w:t>
            </w:r>
          </w:p>
          <w:p w14:paraId="6E259256" w14:textId="56B257FD" w:rsidR="00AF3242" w:rsidRPr="00D44FD4" w:rsidRDefault="00F760FA" w:rsidP="004B57DE">
            <w:pPr>
              <w:spacing w:after="120"/>
              <w:rPr>
                <w:i/>
                <w:iCs/>
              </w:rPr>
            </w:pPr>
            <w:hyperlink r:id="rId8" w:history="1">
              <w:r w:rsidR="00AF3242" w:rsidRPr="00D44FD4">
                <w:rPr>
                  <w:rStyle w:val="Hyperlink"/>
                  <w:i/>
                  <w:iCs/>
                </w:rPr>
                <w:t>Resolución 70 (Rev. Dubái, 2018)</w:t>
              </w:r>
            </w:hyperlink>
            <w:r w:rsidR="00AF3242" w:rsidRPr="00D44FD4">
              <w:rPr>
                <w:i/>
                <w:iCs/>
              </w:rPr>
              <w:t xml:space="preserve"> de la PP; Documentos </w:t>
            </w:r>
            <w:hyperlink r:id="rId9" w:history="1">
              <w:r w:rsidR="00AF3242" w:rsidRPr="00D44FD4">
                <w:rPr>
                  <w:rStyle w:val="Hyperlink"/>
                  <w:i/>
                  <w:iCs/>
                </w:rPr>
                <w:t>C13/INF/11</w:t>
              </w:r>
            </w:hyperlink>
            <w:r w:rsidR="00AF3242" w:rsidRPr="00D44FD4">
              <w:rPr>
                <w:i/>
                <w:iCs/>
              </w:rPr>
              <w:t xml:space="preserve">, </w:t>
            </w:r>
            <w:hyperlink r:id="rId10" w:history="1">
              <w:r w:rsidR="00AF3242" w:rsidRPr="00D44FD4">
                <w:rPr>
                  <w:rStyle w:val="Hyperlink"/>
                  <w:i/>
                  <w:iCs/>
                </w:rPr>
                <w:t>C13/39</w:t>
              </w:r>
            </w:hyperlink>
            <w:r w:rsidR="00AF3242" w:rsidRPr="00D44FD4">
              <w:rPr>
                <w:i/>
                <w:iCs/>
              </w:rPr>
              <w:t xml:space="preserve">, </w:t>
            </w:r>
            <w:hyperlink r:id="rId11" w:history="1">
              <w:r w:rsidR="00AF3242" w:rsidRPr="00D44FD4">
                <w:rPr>
                  <w:rStyle w:val="Hyperlink"/>
                  <w:i/>
                  <w:iCs/>
                </w:rPr>
                <w:t>C14/6</w:t>
              </w:r>
            </w:hyperlink>
            <w:r w:rsidR="00AF3242" w:rsidRPr="00D44FD4">
              <w:rPr>
                <w:i/>
                <w:iCs/>
              </w:rPr>
              <w:t xml:space="preserve">, </w:t>
            </w:r>
            <w:hyperlink r:id="rId12" w:history="1">
              <w:r w:rsidR="00AF3242" w:rsidRPr="00D44FD4">
                <w:rPr>
                  <w:rStyle w:val="Hyperlink"/>
                  <w:i/>
                  <w:iCs/>
                </w:rPr>
                <w:t>C15/6</w:t>
              </w:r>
            </w:hyperlink>
            <w:r w:rsidR="00AF3242" w:rsidRPr="00D44FD4">
              <w:rPr>
                <w:i/>
                <w:iCs/>
              </w:rPr>
              <w:t xml:space="preserve">, </w:t>
            </w:r>
            <w:hyperlink r:id="rId13" w:history="1">
              <w:r w:rsidR="00AF3242" w:rsidRPr="00D44FD4">
                <w:rPr>
                  <w:rStyle w:val="Hyperlink"/>
                  <w:i/>
                  <w:iCs/>
                </w:rPr>
                <w:t>C16/6</w:t>
              </w:r>
            </w:hyperlink>
            <w:r w:rsidR="00AF3242" w:rsidRPr="00D44FD4">
              <w:rPr>
                <w:i/>
                <w:iCs/>
              </w:rPr>
              <w:t xml:space="preserve">, </w:t>
            </w:r>
            <w:hyperlink r:id="rId14" w:history="1">
              <w:r w:rsidR="00AF3242" w:rsidRPr="00D44FD4">
                <w:rPr>
                  <w:rStyle w:val="Hyperlink"/>
                  <w:i/>
                  <w:iCs/>
                </w:rPr>
                <w:t>C17/6</w:t>
              </w:r>
            </w:hyperlink>
            <w:r w:rsidR="00AF3242" w:rsidRPr="00D44FD4">
              <w:rPr>
                <w:i/>
                <w:iCs/>
              </w:rPr>
              <w:t xml:space="preserve">, </w:t>
            </w:r>
            <w:hyperlink r:id="rId15" w:history="1">
              <w:r w:rsidR="00AF3242" w:rsidRPr="00D44FD4">
                <w:rPr>
                  <w:rStyle w:val="Hyperlink"/>
                  <w:i/>
                  <w:iCs/>
                </w:rPr>
                <w:t>C18/6</w:t>
              </w:r>
            </w:hyperlink>
            <w:r w:rsidR="00AF3242" w:rsidRPr="00D44FD4">
              <w:rPr>
                <w:i/>
                <w:iCs/>
              </w:rPr>
              <w:t xml:space="preserve">, </w:t>
            </w:r>
            <w:hyperlink r:id="rId16" w:history="1">
              <w:r w:rsidR="00AF3242" w:rsidRPr="00D44FD4">
                <w:rPr>
                  <w:rStyle w:val="Hyperlink"/>
                  <w:i/>
                  <w:iCs/>
                </w:rPr>
                <w:t>C18/INF/3</w:t>
              </w:r>
            </w:hyperlink>
            <w:r w:rsidR="00AF3242" w:rsidRPr="00D44FD4">
              <w:rPr>
                <w:i/>
                <w:iCs/>
              </w:rPr>
              <w:t xml:space="preserve">, </w:t>
            </w:r>
            <w:hyperlink r:id="rId17" w:history="1">
              <w:r w:rsidR="00AF3242" w:rsidRPr="00D44FD4">
                <w:rPr>
                  <w:rStyle w:val="Hyperlink"/>
                  <w:i/>
                  <w:iCs/>
                </w:rPr>
                <w:t>C19/INF/2</w:t>
              </w:r>
            </w:hyperlink>
            <w:r w:rsidR="00106565">
              <w:rPr>
                <w:rStyle w:val="Hyperlink"/>
                <w:i/>
                <w:iCs/>
              </w:rPr>
              <w:t>,</w:t>
            </w:r>
            <w:r w:rsidR="00AF3242" w:rsidRPr="00D44FD4">
              <w:rPr>
                <w:i/>
                <w:iCs/>
              </w:rPr>
              <w:t xml:space="preserve"> </w:t>
            </w:r>
            <w:hyperlink r:id="rId18" w:history="1">
              <w:r w:rsidR="00AF3242" w:rsidRPr="00D44FD4">
                <w:rPr>
                  <w:rStyle w:val="Hyperlink"/>
                  <w:i/>
                  <w:iCs/>
                </w:rPr>
                <w:t>C19/24</w:t>
              </w:r>
            </w:hyperlink>
            <w:r w:rsidR="00106565">
              <w:rPr>
                <w:rStyle w:val="Hyperlink"/>
                <w:i/>
                <w:iCs/>
              </w:rPr>
              <w:t xml:space="preserve"> </w:t>
            </w:r>
            <w:r w:rsidR="00106565" w:rsidRPr="00D44FD4">
              <w:rPr>
                <w:i/>
                <w:iCs/>
              </w:rPr>
              <w:t xml:space="preserve">y </w:t>
            </w:r>
            <w:hyperlink r:id="rId19" w:history="1">
              <w:r w:rsidR="00106565" w:rsidRPr="00E60A7A">
                <w:rPr>
                  <w:rStyle w:val="Hyperlink"/>
                  <w:i/>
                  <w:iCs/>
                  <w:lang w:val="es-ES"/>
                </w:rPr>
                <w:t>C20/INF/2</w:t>
              </w:r>
            </w:hyperlink>
            <w:r w:rsidR="00AF3242" w:rsidRPr="00D44FD4">
              <w:rPr>
                <w:i/>
                <w:iCs/>
              </w:rPr>
              <w:t xml:space="preserve"> del Consejo</w:t>
            </w:r>
          </w:p>
        </w:tc>
      </w:tr>
    </w:tbl>
    <w:p w14:paraId="63F8A768" w14:textId="77777777" w:rsidR="00A22F92" w:rsidRPr="00D44FD4" w:rsidRDefault="00A22F92" w:rsidP="00FA491F">
      <w:bookmarkStart w:id="7" w:name="dstart"/>
      <w:bookmarkStart w:id="8" w:name="dbreak"/>
      <w:bookmarkEnd w:id="7"/>
      <w:bookmarkEnd w:id="8"/>
    </w:p>
    <w:p w14:paraId="6D1D12A6" w14:textId="553B202A" w:rsidR="00AF3242" w:rsidRPr="00D44FD4" w:rsidRDefault="00AF3242" w:rsidP="00137E15">
      <w:pPr>
        <w:pStyle w:val="Heading1"/>
      </w:pPr>
      <w:r w:rsidRPr="00D44FD4">
        <w:t>1</w:t>
      </w:r>
      <w:r w:rsidRPr="00D44FD4">
        <w:tab/>
      </w:r>
      <w:proofErr w:type="gramStart"/>
      <w:r w:rsidRPr="00D44FD4">
        <w:t>Introducción</w:t>
      </w:r>
      <w:proofErr w:type="gramEnd"/>
    </w:p>
    <w:p w14:paraId="0F616A23" w14:textId="77777777" w:rsidR="00AF3242" w:rsidRPr="00D44FD4" w:rsidRDefault="00AF3242" w:rsidP="00137E15">
      <w:pPr>
        <w:tabs>
          <w:tab w:val="clear" w:pos="567"/>
          <w:tab w:val="clear" w:pos="1134"/>
          <w:tab w:val="clear" w:pos="1701"/>
          <w:tab w:val="clear" w:pos="2268"/>
          <w:tab w:val="clear" w:pos="2835"/>
        </w:tabs>
        <w:snapToGrid w:val="0"/>
        <w:spacing w:after="120"/>
        <w:rPr>
          <w:rFonts w:cstheme="minorBidi"/>
        </w:rPr>
      </w:pPr>
      <w:r w:rsidRPr="00195DBD">
        <w:t>En la Resolución 70 (Rev. Dubái, 2018) se destaca la importancia de la integración de una perspectiva</w:t>
      </w:r>
      <w:r w:rsidRPr="00D44FD4">
        <w:t xml:space="preserve"> de género en la UIT y del fomento de la igualdad de género y el empoderamiento de la mujer mediante las tecnologías de la información y la comunicación (TIC). En el presente documento figura un resumen de los acontecimientos y actividades pertinentes realizadas desde la reunión del Consejo de 2019. Puede obtenerse más información sobre las cuestiones de género y las TIC en la </w:t>
      </w:r>
      <w:hyperlink r:id="rId20" w:history="1">
        <w:r w:rsidRPr="00D44FD4">
          <w:rPr>
            <w:rStyle w:val="Hyperlink"/>
          </w:rPr>
          <w:t>página web de la UIT sobre la cuestión de género</w:t>
        </w:r>
      </w:hyperlink>
      <w:r w:rsidRPr="00D44FD4">
        <w:rPr>
          <w:rFonts w:eastAsia="SimSun"/>
        </w:rPr>
        <w:t>.</w:t>
      </w:r>
    </w:p>
    <w:p w14:paraId="27316FB2" w14:textId="77777777" w:rsidR="00AF3242" w:rsidRPr="00D44FD4" w:rsidRDefault="00AF3242" w:rsidP="00A22F92">
      <w:pPr>
        <w:pStyle w:val="Heading1"/>
        <w:rPr>
          <w:rFonts w:eastAsia="SimSun"/>
          <w:sz w:val="24"/>
          <w:szCs w:val="24"/>
        </w:rPr>
      </w:pPr>
      <w:r w:rsidRPr="00D44FD4">
        <w:t>2</w:t>
      </w:r>
      <w:r w:rsidRPr="00D44FD4">
        <w:tab/>
      </w:r>
      <w:proofErr w:type="gramStart"/>
      <w:r w:rsidRPr="00D44FD4">
        <w:t>Recopilación</w:t>
      </w:r>
      <w:proofErr w:type="gramEnd"/>
      <w:r w:rsidRPr="00D44FD4">
        <w:t xml:space="preserve"> y seguimiento de datos</w:t>
      </w:r>
    </w:p>
    <w:p w14:paraId="2E96D53C" w14:textId="2B5A5111" w:rsidR="00AF3242" w:rsidRPr="00195DBD" w:rsidRDefault="00AF3242" w:rsidP="00A22F92">
      <w:bookmarkStart w:id="9" w:name="lt_pId029"/>
      <w:r w:rsidRPr="00D44FD4">
        <w:t xml:space="preserve">Actualmente, la UIT recopila y divulga periódicamente indicadores de las TIC sobre las personas que utilizan las TIC y acceden a las mismas. Dichos indicadores pueden desglosarse por sexo, edad, educación, situación laboral y profesión. </w:t>
      </w:r>
      <w:bookmarkStart w:id="10" w:name="lt_pId030"/>
      <w:bookmarkEnd w:id="9"/>
      <w:r w:rsidRPr="00D44FD4">
        <w:t xml:space="preserve">La UIT supervisa y hace un seguimiento de tres indicadores relativos a la cuestión de género que figuran en el marco para la supervisión de </w:t>
      </w:r>
      <w:r w:rsidRPr="00D44FD4">
        <w:lastRenderedPageBreak/>
        <w:t>indicadores de los ODS: 1) "</w:t>
      </w:r>
      <w:r w:rsidRPr="00D44FD4">
        <w:rPr>
          <w:i/>
          <w:iCs/>
        </w:rPr>
        <w:t>proporción de personas que son propietarias de un teléfono móvil, por sexo</w:t>
      </w:r>
      <w:r w:rsidRPr="00D44FD4">
        <w:t>" (uno de los indicadores relativos a cuestiones de género del ODS 5), 2) "</w:t>
      </w:r>
      <w:r w:rsidRPr="00D44FD4">
        <w:rPr>
          <w:i/>
          <w:iCs/>
        </w:rPr>
        <w:t>proporción de personas que utilizan Internet, por sexo</w:t>
      </w:r>
      <w:r w:rsidRPr="00D44FD4">
        <w:t>", y 3) "</w:t>
      </w:r>
      <w:r w:rsidRPr="00D44FD4">
        <w:rPr>
          <w:i/>
          <w:iCs/>
        </w:rPr>
        <w:t>proporción de personas con competencias en TIC, por sexo</w:t>
      </w:r>
      <w:r w:rsidRPr="00D44FD4">
        <w:t>".</w:t>
      </w:r>
      <w:bookmarkEnd w:id="10"/>
      <w:r w:rsidRPr="00D44FD4">
        <w:t xml:space="preserve"> </w:t>
      </w:r>
      <w:r w:rsidRPr="009A3A18">
        <w:t>Las últimas cifras</w:t>
      </w:r>
      <w:r w:rsidRPr="00D44FD4">
        <w:t xml:space="preserve"> publicadas en la publicación de la UIT </w:t>
      </w:r>
      <w:hyperlink r:id="rId21" w:history="1">
        <w:r w:rsidR="00195DBD" w:rsidRPr="00195DBD">
          <w:rPr>
            <w:rStyle w:val="Hyperlink"/>
          </w:rPr>
          <w:t>Medición del desarrollo digital: Hechos y cifras 2019</w:t>
        </w:r>
      </w:hyperlink>
      <w:r w:rsidR="00195DBD">
        <w:t xml:space="preserve"> </w:t>
      </w:r>
      <w:r w:rsidRPr="00D44FD4">
        <w:rPr>
          <w:spacing w:val="2"/>
        </w:rPr>
        <w:t xml:space="preserve">muestran que, si bien la utilización de Internet sigue en expansión, la brecha digital de género también está creciendo. Se necesitan urgentemente tomar medidas más eficaces para hacer frente a una serie de obstáculos </w:t>
      </w:r>
      <w:r w:rsidR="00195DBD" w:rsidRPr="00195DBD">
        <w:rPr>
          <w:spacing w:val="2"/>
        </w:rPr>
        <w:t>–</w:t>
      </w:r>
      <w:r w:rsidRPr="00D44FD4">
        <w:rPr>
          <w:spacing w:val="2"/>
        </w:rPr>
        <w:t>culturales, financieros y relacionados con las aptitudes</w:t>
      </w:r>
      <w:r w:rsidR="00195DBD" w:rsidRPr="00195DBD">
        <w:rPr>
          <w:spacing w:val="2"/>
        </w:rPr>
        <w:t>–</w:t>
      </w:r>
      <w:r w:rsidRPr="00D44FD4">
        <w:rPr>
          <w:spacing w:val="2"/>
        </w:rPr>
        <w:t xml:space="preserve"> que dificultan la adopción de Internet, especialmente entre las mujeres</w:t>
      </w:r>
      <w:bookmarkStart w:id="11" w:name="lt_pId031"/>
      <w:r w:rsidRPr="00D44FD4">
        <w:rPr>
          <w:spacing w:val="2"/>
        </w:rPr>
        <w:t>.</w:t>
      </w:r>
    </w:p>
    <w:p w14:paraId="6B7F22E8" w14:textId="10097748" w:rsidR="00AF3242" w:rsidRPr="00D44FD4" w:rsidRDefault="00AF3242" w:rsidP="00A22F92">
      <w:r w:rsidRPr="00D44FD4">
        <w:t xml:space="preserve">En el </w:t>
      </w:r>
      <w:hyperlink r:id="rId22" w:history="1">
        <w:r w:rsidRPr="00D44FD4">
          <w:rPr>
            <w:rStyle w:val="Hyperlink"/>
            <w:spacing w:val="2"/>
          </w:rPr>
          <w:t>panel de control de la UIT sobre cuestiones de género</w:t>
        </w:r>
      </w:hyperlink>
      <w:r w:rsidRPr="00D44FD4">
        <w:t xml:space="preserve"> se proporciona una visión general de las cuestiones de género en el ámbito de las TIC, en las reuniones de la UIT y dentro de la Unión. En la última pestaña se presenta la composición general del personal de la UIT, desglosada por sexo y grado, así como la representación paritaria en los procesos de contratación y selección. También se da cuenta de la proporción entre hombres y mujeres en los comités estatutarios. La información sobre otras medidas en pro de la igualdad de género en el marco de los recursos humanos puede encontrarse en el </w:t>
      </w:r>
      <w:hyperlink r:id="rId23" w:history="1">
        <w:r w:rsidR="00E57D40" w:rsidRPr="00E57D40">
          <w:rPr>
            <w:rStyle w:val="Hyperlink"/>
          </w:rPr>
          <w:t>Informe al Consejo sobre la Resolución 48</w:t>
        </w:r>
      </w:hyperlink>
      <w:hyperlink r:id="rId24" w:history="1">
        <w:bookmarkStart w:id="12" w:name="lt_pId034"/>
        <w:bookmarkEnd w:id="11"/>
      </w:hyperlink>
      <w:r w:rsidRPr="00D44FD4">
        <w:t>.</w:t>
      </w:r>
      <w:bookmarkEnd w:id="12"/>
    </w:p>
    <w:p w14:paraId="076AFC65" w14:textId="77777777" w:rsidR="00AF3242" w:rsidRPr="00D44FD4" w:rsidRDefault="00AF3242" w:rsidP="00A22F92">
      <w:pPr>
        <w:pStyle w:val="Heading1"/>
        <w:rPr>
          <w:rFonts w:eastAsia="SimSun"/>
          <w:sz w:val="24"/>
          <w:szCs w:val="24"/>
        </w:rPr>
      </w:pPr>
      <w:r w:rsidRPr="00D44FD4">
        <w:t>3</w:t>
      </w:r>
      <w:r w:rsidRPr="00D44FD4">
        <w:tab/>
      </w:r>
      <w:proofErr w:type="gramStart"/>
      <w:r w:rsidRPr="00D44FD4">
        <w:t>Promoción</w:t>
      </w:r>
      <w:proofErr w:type="gramEnd"/>
      <w:r w:rsidRPr="00D44FD4">
        <w:t xml:space="preserve"> de la Agenda 2030 y reducción de la brecha digital entre hombres y mujeres</w:t>
      </w:r>
    </w:p>
    <w:p w14:paraId="2E616790" w14:textId="77777777" w:rsidR="00AF3242" w:rsidRPr="00D44FD4" w:rsidRDefault="00AF3242" w:rsidP="00A22F92">
      <w:pPr>
        <w:pStyle w:val="Heading2"/>
        <w:rPr>
          <w:szCs w:val="24"/>
        </w:rPr>
      </w:pPr>
      <w:bookmarkStart w:id="13" w:name="_Hlk2676846"/>
      <w:r w:rsidRPr="00D44FD4">
        <w:rPr>
          <w:szCs w:val="24"/>
        </w:rPr>
        <w:t>3.1</w:t>
      </w:r>
      <w:r w:rsidRPr="00D44FD4">
        <w:rPr>
          <w:szCs w:val="24"/>
        </w:rPr>
        <w:tab/>
      </w:r>
      <w:r w:rsidRPr="00D44FD4">
        <w:t>Cumbre Mundial sobre la Sociedad de la Información (CMSI</w:t>
      </w:r>
      <w:r w:rsidRPr="00D44FD4">
        <w:rPr>
          <w:szCs w:val="24"/>
        </w:rPr>
        <w:t>)</w:t>
      </w:r>
    </w:p>
    <w:bookmarkEnd w:id="13"/>
    <w:p w14:paraId="69CED3FB" w14:textId="3EC03484" w:rsidR="00AF3242" w:rsidRPr="00D44FD4" w:rsidRDefault="00AF3242" w:rsidP="0089552D">
      <w:pPr>
        <w:keepNext/>
        <w:keepLines/>
        <w:rPr>
          <w:rFonts w:eastAsia="Calibri" w:cs="Calibri"/>
          <w:szCs w:val="24"/>
        </w:rPr>
      </w:pPr>
      <w:r w:rsidRPr="00D44FD4">
        <w:t xml:space="preserve">En la </w:t>
      </w:r>
      <w:hyperlink r:id="rId25" w:history="1">
        <w:r w:rsidRPr="00D44FD4">
          <w:rPr>
            <w:rStyle w:val="Hyperlink"/>
            <w:spacing w:val="2"/>
          </w:rPr>
          <w:t>Declaración CMSI+10 sobre la aplicación de los resultaos de la CMSI y la Perspectiva CMSI+10 para la CMSI después de 2015</w:t>
        </w:r>
      </w:hyperlink>
      <w:r w:rsidRPr="00D44FD4">
        <w:t xml:space="preserve"> se invita a todas las partes interesadas de la CMSI a integrar una perspectiva de género y a utilizar las TIC como herramienta para tal fin. En su calidad de coordinadora del Proceso de la CMSI, la UIT ha estado colaborando con los coordinadores de las Líneas de Acción de la CMSI de las Naciones Unidas y la UIT para integrar plenamente una perspectiva de igualdad de género en las estrategias de la CMSI. </w:t>
      </w:r>
      <w:r w:rsidRPr="00D44FD4">
        <w:rPr>
          <w:rFonts w:eastAsia="Calibri" w:cs="Calibri"/>
          <w:szCs w:val="24"/>
        </w:rPr>
        <w:t>Entre las actividades previstas para el Foro de la Cumbre Mundial sobre la Sociedad de la Información de</w:t>
      </w:r>
      <w:r w:rsidR="00072A63" w:rsidRPr="00D44FD4">
        <w:rPr>
          <w:rFonts w:eastAsia="Calibri" w:cs="Calibri"/>
          <w:szCs w:val="24"/>
        </w:rPr>
        <w:t> </w:t>
      </w:r>
      <w:r w:rsidRPr="00D44FD4">
        <w:rPr>
          <w:rFonts w:eastAsia="Calibri" w:cs="Calibri"/>
          <w:szCs w:val="24"/>
        </w:rPr>
        <w:t xml:space="preserve">2020, cabe mencionar las siguientes: i) un desayuno de mujeres para hacer contactos; </w:t>
      </w:r>
      <w:proofErr w:type="spellStart"/>
      <w:r w:rsidRPr="00D44FD4">
        <w:rPr>
          <w:rFonts w:eastAsia="Calibri" w:cs="Calibri"/>
          <w:szCs w:val="24"/>
        </w:rPr>
        <w:t>ii</w:t>
      </w:r>
      <w:proofErr w:type="spellEnd"/>
      <w:r w:rsidRPr="00D44FD4">
        <w:rPr>
          <w:rFonts w:eastAsia="Calibri" w:cs="Calibri"/>
          <w:szCs w:val="24"/>
        </w:rPr>
        <w:t xml:space="preserve">) talleres y una exposición en torno al tema del género y las TIC; y </w:t>
      </w:r>
      <w:proofErr w:type="spellStart"/>
      <w:r w:rsidRPr="00D44FD4">
        <w:rPr>
          <w:rFonts w:eastAsia="Calibri" w:cs="Calibri"/>
          <w:szCs w:val="24"/>
        </w:rPr>
        <w:t>iii</w:t>
      </w:r>
      <w:proofErr w:type="spellEnd"/>
      <w:r w:rsidRPr="00D44FD4">
        <w:rPr>
          <w:rFonts w:eastAsia="Calibri" w:cs="Calibri"/>
          <w:szCs w:val="24"/>
        </w:rPr>
        <w:t>) cursos de formación para instar a las mujeres a ser activas mediante la capacitación y creación de confianza, así como para motivar, especialmente de las mujeres jóvenes, a seguir carreras tecnológicas. Para más información véase:</w:t>
      </w:r>
      <w:r w:rsidR="0089552D">
        <w:rPr>
          <w:rFonts w:eastAsia="Calibri" w:cs="Calibri"/>
          <w:szCs w:val="24"/>
        </w:rPr>
        <w:t xml:space="preserve"> </w:t>
      </w:r>
      <w:hyperlink r:id="rId26" w:history="1">
        <w:r w:rsidR="0089552D" w:rsidRPr="008970A1">
          <w:rPr>
            <w:rStyle w:val="Hyperlink"/>
            <w:rFonts w:eastAsia="Calibri" w:cs="Calibri"/>
            <w:szCs w:val="24"/>
          </w:rPr>
          <w:t>www.wisis.org/forum</w:t>
        </w:r>
      </w:hyperlink>
      <w:r w:rsidR="00BB022C" w:rsidRPr="00D44FD4">
        <w:rPr>
          <w:rStyle w:val="Hyperlink"/>
          <w:rFonts w:eastAsia="Calibri" w:cs="Calibri"/>
          <w:spacing w:val="2"/>
          <w:szCs w:val="24"/>
        </w:rPr>
        <w:t>.</w:t>
      </w:r>
    </w:p>
    <w:p w14:paraId="3EA727C4" w14:textId="77777777" w:rsidR="00AF3242" w:rsidRPr="00D44FD4" w:rsidRDefault="00AF3242" w:rsidP="00A22F92">
      <w:pPr>
        <w:pStyle w:val="Heading2"/>
      </w:pPr>
      <w:r w:rsidRPr="00D44FD4">
        <w:t>3.2</w:t>
      </w:r>
      <w:r w:rsidRPr="00D44FD4">
        <w:tab/>
        <w:t xml:space="preserve">Iniciativa </w:t>
      </w:r>
      <w:proofErr w:type="spellStart"/>
      <w:r w:rsidRPr="00D44FD4">
        <w:t>African</w:t>
      </w:r>
      <w:proofErr w:type="spellEnd"/>
      <w:r w:rsidRPr="00D44FD4">
        <w:t xml:space="preserve"> </w:t>
      </w:r>
      <w:proofErr w:type="spellStart"/>
      <w:r w:rsidRPr="00D44FD4">
        <w:t>Girls</w:t>
      </w:r>
      <w:proofErr w:type="spellEnd"/>
      <w:r w:rsidRPr="00D44FD4">
        <w:t xml:space="preserve"> Can </w:t>
      </w:r>
      <w:proofErr w:type="spellStart"/>
      <w:r w:rsidRPr="00D44FD4">
        <w:t>Code</w:t>
      </w:r>
      <w:proofErr w:type="spellEnd"/>
      <w:r w:rsidRPr="00D44FD4">
        <w:t xml:space="preserve"> (AGCCI)</w:t>
      </w:r>
    </w:p>
    <w:p w14:paraId="2DAD4D0A" w14:textId="7758F808" w:rsidR="00AF3242" w:rsidRPr="00D44FD4" w:rsidRDefault="00AF3242" w:rsidP="00A22F92">
      <w:pPr>
        <w:rPr>
          <w:rFonts w:eastAsia="SimSun"/>
        </w:rPr>
      </w:pPr>
      <w:r w:rsidRPr="00D44FD4">
        <w:t>La AGCCI es un programa de cuatro años destinado a formar y empoderar a niñas y jóvenes de entre 17 y 20 años de toda África a fin de que puedan convertirse en programadoras, creadoras y diseñadoras informáticas. Los principales objetivos son fomentar las TIC para las niñas y la formación digital de niñas y jóvenes; animar a los países africanos a generalizar la formación en</w:t>
      </w:r>
      <w:r w:rsidR="00072A63" w:rsidRPr="00D44FD4">
        <w:t> </w:t>
      </w:r>
      <w:r w:rsidRPr="00D44FD4">
        <w:t>TIC a fin de dar a las niñas y mujeres más oportunidades de adquirirla; crear una red de mujeres en las TIC, que ejercerán de modelo, y crear una plataforma comunitaria en línea para compartir las experiencias de codificación</w:t>
      </w:r>
      <w:r w:rsidRPr="00D44FD4">
        <w:rPr>
          <w:rFonts w:eastAsia="SimSun"/>
        </w:rPr>
        <w:t xml:space="preserve">. Léase el </w:t>
      </w:r>
      <w:hyperlink r:id="rId27" w:history="1">
        <w:r w:rsidRPr="00D44FD4">
          <w:rPr>
            <w:rStyle w:val="Hyperlink"/>
            <w:rFonts w:eastAsia="SimSun"/>
            <w:spacing w:val="2"/>
          </w:rPr>
          <w:t>artículo</w:t>
        </w:r>
      </w:hyperlink>
      <w:r w:rsidRPr="00D44FD4">
        <w:rPr>
          <w:rFonts w:eastAsia="SimSun"/>
        </w:rPr>
        <w:t xml:space="preserve"> de </w:t>
      </w:r>
      <w:r w:rsidRPr="0085612B">
        <w:rPr>
          <w:rFonts w:eastAsia="SimSun"/>
        </w:rPr>
        <w:t>Actualidades de la UIT.</w:t>
      </w:r>
    </w:p>
    <w:p w14:paraId="6C71535E" w14:textId="77777777" w:rsidR="00AF3242" w:rsidRPr="00D44FD4" w:rsidRDefault="00AF3242" w:rsidP="00137E15">
      <w:pPr>
        <w:pStyle w:val="Heading2"/>
        <w:rPr>
          <w:spacing w:val="2"/>
          <w:szCs w:val="24"/>
        </w:rPr>
      </w:pPr>
      <w:r w:rsidRPr="00D44FD4">
        <w:rPr>
          <w:spacing w:val="2"/>
          <w:szCs w:val="24"/>
        </w:rPr>
        <w:lastRenderedPageBreak/>
        <w:t>3.3</w:t>
      </w:r>
      <w:r w:rsidRPr="00D44FD4">
        <w:rPr>
          <w:spacing w:val="2"/>
          <w:szCs w:val="24"/>
        </w:rPr>
        <w:tab/>
        <w:t xml:space="preserve">Iniciativa </w:t>
      </w:r>
      <w:proofErr w:type="spellStart"/>
      <w:r w:rsidRPr="00D44FD4">
        <w:rPr>
          <w:spacing w:val="2"/>
          <w:szCs w:val="24"/>
        </w:rPr>
        <w:t>Americas</w:t>
      </w:r>
      <w:proofErr w:type="spellEnd"/>
      <w:r w:rsidRPr="00D44FD4">
        <w:rPr>
          <w:spacing w:val="2"/>
          <w:szCs w:val="24"/>
        </w:rPr>
        <w:t xml:space="preserve"> </w:t>
      </w:r>
      <w:proofErr w:type="spellStart"/>
      <w:r w:rsidRPr="00D44FD4">
        <w:rPr>
          <w:spacing w:val="2"/>
          <w:szCs w:val="24"/>
        </w:rPr>
        <w:t>Girls</w:t>
      </w:r>
      <w:proofErr w:type="spellEnd"/>
      <w:r w:rsidRPr="00D44FD4">
        <w:rPr>
          <w:spacing w:val="2"/>
          <w:szCs w:val="24"/>
        </w:rPr>
        <w:t xml:space="preserve"> Can </w:t>
      </w:r>
      <w:proofErr w:type="spellStart"/>
      <w:r w:rsidRPr="00D44FD4">
        <w:rPr>
          <w:spacing w:val="2"/>
          <w:szCs w:val="24"/>
        </w:rPr>
        <w:t>Code</w:t>
      </w:r>
      <w:proofErr w:type="spellEnd"/>
      <w:r w:rsidRPr="00D44FD4">
        <w:rPr>
          <w:spacing w:val="2"/>
          <w:szCs w:val="24"/>
        </w:rPr>
        <w:t xml:space="preserve"> (AGCCI)</w:t>
      </w:r>
    </w:p>
    <w:p w14:paraId="52983C13" w14:textId="42654D90" w:rsidR="00AF3242" w:rsidRPr="00D44FD4" w:rsidRDefault="00AF3242" w:rsidP="00A22F92">
      <w:pPr>
        <w:rPr>
          <w:rFonts w:eastAsia="Calibri"/>
        </w:rPr>
      </w:pPr>
      <w:r w:rsidRPr="00D44FD4">
        <w:rPr>
          <w:rFonts w:eastAsia="Calibri"/>
        </w:rPr>
        <w:t xml:space="preserve">La iniciativa </w:t>
      </w:r>
      <w:proofErr w:type="spellStart"/>
      <w:r w:rsidRPr="00D44FD4">
        <w:rPr>
          <w:i/>
          <w:iCs/>
        </w:rPr>
        <w:t>Americas</w:t>
      </w:r>
      <w:proofErr w:type="spellEnd"/>
      <w:r w:rsidRPr="00D44FD4">
        <w:rPr>
          <w:i/>
          <w:iCs/>
        </w:rPr>
        <w:t xml:space="preserve"> </w:t>
      </w:r>
      <w:proofErr w:type="spellStart"/>
      <w:r w:rsidRPr="00D44FD4">
        <w:rPr>
          <w:i/>
          <w:iCs/>
        </w:rPr>
        <w:t>Girls</w:t>
      </w:r>
      <w:proofErr w:type="spellEnd"/>
      <w:r w:rsidRPr="00D44FD4">
        <w:rPr>
          <w:i/>
          <w:iCs/>
        </w:rPr>
        <w:t xml:space="preserve"> Can </w:t>
      </w:r>
      <w:proofErr w:type="spellStart"/>
      <w:r w:rsidRPr="00D44FD4">
        <w:rPr>
          <w:i/>
          <w:iCs/>
        </w:rPr>
        <w:t>Code</w:t>
      </w:r>
      <w:proofErr w:type="spellEnd"/>
      <w:r w:rsidRPr="00D44FD4">
        <w:t xml:space="preserve"> </w:t>
      </w:r>
      <w:r w:rsidRPr="00D44FD4">
        <w:rPr>
          <w:rFonts w:eastAsia="Calibri"/>
        </w:rPr>
        <w:t xml:space="preserve">se basó en los Talleres TIC TAC de Tecnología de 2018, organizados por la Oficina Regional de las Américas de la UIT. La UIT anunció su iniciativa </w:t>
      </w:r>
      <w:proofErr w:type="spellStart"/>
      <w:r w:rsidRPr="00D44FD4">
        <w:rPr>
          <w:i/>
          <w:iCs/>
        </w:rPr>
        <w:t>Americas</w:t>
      </w:r>
      <w:proofErr w:type="spellEnd"/>
      <w:r w:rsidRPr="00D44FD4">
        <w:rPr>
          <w:i/>
          <w:iCs/>
        </w:rPr>
        <w:t xml:space="preserve"> </w:t>
      </w:r>
      <w:proofErr w:type="spellStart"/>
      <w:r w:rsidRPr="00D44FD4">
        <w:rPr>
          <w:i/>
          <w:iCs/>
        </w:rPr>
        <w:t>Girls</w:t>
      </w:r>
      <w:proofErr w:type="spellEnd"/>
      <w:r w:rsidRPr="00D44FD4">
        <w:rPr>
          <w:i/>
          <w:iCs/>
        </w:rPr>
        <w:t xml:space="preserve"> Can </w:t>
      </w:r>
      <w:proofErr w:type="spellStart"/>
      <w:r w:rsidRPr="00D44FD4">
        <w:rPr>
          <w:i/>
          <w:iCs/>
        </w:rPr>
        <w:t>Code</w:t>
      </w:r>
      <w:proofErr w:type="spellEnd"/>
      <w:r w:rsidRPr="00D44FD4">
        <w:rPr>
          <w:rFonts w:eastAsia="Calibri"/>
        </w:rPr>
        <w:t xml:space="preserve"> en 2019 y desde entonces han participado 300 niñas. La iniciativa ha recibido el apoyo de diversos asociados mediante contribuciones en especie, entre los que cabe citar a ONU Mujeres, el Instituto Federal Brasileño, ANATEL, SERPRO, el Ayuntamiento de Campinas, la Universidad de Brasilia, UNICEPLAC y el Grupo de Mujeres del Brasil. Vea el vídeo </w:t>
      </w:r>
      <w:hyperlink r:id="rId28" w:history="1">
        <w:proofErr w:type="spellStart"/>
        <w:r w:rsidRPr="00D44FD4">
          <w:rPr>
            <w:rStyle w:val="Hyperlink"/>
            <w:rFonts w:eastAsia="Calibri" w:cs="Calibri"/>
            <w:spacing w:val="2"/>
            <w:szCs w:val="24"/>
          </w:rPr>
          <w:t>Americas</w:t>
        </w:r>
        <w:proofErr w:type="spellEnd"/>
        <w:r w:rsidRPr="00D44FD4">
          <w:rPr>
            <w:rStyle w:val="Hyperlink"/>
            <w:rFonts w:eastAsia="Calibri" w:cs="Calibri"/>
            <w:spacing w:val="2"/>
            <w:szCs w:val="24"/>
          </w:rPr>
          <w:t xml:space="preserve"> </w:t>
        </w:r>
        <w:proofErr w:type="spellStart"/>
        <w:r w:rsidRPr="00D44FD4">
          <w:rPr>
            <w:rStyle w:val="Hyperlink"/>
            <w:rFonts w:eastAsia="Calibri" w:cs="Calibri"/>
            <w:spacing w:val="2"/>
            <w:szCs w:val="24"/>
          </w:rPr>
          <w:t>Girls</w:t>
        </w:r>
        <w:proofErr w:type="spellEnd"/>
        <w:r w:rsidRPr="00D44FD4">
          <w:rPr>
            <w:rStyle w:val="Hyperlink"/>
            <w:rFonts w:eastAsia="Calibri" w:cs="Calibri"/>
            <w:spacing w:val="2"/>
            <w:szCs w:val="24"/>
          </w:rPr>
          <w:t xml:space="preserve"> Can </w:t>
        </w:r>
        <w:proofErr w:type="spellStart"/>
        <w:r w:rsidRPr="00D44FD4">
          <w:rPr>
            <w:rStyle w:val="Hyperlink"/>
            <w:rFonts w:eastAsia="Calibri" w:cs="Calibri"/>
            <w:spacing w:val="2"/>
            <w:szCs w:val="24"/>
          </w:rPr>
          <w:t>Code</w:t>
        </w:r>
        <w:proofErr w:type="spellEnd"/>
      </w:hyperlink>
      <w:r w:rsidRPr="00D44FD4">
        <w:rPr>
          <w:rFonts w:eastAsia="Calibri"/>
        </w:rPr>
        <w:t>.</w:t>
      </w:r>
    </w:p>
    <w:p w14:paraId="354599B7" w14:textId="77777777" w:rsidR="00AF3242" w:rsidRPr="00D44FD4" w:rsidRDefault="00AF3242" w:rsidP="00A22F92">
      <w:pPr>
        <w:pStyle w:val="Heading2"/>
      </w:pPr>
      <w:bookmarkStart w:id="14" w:name="_Hlk2686851"/>
      <w:r w:rsidRPr="00D44FD4">
        <w:t>3.4</w:t>
      </w:r>
      <w:r w:rsidRPr="00D44FD4">
        <w:tab/>
        <w:t>Día Internacional de las Niñas en las TIC</w:t>
      </w:r>
    </w:p>
    <w:p w14:paraId="4A26E223" w14:textId="5F6508BB" w:rsidR="00AF3242" w:rsidRPr="00D44FD4" w:rsidRDefault="00AF3242" w:rsidP="00A22F92">
      <w:pPr>
        <w:rPr>
          <w:rFonts w:eastAsia="Calibri" w:cs="Calibri"/>
          <w:szCs w:val="24"/>
        </w:rPr>
      </w:pPr>
      <w:r w:rsidRPr="00D44FD4">
        <w:t xml:space="preserve">El </w:t>
      </w:r>
      <w:hyperlink r:id="rId29" w:history="1">
        <w:r w:rsidRPr="00D44FD4">
          <w:rPr>
            <w:rStyle w:val="Hyperlink"/>
          </w:rPr>
          <w:t>Día Internacional de las Niñas en las TIC</w:t>
        </w:r>
      </w:hyperlink>
      <w:r w:rsidRPr="00D44FD4">
        <w:t xml:space="preserve">, que se celebra desde 2011 el cuarto jueves de cada mes de abril y que ya es un </w:t>
      </w:r>
      <w:hyperlink r:id="rId30" w:history="1">
        <w:r w:rsidRPr="00D44FD4">
          <w:rPr>
            <w:rStyle w:val="Hyperlink"/>
          </w:rPr>
          <w:t>día oficial de Naciones Unidas</w:t>
        </w:r>
      </w:hyperlink>
      <w:r w:rsidRPr="00D44FD4">
        <w:t xml:space="preserve">, tiene por objeto instar a que cada vez sean más las niñas y mujeres jóvenes que elijan estudios y carreras relacionados con las TIC. </w:t>
      </w:r>
      <w:r w:rsidRPr="00D44FD4">
        <w:rPr>
          <w:rFonts w:eastAsia="Calibri" w:cs="Calibri"/>
          <w:szCs w:val="24"/>
        </w:rPr>
        <w:t>En</w:t>
      </w:r>
      <w:r w:rsidR="009A3A18">
        <w:rPr>
          <w:rFonts w:eastAsia="Calibri" w:cs="Calibri"/>
          <w:szCs w:val="24"/>
        </w:rPr>
        <w:t> </w:t>
      </w:r>
      <w:r w:rsidRPr="00D44FD4">
        <w:rPr>
          <w:rFonts w:eastAsia="Calibri" w:cs="Calibri"/>
          <w:szCs w:val="24"/>
        </w:rPr>
        <w:t xml:space="preserve">2019, el Día Internacional de las Niñas en las TIC se celebró en 102 países. Por primera vez, esta celebración mundial tuvo lugar en Addis Abeba (Etiopía), con sesiones de alto nivel, talleres prácticos para niñas en edad escolar y diálogos interactivos con casi 200 niñas participantes de escuelas locales. También se realizó una visita adicional de un día completo a dos escuelas locales para hablar con los maestros y las niñas. De vuelta en Ginebra, el personal de la UIT participó en un evento organizado por la UER y la BBC en </w:t>
      </w:r>
      <w:r w:rsidR="008B5DE1" w:rsidRPr="00D44FD4">
        <w:rPr>
          <w:rFonts w:eastAsia="Calibri" w:cs="Calibri"/>
          <w:szCs w:val="24"/>
        </w:rPr>
        <w:t>é</w:t>
      </w:r>
      <w:r w:rsidRPr="00D44FD4">
        <w:rPr>
          <w:rFonts w:eastAsia="Calibri" w:cs="Calibri"/>
          <w:szCs w:val="24"/>
        </w:rPr>
        <w:t>l mujeres expertas en tecnología compartieron su experiencia personal y profesional con las niñas, a través de un enlace de televisión en directo entre la sede de la UER en Ginebra y los estudios de la BBC en Birmingham y Manchester. Además, se celebró en el Palacio de las Naciones Unidas en Ginebra una mesa redonda sobre "</w:t>
      </w:r>
      <w:hyperlink r:id="rId31" w:history="1">
        <w:r w:rsidRPr="00D44FD4">
          <w:rPr>
            <w:rStyle w:val="Hyperlink"/>
            <w:rFonts w:eastAsia="Calibri" w:cs="Calibri"/>
            <w:szCs w:val="24"/>
          </w:rPr>
          <w:t>cómo colmar la brecha de género en el mundo digital</w:t>
        </w:r>
      </w:hyperlink>
      <w:r w:rsidRPr="00D44FD4">
        <w:rPr>
          <w:rFonts w:eastAsia="Calibri" w:cs="Calibri"/>
          <w:szCs w:val="24"/>
        </w:rPr>
        <w:t>", con la participación de la UIT.</w:t>
      </w:r>
    </w:p>
    <w:p w14:paraId="50BE3EB1" w14:textId="3988816B" w:rsidR="00AF3242" w:rsidRPr="00D44FD4" w:rsidRDefault="00AF3242" w:rsidP="00A22F92">
      <w:r w:rsidRPr="00D44FD4">
        <w:rPr>
          <w:rFonts w:eastAsia="Calibri"/>
        </w:rPr>
        <w:t xml:space="preserve">El evento del año 2020, que tendrá lugar el 23 de abril en Apia, la capital de </w:t>
      </w:r>
      <w:proofErr w:type="gramStart"/>
      <w:r w:rsidRPr="00D44FD4">
        <w:rPr>
          <w:rFonts w:eastAsia="Calibri"/>
        </w:rPr>
        <w:t>Samoa,</w:t>
      </w:r>
      <w:proofErr w:type="gramEnd"/>
      <w:r w:rsidRPr="00D44FD4">
        <w:rPr>
          <w:rFonts w:eastAsia="Calibri"/>
        </w:rPr>
        <w:t xml:space="preserve"> será la primera vez que la UIT celebre el Día de las Niñas en las TIC en el hemisferio sur. Con el tema </w:t>
      </w:r>
      <w:r w:rsidRPr="00D44FD4">
        <w:rPr>
          <w:rFonts w:eastAsia="Calibri"/>
          <w:i/>
          <w:iCs/>
        </w:rPr>
        <w:t>Ampliar horizontes, cambiar actitudes</w:t>
      </w:r>
      <w:r w:rsidRPr="00D44FD4">
        <w:rPr>
          <w:rFonts w:eastAsia="Calibri"/>
        </w:rPr>
        <w:t>, se espera que participen en el evento unas 1</w:t>
      </w:r>
      <w:r w:rsidR="0072584A">
        <w:rPr>
          <w:rFonts w:eastAsia="Calibri"/>
        </w:rPr>
        <w:t> </w:t>
      </w:r>
      <w:r w:rsidRPr="00D44FD4">
        <w:rPr>
          <w:rFonts w:eastAsia="Calibri"/>
        </w:rPr>
        <w:t>000 niñas en edad escolar de Samoa nacionales y del extranjero para un día de diversión, talleres tecnológicos interactivos, charlas de expertos de la industria y debates de alto nivel en torno a las formas de impulsar la creación de capacidad regional para el desarrollo de aptitudes digitales. El evento mundial en Apia también contará con la presencia de los ganadores de las competiciones nacionales de toda la región.</w:t>
      </w:r>
    </w:p>
    <w:bookmarkEnd w:id="14"/>
    <w:p w14:paraId="2D77EE4F" w14:textId="77777777" w:rsidR="00AF3242" w:rsidRPr="00D44FD4" w:rsidRDefault="00AF3242" w:rsidP="00A22F92">
      <w:pPr>
        <w:pStyle w:val="Heading2"/>
      </w:pPr>
      <w:r w:rsidRPr="00D44FD4">
        <w:t>3.5</w:t>
      </w:r>
      <w:r w:rsidRPr="00D44FD4">
        <w:tab/>
        <w:t xml:space="preserve">EQUALS: La Alianza mundial para reducir la brecha digital de género y Telecom </w:t>
      </w:r>
      <w:proofErr w:type="spellStart"/>
      <w:r w:rsidRPr="00D44FD4">
        <w:t>World</w:t>
      </w:r>
      <w:proofErr w:type="spellEnd"/>
    </w:p>
    <w:p w14:paraId="6CFE16A7" w14:textId="3F69C5F4" w:rsidR="00AF3242" w:rsidRPr="00D44FD4" w:rsidRDefault="00AF3242" w:rsidP="00A22F92">
      <w:pPr>
        <w:rPr>
          <w:rFonts w:asciiTheme="minorHAnsi" w:eastAsia="SimSun" w:hAnsiTheme="minorHAnsi"/>
        </w:rPr>
      </w:pPr>
      <w:r w:rsidRPr="00D44FD4">
        <w:rPr>
          <w:rFonts w:eastAsia="SimSun"/>
        </w:rPr>
        <w:t xml:space="preserve">La Alianza </w:t>
      </w:r>
      <w:hyperlink r:id="rId32">
        <w:r w:rsidRPr="00D44FD4">
          <w:rPr>
            <w:rStyle w:val="Hyperlink"/>
            <w:rFonts w:eastAsia="SimSun"/>
          </w:rPr>
          <w:t>EQUALS</w:t>
        </w:r>
      </w:hyperlink>
      <w:r w:rsidRPr="00D44FD4">
        <w:rPr>
          <w:rFonts w:eastAsia="SimSun"/>
        </w:rPr>
        <w:t xml:space="preserve"> cuenta con cinco cofundadores, a saber, GSMA, ITC, UIT, UNU y ONU Mujeres, y </w:t>
      </w:r>
      <w:r w:rsidR="0072584A">
        <w:rPr>
          <w:rFonts w:eastAsia="SimSun"/>
        </w:rPr>
        <w:t>5</w:t>
      </w:r>
      <w:r w:rsidRPr="00D44FD4">
        <w:rPr>
          <w:rFonts w:eastAsia="SimSun"/>
        </w:rPr>
        <w:t>0 asociados y 26 miembros del grupo de investigación colaboran para reducir la brecha digital de género. El marco de acción a nivel mundial hace hincapié en las tres esferas complementarias transversales siguientes: 1) Acceso; 2) Competencias, y 3) Liderazgo</w:t>
      </w:r>
      <w:r w:rsidRPr="00D44FD4">
        <w:rPr>
          <w:rFonts w:asciiTheme="minorHAnsi" w:eastAsia="SimSun" w:hAnsiTheme="minorHAnsi"/>
        </w:rPr>
        <w:t xml:space="preserve">. En 2019 se prestó especial atención a los emprendedores de EQUALS que participaron en ITU Telecom </w:t>
      </w:r>
      <w:proofErr w:type="spellStart"/>
      <w:r w:rsidRPr="00D44FD4">
        <w:rPr>
          <w:rFonts w:asciiTheme="minorHAnsi" w:eastAsia="SimSun" w:hAnsiTheme="minorHAnsi"/>
        </w:rPr>
        <w:t>World</w:t>
      </w:r>
      <w:proofErr w:type="spellEnd"/>
      <w:r w:rsidRPr="00D44FD4">
        <w:rPr>
          <w:rFonts w:asciiTheme="minorHAnsi" w:eastAsia="SimSun" w:hAnsiTheme="minorHAnsi"/>
        </w:rPr>
        <w:t xml:space="preserve"> en Budapest (Hungría). Con el fin de mejorar el equilibrio de género en el evento y apoyar la iniciativa empresarial femenina en la industria, se seleccionaron 24 PYME dirigidas por mujeres en países en</w:t>
      </w:r>
      <w:r w:rsidR="0072584A">
        <w:rPr>
          <w:rFonts w:asciiTheme="minorHAnsi" w:eastAsia="SimSun" w:hAnsiTheme="minorHAnsi"/>
        </w:rPr>
        <w:t> </w:t>
      </w:r>
      <w:r w:rsidRPr="00D44FD4">
        <w:rPr>
          <w:rFonts w:asciiTheme="minorHAnsi" w:eastAsia="SimSun" w:hAnsiTheme="minorHAnsi"/>
        </w:rPr>
        <w:t>desarrollo de entre las 140 solicitudes recibidas para asistir y aprender en ITU Telecom Word</w:t>
      </w:r>
      <w:r w:rsidR="0072584A">
        <w:rPr>
          <w:rFonts w:asciiTheme="minorHAnsi" w:eastAsia="SimSun" w:hAnsiTheme="minorHAnsi"/>
        </w:rPr>
        <w:t> </w:t>
      </w:r>
      <w:r w:rsidRPr="00D44FD4">
        <w:rPr>
          <w:rFonts w:asciiTheme="minorHAnsi" w:eastAsia="SimSun" w:hAnsiTheme="minorHAnsi"/>
        </w:rPr>
        <w:t>2019. Las empresas seleccionadas, que representaban a 14 países y a diversos sectores tecnológicos, como la salud, la educación, el comercio electrónico y la ciberseguridad, pudieron participar en el evento y ampliar sus negocios gracias a la proyección mundial y su conocimiento y compromiso de la industria</w:t>
      </w:r>
      <w:r w:rsidRPr="00D44FD4">
        <w:rPr>
          <w:rFonts w:eastAsia="Calibri" w:cs="Calibri"/>
          <w:szCs w:val="24"/>
        </w:rPr>
        <w:t>.</w:t>
      </w:r>
    </w:p>
    <w:p w14:paraId="6AB7E938" w14:textId="77777777" w:rsidR="00AF3242" w:rsidRPr="00D44FD4" w:rsidRDefault="00AF3242" w:rsidP="00A22F92">
      <w:pPr>
        <w:pStyle w:val="Heading2"/>
      </w:pPr>
      <w:r w:rsidRPr="00D44FD4">
        <w:lastRenderedPageBreak/>
        <w:t>3.6</w:t>
      </w:r>
      <w:r w:rsidRPr="00D44FD4">
        <w:tab/>
      </w:r>
      <w:bookmarkStart w:id="15" w:name="lt_pId057"/>
      <w:r w:rsidRPr="00D44FD4">
        <w:t xml:space="preserve">Premios "EQUALS in </w:t>
      </w:r>
      <w:proofErr w:type="spellStart"/>
      <w:r w:rsidRPr="00D44FD4">
        <w:t>Tech</w:t>
      </w:r>
      <w:bookmarkEnd w:id="15"/>
      <w:proofErr w:type="spellEnd"/>
      <w:r w:rsidRPr="00D44FD4">
        <w:t>"</w:t>
      </w:r>
    </w:p>
    <w:p w14:paraId="2C7B008E" w14:textId="78C167F6" w:rsidR="00AF3242" w:rsidRPr="00D44FD4" w:rsidRDefault="00AF3242" w:rsidP="006D7993">
      <w:bookmarkStart w:id="16" w:name="lt_pId058"/>
      <w:r w:rsidRPr="00D44FD4">
        <w:t>La quinta edición anual de los Premios "</w:t>
      </w:r>
      <w:hyperlink r:id="rId33" w:history="1">
        <w:r w:rsidRPr="00D44FD4">
          <w:rPr>
            <w:rStyle w:val="Hyperlink"/>
          </w:rPr>
          <w:t xml:space="preserve">EQUALS in </w:t>
        </w:r>
        <w:proofErr w:type="spellStart"/>
        <w:r w:rsidRPr="00D44FD4">
          <w:rPr>
            <w:rStyle w:val="Hyperlink"/>
          </w:rPr>
          <w:t>Tech</w:t>
        </w:r>
        <w:proofErr w:type="spellEnd"/>
      </w:hyperlink>
      <w:r w:rsidRPr="00D44FD4">
        <w:t>" tuvo lugar el 27 de noviembre de</w:t>
      </w:r>
      <w:r w:rsidR="00072A63" w:rsidRPr="00D44FD4">
        <w:t> </w:t>
      </w:r>
      <w:r w:rsidRPr="00D44FD4">
        <w:t>2019</w:t>
      </w:r>
      <w:r w:rsidR="00DE2088" w:rsidRPr="00D44FD4">
        <w:t> </w:t>
      </w:r>
      <w:r w:rsidRPr="00D44FD4">
        <w:t>en</w:t>
      </w:r>
      <w:r w:rsidR="00DE2088" w:rsidRPr="00D44FD4">
        <w:t> </w:t>
      </w:r>
      <w:r w:rsidRPr="00D44FD4">
        <w:t>Alemania con ocasión del Foro de la Gobernanza de Internet. Este año hubo más de</w:t>
      </w:r>
      <w:r w:rsidR="00DE2088" w:rsidRPr="00D44FD4">
        <w:t> </w:t>
      </w:r>
      <w:r w:rsidRPr="00D44FD4">
        <w:t>300</w:t>
      </w:r>
      <w:r w:rsidR="00DE2088" w:rsidRPr="00D44FD4">
        <w:t> </w:t>
      </w:r>
      <w:r w:rsidRPr="00D44FD4">
        <w:t>nominaciones de 68 países. Se designaron cinco ganadores de los Premios en las categorías Acceso, Competencias, Investigación y Liderazgo I y II de entre los 15 destacados finalistas de</w:t>
      </w:r>
      <w:r w:rsidR="00DE2088" w:rsidRPr="00D44FD4">
        <w:t> </w:t>
      </w:r>
      <w:r w:rsidRPr="00D44FD4">
        <w:t>12</w:t>
      </w:r>
      <w:r w:rsidR="00DE2088" w:rsidRPr="00D44FD4">
        <w:t> </w:t>
      </w:r>
      <w:r w:rsidRPr="00D44FD4">
        <w:t xml:space="preserve">países. Los Premios "EQUALS in </w:t>
      </w:r>
      <w:proofErr w:type="spellStart"/>
      <w:r w:rsidRPr="00D44FD4">
        <w:t>Tech</w:t>
      </w:r>
      <w:proofErr w:type="spellEnd"/>
      <w:r w:rsidRPr="00D44FD4">
        <w:t xml:space="preserve">" fueron posibles gracias a la colaboración de la Oficina Federal de Comunicaciones de Suiza (OFCOM) y la Sociedad de Internet, así como el apoyo de </w:t>
      </w:r>
      <w:proofErr w:type="spellStart"/>
      <w:r w:rsidRPr="00D44FD4">
        <w:t>Inmarsat</w:t>
      </w:r>
      <w:proofErr w:type="spellEnd"/>
      <w:r w:rsidRPr="00D44FD4">
        <w:t xml:space="preserve">. Véase también </w:t>
      </w:r>
      <w:hyperlink r:id="rId34" w:history="1">
        <w:r w:rsidR="006D7993" w:rsidRPr="006D7993">
          <w:rPr>
            <w:rStyle w:val="Hyperlink"/>
          </w:rPr>
          <w:t>en este enlace</w:t>
        </w:r>
      </w:hyperlink>
      <w:r w:rsidRPr="00D44FD4">
        <w:t xml:space="preserve"> la labor de inversión de EQUALS y, </w:t>
      </w:r>
      <w:hyperlink r:id="rId35" w:history="1">
        <w:r w:rsidR="006D7993" w:rsidRPr="006D7993">
          <w:rPr>
            <w:rStyle w:val="Hyperlink"/>
          </w:rPr>
          <w:t>en este otro</w:t>
        </w:r>
      </w:hyperlink>
      <w:r w:rsidRPr="00D44FD4">
        <w:t xml:space="preserve"> las</w:t>
      </w:r>
      <w:r w:rsidR="00DE2088" w:rsidRPr="00D44FD4">
        <w:t> </w:t>
      </w:r>
      <w:r w:rsidRPr="00D44FD4">
        <w:t>25</w:t>
      </w:r>
      <w:r w:rsidR="00DE2088" w:rsidRPr="00D44FD4">
        <w:t> </w:t>
      </w:r>
      <w:r w:rsidRPr="00D44FD4">
        <w:t xml:space="preserve">maneras de ser un ingeniero más </w:t>
      </w:r>
      <w:bookmarkEnd w:id="16"/>
      <w:r w:rsidRPr="00D44FD4">
        <w:t>inclusivo.</w:t>
      </w:r>
    </w:p>
    <w:p w14:paraId="42EDC4EB" w14:textId="77777777" w:rsidR="00AF3242" w:rsidRPr="00D44FD4" w:rsidRDefault="00AF3242" w:rsidP="00137E15">
      <w:pPr>
        <w:pStyle w:val="Heading2"/>
        <w:rPr>
          <w:szCs w:val="24"/>
        </w:rPr>
      </w:pPr>
      <w:r w:rsidRPr="00D44FD4">
        <w:rPr>
          <w:szCs w:val="24"/>
        </w:rPr>
        <w:t>3.7</w:t>
      </w:r>
      <w:r w:rsidRPr="00D44FD4">
        <w:rPr>
          <w:szCs w:val="24"/>
        </w:rPr>
        <w:tab/>
        <w:t xml:space="preserve">Análisis de tecnologías y experiencia práctica de las niñas sobre STEM </w:t>
      </w:r>
    </w:p>
    <w:p w14:paraId="36A83301" w14:textId="365D2BFD" w:rsidR="00AF3242" w:rsidRPr="00D44FD4" w:rsidRDefault="00AF3242" w:rsidP="00A22F92">
      <w:pPr>
        <w:rPr>
          <w:rFonts w:eastAsia="Calibri"/>
        </w:rPr>
      </w:pPr>
      <w:r w:rsidRPr="00D44FD4">
        <w:rPr>
          <w:rFonts w:eastAsia="Calibri"/>
        </w:rPr>
        <w:t xml:space="preserve">A fin de fortalecer los vínculos y la interacción entre la UIT y la comunidad local, el personal de la Sede de la UIT brindó asistencia voluntaria y organizó un </w:t>
      </w:r>
      <w:hyperlink r:id="rId36" w:history="1">
        <w:r w:rsidR="00A23A88" w:rsidRPr="00A23A88">
          <w:rPr>
            <w:rStyle w:val="Hyperlink"/>
            <w:rFonts w:eastAsia="Calibri"/>
          </w:rPr>
          <w:t>taller sobre robótica</w:t>
        </w:r>
      </w:hyperlink>
      <w:r w:rsidR="004A2DB1">
        <w:rPr>
          <w:rFonts w:eastAsia="Calibri"/>
        </w:rPr>
        <w:t xml:space="preserve"> </w:t>
      </w:r>
      <w:r w:rsidRPr="00D44FD4">
        <w:rPr>
          <w:rFonts w:eastAsia="Calibri"/>
        </w:rPr>
        <w:t>taller sobre robótica en la edición de</w:t>
      </w:r>
      <w:r w:rsidR="00072A63" w:rsidRPr="00D44FD4">
        <w:rPr>
          <w:rFonts w:eastAsia="Calibri"/>
        </w:rPr>
        <w:t> </w:t>
      </w:r>
      <w:r w:rsidRPr="00D44FD4">
        <w:rPr>
          <w:rFonts w:eastAsia="Calibri"/>
        </w:rPr>
        <w:t xml:space="preserve">2019 del evento bienal "Día de la ciencia y la tecnología para las niñas". Esta tercera edición del evento, que tuvo lugar en noviembre de 2019 (ediciones 2015, 2017 y 2019) fue acogida por la Universidad de Ginebra. La finalidad del evento es alentar a las niñas de 11 a 14 </w:t>
      </w:r>
      <w:proofErr w:type="gramStart"/>
      <w:r w:rsidRPr="00D44FD4">
        <w:rPr>
          <w:rFonts w:eastAsia="Calibri"/>
        </w:rPr>
        <w:t>años de edad</w:t>
      </w:r>
      <w:proofErr w:type="gramEnd"/>
      <w:r w:rsidRPr="00D44FD4">
        <w:rPr>
          <w:rFonts w:eastAsia="Calibri"/>
        </w:rPr>
        <w:t xml:space="preserve"> a estudiar materias de ciencia, matemáticas, ingeniería y tecnología (STEM).</w:t>
      </w:r>
    </w:p>
    <w:p w14:paraId="6DB979B6" w14:textId="77777777" w:rsidR="00AF3242" w:rsidRPr="00D44FD4" w:rsidRDefault="00AF3242" w:rsidP="00A22F92">
      <w:pPr>
        <w:pStyle w:val="Heading2"/>
      </w:pPr>
      <w:r w:rsidRPr="00D44FD4">
        <w:t>3.8</w:t>
      </w:r>
      <w:r w:rsidRPr="00D44FD4">
        <w:tab/>
        <w:t>Oficina de enlace en Nueva York</w:t>
      </w:r>
    </w:p>
    <w:p w14:paraId="7F7F3ED6" w14:textId="093848A0" w:rsidR="00AF3242" w:rsidRPr="00D44FD4" w:rsidRDefault="00AF3242" w:rsidP="00A22F92">
      <w:r w:rsidRPr="00D44FD4">
        <w:t>La oficina de enlace de la UIT en Naciones Unidas en Nueva York también participa activamente en las actividades de comunicaciones y de creación de alianzas para contribuir a la aplicación de la Resolución 70. Entre las actividades cabe citar la promoción de las iniciativas de la UIT en las Naciones Unidas y otros eventos externos. En los eventos paralelos organizados en la Sede de Naciones Unidas durante 2019 se abordaron temas de igualdad de género, entre ellos: igualdad de género/mujeres en el sector tecnológico, mujeres en el sector tecnológico con discapacidad, brecha digital de género, aptitudes digitales para mujeres y niñas y repercusiones de la</w:t>
      </w:r>
      <w:r w:rsidR="00072A63" w:rsidRPr="00D44FD4">
        <w:t> </w:t>
      </w:r>
      <w:r w:rsidRPr="00D44FD4">
        <w:t>IA/automatización en las mujeres. La histórica asociación de la UIT con la alcaldía de la ciudad de Nueva York comprende actividades para despertar el interés de las niñas locales por los estudios y las carreras en el ámbito de las TIC. La oficina de la UIT en Nueva York también copreside el grupo de trabajo sobre cuestiones de género del equipo de tareas interinstitucional de Naciones Unidas sobre ciencia, tecnología e innovación.</w:t>
      </w:r>
    </w:p>
    <w:p w14:paraId="4F9AA488" w14:textId="77777777" w:rsidR="00AF3242" w:rsidRPr="00D44FD4" w:rsidRDefault="00AF3242" w:rsidP="00137E15">
      <w:pPr>
        <w:pStyle w:val="Heading1"/>
        <w:rPr>
          <w:rFonts w:eastAsia="SimSun"/>
          <w:sz w:val="24"/>
          <w:szCs w:val="24"/>
        </w:rPr>
      </w:pPr>
      <w:r w:rsidRPr="00D44FD4">
        <w:t>4</w:t>
      </w:r>
      <w:r w:rsidRPr="00D44FD4">
        <w:tab/>
      </w:r>
      <w:proofErr w:type="gramStart"/>
      <w:r w:rsidRPr="00D44FD4">
        <w:t>Reforzar</w:t>
      </w:r>
      <w:proofErr w:type="gramEnd"/>
      <w:r w:rsidRPr="00D44FD4">
        <w:t xml:space="preserve"> la participación de la mujer en las conferencias y reuniones de la UIT</w:t>
      </w:r>
    </w:p>
    <w:p w14:paraId="7AA6DAEE" w14:textId="77777777" w:rsidR="00AF3242" w:rsidRPr="00D44FD4" w:rsidRDefault="00AF3242" w:rsidP="00A22F92">
      <w:pPr>
        <w:pStyle w:val="Heading2"/>
      </w:pPr>
      <w:r w:rsidRPr="00D44FD4">
        <w:t>4.1</w:t>
      </w:r>
      <w:r w:rsidRPr="00D44FD4">
        <w:tab/>
        <w:t>Igualdad de género en las delegaciones y las conferencias</w:t>
      </w:r>
    </w:p>
    <w:p w14:paraId="6E29E162" w14:textId="64011012" w:rsidR="00AF3242" w:rsidRPr="00D44FD4" w:rsidRDefault="00AF3242" w:rsidP="00A22F92">
      <w:r w:rsidRPr="00D44FD4">
        <w:t xml:space="preserve">De resultas de la colaboración de la UIT en la publicación </w:t>
      </w:r>
      <w:r w:rsidR="00451F56" w:rsidRPr="00D44FD4">
        <w:t>"</w:t>
      </w:r>
      <w:proofErr w:type="spellStart"/>
      <w:r w:rsidR="001E3091" w:rsidRPr="00D44FD4">
        <w:fldChar w:fldCharType="begin"/>
      </w:r>
      <w:r w:rsidR="001E3091" w:rsidRPr="00D44FD4">
        <w:instrText xml:space="preserve"> HYPERLINK "http://www.itu.int/en/action/gender-equality/Documents/raising-womens-voices.pdf" </w:instrText>
      </w:r>
      <w:r w:rsidR="001E3091" w:rsidRPr="00D44FD4">
        <w:fldChar w:fldCharType="separate"/>
      </w:r>
      <w:r w:rsidRPr="00D44FD4">
        <w:rPr>
          <w:rStyle w:val="Hyperlink"/>
          <w:szCs w:val="24"/>
        </w:rPr>
        <w:t>Shaping</w:t>
      </w:r>
      <w:proofErr w:type="spellEnd"/>
      <w:r w:rsidRPr="00D44FD4">
        <w:rPr>
          <w:rStyle w:val="Hyperlink"/>
          <w:szCs w:val="24"/>
        </w:rPr>
        <w:t xml:space="preserve"> the </w:t>
      </w:r>
      <w:proofErr w:type="spellStart"/>
      <w:r w:rsidRPr="00D44FD4">
        <w:rPr>
          <w:rStyle w:val="Hyperlink"/>
          <w:szCs w:val="24"/>
        </w:rPr>
        <w:t>international</w:t>
      </w:r>
      <w:proofErr w:type="spellEnd"/>
      <w:r w:rsidRPr="00D44FD4">
        <w:rPr>
          <w:rStyle w:val="Hyperlink"/>
          <w:szCs w:val="24"/>
        </w:rPr>
        <w:t xml:space="preserve"> agenda: </w:t>
      </w:r>
      <w:proofErr w:type="spellStart"/>
      <w:r w:rsidRPr="00D44FD4">
        <w:rPr>
          <w:rStyle w:val="Hyperlink"/>
          <w:szCs w:val="24"/>
        </w:rPr>
        <w:t>Raising</w:t>
      </w:r>
      <w:proofErr w:type="spellEnd"/>
      <w:r w:rsidRPr="00D44FD4">
        <w:rPr>
          <w:rStyle w:val="Hyperlink"/>
          <w:szCs w:val="24"/>
        </w:rPr>
        <w:t xml:space="preserve"> </w:t>
      </w:r>
      <w:proofErr w:type="spellStart"/>
      <w:r w:rsidRPr="00D44FD4">
        <w:rPr>
          <w:rStyle w:val="Hyperlink"/>
          <w:szCs w:val="24"/>
        </w:rPr>
        <w:t>women’s</w:t>
      </w:r>
      <w:proofErr w:type="spellEnd"/>
      <w:r w:rsidRPr="00D44FD4">
        <w:rPr>
          <w:rStyle w:val="Hyperlink"/>
          <w:szCs w:val="24"/>
        </w:rPr>
        <w:t xml:space="preserve"> </w:t>
      </w:r>
      <w:proofErr w:type="spellStart"/>
      <w:r w:rsidRPr="00D44FD4">
        <w:rPr>
          <w:rStyle w:val="Hyperlink"/>
          <w:szCs w:val="24"/>
        </w:rPr>
        <w:t>voices</w:t>
      </w:r>
      <w:proofErr w:type="spellEnd"/>
      <w:r w:rsidRPr="00D44FD4">
        <w:rPr>
          <w:rStyle w:val="Hyperlink"/>
          <w:szCs w:val="24"/>
        </w:rPr>
        <w:t xml:space="preserve"> in </w:t>
      </w:r>
      <w:proofErr w:type="spellStart"/>
      <w:r w:rsidRPr="00D44FD4">
        <w:rPr>
          <w:rStyle w:val="Hyperlink"/>
          <w:szCs w:val="24"/>
        </w:rPr>
        <w:t>intergovernmental</w:t>
      </w:r>
      <w:proofErr w:type="spellEnd"/>
      <w:r w:rsidRPr="00D44FD4">
        <w:rPr>
          <w:rStyle w:val="Hyperlink"/>
          <w:szCs w:val="24"/>
        </w:rPr>
        <w:t xml:space="preserve"> </w:t>
      </w:r>
      <w:proofErr w:type="spellStart"/>
      <w:r w:rsidRPr="00D44FD4">
        <w:rPr>
          <w:rStyle w:val="Hyperlink"/>
          <w:szCs w:val="24"/>
        </w:rPr>
        <w:t>forums</w:t>
      </w:r>
      <w:proofErr w:type="spellEnd"/>
      <w:r w:rsidR="001E3091" w:rsidRPr="00D44FD4">
        <w:rPr>
          <w:rStyle w:val="Hyperlink"/>
          <w:szCs w:val="24"/>
        </w:rPr>
        <w:fldChar w:fldCharType="end"/>
      </w:r>
      <w:r w:rsidR="00451F56" w:rsidRPr="00D44FD4">
        <w:t>"</w:t>
      </w:r>
      <w:r w:rsidRPr="00D44FD4">
        <w:t>, la UIT sigue desplega</w:t>
      </w:r>
      <w:r w:rsidR="004A2DB1">
        <w:t>n</w:t>
      </w:r>
      <w:r w:rsidRPr="00D44FD4">
        <w:t xml:space="preserve">do esfuerzos </w:t>
      </w:r>
      <w:r w:rsidR="004A2DB1">
        <w:t xml:space="preserve">para </w:t>
      </w:r>
      <w:r w:rsidRPr="00D44FD4">
        <w:t xml:space="preserve">aumentar la participación de las mujeres en los eventos de la Unión. El personal utiliza una lista de verificación interna en la planificación de eventos con perspectiva de género. Las cartas circulares de la conferencia dirigidas a los miembros y las invitaciones a los eventos fomentan una representación equilibrada en materia de género e invitan a presentar candidaturas de mujeres para funciones esenciales. Las estadísticas se presentan en las páginas de los eventos (véase el Consejo 2019) y en la </w:t>
      </w:r>
      <w:hyperlink r:id="rId37" w:history="1">
        <w:r w:rsidRPr="00D44FD4">
          <w:rPr>
            <w:rStyle w:val="Hyperlink"/>
          </w:rPr>
          <w:t>página sobre cuestiones de género</w:t>
        </w:r>
      </w:hyperlink>
      <w:r w:rsidRPr="00D44FD4">
        <w:t xml:space="preserve"> de la UIT.</w:t>
      </w:r>
    </w:p>
    <w:p w14:paraId="57B84F6E" w14:textId="77777777" w:rsidR="00AF3242" w:rsidRPr="00D44FD4" w:rsidRDefault="00AF3242" w:rsidP="00A22F92">
      <w:pPr>
        <w:pStyle w:val="Heading2"/>
      </w:pPr>
      <w:bookmarkStart w:id="17" w:name="_Hlk2341777"/>
      <w:r w:rsidRPr="00D44FD4">
        <w:lastRenderedPageBreak/>
        <w:t>4.2</w:t>
      </w:r>
      <w:r w:rsidRPr="00D44FD4">
        <w:tab/>
        <w:t>Aprendizaje automático para determinar la duración de las intervenciones</w:t>
      </w:r>
      <w:r w:rsidRPr="00D44FD4" w:rsidDel="00FF786C">
        <w:t xml:space="preserve"> </w:t>
      </w:r>
    </w:p>
    <w:p w14:paraId="54CC1F47" w14:textId="535BE42B" w:rsidR="00AF3242" w:rsidRPr="00D44FD4" w:rsidRDefault="00AF3242" w:rsidP="00FA491F">
      <w:pPr>
        <w:rPr>
          <w:szCs w:val="24"/>
        </w:rPr>
      </w:pPr>
      <w:r w:rsidRPr="00D44FD4">
        <w:t xml:space="preserve">La UIT está colaborando con el Laboratorio de Análisis e Interpretación de Señales de la Universidad de California del Sur (USC/SAIL) para utilizar las TIC con el fin de comprender mejor la participación de las mujeres en los eventos de la UIT. Partiendo de la premisa de que no se puede arreglar lo que no se conoce, se utiliza un software basado en el aprendizaje automático para analizar la difusión por la web de conferencias en el idioma original a fin de determinar el porcentaje de voces femeninas y masculinas. Los resultados se publican en la </w:t>
      </w:r>
      <w:hyperlink r:id="rId38" w:history="1">
        <w:r w:rsidRPr="00D44FD4">
          <w:rPr>
            <w:rStyle w:val="Hyperlink"/>
          </w:rPr>
          <w:t>página sobre cuestiones de género</w:t>
        </w:r>
      </w:hyperlink>
      <w:r w:rsidRPr="00D44FD4">
        <w:t>.</w:t>
      </w:r>
      <w:bookmarkEnd w:id="17"/>
    </w:p>
    <w:p w14:paraId="35D8CB59" w14:textId="77777777" w:rsidR="00AF3242" w:rsidRPr="00D44FD4" w:rsidRDefault="00AF3242" w:rsidP="00137E15">
      <w:pPr>
        <w:pStyle w:val="Heading2"/>
        <w:rPr>
          <w:rFonts w:eastAsia="SimSun"/>
          <w:szCs w:val="24"/>
        </w:rPr>
      </w:pPr>
      <w:r w:rsidRPr="00D44FD4">
        <w:rPr>
          <w:szCs w:val="24"/>
        </w:rPr>
        <w:t>4.3</w:t>
      </w:r>
      <w:r w:rsidRPr="00D44FD4">
        <w:rPr>
          <w:szCs w:val="24"/>
        </w:rPr>
        <w:tab/>
        <w:t>Red de Mujeres de la UIT para la CMR (NOW)</w:t>
      </w:r>
    </w:p>
    <w:p w14:paraId="58FDE607" w14:textId="20CAD7EF" w:rsidR="00AF3242" w:rsidRPr="00D44FD4" w:rsidRDefault="00AF3242" w:rsidP="003B55BC">
      <w:pPr>
        <w:rPr>
          <w:rFonts w:eastAsia="Calibri" w:cs="Calibri"/>
          <w:szCs w:val="24"/>
        </w:rPr>
      </w:pPr>
      <w:r w:rsidRPr="00D44FD4">
        <w:rPr>
          <w:rFonts w:eastAsia="Calibri" w:cs="Calibri"/>
          <w:szCs w:val="24"/>
        </w:rPr>
        <w:t xml:space="preserve">La Red de Mujeres para la CMR-19 (#NOW4WRC19) es una red de intercambio de conocimientos y mentores que fomenta el </w:t>
      </w:r>
      <w:r w:rsidRPr="00D44FD4">
        <w:t>equilibrio de género en los órganos decisorios, reuniones, comisiones estatutarias y Comisiones de Estudio en los eventos del UIT-R</w:t>
      </w:r>
      <w:r w:rsidRPr="00D44FD4">
        <w:rPr>
          <w:rFonts w:eastAsia="Calibri" w:cs="Calibri"/>
          <w:szCs w:val="24"/>
        </w:rPr>
        <w:t xml:space="preserve">. El programa de mentores </w:t>
      </w:r>
      <w:hyperlink r:id="rId39" w:history="1">
        <w:r w:rsidR="0020101A" w:rsidRPr="0020101A">
          <w:rPr>
            <w:rStyle w:val="Hyperlink"/>
            <w:rFonts w:eastAsia="Calibri" w:cs="Calibri"/>
            <w:szCs w:val="24"/>
          </w:rPr>
          <w:t>NOW</w:t>
        </w:r>
      </w:hyperlink>
      <w:r w:rsidRPr="00D44FD4">
        <w:rPr>
          <w:rFonts w:eastAsia="Calibri" w:cs="Calibri"/>
          <w:szCs w:val="24"/>
        </w:rPr>
        <w:t xml:space="preserve"> (en la RPC19-2 y la CMR-19) reunió a delegados nuevos y experimentados (205 inscritos) de 70 países, y a más de 180 pares de mentores y alumnos para intercambiar conocimientos y fomentar una participación más amplia y activa de las mujeres en el proceso de la CMR. La red NOW participó en una reunión de la CMSI sobre la </w:t>
      </w:r>
      <w:hyperlink r:id="rId40" w:history="1">
        <w:r w:rsidRPr="00D44FD4">
          <w:rPr>
            <w:rStyle w:val="Hyperlink"/>
            <w:rFonts w:eastAsia="Calibri" w:cs="Calibri"/>
            <w:szCs w:val="24"/>
          </w:rPr>
          <w:t>incorporación de la perspectiva de género 50/50</w:t>
        </w:r>
      </w:hyperlink>
      <w:r w:rsidRPr="00D44FD4">
        <w:rPr>
          <w:rFonts w:eastAsia="Calibri" w:cs="Calibri"/>
          <w:szCs w:val="24"/>
        </w:rPr>
        <w:t xml:space="preserve"> en marzo de</w:t>
      </w:r>
      <w:r w:rsidR="00072A63" w:rsidRPr="00D44FD4">
        <w:rPr>
          <w:rFonts w:eastAsia="Calibri" w:cs="Calibri"/>
          <w:szCs w:val="24"/>
        </w:rPr>
        <w:t> </w:t>
      </w:r>
      <w:r w:rsidRPr="00D44FD4">
        <w:rPr>
          <w:rFonts w:eastAsia="Calibri" w:cs="Calibri"/>
          <w:szCs w:val="24"/>
        </w:rPr>
        <w:t>2019. Se organizaron sesiones y actos sociales con ocasión de la RPC19-2 en Ginebra y de la</w:t>
      </w:r>
      <w:r w:rsidR="00072A63" w:rsidRPr="00D44FD4">
        <w:rPr>
          <w:rFonts w:eastAsia="Calibri" w:cs="Calibri"/>
          <w:szCs w:val="24"/>
        </w:rPr>
        <w:t> </w:t>
      </w:r>
      <w:r w:rsidRPr="00D44FD4">
        <w:rPr>
          <w:rFonts w:eastAsia="Calibri" w:cs="Calibri"/>
          <w:szCs w:val="24"/>
        </w:rPr>
        <w:t>CMR-19 en Sharm El-</w:t>
      </w:r>
      <w:proofErr w:type="spellStart"/>
      <w:r w:rsidRPr="00D44FD4">
        <w:rPr>
          <w:rFonts w:eastAsia="Calibri" w:cs="Calibri"/>
          <w:szCs w:val="24"/>
        </w:rPr>
        <w:t>Sheikh</w:t>
      </w:r>
      <w:proofErr w:type="spellEnd"/>
      <w:r w:rsidRPr="00D44FD4">
        <w:rPr>
          <w:rFonts w:eastAsia="Calibri" w:cs="Calibri"/>
          <w:szCs w:val="24"/>
        </w:rPr>
        <w:t xml:space="preserve">. En el </w:t>
      </w:r>
      <w:hyperlink r:id="rId41" w:history="1">
        <w:r w:rsidR="003B55BC" w:rsidRPr="003B55BC">
          <w:rPr>
            <w:rStyle w:val="Hyperlink"/>
            <w:rFonts w:eastAsia="Calibri" w:cs="Calibri"/>
            <w:szCs w:val="24"/>
          </w:rPr>
          <w:t>portal web de NOW</w:t>
        </w:r>
      </w:hyperlink>
      <w:r w:rsidRPr="00D44FD4">
        <w:rPr>
          <w:rFonts w:eastAsia="Calibri" w:cs="Calibri"/>
          <w:szCs w:val="24"/>
        </w:rPr>
        <w:t xml:space="preserve"> figura información detallada al respecto, incluidas las </w:t>
      </w:r>
      <w:hyperlink r:id="rId42" w:history="1">
        <w:r w:rsidRPr="00D44FD4">
          <w:rPr>
            <w:rStyle w:val="Hyperlink"/>
            <w:rFonts w:eastAsia="Calibri" w:cs="Calibri"/>
            <w:szCs w:val="24"/>
          </w:rPr>
          <w:t>fotos de la recepción de la CMR-19</w:t>
        </w:r>
      </w:hyperlink>
      <w:r w:rsidRPr="00D44FD4">
        <w:rPr>
          <w:rFonts w:eastAsia="Calibri" w:cs="Calibri"/>
          <w:szCs w:val="24"/>
        </w:rPr>
        <w:t xml:space="preserve"> organizada por Egipto.</w:t>
      </w:r>
    </w:p>
    <w:p w14:paraId="1F6E8C70" w14:textId="287E2D39" w:rsidR="00AF3242" w:rsidRPr="00D44FD4" w:rsidRDefault="00AF3242" w:rsidP="00137E15">
      <w:pPr>
        <w:rPr>
          <w:rFonts w:eastAsia="Calibri" w:cs="Calibri"/>
          <w:szCs w:val="24"/>
        </w:rPr>
      </w:pPr>
      <w:r w:rsidRPr="00D44FD4">
        <w:rPr>
          <w:rFonts w:eastAsia="Calibri" w:cs="Calibri"/>
          <w:szCs w:val="24"/>
        </w:rPr>
        <w:t xml:space="preserve">La CMR adoptó una Declaración sobre el fomento de la igualdad, la equidad y la paridad de género en el sector de las radiocomunicaciones de la UIT, en la que se reconoce la necesidad de acelerar los esfuerzos en pro de la igualdad, la equidad y la paridad de género en la comunidad de la UIT. Véase también la </w:t>
      </w:r>
      <w:hyperlink r:id="rId43" w:history="1">
        <w:r w:rsidRPr="00D44FD4">
          <w:rPr>
            <w:rStyle w:val="Hyperlink"/>
            <w:rFonts w:eastAsia="Calibri" w:cs="Calibri"/>
            <w:szCs w:val="24"/>
          </w:rPr>
          <w:t>Declaración del Director de la BR</w:t>
        </w:r>
      </w:hyperlink>
      <w:r w:rsidRPr="00D44FD4">
        <w:rPr>
          <w:rFonts w:eastAsia="Calibri" w:cs="Calibri"/>
          <w:szCs w:val="24"/>
        </w:rPr>
        <w:t xml:space="preserve"> y </w:t>
      </w:r>
      <w:hyperlink r:id="rId44" w:history="1">
        <w:r w:rsidR="002F257C" w:rsidRPr="002F257C">
          <w:rPr>
            <w:rStyle w:val="Hyperlink"/>
            <w:rFonts w:eastAsia="Calibri" w:cs="Calibri"/>
            <w:szCs w:val="24"/>
          </w:rPr>
          <w:t>Comunicado de la UIT</w:t>
        </w:r>
      </w:hyperlink>
      <w:r w:rsidRPr="00D44FD4">
        <w:rPr>
          <w:rFonts w:eastAsia="Calibri" w:cs="Calibri"/>
          <w:szCs w:val="24"/>
        </w:rPr>
        <w:t>.</w:t>
      </w:r>
    </w:p>
    <w:p w14:paraId="6F0E5BC2" w14:textId="77777777" w:rsidR="00AF3242" w:rsidRPr="00D44FD4" w:rsidRDefault="00AF3242" w:rsidP="00137E15">
      <w:pPr>
        <w:pStyle w:val="Heading2"/>
        <w:rPr>
          <w:szCs w:val="24"/>
        </w:rPr>
      </w:pPr>
      <w:r w:rsidRPr="00D44FD4">
        <w:rPr>
          <w:szCs w:val="24"/>
        </w:rPr>
        <w:t>4.4</w:t>
      </w:r>
      <w:r w:rsidRPr="00D44FD4">
        <w:rPr>
          <w:szCs w:val="24"/>
        </w:rPr>
        <w:tab/>
      </w:r>
      <w:bookmarkStart w:id="18" w:name="lt_pId089"/>
      <w:r w:rsidRPr="00D44FD4">
        <w:rPr>
          <w:szCs w:val="24"/>
        </w:rPr>
        <w:t>Establecer la norma para la igualdad de género</w:t>
      </w:r>
      <w:bookmarkEnd w:id="18"/>
    </w:p>
    <w:p w14:paraId="14E30EBA" w14:textId="0DBAD8F8" w:rsidR="00AF3242" w:rsidRPr="00D44FD4" w:rsidRDefault="00AF3242" w:rsidP="00FA491F">
      <w:pPr>
        <w:rPr>
          <w:rFonts w:eastAsia="SimSun"/>
          <w:szCs w:val="24"/>
        </w:rPr>
      </w:pPr>
      <w:bookmarkStart w:id="19" w:name="_Hlk2181458"/>
      <w:r w:rsidRPr="00D44FD4">
        <w:t xml:space="preserve">El </w:t>
      </w:r>
      <w:proofErr w:type="gramStart"/>
      <w:r w:rsidRPr="00D44FD4">
        <w:t>Director</w:t>
      </w:r>
      <w:proofErr w:type="gramEnd"/>
      <w:r w:rsidRPr="00D44FD4">
        <w:t xml:space="preserve"> de la TSB, Dr. Chaesub Lee, sigue tomando medidas para aumentar la igualdad de género en la TSB y el UIT</w:t>
      </w:r>
      <w:r w:rsidRPr="00D44FD4">
        <w:noBreakHyphen/>
        <w:t>T</w:t>
      </w:r>
      <w:r w:rsidRPr="00D44FD4">
        <w:rPr>
          <w:rFonts w:eastAsia="SimSun"/>
          <w:szCs w:val="24"/>
        </w:rPr>
        <w:t>. En 2019, el 80</w:t>
      </w:r>
      <w:r w:rsidR="002F257C">
        <w:rPr>
          <w:rFonts w:eastAsia="SimSun"/>
          <w:szCs w:val="24"/>
        </w:rPr>
        <w:t>%</w:t>
      </w:r>
      <w:r w:rsidRPr="00D44FD4">
        <w:rPr>
          <w:rFonts w:eastAsia="SimSun"/>
          <w:szCs w:val="24"/>
        </w:rPr>
        <w:t xml:space="preserve"> </w:t>
      </w:r>
      <w:r w:rsidRPr="00D44FD4">
        <w:t>de las promociones en la TSB se concedieron a mujeres de la categoría profesional</w:t>
      </w:r>
      <w:r w:rsidRPr="00D44FD4">
        <w:rPr>
          <w:rFonts w:eastAsia="SimSun"/>
          <w:szCs w:val="24"/>
        </w:rPr>
        <w:t xml:space="preserve">. Además, la Secretaría está utilizando el talento interno para desarrollar programas informáticos y aplicaciones como el reconocimiento de voz profundo (DVR) para ayudar a conocer los datos sobre la </w:t>
      </w:r>
      <w:proofErr w:type="gramStart"/>
      <w:r w:rsidRPr="00D44FD4">
        <w:rPr>
          <w:rFonts w:eastAsia="SimSun"/>
          <w:szCs w:val="24"/>
        </w:rPr>
        <w:t>participación activa</w:t>
      </w:r>
      <w:proofErr w:type="gramEnd"/>
      <w:r w:rsidRPr="00D44FD4">
        <w:rPr>
          <w:rFonts w:eastAsia="SimSun"/>
          <w:szCs w:val="24"/>
        </w:rPr>
        <w:t xml:space="preserve"> desglosados por hombres y mujeres en las actividades del UIT-T con el fin de fomentar una mayor participación de las mujeres. La Cumbre AI para el Bien, una iniciativa de la </w:t>
      </w:r>
      <w:proofErr w:type="gramStart"/>
      <w:r w:rsidRPr="00D44FD4">
        <w:rPr>
          <w:rFonts w:eastAsia="SimSun"/>
          <w:szCs w:val="24"/>
        </w:rPr>
        <w:t>TSB,</w:t>
      </w:r>
      <w:proofErr w:type="gramEnd"/>
      <w:r w:rsidRPr="00D44FD4">
        <w:rPr>
          <w:rFonts w:eastAsia="SimSun"/>
          <w:szCs w:val="24"/>
        </w:rPr>
        <w:t xml:space="preserve"> sigue centrándose en el aumento del número de oradores femeninos sobre temas técnicos; el 36% de los oradores expertos en la Cumbre AI de</w:t>
      </w:r>
      <w:r w:rsidR="00072A63" w:rsidRPr="00D44FD4">
        <w:rPr>
          <w:rFonts w:eastAsia="SimSun"/>
          <w:szCs w:val="24"/>
        </w:rPr>
        <w:t> </w:t>
      </w:r>
      <w:r w:rsidRPr="00D44FD4">
        <w:rPr>
          <w:rFonts w:eastAsia="SimSun"/>
          <w:szCs w:val="24"/>
        </w:rPr>
        <w:t>2019 fueron mujeres. La TSB también sigue colaborando con otras organizaciones de normalización y organismos de las Naciones Unidas para garantizar que los procesos normativos sean inclusivos y que las normas elaboradas tengan en cuenta las cuestiones de género.</w:t>
      </w:r>
    </w:p>
    <w:p w14:paraId="65B8A2C0" w14:textId="77777777" w:rsidR="00AF3242" w:rsidRPr="00D44FD4" w:rsidRDefault="00AF3242" w:rsidP="00137E15">
      <w:pPr>
        <w:pStyle w:val="Heading2"/>
        <w:keepNext w:val="0"/>
        <w:keepLines w:val="0"/>
        <w:widowControl w:val="0"/>
        <w:rPr>
          <w:szCs w:val="24"/>
        </w:rPr>
      </w:pPr>
      <w:r w:rsidRPr="00D44FD4">
        <w:rPr>
          <w:szCs w:val="24"/>
        </w:rPr>
        <w:t>4.5</w:t>
      </w:r>
      <w:r w:rsidRPr="00D44FD4">
        <w:rPr>
          <w:szCs w:val="24"/>
        </w:rPr>
        <w:tab/>
        <w:t xml:space="preserve">ITU Telecom </w:t>
      </w:r>
      <w:proofErr w:type="spellStart"/>
      <w:r w:rsidRPr="00D44FD4">
        <w:rPr>
          <w:szCs w:val="24"/>
        </w:rPr>
        <w:t>World</w:t>
      </w:r>
      <w:proofErr w:type="spellEnd"/>
      <w:r w:rsidRPr="00D44FD4">
        <w:rPr>
          <w:szCs w:val="24"/>
        </w:rPr>
        <w:t xml:space="preserve"> 2019</w:t>
      </w:r>
    </w:p>
    <w:p w14:paraId="77488DE4" w14:textId="2F1B300B" w:rsidR="00AF3242" w:rsidRPr="00D44FD4" w:rsidRDefault="00AF3242" w:rsidP="00FA491F">
      <w:pPr>
        <w:rPr>
          <w:rFonts w:eastAsia="SimSun"/>
        </w:rPr>
      </w:pPr>
      <w:r w:rsidRPr="00D44FD4">
        <w:rPr>
          <w:rFonts w:eastAsia="SimSun"/>
        </w:rPr>
        <w:t xml:space="preserve">En el marco del compromiso de la UIT de aplicar los principios del compromiso de paridad en las reuniones de los Campeones Internacionales de Género, ITU Telecom </w:t>
      </w:r>
      <w:proofErr w:type="spellStart"/>
      <w:r w:rsidRPr="00D44FD4">
        <w:rPr>
          <w:rFonts w:eastAsia="SimSun"/>
        </w:rPr>
        <w:t>World</w:t>
      </w:r>
      <w:proofErr w:type="spellEnd"/>
      <w:r w:rsidRPr="00D44FD4">
        <w:rPr>
          <w:rFonts w:eastAsia="SimSun"/>
        </w:rPr>
        <w:t xml:space="preserve"> 2019 continuó desplegando esfuerzos para lograr el equilibrio de género en las reuniones del Foro, alcanzando un</w:t>
      </w:r>
      <w:r w:rsidR="00011563">
        <w:rPr>
          <w:rFonts w:eastAsia="SimSun"/>
        </w:rPr>
        <w:t> </w:t>
      </w:r>
      <w:r w:rsidRPr="00D44FD4">
        <w:rPr>
          <w:rFonts w:eastAsia="SimSun"/>
        </w:rPr>
        <w:t xml:space="preserve">30% de oradoras en 2019, la proporción más alta registrada hasta la fecha, con una sola reunión de sólo hombres. ITU Telecom </w:t>
      </w:r>
      <w:proofErr w:type="spellStart"/>
      <w:r w:rsidRPr="00D44FD4">
        <w:rPr>
          <w:rFonts w:eastAsia="SimSun"/>
        </w:rPr>
        <w:t>World</w:t>
      </w:r>
      <w:proofErr w:type="spellEnd"/>
      <w:r w:rsidRPr="00D44FD4">
        <w:rPr>
          <w:rFonts w:eastAsia="SimSun"/>
        </w:rPr>
        <w:t xml:space="preserve"> seguirá trabajando para alcanzar el objetivo de lograr la plena igualdad en las reuniones.</w:t>
      </w:r>
    </w:p>
    <w:bookmarkEnd w:id="19"/>
    <w:p w14:paraId="3578647B" w14:textId="77777777" w:rsidR="00AF3242" w:rsidRPr="00D44FD4" w:rsidRDefault="00AF3242" w:rsidP="001518AC">
      <w:pPr>
        <w:pStyle w:val="Heading1"/>
        <w:widowControl w:val="0"/>
        <w:rPr>
          <w:sz w:val="24"/>
          <w:szCs w:val="24"/>
        </w:rPr>
      </w:pPr>
      <w:r w:rsidRPr="00D44FD4">
        <w:lastRenderedPageBreak/>
        <w:t>5</w:t>
      </w:r>
      <w:r w:rsidRPr="00D44FD4">
        <w:tab/>
      </w:r>
      <w:proofErr w:type="gramStart"/>
      <w:r w:rsidRPr="00D44FD4">
        <w:t>Sensibilización</w:t>
      </w:r>
      <w:proofErr w:type="gramEnd"/>
      <w:r w:rsidRPr="00D44FD4">
        <w:t xml:space="preserve"> institucional sobre la igualdad e integración de género</w:t>
      </w:r>
    </w:p>
    <w:p w14:paraId="66B397E0" w14:textId="77777777" w:rsidR="00AF3242" w:rsidRPr="00D44FD4" w:rsidRDefault="00AF3242" w:rsidP="00137E15">
      <w:pPr>
        <w:pStyle w:val="Heading2"/>
        <w:keepNext w:val="0"/>
        <w:keepLines w:val="0"/>
        <w:widowControl w:val="0"/>
        <w:rPr>
          <w:rFonts w:eastAsia="SimSun"/>
          <w:szCs w:val="24"/>
        </w:rPr>
      </w:pPr>
      <w:r w:rsidRPr="00D44FD4">
        <w:rPr>
          <w:szCs w:val="24"/>
        </w:rPr>
        <w:t>5.1</w:t>
      </w:r>
      <w:r w:rsidRPr="00D44FD4">
        <w:rPr>
          <w:szCs w:val="24"/>
        </w:rPr>
        <w:tab/>
        <w:t>Campeones Internacionales de Género de Ginebra</w:t>
      </w:r>
    </w:p>
    <w:p w14:paraId="12D65A5F" w14:textId="6D34334D" w:rsidR="00AF3242" w:rsidRPr="00D44FD4" w:rsidRDefault="00AF3242" w:rsidP="00FA491F">
      <w:r w:rsidRPr="00D44FD4">
        <w:t xml:space="preserve">El Secretario General de la UIT es miembro fundador de la iniciativa </w:t>
      </w:r>
      <w:hyperlink r:id="rId45" w:history="1">
        <w:r w:rsidRPr="00D44FD4">
          <w:rPr>
            <w:rStyle w:val="Hyperlink"/>
            <w:rFonts w:cs="Calibri"/>
            <w:bCs/>
            <w:szCs w:val="24"/>
          </w:rPr>
          <w:t>Campeones Internacionales de Género</w:t>
        </w:r>
      </w:hyperlink>
      <w:r w:rsidRPr="00D44FD4">
        <w:t xml:space="preserve"> (CIG) en su versión ginebrina. Además de la promesa de paridad en las reuniones para evitar reuniones de un solo sexo, el Secretario General se </w:t>
      </w:r>
      <w:hyperlink r:id="rId46" w:history="1">
        <w:r w:rsidRPr="00D44FD4">
          <w:rPr>
            <w:rStyle w:val="Hyperlink"/>
            <w:rFonts w:cs="Calibri"/>
            <w:bCs/>
            <w:szCs w:val="24"/>
          </w:rPr>
          <w:t>compromete</w:t>
        </w:r>
      </w:hyperlink>
      <w:r w:rsidRPr="00D44FD4">
        <w:t xml:space="preserve"> a proseguir los trabajos para: 1) sensibilizar y promover la igualdad de acceso a la infraestructura de las TIC; y 2) aumentar el número de países que recopilan y difunden datos mundiales, regionales y nacionales sobre las</w:t>
      </w:r>
      <w:r w:rsidR="00072A63" w:rsidRPr="00D44FD4">
        <w:t> </w:t>
      </w:r>
      <w:r w:rsidRPr="00D44FD4">
        <w:t>TIC desglosados por sexo y edad en relación con el acceso y la utilización de las TIC y las aptitudes digitales. Con respecto a lo primero, la UIT realizó investigaciones sobre la mujer, las TIC y las telecomunicaciones de emergencia, que se presentarán en un informe conjunto con el Consorcio de Telecomunicaciones de Emergencia (ETC) en abril de 2020.</w:t>
      </w:r>
    </w:p>
    <w:p w14:paraId="4455BADD" w14:textId="77777777" w:rsidR="00AF3242" w:rsidRPr="00D44FD4" w:rsidRDefault="00AF3242" w:rsidP="00137E15">
      <w:pPr>
        <w:pStyle w:val="Heading2"/>
        <w:keepNext w:val="0"/>
        <w:keepLines w:val="0"/>
        <w:widowControl w:val="0"/>
        <w:rPr>
          <w:rFonts w:eastAsia="SimSun"/>
        </w:rPr>
      </w:pPr>
      <w:r w:rsidRPr="00D44FD4">
        <w:rPr>
          <w:szCs w:val="24"/>
        </w:rPr>
        <w:t>5.2</w:t>
      </w:r>
      <w:r w:rsidRPr="00D44FD4">
        <w:rPr>
          <w:szCs w:val="24"/>
        </w:rPr>
        <w:tab/>
        <w:t>Entorno profesional seguro en la UIT</w:t>
      </w:r>
    </w:p>
    <w:p w14:paraId="27EE8DA6" w14:textId="110A3532" w:rsidR="00AF3242" w:rsidRPr="00D44FD4" w:rsidRDefault="00AF3242" w:rsidP="00FA491F">
      <w:r w:rsidRPr="00D44FD4">
        <w:t xml:space="preserve">La UIT sigue procurando garantizar un entorno de trabajo seguro y armonioso para todos. La UIT participa en el </w:t>
      </w:r>
      <w:r w:rsidRPr="00D44FD4">
        <w:rPr>
          <w:rFonts w:eastAsia="SimSun"/>
          <w:szCs w:val="24"/>
        </w:rPr>
        <w:t>Grupo</w:t>
      </w:r>
      <w:r w:rsidRPr="00D44FD4">
        <w:t xml:space="preserve"> Especial de la Junta de Jefes Ejecutivos (JJE) para erradicar el acoso sexual en el sistema de las Naciones Unidas. La labor se concentra en mejorar los mecanismos de prevención y respuesta al acoso sexual. La UIT también ha participado en el Subgrupo de Trabajo encargado de elaborar un código de conducta para evitar el acoso sexual durante los eventos de las Naciones Unidas o al margen de </w:t>
      </w:r>
      <w:proofErr w:type="gramStart"/>
      <w:r w:rsidRPr="00D44FD4">
        <w:t>los mismos</w:t>
      </w:r>
      <w:proofErr w:type="gramEnd"/>
      <w:r w:rsidRPr="00D44FD4">
        <w:t xml:space="preserve">. El pasado mes de septiembre se envió una carta circular en la que se informaba de la adopción del </w:t>
      </w:r>
      <w:hyperlink r:id="rId47" w:history="1">
        <w:r w:rsidRPr="00D44FD4">
          <w:rPr>
            <w:rStyle w:val="Hyperlink"/>
          </w:rPr>
          <w:t>código</w:t>
        </w:r>
      </w:hyperlink>
      <w:r w:rsidRPr="00D44FD4">
        <w:t xml:space="preserve"> para todos los eventos, independientemente del lugar de celebración, así como de su incorporación en el registro de eventos en línea. El código también es accesible desde el </w:t>
      </w:r>
      <w:hyperlink r:id="rId48" w:history="1">
        <w:r w:rsidR="00547FC5" w:rsidRPr="00547FC5">
          <w:rPr>
            <w:rStyle w:val="Hyperlink"/>
          </w:rPr>
          <w:t xml:space="preserve">Rincón del </w:t>
        </w:r>
        <w:proofErr w:type="gramStart"/>
        <w:r w:rsidR="00547FC5" w:rsidRPr="00547FC5">
          <w:rPr>
            <w:rStyle w:val="Hyperlink"/>
          </w:rPr>
          <w:t>Delegado</w:t>
        </w:r>
        <w:proofErr w:type="gramEnd"/>
      </w:hyperlink>
      <w:r w:rsidR="00547FC5">
        <w:t xml:space="preserve"> </w:t>
      </w:r>
      <w:r w:rsidRPr="00D44FD4">
        <w:t>de la UIT.</w:t>
      </w:r>
    </w:p>
    <w:p w14:paraId="05BCD939" w14:textId="77777777" w:rsidR="00AF3242" w:rsidRPr="00D44FD4" w:rsidRDefault="00AF3242" w:rsidP="00137E15">
      <w:pPr>
        <w:pStyle w:val="Heading2"/>
        <w:keepNext w:val="0"/>
        <w:keepLines w:val="0"/>
        <w:widowControl w:val="0"/>
        <w:rPr>
          <w:szCs w:val="24"/>
        </w:rPr>
      </w:pPr>
      <w:r w:rsidRPr="00D44FD4">
        <w:rPr>
          <w:szCs w:val="24"/>
        </w:rPr>
        <w:t>5.3</w:t>
      </w:r>
      <w:r w:rsidRPr="00D44FD4">
        <w:rPr>
          <w:szCs w:val="24"/>
        </w:rPr>
        <w:tab/>
        <w:t xml:space="preserve">ONU-SWAP e igualdad e integración de género en la UIT </w:t>
      </w:r>
    </w:p>
    <w:p w14:paraId="38E610DC" w14:textId="6505D21B" w:rsidR="00AF3242" w:rsidRPr="00D44FD4" w:rsidRDefault="00AF3242" w:rsidP="00FA491F">
      <w:pPr>
        <w:rPr>
          <w:bCs/>
        </w:rPr>
      </w:pPr>
      <w:r w:rsidRPr="00D44FD4">
        <w:t>El Plan de Acción para todo el sistema de las Naciones Unidas sobre la igualdad de género y el empoderamiento de las mujeres (ONU-SWAP) es el marco de rendición de cuentas aplicable a todos los organismos de la ONU con objeto de evaluar y supervisar un conjunto común de normas sobre igualdad de género y lograr avances al respect</w:t>
      </w:r>
      <w:r w:rsidR="00DE2088" w:rsidRPr="00D44FD4">
        <w:t>o</w:t>
      </w:r>
      <w:r w:rsidRPr="00D44FD4">
        <w:t xml:space="preserve">. </w:t>
      </w:r>
      <w:r w:rsidRPr="00D44FD4">
        <w:rPr>
          <w:bCs/>
        </w:rPr>
        <w:t xml:space="preserve">En 2018, la UIT "cumplió" o "superó" los requisitos de 5 de los 17 indicadores de </w:t>
      </w:r>
      <w:proofErr w:type="gramStart"/>
      <w:r w:rsidRPr="00D44FD4">
        <w:rPr>
          <w:bCs/>
        </w:rPr>
        <w:t>ONU</w:t>
      </w:r>
      <w:proofErr w:type="gramEnd"/>
      <w:r w:rsidRPr="00D44FD4">
        <w:rPr>
          <w:bCs/>
        </w:rPr>
        <w:t xml:space="preserve">-SWAP2.0. Se elogió a la UIT por aplicar la nueva formación obligatoria en materia de género, así como por informar al Consejo sobre los resultados de </w:t>
      </w:r>
      <w:proofErr w:type="gramStart"/>
      <w:r w:rsidRPr="00D44FD4">
        <w:rPr>
          <w:bCs/>
        </w:rPr>
        <w:t>ONU</w:t>
      </w:r>
      <w:proofErr w:type="gramEnd"/>
      <w:r w:rsidRPr="00D44FD4">
        <w:rPr>
          <w:bCs/>
        </w:rPr>
        <w:t xml:space="preserve">-SWAP. Se alentó a mejorar los indicadores de rendimiento que todavía "faltan", como el </w:t>
      </w:r>
      <w:r w:rsidRPr="00D44FD4">
        <w:rPr>
          <w:rFonts w:eastAsia="SimSun"/>
          <w:szCs w:val="24"/>
        </w:rPr>
        <w:t>establecimiento</w:t>
      </w:r>
      <w:r w:rsidRPr="00D44FD4">
        <w:rPr>
          <w:bCs/>
        </w:rPr>
        <w:t xml:space="preserve"> de un punto de referencia financiero, la mejora de la representación de las mujeres de categoría P3 y superior, la realización de una evaluación de la capacidad en materia de igualdad de género. La carta completa y el boletín de notas se presentan en la nota informativa</w:t>
      </w:r>
      <w:r w:rsidR="00E60A7A">
        <w:rPr>
          <w:bCs/>
        </w:rPr>
        <w:t> </w:t>
      </w:r>
      <w:hyperlink r:id="rId49" w:history="1">
        <w:r w:rsidR="00780F3D" w:rsidRPr="00780F3D">
          <w:rPr>
            <w:rStyle w:val="Hyperlink"/>
            <w:lang w:val="es-ES"/>
          </w:rPr>
          <w:t>C20/INF/2</w:t>
        </w:r>
      </w:hyperlink>
      <w:r w:rsidR="00AC39CF" w:rsidRPr="00D44FD4">
        <w:rPr>
          <w:bCs/>
          <w:szCs w:val="24"/>
        </w:rPr>
        <w:t>.</w:t>
      </w:r>
    </w:p>
    <w:p w14:paraId="3F2D7D2A" w14:textId="46DBD695" w:rsidR="00AF3242" w:rsidRPr="00D44FD4" w:rsidRDefault="00356898" w:rsidP="00FA491F">
      <w:r w:rsidRPr="00D44FD4">
        <w:t xml:space="preserve">La UIT sigue esforzándose por incorporar una perspectiva de género en los programas de trabajo, métodos de gestión y desarrollo de recursos humanos de la Unión. Por ejemplo, se ha incorporado un parámetro de </w:t>
      </w:r>
      <w:r w:rsidRPr="00D44FD4">
        <w:rPr>
          <w:rFonts w:eastAsia="SimSun"/>
        </w:rPr>
        <w:t>género</w:t>
      </w:r>
      <w:r w:rsidRPr="00D44FD4">
        <w:t xml:space="preserve"> en el sistema electrónico de gestión del rendimiento y desarrollo (</w:t>
      </w:r>
      <w:proofErr w:type="spellStart"/>
      <w:r w:rsidRPr="00D44FD4">
        <w:t>ePMDS</w:t>
      </w:r>
      <w:proofErr w:type="spellEnd"/>
      <w:r w:rsidRPr="00D44FD4">
        <w:t>) del personal. Actualmente se está llevando a cabo un examen de la política de igualdad</w:t>
      </w:r>
      <w:r w:rsidR="00FA491F" w:rsidRPr="00D44FD4">
        <w:t> </w:t>
      </w:r>
      <w:r w:rsidRPr="00D44FD4">
        <w:t xml:space="preserve">de género e incorporación de la perspectiva de género de 2013; varios grupos temáticos y entrevistas individuales servirán de base para la nueva política, que se armonizará con los 17 indicadores de </w:t>
      </w:r>
      <w:proofErr w:type="gramStart"/>
      <w:r w:rsidRPr="00D44FD4">
        <w:t>ONU</w:t>
      </w:r>
      <w:proofErr w:type="gramEnd"/>
      <w:r w:rsidRPr="00D44FD4">
        <w:t>-SWAP</w:t>
      </w:r>
      <w:r w:rsidR="00AF3242" w:rsidRPr="00D44FD4">
        <w:t>.</w:t>
      </w:r>
    </w:p>
    <w:p w14:paraId="288E0439" w14:textId="77777777" w:rsidR="00FA491F" w:rsidRPr="00D44FD4" w:rsidRDefault="00FA491F">
      <w:pPr>
        <w:jc w:val="center"/>
      </w:pPr>
      <w:bookmarkStart w:id="20" w:name="_GoBack"/>
      <w:bookmarkEnd w:id="20"/>
      <w:r w:rsidRPr="00D44FD4">
        <w:t>______________</w:t>
      </w:r>
    </w:p>
    <w:sectPr w:rsidR="00FA491F" w:rsidRPr="00D44FD4" w:rsidSect="006710F6">
      <w:headerReference w:type="default" r:id="rId50"/>
      <w:footerReference w:type="first" r:id="rId5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7E16B" w14:textId="77777777" w:rsidR="00F760FA" w:rsidRDefault="00F760FA">
      <w:r>
        <w:separator/>
      </w:r>
    </w:p>
  </w:endnote>
  <w:endnote w:type="continuationSeparator" w:id="0">
    <w:p w14:paraId="7B639578" w14:textId="77777777" w:rsidR="00F760FA" w:rsidRDefault="00F7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73415" w14:textId="3B5F80FA" w:rsidR="00776AE7" w:rsidRPr="00106565" w:rsidRDefault="00106565" w:rsidP="00106565">
    <w:pPr>
      <w:pStyle w:val="Footer"/>
      <w:jc w:val="center"/>
      <w:rPr>
        <w:lang w:val="en-GB"/>
      </w:rPr>
    </w:pPr>
    <w:r w:rsidRPr="00106565">
      <w:rPr>
        <w:lang w:val="en-GB"/>
      </w:rPr>
      <w:t xml:space="preserve">• </w:t>
    </w:r>
    <w:hyperlink r:id="rId1" w:history="1">
      <w:r w:rsidRPr="00FC5673">
        <w:rPr>
          <w:rStyle w:val="Hyperlink"/>
          <w:caps w:val="0"/>
          <w:lang w:val="en-GB"/>
        </w:rPr>
        <w:t>http://www.itu.int/council</w:t>
      </w:r>
    </w:hyperlink>
    <w:r w:rsidRPr="00106565">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CEB97" w14:textId="77777777" w:rsidR="00F760FA" w:rsidRDefault="00F760FA">
      <w:r>
        <w:t>____________________</w:t>
      </w:r>
    </w:p>
  </w:footnote>
  <w:footnote w:type="continuationSeparator" w:id="0">
    <w:p w14:paraId="46E7EFD8" w14:textId="77777777" w:rsidR="00F760FA" w:rsidRDefault="00F76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A730"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7D8C5C9" w14:textId="49EEC4F6" w:rsidR="00760F1C" w:rsidRDefault="00760F1C" w:rsidP="00C2727F">
    <w:pPr>
      <w:pStyle w:val="Header"/>
    </w:pPr>
    <w:r>
      <w:t>C</w:t>
    </w:r>
    <w:r w:rsidR="007955DA">
      <w:t>20</w:t>
    </w:r>
    <w:r>
      <w:t>/</w:t>
    </w:r>
    <w:r w:rsidR="00AF3242">
      <w:t>6</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593B"/>
    <w:multiLevelType w:val="multilevel"/>
    <w:tmpl w:val="0574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92"/>
    <w:rsid w:val="00011563"/>
    <w:rsid w:val="00072A63"/>
    <w:rsid w:val="00093EEB"/>
    <w:rsid w:val="000B0D00"/>
    <w:rsid w:val="000B7C15"/>
    <w:rsid w:val="000D1D0F"/>
    <w:rsid w:val="000F5290"/>
    <w:rsid w:val="0010165C"/>
    <w:rsid w:val="00106565"/>
    <w:rsid w:val="00137E15"/>
    <w:rsid w:val="00146BFB"/>
    <w:rsid w:val="001518AC"/>
    <w:rsid w:val="00195DBD"/>
    <w:rsid w:val="001E3091"/>
    <w:rsid w:val="001F14A2"/>
    <w:rsid w:val="0020101A"/>
    <w:rsid w:val="00237F5B"/>
    <w:rsid w:val="002801AA"/>
    <w:rsid w:val="002A3723"/>
    <w:rsid w:val="002C4676"/>
    <w:rsid w:val="002C70B0"/>
    <w:rsid w:val="002E6B4F"/>
    <w:rsid w:val="002F257C"/>
    <w:rsid w:val="002F3CC4"/>
    <w:rsid w:val="00356898"/>
    <w:rsid w:val="003853C3"/>
    <w:rsid w:val="003B55BC"/>
    <w:rsid w:val="003C1763"/>
    <w:rsid w:val="003D0AD8"/>
    <w:rsid w:val="004238A2"/>
    <w:rsid w:val="00451F56"/>
    <w:rsid w:val="004A2DB1"/>
    <w:rsid w:val="005100A6"/>
    <w:rsid w:val="00513630"/>
    <w:rsid w:val="00547FC5"/>
    <w:rsid w:val="00560125"/>
    <w:rsid w:val="00585553"/>
    <w:rsid w:val="005B34D9"/>
    <w:rsid w:val="005D0CCF"/>
    <w:rsid w:val="005F3BCB"/>
    <w:rsid w:val="005F410F"/>
    <w:rsid w:val="0060149A"/>
    <w:rsid w:val="00601924"/>
    <w:rsid w:val="006447EA"/>
    <w:rsid w:val="0064731F"/>
    <w:rsid w:val="00664572"/>
    <w:rsid w:val="006710F6"/>
    <w:rsid w:val="0067312A"/>
    <w:rsid w:val="006C1B56"/>
    <w:rsid w:val="006D16A3"/>
    <w:rsid w:val="006D4761"/>
    <w:rsid w:val="006D7993"/>
    <w:rsid w:val="0072584A"/>
    <w:rsid w:val="00726872"/>
    <w:rsid w:val="00760F1C"/>
    <w:rsid w:val="007657F0"/>
    <w:rsid w:val="0077252D"/>
    <w:rsid w:val="007767BB"/>
    <w:rsid w:val="00776AE7"/>
    <w:rsid w:val="00780F3D"/>
    <w:rsid w:val="007955DA"/>
    <w:rsid w:val="007960D0"/>
    <w:rsid w:val="007E121D"/>
    <w:rsid w:val="007E5DD3"/>
    <w:rsid w:val="007F350B"/>
    <w:rsid w:val="00820BE4"/>
    <w:rsid w:val="008451E8"/>
    <w:rsid w:val="0085612B"/>
    <w:rsid w:val="0089552D"/>
    <w:rsid w:val="008A4B3A"/>
    <w:rsid w:val="008B5DE1"/>
    <w:rsid w:val="00913B9C"/>
    <w:rsid w:val="00956E77"/>
    <w:rsid w:val="00971089"/>
    <w:rsid w:val="00972644"/>
    <w:rsid w:val="009A3A18"/>
    <w:rsid w:val="009E2315"/>
    <w:rsid w:val="009F4811"/>
    <w:rsid w:val="00A028D0"/>
    <w:rsid w:val="00A22F92"/>
    <w:rsid w:val="00A23A88"/>
    <w:rsid w:val="00A849B0"/>
    <w:rsid w:val="00AA390C"/>
    <w:rsid w:val="00AC39CF"/>
    <w:rsid w:val="00AF3242"/>
    <w:rsid w:val="00B0200A"/>
    <w:rsid w:val="00B574DB"/>
    <w:rsid w:val="00B826C2"/>
    <w:rsid w:val="00B8298E"/>
    <w:rsid w:val="00B9427C"/>
    <w:rsid w:val="00BB022C"/>
    <w:rsid w:val="00BD0723"/>
    <w:rsid w:val="00BD2518"/>
    <w:rsid w:val="00BF1D1C"/>
    <w:rsid w:val="00C20C59"/>
    <w:rsid w:val="00C2727F"/>
    <w:rsid w:val="00C55B1F"/>
    <w:rsid w:val="00CC7949"/>
    <w:rsid w:val="00CD72BC"/>
    <w:rsid w:val="00CF1A67"/>
    <w:rsid w:val="00D2750E"/>
    <w:rsid w:val="00D44FD4"/>
    <w:rsid w:val="00D5032B"/>
    <w:rsid w:val="00D62446"/>
    <w:rsid w:val="00DA4EA2"/>
    <w:rsid w:val="00DC3CA0"/>
    <w:rsid w:val="00DC3D3E"/>
    <w:rsid w:val="00DE2088"/>
    <w:rsid w:val="00DE2C90"/>
    <w:rsid w:val="00DE3B24"/>
    <w:rsid w:val="00E06947"/>
    <w:rsid w:val="00E3592D"/>
    <w:rsid w:val="00E57D40"/>
    <w:rsid w:val="00E60A7A"/>
    <w:rsid w:val="00E92DE8"/>
    <w:rsid w:val="00EB1212"/>
    <w:rsid w:val="00ED5E09"/>
    <w:rsid w:val="00ED65AB"/>
    <w:rsid w:val="00EF19D6"/>
    <w:rsid w:val="00F077DA"/>
    <w:rsid w:val="00F12850"/>
    <w:rsid w:val="00F33BF4"/>
    <w:rsid w:val="00F7105E"/>
    <w:rsid w:val="00F75F57"/>
    <w:rsid w:val="00F760FA"/>
    <w:rsid w:val="00F77992"/>
    <w:rsid w:val="00F82FEE"/>
    <w:rsid w:val="00FA491F"/>
    <w:rsid w:val="00FC5673"/>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825B08"/>
  <w15:docId w15:val="{FC2F6244-9371-434C-83BB-9EA869BC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link w:val="Heading3Char"/>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F77992"/>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US"/>
    </w:rPr>
  </w:style>
  <w:style w:type="paragraph" w:customStyle="1" w:styleId="TableText0">
    <w:name w:val="Table_Text"/>
    <w:basedOn w:val="Normal"/>
    <w:rsid w:val="00776AE7"/>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character" w:styleId="Strong">
    <w:name w:val="Strong"/>
    <w:basedOn w:val="DefaultParagraphFont"/>
    <w:uiPriority w:val="22"/>
    <w:qFormat/>
    <w:rsid w:val="00776AE7"/>
    <w:rPr>
      <w:b/>
      <w:bCs/>
    </w:rPr>
  </w:style>
  <w:style w:type="character" w:customStyle="1" w:styleId="th-tx">
    <w:name w:val="th-tx"/>
    <w:basedOn w:val="DefaultParagraphFont"/>
    <w:rsid w:val="00776AE7"/>
  </w:style>
  <w:style w:type="paragraph" w:customStyle="1" w:styleId="TableHead0">
    <w:name w:val="Table_Head"/>
    <w:basedOn w:val="TableText0"/>
    <w:rsid w:val="00776AE7"/>
    <w:pPr>
      <w:keepNext/>
      <w:spacing w:before="80" w:after="80"/>
      <w:jc w:val="center"/>
    </w:pPr>
    <w:rPr>
      <w:b/>
    </w:rPr>
  </w:style>
  <w:style w:type="character" w:customStyle="1" w:styleId="FootnoteTextChar">
    <w:name w:val="Footnote Text Char"/>
    <w:basedOn w:val="DefaultParagraphFont"/>
    <w:link w:val="FootnoteText"/>
    <w:uiPriority w:val="99"/>
    <w:rsid w:val="00A849B0"/>
    <w:rPr>
      <w:rFonts w:ascii="Calibri" w:hAnsi="Calibri"/>
      <w:sz w:val="24"/>
      <w:lang w:val="es-ES_tradnl" w:eastAsia="en-US"/>
    </w:rPr>
  </w:style>
  <w:style w:type="table" w:customStyle="1" w:styleId="TableGrid">
    <w:name w:val="TableGrid"/>
    <w:rsid w:val="00A849B0"/>
    <w:rPr>
      <w:rFonts w:asciiTheme="minorHAnsi" w:eastAsiaTheme="minorEastAsia" w:hAnsiTheme="minorHAnsi" w:cstheme="minorBidi"/>
      <w:sz w:val="22"/>
      <w:szCs w:val="22"/>
      <w:lang w:val="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849B0"/>
    <w:rPr>
      <w:color w:val="605E5C"/>
      <w:shd w:val="clear" w:color="auto" w:fill="E1DFDD"/>
    </w:rPr>
  </w:style>
  <w:style w:type="character" w:customStyle="1" w:styleId="Heading1Char">
    <w:name w:val="Heading 1 Char"/>
    <w:basedOn w:val="DefaultParagraphFont"/>
    <w:link w:val="Heading1"/>
    <w:rsid w:val="00AF3242"/>
    <w:rPr>
      <w:rFonts w:ascii="Calibri" w:hAnsi="Calibri"/>
      <w:b/>
      <w:sz w:val="28"/>
      <w:lang w:val="es-ES_tradnl" w:eastAsia="en-US"/>
    </w:rPr>
  </w:style>
  <w:style w:type="character" w:customStyle="1" w:styleId="Heading3Char">
    <w:name w:val="Heading 3 Char"/>
    <w:basedOn w:val="DefaultParagraphFont"/>
    <w:link w:val="Heading3"/>
    <w:rsid w:val="00AF3242"/>
    <w:rPr>
      <w:rFonts w:ascii="Calibri" w:hAnsi="Calibri"/>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6-CL-C-0006/es" TargetMode="External"/><Relationship Id="rId18" Type="http://schemas.openxmlformats.org/officeDocument/2006/relationships/hyperlink" Target="https://www.itu.int/md/S19-CL-C-0024/en" TargetMode="External"/><Relationship Id="rId26" Type="http://schemas.openxmlformats.org/officeDocument/2006/relationships/hyperlink" Target="http://www.wisis.org/forum" TargetMode="External"/><Relationship Id="rId39" Type="http://schemas.openxmlformats.org/officeDocument/2006/relationships/hyperlink" Target="https://www.itu.int/es/ITU-R/conferences/wrc/2019/now/Pages/default.aspx" TargetMode="External"/><Relationship Id="rId21" Type="http://schemas.openxmlformats.org/officeDocument/2006/relationships/hyperlink" Target="https://www.itu.int/en/ITU-D/Statistics/Pages/facts/default.aspx" TargetMode="External"/><Relationship Id="rId34" Type="http://schemas.openxmlformats.org/officeDocument/2006/relationships/hyperlink" Target="https://www.equals.org/single-post/2018/12/23/Money-matters-Tackling-the-gender-gap-in-technology-investment" TargetMode="External"/><Relationship Id="rId42" Type="http://schemas.openxmlformats.org/officeDocument/2006/relationships/hyperlink" Target="https://www.flickr.com/photos/itupictures/sets/72157711705305922/" TargetMode="External"/><Relationship Id="rId47" Type="http://schemas.openxmlformats.org/officeDocument/2006/relationships/hyperlink" Target="https://www.itu.int/en/delegates-corner/Documents/ITU%20code%20of%20conduct.pdf" TargetMode="External"/><Relationship Id="rId50"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S18-CL-INF-0003/es" TargetMode="External"/><Relationship Id="rId29" Type="http://schemas.openxmlformats.org/officeDocument/2006/relationships/hyperlink" Target="https://www.itu.int/es/ITU-D/Digital-Inclusion/Women-and-Girls/Girls-in-ICT-Portal/Pages/Portal.aspx" TargetMode="External"/><Relationship Id="rId11" Type="http://schemas.openxmlformats.org/officeDocument/2006/relationships/hyperlink" Target="http://www.itu.int/md/S14-CL-C-0006/es" TargetMode="External"/><Relationship Id="rId24" Type="http://schemas.openxmlformats.org/officeDocument/2006/relationships/hyperlink" Target="https://www.itu.int/md/S19-CL-C-0024/en" TargetMode="External"/><Relationship Id="rId32" Type="http://schemas.openxmlformats.org/officeDocument/2006/relationships/hyperlink" Target="http://equals.org/" TargetMode="External"/><Relationship Id="rId37" Type="http://schemas.openxmlformats.org/officeDocument/2006/relationships/hyperlink" Target="http://www.itu.int/genderdashboard" TargetMode="External"/><Relationship Id="rId40" Type="http://schemas.openxmlformats.org/officeDocument/2006/relationships/hyperlink" Target="https://www.itu.int/net4/wsis/forum/2019/Agenda/ViewSession/251" TargetMode="External"/><Relationship Id="rId45" Type="http://schemas.openxmlformats.org/officeDocument/2006/relationships/hyperlink" Target="https://genderchampions.com/"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itu.int/md/S13-CL-C-0039/es" TargetMode="External"/><Relationship Id="rId19" Type="http://schemas.openxmlformats.org/officeDocument/2006/relationships/hyperlink" Target="https://www.itu.int/md/S20-CL-INF-0002/en" TargetMode="External"/><Relationship Id="rId31" Type="http://schemas.openxmlformats.org/officeDocument/2006/relationships/hyperlink" Target="https://news.itu.int/close-digital-gender-gap-4-questions/" TargetMode="External"/><Relationship Id="rId44" Type="http://schemas.openxmlformats.org/officeDocument/2006/relationships/hyperlink" Target="https://www.itu.int/es/mediacentre/Pages/2019-CM10.aspx"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13-CL-INF-0011/es" TargetMode="External"/><Relationship Id="rId14" Type="http://schemas.openxmlformats.org/officeDocument/2006/relationships/hyperlink" Target="http://www.itu.int/md/S17-CL-C-0006/es" TargetMode="External"/><Relationship Id="rId22" Type="http://schemas.openxmlformats.org/officeDocument/2006/relationships/hyperlink" Target="https://www.itu.int/genderdashboard" TargetMode="External"/><Relationship Id="rId27" Type="http://schemas.openxmlformats.org/officeDocument/2006/relationships/hyperlink" Target="https://news.itu.int/empowering-girls-to-code-for-a-bright-and-promising-future/" TargetMode="External"/><Relationship Id="rId30" Type="http://schemas.openxmlformats.org/officeDocument/2006/relationships/hyperlink" Target="http://www.un.org/en/sections/observances/international-days/index.html" TargetMode="External"/><Relationship Id="rId35" Type="http://schemas.openxmlformats.org/officeDocument/2006/relationships/hyperlink" Target="https://www.equals.org/single-post/2019/01/08/25-Ways-to-Be-a-More-Inclusive-Engineer" TargetMode="External"/><Relationship Id="rId43" Type="http://schemas.openxmlformats.org/officeDocument/2006/relationships/hyperlink" Target="https://www.itu.int/en/ITU-R/Director/Documents/Speeches/Maniewicz/2019-11-19%20-%20WRC-19%20-%20Director%27s%20Statement%20on%20Gender%20Declaration.pdf" TargetMode="External"/><Relationship Id="rId48" Type="http://schemas.openxmlformats.org/officeDocument/2006/relationships/hyperlink" Target="https://www.itu.int/es/delegates-corner/Pages/default.aspx" TargetMode="External"/><Relationship Id="rId8" Type="http://schemas.openxmlformats.org/officeDocument/2006/relationships/hyperlink" Target="https://www.itu.int/en/council/Documents/basic-texts/RES-070-S.pdf"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itu.int/md/S15-CL-C-0006/es" TargetMode="External"/><Relationship Id="rId17" Type="http://schemas.openxmlformats.org/officeDocument/2006/relationships/hyperlink" Target="https://www.itu.int/md/S19-CL-INF-0002/es" TargetMode="External"/><Relationship Id="rId25" Type="http://schemas.openxmlformats.org/officeDocument/2006/relationships/hyperlink" Target="http://www.itu.int/net/wsis/documents/HLE-es.html" TargetMode="External"/><Relationship Id="rId33" Type="http://schemas.openxmlformats.org/officeDocument/2006/relationships/hyperlink" Target="https://www.equals.org/awards" TargetMode="External"/><Relationship Id="rId38" Type="http://schemas.openxmlformats.org/officeDocument/2006/relationships/hyperlink" Target="http://www.itu.int/genderdashboard" TargetMode="External"/><Relationship Id="rId46" Type="http://schemas.openxmlformats.org/officeDocument/2006/relationships/hyperlink" Target="https://genderchampions.com/champions/houlin-zhao" TargetMode="External"/><Relationship Id="rId20" Type="http://schemas.openxmlformats.org/officeDocument/2006/relationships/hyperlink" Target="http://www.itu.int/en/action/gender-equality/Pages/default.aspx" TargetMode="External"/><Relationship Id="rId41" Type="http://schemas.openxmlformats.org/officeDocument/2006/relationships/hyperlink" Target="https://www.itu.int/es/ITU-R/conferences/wrc/2019/now/Pages/default.asp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18-CL-C-0013/es" TargetMode="External"/><Relationship Id="rId23" Type="http://schemas.openxmlformats.org/officeDocument/2006/relationships/hyperlink" Target="https://www.itu.int/md/S20-CL-C-0054/en" TargetMode="External"/><Relationship Id="rId28" Type="http://schemas.openxmlformats.org/officeDocument/2006/relationships/hyperlink" Target="https://www.youtube.com/watch?v=gkYUlpgasoo" TargetMode="External"/><Relationship Id="rId36" Type="http://schemas.openxmlformats.org/officeDocument/2006/relationships/hyperlink" Target="https://www.elargisteshorizons.ch/index.php/en/all/193-23-lego-mindstorms-bring-your-lego-robot-to-life-using-a-computer-program" TargetMode="External"/><Relationship Id="rId49" Type="http://schemas.openxmlformats.org/officeDocument/2006/relationships/hyperlink" Target="https://www.itu.int/md/S20-CL-INF-0002/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Template>
  <TotalTime>7</TotalTime>
  <Pages>6</Pages>
  <Words>3331</Words>
  <Characters>18988</Characters>
  <Application>Microsoft Office Word</Application>
  <DocSecurity>0</DocSecurity>
  <Lines>158</Lines>
  <Paragraphs>44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22275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C2020, C20</cp:keywords>
  <dc:description/>
  <cp:lastModifiedBy>Janin, Patricia</cp:lastModifiedBy>
  <cp:revision>3</cp:revision>
  <cp:lastPrinted>2006-03-24T09:51:00Z</cp:lastPrinted>
  <dcterms:created xsi:type="dcterms:W3CDTF">2020-03-25T08:04:00Z</dcterms:created>
  <dcterms:modified xsi:type="dcterms:W3CDTF">2020-03-25T08:05:00Z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