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0031" w:type="dxa"/>
        <w:tblLayout w:type="fixed"/>
        <w:tblLook w:val="0000" w:firstRow="0" w:lastRow="0" w:firstColumn="0" w:lastColumn="0" w:noHBand="0" w:noVBand="0"/>
      </w:tblPr>
      <w:tblGrid>
        <w:gridCol w:w="6487"/>
        <w:gridCol w:w="3544"/>
      </w:tblGrid>
      <w:tr w:rsidR="006A35B0" w14:paraId="0484769B" w14:textId="77777777" w:rsidTr="006A35B0">
        <w:trPr>
          <w:trHeight w:val="1460"/>
        </w:trPr>
        <w:tc>
          <w:tcPr>
            <w:tcW w:w="6487" w:type="dxa"/>
          </w:tcPr>
          <w:p w14:paraId="4F6365CD" w14:textId="6D099970" w:rsidR="006A35B0" w:rsidRPr="006A35B0" w:rsidRDefault="006A35B0" w:rsidP="006A35B0">
            <w:pPr>
              <w:spacing w:before="240" w:after="48"/>
              <w:rPr>
                <w:rFonts w:asciiTheme="majorHAnsi" w:hAnsiTheme="majorHAnsi" w:cstheme="majorHAnsi"/>
                <w:sz w:val="36"/>
                <w:szCs w:val="36"/>
                <w:vertAlign w:val="superscript"/>
              </w:rPr>
            </w:pPr>
            <w:r>
              <w:rPr>
                <w:rFonts w:asciiTheme="majorHAnsi" w:hAnsiTheme="majorHAnsi" w:cstheme="majorHAnsi"/>
                <w:b/>
                <w:position w:val="6"/>
                <w:sz w:val="30"/>
                <w:szCs w:val="30"/>
              </w:rPr>
              <w:t>C</w:t>
            </w:r>
            <w:r w:rsidRPr="006A35B0">
              <w:rPr>
                <w:rFonts w:asciiTheme="majorHAnsi" w:hAnsiTheme="majorHAnsi" w:cstheme="majorHAnsi"/>
                <w:b/>
                <w:position w:val="6"/>
                <w:sz w:val="30"/>
                <w:szCs w:val="30"/>
              </w:rPr>
              <w:t>ouncil Working Group on International</w:t>
            </w:r>
            <w:r w:rsidRPr="006A35B0">
              <w:rPr>
                <w:rFonts w:asciiTheme="majorHAnsi" w:hAnsiTheme="majorHAnsi" w:cstheme="majorHAnsi"/>
                <w:b/>
                <w:position w:val="6"/>
                <w:sz w:val="30"/>
                <w:szCs w:val="30"/>
              </w:rPr>
              <w:br/>
              <w:t>Internet-related Public Policy Issues</w:t>
            </w:r>
            <w:r>
              <w:rPr>
                <w:rFonts w:asciiTheme="majorHAnsi" w:hAnsiTheme="majorHAnsi" w:cstheme="majorHAnsi"/>
                <w:b/>
                <w:position w:val="6"/>
                <w:sz w:val="30"/>
                <w:szCs w:val="30"/>
              </w:rPr>
              <w:br/>
            </w:r>
            <w:r>
              <w:rPr>
                <w:b/>
              </w:rPr>
              <w:t>Thirteenth meeting – Geneva, 19-20 September 2019</w:t>
            </w:r>
          </w:p>
        </w:tc>
        <w:tc>
          <w:tcPr>
            <w:tcW w:w="3544" w:type="dxa"/>
            <w:vAlign w:val="center"/>
          </w:tcPr>
          <w:p w14:paraId="33454C14" w14:textId="17AC9EE4" w:rsidR="006A35B0" w:rsidRDefault="006A35B0" w:rsidP="006A35B0">
            <w:pPr>
              <w:pStyle w:val="Normal1"/>
              <w:pBdr>
                <w:top w:val="nil"/>
                <w:left w:val="nil"/>
                <w:bottom w:val="nil"/>
                <w:right w:val="nil"/>
                <w:between w:val="nil"/>
              </w:pBdr>
              <w:spacing w:before="0" w:line="320" w:lineRule="atLeast"/>
            </w:pPr>
            <w:bookmarkStart w:id="0" w:name="_30j0zll" w:colFirst="0" w:colLast="0"/>
            <w:bookmarkEnd w:id="0"/>
            <w:r>
              <w:rPr>
                <w:noProof/>
                <w:lang w:val="en-GB" w:eastAsia="zh-CN"/>
              </w:rPr>
              <w:drawing>
                <wp:inline distT="0" distB="0" distL="0" distR="0" wp14:anchorId="54583D7C" wp14:editId="37205E3C">
                  <wp:extent cx="68232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a:extLst>
                              <a:ext uri="{28A0092B-C50C-407E-A947-70E740481C1C}">
                                <a14:useLocalDpi xmlns:a14="http://schemas.microsoft.com/office/drawing/2010/main" val="0"/>
                              </a:ext>
                            </a:extLst>
                          </a:blip>
                          <a:stretch>
                            <a:fillRect/>
                          </a:stretch>
                        </pic:blipFill>
                        <pic:spPr>
                          <a:xfrm>
                            <a:off x="0" y="0"/>
                            <a:ext cx="682322" cy="720000"/>
                          </a:xfrm>
                          <a:prstGeom prst="rect">
                            <a:avLst/>
                          </a:prstGeom>
                        </pic:spPr>
                      </pic:pic>
                    </a:graphicData>
                  </a:graphic>
                </wp:inline>
              </w:drawing>
            </w:r>
          </w:p>
        </w:tc>
      </w:tr>
      <w:tr w:rsidR="006A35B0" w14:paraId="34914AD8" w14:textId="77777777" w:rsidTr="006A35B0">
        <w:trPr>
          <w:trHeight w:val="315"/>
        </w:trPr>
        <w:tc>
          <w:tcPr>
            <w:tcW w:w="6487" w:type="dxa"/>
            <w:vMerge w:val="restart"/>
            <w:tcBorders>
              <w:top w:val="single" w:sz="12" w:space="0" w:color="000000"/>
            </w:tcBorders>
          </w:tcPr>
          <w:p w14:paraId="59069A1F" w14:textId="77777777" w:rsidR="006A35B0" w:rsidRDefault="006A35B0" w:rsidP="00541449">
            <w:pPr>
              <w:pStyle w:val="Normal1"/>
              <w:pBdr>
                <w:top w:val="nil"/>
                <w:left w:val="nil"/>
                <w:bottom w:val="nil"/>
                <w:right w:val="nil"/>
                <w:between w:val="nil"/>
              </w:pBdr>
              <w:spacing w:before="0" w:line="320" w:lineRule="atLeast"/>
              <w:rPr>
                <w:b/>
                <w:smallCaps/>
              </w:rPr>
            </w:pPr>
          </w:p>
        </w:tc>
        <w:tc>
          <w:tcPr>
            <w:tcW w:w="3544" w:type="dxa"/>
            <w:tcBorders>
              <w:top w:val="single" w:sz="12" w:space="0" w:color="000000"/>
            </w:tcBorders>
          </w:tcPr>
          <w:p w14:paraId="6D536D34" w14:textId="3C6F2877" w:rsidR="006A35B0" w:rsidRPr="006A35B0" w:rsidRDefault="006A35B0" w:rsidP="00F901D0">
            <w:pPr>
              <w:pStyle w:val="Normal1"/>
              <w:pBdr>
                <w:top w:val="nil"/>
                <w:left w:val="nil"/>
                <w:bottom w:val="nil"/>
                <w:right w:val="nil"/>
                <w:between w:val="nil"/>
              </w:pBdr>
              <w:tabs>
                <w:tab w:val="left" w:pos="993"/>
              </w:tabs>
              <w:spacing w:before="0" w:line="320" w:lineRule="atLeast"/>
              <w:rPr>
                <w:b/>
              </w:rPr>
            </w:pPr>
            <w:r>
              <w:rPr>
                <w:b/>
              </w:rPr>
              <w:t xml:space="preserve">Document </w:t>
            </w:r>
            <w:r w:rsidRPr="006A35B0">
              <w:rPr>
                <w:b/>
              </w:rPr>
              <w:t>CWG-Internet-13/</w:t>
            </w:r>
            <w:r w:rsidR="00F901D0">
              <w:rPr>
                <w:b/>
              </w:rPr>
              <w:t>7</w:t>
            </w:r>
            <w:r w:rsidRPr="006A35B0">
              <w:rPr>
                <w:b/>
              </w:rPr>
              <w:t>-E</w:t>
            </w:r>
          </w:p>
        </w:tc>
      </w:tr>
      <w:tr w:rsidR="006A35B0" w14:paraId="08934A3F" w14:textId="77777777">
        <w:trPr>
          <w:trHeight w:val="20"/>
        </w:trPr>
        <w:tc>
          <w:tcPr>
            <w:tcW w:w="6487" w:type="dxa"/>
            <w:vMerge/>
          </w:tcPr>
          <w:p w14:paraId="2629CB6C" w14:textId="77777777" w:rsidR="006A35B0" w:rsidRDefault="006A35B0" w:rsidP="00541449">
            <w:pPr>
              <w:pStyle w:val="Normal1"/>
              <w:pBdr>
                <w:top w:val="nil"/>
                <w:left w:val="nil"/>
                <w:bottom w:val="nil"/>
                <w:right w:val="nil"/>
                <w:between w:val="nil"/>
              </w:pBdr>
              <w:tabs>
                <w:tab w:val="left" w:pos="851"/>
              </w:tabs>
              <w:spacing w:line="320" w:lineRule="atLeast"/>
              <w:rPr>
                <w:b/>
              </w:rPr>
            </w:pPr>
          </w:p>
        </w:tc>
        <w:tc>
          <w:tcPr>
            <w:tcW w:w="3544" w:type="dxa"/>
          </w:tcPr>
          <w:p w14:paraId="2C6DBA5D" w14:textId="3E061402" w:rsidR="006A35B0" w:rsidRDefault="00F901D0" w:rsidP="00487550">
            <w:pPr>
              <w:pStyle w:val="Normal1"/>
              <w:pBdr>
                <w:top w:val="nil"/>
                <w:left w:val="nil"/>
                <w:bottom w:val="nil"/>
                <w:right w:val="nil"/>
                <w:between w:val="nil"/>
              </w:pBdr>
              <w:tabs>
                <w:tab w:val="left" w:pos="993"/>
              </w:tabs>
              <w:spacing w:before="0" w:line="320" w:lineRule="atLeast"/>
              <w:rPr>
                <w:b/>
              </w:rPr>
            </w:pPr>
            <w:r>
              <w:rPr>
                <w:b/>
              </w:rPr>
              <w:t>6</w:t>
            </w:r>
            <w:r w:rsidR="006A35B0">
              <w:rPr>
                <w:b/>
              </w:rPr>
              <w:t xml:space="preserve"> </w:t>
            </w:r>
            <w:r w:rsidR="00487550">
              <w:rPr>
                <w:b/>
              </w:rPr>
              <w:t>September</w:t>
            </w:r>
            <w:r w:rsidR="006A35B0">
              <w:rPr>
                <w:b/>
              </w:rPr>
              <w:t xml:space="preserve"> 2019</w:t>
            </w:r>
          </w:p>
        </w:tc>
      </w:tr>
      <w:tr w:rsidR="006A35B0" w14:paraId="285A56AF" w14:textId="77777777" w:rsidTr="00E07F1A">
        <w:trPr>
          <w:trHeight w:val="119"/>
        </w:trPr>
        <w:tc>
          <w:tcPr>
            <w:tcW w:w="6487" w:type="dxa"/>
            <w:vMerge/>
          </w:tcPr>
          <w:p w14:paraId="1593F8CE" w14:textId="77777777" w:rsidR="006A35B0" w:rsidRDefault="006A35B0" w:rsidP="00541449">
            <w:pPr>
              <w:pStyle w:val="Normal1"/>
              <w:pBdr>
                <w:top w:val="nil"/>
                <w:left w:val="nil"/>
                <w:bottom w:val="nil"/>
                <w:right w:val="nil"/>
                <w:between w:val="nil"/>
              </w:pBdr>
              <w:tabs>
                <w:tab w:val="left" w:pos="851"/>
              </w:tabs>
              <w:spacing w:line="320" w:lineRule="atLeast"/>
              <w:rPr>
                <w:b/>
              </w:rPr>
            </w:pPr>
          </w:p>
        </w:tc>
        <w:tc>
          <w:tcPr>
            <w:tcW w:w="3544" w:type="dxa"/>
          </w:tcPr>
          <w:p w14:paraId="68BCA6DD" w14:textId="13861058" w:rsidR="006A35B0" w:rsidRDefault="006A35B0" w:rsidP="00541449">
            <w:pPr>
              <w:pStyle w:val="Normal1"/>
              <w:pBdr>
                <w:top w:val="nil"/>
                <w:left w:val="nil"/>
                <w:bottom w:val="nil"/>
                <w:right w:val="nil"/>
                <w:between w:val="nil"/>
              </w:pBdr>
              <w:tabs>
                <w:tab w:val="left" w:pos="993"/>
              </w:tabs>
              <w:spacing w:before="0" w:line="320" w:lineRule="atLeast"/>
              <w:rPr>
                <w:b/>
              </w:rPr>
            </w:pPr>
            <w:r>
              <w:rPr>
                <w:b/>
              </w:rPr>
              <w:t xml:space="preserve">English </w:t>
            </w:r>
            <w:r w:rsidR="00E835CF">
              <w:rPr>
                <w:b/>
              </w:rPr>
              <w:t xml:space="preserve">and Russian </w:t>
            </w:r>
            <w:bookmarkStart w:id="1" w:name="_GoBack"/>
            <w:bookmarkEnd w:id="1"/>
            <w:r>
              <w:rPr>
                <w:b/>
              </w:rPr>
              <w:t>only</w:t>
            </w:r>
          </w:p>
        </w:tc>
      </w:tr>
      <w:tr w:rsidR="00367574" w14:paraId="4F24A5D6" w14:textId="77777777" w:rsidTr="00E07F1A">
        <w:trPr>
          <w:trHeight w:val="824"/>
        </w:trPr>
        <w:tc>
          <w:tcPr>
            <w:tcW w:w="10031" w:type="dxa"/>
            <w:gridSpan w:val="2"/>
          </w:tcPr>
          <w:p w14:paraId="2CBC4EB8" w14:textId="69724648" w:rsidR="00367574" w:rsidRDefault="00487550" w:rsidP="006A35B0">
            <w:pPr>
              <w:pStyle w:val="Source"/>
            </w:pPr>
            <w:r>
              <w:rPr>
                <w:lang w:val="en-US"/>
              </w:rPr>
              <w:t>Russian</w:t>
            </w:r>
            <w:r w:rsidRPr="00F53C16">
              <w:rPr>
                <w:lang w:val="en-US"/>
              </w:rPr>
              <w:t xml:space="preserve"> </w:t>
            </w:r>
            <w:r>
              <w:rPr>
                <w:lang w:val="en-US"/>
              </w:rPr>
              <w:t>Federation</w:t>
            </w:r>
          </w:p>
        </w:tc>
      </w:tr>
      <w:tr w:rsidR="00367574" w14:paraId="4E7622F4" w14:textId="77777777" w:rsidTr="00E07F1A">
        <w:trPr>
          <w:trHeight w:val="912"/>
        </w:trPr>
        <w:tc>
          <w:tcPr>
            <w:tcW w:w="10031" w:type="dxa"/>
            <w:gridSpan w:val="2"/>
          </w:tcPr>
          <w:p w14:paraId="71185B5E" w14:textId="67AB789E" w:rsidR="00367574" w:rsidRPr="006A35B0" w:rsidRDefault="006A35B0" w:rsidP="006A35B0">
            <w:pPr>
              <w:pStyle w:val="Normal1"/>
              <w:pBdr>
                <w:top w:val="nil"/>
                <w:left w:val="nil"/>
                <w:bottom w:val="nil"/>
                <w:right w:val="nil"/>
                <w:between w:val="nil"/>
              </w:pBdr>
              <w:spacing w:before="240"/>
              <w:jc w:val="center"/>
            </w:pPr>
            <w:r w:rsidRPr="006A35B0">
              <w:rPr>
                <w:sz w:val="28"/>
                <w:szCs w:val="28"/>
              </w:rPr>
              <w:t>TOPICS FOR THE COUNCIL WORKING GROUP ON INTERNATIONAL INTERNET-RELATED PUBLIC POLICY ISSUES</w:t>
            </w:r>
          </w:p>
        </w:tc>
      </w:tr>
    </w:tbl>
    <w:p w14:paraId="1135CBB6" w14:textId="77777777" w:rsidR="00487550" w:rsidRDefault="00487550" w:rsidP="006A35B0">
      <w:pPr>
        <w:pStyle w:val="Normal1"/>
        <w:pBdr>
          <w:top w:val="nil"/>
          <w:left w:val="nil"/>
          <w:bottom w:val="nil"/>
          <w:right w:val="nil"/>
          <w:between w:val="nil"/>
        </w:pBdr>
        <w:tabs>
          <w:tab w:val="clear" w:pos="1134"/>
          <w:tab w:val="clear" w:pos="1701"/>
          <w:tab w:val="clear" w:pos="2268"/>
        </w:tabs>
        <w:spacing w:line="320" w:lineRule="atLeast"/>
        <w:ind w:left="993"/>
      </w:pPr>
    </w:p>
    <w:p w14:paraId="04286DF7" w14:textId="393E2356" w:rsidR="0068532E" w:rsidRPr="005B4F5D" w:rsidRDefault="00A93720" w:rsidP="005B4F5D">
      <w:pPr>
        <w:tabs>
          <w:tab w:val="left" w:pos="1276"/>
          <w:tab w:val="left" w:pos="1418"/>
        </w:tabs>
        <w:ind w:firstLine="709"/>
        <w:jc w:val="both"/>
        <w:rPr>
          <w:rFonts w:cs="Times New Roman"/>
        </w:rPr>
      </w:pPr>
      <w:r>
        <w:rPr>
          <w:rFonts w:cs="Times New Roman"/>
        </w:rPr>
        <w:t>T</w:t>
      </w:r>
      <w:r w:rsidR="0068532E" w:rsidRPr="005B4F5D">
        <w:rPr>
          <w:rFonts w:cs="Times New Roman"/>
        </w:rPr>
        <w:t>he Russian Federation suggests choosing two topics simultan</w:t>
      </w:r>
      <w:r>
        <w:rPr>
          <w:rFonts w:cs="Times New Roman"/>
        </w:rPr>
        <w:t>eously for a period of one year t</w:t>
      </w:r>
      <w:r w:rsidRPr="005B4F5D">
        <w:rPr>
          <w:rFonts w:cs="Times New Roman"/>
        </w:rPr>
        <w:t>o conduct open online and physical co</w:t>
      </w:r>
      <w:r>
        <w:rPr>
          <w:rFonts w:cs="Times New Roman"/>
        </w:rPr>
        <w:t>nsultations with stakeholders.</w:t>
      </w:r>
    </w:p>
    <w:p w14:paraId="79E2A7A2" w14:textId="733DFC7F" w:rsidR="00625F25" w:rsidRPr="001E0AC7" w:rsidRDefault="0068532E" w:rsidP="005B4F5D">
      <w:pPr>
        <w:tabs>
          <w:tab w:val="left" w:pos="1276"/>
          <w:tab w:val="left" w:pos="1418"/>
        </w:tabs>
        <w:ind w:firstLine="709"/>
        <w:jc w:val="both"/>
        <w:rPr>
          <w:rFonts w:cs="Times New Roman"/>
        </w:rPr>
      </w:pPr>
      <w:r w:rsidRPr="005B4F5D">
        <w:rPr>
          <w:rFonts w:cs="Times New Roman"/>
        </w:rPr>
        <w:t xml:space="preserve">Currently, the Internet regulation is actively developing in </w:t>
      </w:r>
      <w:r w:rsidR="00A93720">
        <w:rPr>
          <w:rFonts w:cs="Times New Roman"/>
        </w:rPr>
        <w:t>many</w:t>
      </w:r>
      <w:r w:rsidRPr="005B4F5D">
        <w:rPr>
          <w:rFonts w:cs="Times New Roman"/>
        </w:rPr>
        <w:t xml:space="preserve"> countries. The matters pertaining to regulation of </w:t>
      </w:r>
      <w:r w:rsidR="00625F25" w:rsidRPr="005B4F5D">
        <w:rPr>
          <w:rFonts w:cs="Times New Roman"/>
        </w:rPr>
        <w:t xml:space="preserve">network infrastructure building and usage and </w:t>
      </w:r>
      <w:r w:rsidRPr="005B4F5D">
        <w:rPr>
          <w:rFonts w:cs="Times New Roman"/>
        </w:rPr>
        <w:t>services provided</w:t>
      </w:r>
      <w:r w:rsidR="00625F25" w:rsidRPr="005B4F5D">
        <w:rPr>
          <w:rFonts w:cs="Times New Roman"/>
        </w:rPr>
        <w:t xml:space="preserve"> </w:t>
      </w:r>
      <w:r w:rsidRPr="005B4F5D">
        <w:rPr>
          <w:rFonts w:cs="Times New Roman"/>
        </w:rPr>
        <w:t>is subject to national responsibility and constitute a sovereign right of any state.</w:t>
      </w:r>
      <w:r w:rsidR="00A93720">
        <w:rPr>
          <w:rFonts w:cs="Times New Roman"/>
        </w:rPr>
        <w:t xml:space="preserve"> </w:t>
      </w:r>
      <w:r w:rsidR="00625F25" w:rsidRPr="001E0AC7">
        <w:rPr>
          <w:rFonts w:cs="Times New Roman"/>
        </w:rPr>
        <w:t xml:space="preserve">However, taking into account the cross-border nature of Internet services, it is worth noting that </w:t>
      </w:r>
      <w:r w:rsidR="00625F25">
        <w:rPr>
          <w:rFonts w:cs="Times New Roman"/>
        </w:rPr>
        <w:t>Internet</w:t>
      </w:r>
      <w:r w:rsidR="00625F25" w:rsidRPr="001E0AC7">
        <w:rPr>
          <w:rFonts w:cs="Times New Roman"/>
        </w:rPr>
        <w:t xml:space="preserve"> regulation will be more successful should Member States coordinate their efforts at the national level, besides establishing the international regulation. Russian Administration is deeply concerned with the lack of regulation of Internet at the international level, which leads to Internet fragmentation (meaning the establishment of national and regional areas with various set of services and working conditions), </w:t>
      </w:r>
      <w:r w:rsidR="00CB7817" w:rsidRPr="005B4F5D">
        <w:rPr>
          <w:rFonts w:cs="Times New Roman"/>
        </w:rPr>
        <w:t xml:space="preserve">emergence of additional barriers and </w:t>
      </w:r>
      <w:r w:rsidR="005B4F5D" w:rsidRPr="005B4F5D">
        <w:rPr>
          <w:rFonts w:cs="Times New Roman"/>
        </w:rPr>
        <w:t>prevents</w:t>
      </w:r>
      <w:r w:rsidR="00CB7817" w:rsidRPr="005B4F5D">
        <w:rPr>
          <w:rFonts w:cs="Times New Roman"/>
        </w:rPr>
        <w:t xml:space="preserve"> creation of a favorable environment for the development of the Internet global service ecosystem.</w:t>
      </w:r>
    </w:p>
    <w:p w14:paraId="416F0C41" w14:textId="74DCAFCB" w:rsidR="0068532E" w:rsidRPr="005B4F5D" w:rsidRDefault="0068532E" w:rsidP="005B4F5D">
      <w:pPr>
        <w:tabs>
          <w:tab w:val="left" w:pos="1276"/>
          <w:tab w:val="left" w:pos="1418"/>
        </w:tabs>
        <w:ind w:firstLine="709"/>
        <w:jc w:val="both"/>
        <w:rPr>
          <w:rFonts w:cs="Times New Roman"/>
        </w:rPr>
      </w:pPr>
      <w:r w:rsidRPr="005B4F5D">
        <w:rPr>
          <w:rFonts w:cs="Times New Roman"/>
        </w:rPr>
        <w:t xml:space="preserve">Undoubtedly, the discussion about the international regulation of the Internet should be wide, with the participation of many </w:t>
      </w:r>
      <w:r w:rsidR="00CB7817" w:rsidRPr="005B4F5D">
        <w:rPr>
          <w:rFonts w:cs="Times New Roman"/>
        </w:rPr>
        <w:t>stakeholders</w:t>
      </w:r>
      <w:r w:rsidRPr="005B4F5D">
        <w:rPr>
          <w:rFonts w:cs="Times New Roman"/>
        </w:rPr>
        <w:t>. That is why the Russian Federation propos</w:t>
      </w:r>
      <w:r w:rsidR="00CB7817" w:rsidRPr="005B4F5D">
        <w:rPr>
          <w:rFonts w:cs="Times New Roman"/>
        </w:rPr>
        <w:t>es, within the framework of</w:t>
      </w:r>
      <w:r w:rsidRPr="005B4F5D">
        <w:rPr>
          <w:rFonts w:cs="Times New Roman"/>
        </w:rPr>
        <w:t xml:space="preserve"> </w:t>
      </w:r>
      <w:r w:rsidR="00CB7817" w:rsidRPr="005B4F5D">
        <w:rPr>
          <w:rFonts w:cs="Times New Roman"/>
        </w:rPr>
        <w:t xml:space="preserve">Public Policy Issues </w:t>
      </w:r>
      <w:r w:rsidRPr="005B4F5D">
        <w:rPr>
          <w:rFonts w:cs="Times New Roman"/>
        </w:rPr>
        <w:t>“Protection, Security, Integrity, Viability and Sustainability of the Internet”, to adopt the following topic for open consultations held by the CWG-Internet:</w:t>
      </w:r>
    </w:p>
    <w:p w14:paraId="1D0EF470" w14:textId="1B886871" w:rsidR="005B4F5D" w:rsidRPr="005B4F5D" w:rsidRDefault="005B4F5D" w:rsidP="005B4F5D">
      <w:pPr>
        <w:tabs>
          <w:tab w:val="left" w:pos="1276"/>
          <w:tab w:val="left" w:pos="1418"/>
        </w:tabs>
        <w:ind w:firstLine="709"/>
        <w:jc w:val="both"/>
        <w:rPr>
          <w:rFonts w:cs="Times New Roman"/>
        </w:rPr>
      </w:pPr>
      <w:r w:rsidRPr="005B4F5D">
        <w:rPr>
          <w:rFonts w:cs="Times New Roman"/>
        </w:rPr>
        <w:t>“International internet-related public policies”</w:t>
      </w:r>
    </w:p>
    <w:p w14:paraId="408DA954" w14:textId="2B300749" w:rsidR="005B4F5D" w:rsidRDefault="005B4F5D" w:rsidP="005B4F5D">
      <w:pPr>
        <w:tabs>
          <w:tab w:val="left" w:pos="1276"/>
          <w:tab w:val="left" w:pos="1418"/>
        </w:tabs>
        <w:ind w:firstLine="709"/>
        <w:jc w:val="both"/>
        <w:rPr>
          <w:rFonts w:cs="Times New Roman"/>
        </w:rPr>
      </w:pPr>
      <w:r w:rsidRPr="0096323C">
        <w:rPr>
          <w:rFonts w:cs="Times New Roman"/>
        </w:rPr>
        <w:t>It is expected to exchange information and discuss the following issues:</w:t>
      </w:r>
    </w:p>
    <w:p w14:paraId="11ED6EE6" w14:textId="6911AE52" w:rsidR="009F795D" w:rsidRPr="00F53C16" w:rsidRDefault="009F795D" w:rsidP="00E012A8">
      <w:pPr>
        <w:tabs>
          <w:tab w:val="left" w:pos="1276"/>
          <w:tab w:val="left" w:pos="1418"/>
        </w:tabs>
        <w:ind w:left="1134" w:hanging="425"/>
        <w:jc w:val="both"/>
        <w:rPr>
          <w:rFonts w:cs="Times New Roman"/>
        </w:rPr>
      </w:pPr>
      <w:r>
        <w:rPr>
          <w:rFonts w:cs="Times New Roman"/>
        </w:rPr>
        <w:lastRenderedPageBreak/>
        <w:t>-</w:t>
      </w:r>
      <w:r w:rsidR="00E012A8">
        <w:rPr>
          <w:rFonts w:cs="Times New Roman"/>
        </w:rPr>
        <w:tab/>
      </w:r>
      <w:proofErr w:type="gramStart"/>
      <w:r w:rsidRPr="009F795D">
        <w:rPr>
          <w:rFonts w:cs="Times New Roman"/>
        </w:rPr>
        <w:t>challenges</w:t>
      </w:r>
      <w:proofErr w:type="gramEnd"/>
      <w:r w:rsidRPr="009F795D">
        <w:rPr>
          <w:rFonts w:cs="Times New Roman"/>
        </w:rPr>
        <w:t xml:space="preserve"> of the global</w:t>
      </w:r>
      <w:r>
        <w:rPr>
          <w:rFonts w:cs="Times New Roman"/>
        </w:rPr>
        <w:t xml:space="preserve"> transformation from </w:t>
      </w:r>
      <w:r w:rsidRPr="000573A7">
        <w:rPr>
          <w:rFonts w:cs="Times New Roman"/>
        </w:rPr>
        <w:t>a voice-centric to a</w:t>
      </w:r>
      <w:r>
        <w:rPr>
          <w:rFonts w:cs="Times New Roman"/>
        </w:rPr>
        <w:t>n IP-based</w:t>
      </w:r>
      <w:r w:rsidRPr="000573A7">
        <w:rPr>
          <w:rFonts w:cs="Times New Roman"/>
        </w:rPr>
        <w:t xml:space="preserve"> data-centric </w:t>
      </w:r>
      <w:r>
        <w:rPr>
          <w:rFonts w:cs="Times New Roman"/>
        </w:rPr>
        <w:t>telecommunications ecosystem</w:t>
      </w:r>
      <w:r w:rsidRPr="00F53C16">
        <w:rPr>
          <w:rFonts w:cs="Times New Roman"/>
        </w:rPr>
        <w:t>;</w:t>
      </w:r>
    </w:p>
    <w:p w14:paraId="3E6BA2C1" w14:textId="65A680F7" w:rsidR="009F795D" w:rsidRPr="009F795D" w:rsidRDefault="009F795D" w:rsidP="00E012A8">
      <w:pPr>
        <w:tabs>
          <w:tab w:val="left" w:pos="1276"/>
          <w:tab w:val="left" w:pos="1418"/>
        </w:tabs>
        <w:ind w:left="1134" w:hanging="425"/>
        <w:jc w:val="both"/>
        <w:rPr>
          <w:rFonts w:cs="Times New Roman"/>
        </w:rPr>
      </w:pPr>
      <w:r w:rsidRPr="009F795D">
        <w:rPr>
          <w:rFonts w:cs="Times New Roman"/>
        </w:rPr>
        <w:t>-</w:t>
      </w:r>
      <w:r w:rsidR="00E012A8">
        <w:rPr>
          <w:rFonts w:cs="Times New Roman"/>
        </w:rPr>
        <w:tab/>
      </w:r>
      <w:proofErr w:type="gramStart"/>
      <w:r>
        <w:rPr>
          <w:rFonts w:cs="Times New Roman"/>
        </w:rPr>
        <w:t>impact</w:t>
      </w:r>
      <w:proofErr w:type="gramEnd"/>
      <w:r w:rsidRPr="009F795D">
        <w:rPr>
          <w:rFonts w:cs="Times New Roman"/>
        </w:rPr>
        <w:t xml:space="preserve"> of new technologies in telecommunication/ICT and Internet development on </w:t>
      </w:r>
      <w:r>
        <w:rPr>
          <w:rFonts w:cs="Times New Roman"/>
        </w:rPr>
        <w:t>public policies;</w:t>
      </w:r>
      <w:r w:rsidRPr="009F795D">
        <w:rPr>
          <w:rFonts w:cs="Times New Roman"/>
        </w:rPr>
        <w:t xml:space="preserve"> the role of States, business and civil society in the process of Internet </w:t>
      </w:r>
      <w:r>
        <w:rPr>
          <w:rFonts w:cs="Times New Roman"/>
        </w:rPr>
        <w:t>governance</w:t>
      </w:r>
      <w:r w:rsidRPr="009F795D">
        <w:rPr>
          <w:rFonts w:cs="Times New Roman"/>
        </w:rPr>
        <w:t>;</w:t>
      </w:r>
    </w:p>
    <w:p w14:paraId="424FAEB7" w14:textId="20E66917" w:rsidR="009F795D" w:rsidRPr="009F795D" w:rsidRDefault="009F795D" w:rsidP="00E012A8">
      <w:pPr>
        <w:tabs>
          <w:tab w:val="left" w:pos="1276"/>
          <w:tab w:val="left" w:pos="1418"/>
        </w:tabs>
        <w:ind w:left="1134" w:hanging="425"/>
        <w:jc w:val="both"/>
        <w:rPr>
          <w:rFonts w:cs="Times New Roman"/>
        </w:rPr>
      </w:pPr>
      <w:r w:rsidRPr="009F795D">
        <w:rPr>
          <w:rFonts w:cs="Times New Roman"/>
        </w:rPr>
        <w:t>-</w:t>
      </w:r>
      <w:r w:rsidR="00E012A8">
        <w:rPr>
          <w:rFonts w:cs="Times New Roman"/>
        </w:rPr>
        <w:tab/>
      </w:r>
      <w:proofErr w:type="gramStart"/>
      <w:r w:rsidRPr="009F795D">
        <w:rPr>
          <w:rFonts w:cs="Times New Roman"/>
        </w:rPr>
        <w:t>the</w:t>
      </w:r>
      <w:proofErr w:type="gramEnd"/>
      <w:r w:rsidRPr="009F795D">
        <w:rPr>
          <w:rFonts w:cs="Times New Roman"/>
        </w:rPr>
        <w:t xml:space="preserve"> practice of </w:t>
      </w:r>
      <w:r>
        <w:rPr>
          <w:rFonts w:cs="Times New Roman"/>
        </w:rPr>
        <w:t xml:space="preserve">public </w:t>
      </w:r>
      <w:r w:rsidRPr="009F795D">
        <w:rPr>
          <w:rFonts w:cs="Times New Roman"/>
        </w:rPr>
        <w:t>regula</w:t>
      </w:r>
      <w:r>
        <w:rPr>
          <w:rFonts w:cs="Times New Roman"/>
        </w:rPr>
        <w:t>tion</w:t>
      </w:r>
      <w:r w:rsidRPr="009F795D">
        <w:rPr>
          <w:rFonts w:cs="Times New Roman"/>
        </w:rPr>
        <w:t xml:space="preserve">, industrial regulation and self-regulation of the Internet in different countries, </w:t>
      </w:r>
      <w:r>
        <w:rPr>
          <w:rFonts w:cs="Times New Roman"/>
        </w:rPr>
        <w:t>the aspects of operators and service providers’ operational activity in the midst of such</w:t>
      </w:r>
      <w:r w:rsidRPr="009F795D">
        <w:rPr>
          <w:rFonts w:cs="Times New Roman"/>
        </w:rPr>
        <w:t xml:space="preserve"> regulation;</w:t>
      </w:r>
    </w:p>
    <w:p w14:paraId="05EE6BD7" w14:textId="1FF23CA7" w:rsidR="009F795D" w:rsidRPr="009F795D" w:rsidRDefault="009F795D" w:rsidP="00E012A8">
      <w:pPr>
        <w:tabs>
          <w:tab w:val="left" w:pos="1276"/>
          <w:tab w:val="left" w:pos="1418"/>
        </w:tabs>
        <w:ind w:left="1134" w:hanging="425"/>
        <w:jc w:val="both"/>
        <w:rPr>
          <w:rFonts w:cs="Times New Roman"/>
        </w:rPr>
      </w:pPr>
      <w:r w:rsidRPr="009F795D">
        <w:rPr>
          <w:rFonts w:cs="Times New Roman"/>
        </w:rPr>
        <w:t>-</w:t>
      </w:r>
      <w:r w:rsidR="00E012A8">
        <w:rPr>
          <w:rFonts w:cs="Times New Roman"/>
        </w:rPr>
        <w:tab/>
      </w:r>
      <w:r w:rsidRPr="009F795D">
        <w:rPr>
          <w:rFonts w:cs="Times New Roman"/>
        </w:rPr>
        <w:t>exchange of best practices on aspects of Internet governance in developing countries, taking into account the experience of developed countries;</w:t>
      </w:r>
    </w:p>
    <w:p w14:paraId="50B8574D" w14:textId="43416FB2" w:rsidR="009F795D" w:rsidRDefault="009F795D" w:rsidP="00E012A8">
      <w:pPr>
        <w:tabs>
          <w:tab w:val="left" w:pos="1276"/>
          <w:tab w:val="left" w:pos="1418"/>
        </w:tabs>
        <w:ind w:left="1134" w:hanging="425"/>
        <w:jc w:val="both"/>
        <w:rPr>
          <w:rFonts w:cs="Times New Roman"/>
        </w:rPr>
      </w:pPr>
      <w:r w:rsidRPr="009F795D">
        <w:rPr>
          <w:rFonts w:cs="Times New Roman"/>
        </w:rPr>
        <w:t>-</w:t>
      </w:r>
      <w:r w:rsidR="00E012A8">
        <w:rPr>
          <w:rFonts w:cs="Times New Roman"/>
        </w:rPr>
        <w:tab/>
      </w:r>
      <w:r w:rsidRPr="009F795D">
        <w:rPr>
          <w:rFonts w:cs="Times New Roman"/>
        </w:rPr>
        <w:t>proposals for cooperation at the international level, aimed at assessing the need for stakeholders to develop international policies on Internet governance, and p</w:t>
      </w:r>
      <w:r>
        <w:rPr>
          <w:rFonts w:cs="Times New Roman"/>
        </w:rPr>
        <w:t>roposals for the organization</w:t>
      </w:r>
      <w:r w:rsidRPr="009F795D">
        <w:rPr>
          <w:rFonts w:cs="Times New Roman"/>
        </w:rPr>
        <w:t xml:space="preserve"> the pr</w:t>
      </w:r>
      <w:r>
        <w:rPr>
          <w:rFonts w:cs="Times New Roman"/>
        </w:rPr>
        <w:t xml:space="preserve">ocess of further development </w:t>
      </w:r>
      <w:r w:rsidRPr="009F795D">
        <w:rPr>
          <w:rFonts w:cs="Times New Roman"/>
        </w:rPr>
        <w:t xml:space="preserve">such international </w:t>
      </w:r>
      <w:r>
        <w:rPr>
          <w:rFonts w:cs="Times New Roman"/>
        </w:rPr>
        <w:t xml:space="preserve">public </w:t>
      </w:r>
      <w:r w:rsidRPr="009F795D">
        <w:rPr>
          <w:rFonts w:cs="Times New Roman"/>
        </w:rPr>
        <w:t>policies within ITU.</w:t>
      </w:r>
    </w:p>
    <w:p w14:paraId="382DC9D6" w14:textId="25AA253F" w:rsidR="00C7613D" w:rsidRPr="00C7613D" w:rsidRDefault="00C7613D" w:rsidP="00C7613D">
      <w:pPr>
        <w:tabs>
          <w:tab w:val="left" w:pos="1276"/>
          <w:tab w:val="left" w:pos="1418"/>
        </w:tabs>
        <w:ind w:firstLine="709"/>
        <w:jc w:val="both"/>
        <w:rPr>
          <w:rFonts w:cs="Times New Roman"/>
        </w:rPr>
      </w:pPr>
      <w:r w:rsidRPr="00C7613D">
        <w:rPr>
          <w:rFonts w:cs="Times New Roman"/>
        </w:rPr>
        <w:t>In addition, taking into account the relevance of the issue of confidentiality and protection of personal data, it is proposed to organize open consult</w:t>
      </w:r>
      <w:r w:rsidR="00FF3B38">
        <w:rPr>
          <w:rFonts w:cs="Times New Roman"/>
        </w:rPr>
        <w:t>ations on the topic "Co</w:t>
      </w:r>
      <w:r w:rsidRPr="00C7613D">
        <w:rPr>
          <w:rFonts w:cs="Times New Roman"/>
        </w:rPr>
        <w:t xml:space="preserve">nfidentiality </w:t>
      </w:r>
      <w:r w:rsidR="00FF3B38">
        <w:rPr>
          <w:rFonts w:cs="Times New Roman"/>
        </w:rPr>
        <w:t>an</w:t>
      </w:r>
      <w:r w:rsidRPr="00C7613D">
        <w:rPr>
          <w:rFonts w:cs="Times New Roman"/>
        </w:rPr>
        <w:t>d protection of personal data in order to create a favorable environment for the development of Internet services". National regulation in this area should not become a barrier to the development of global, cross-border Internet space.</w:t>
      </w:r>
    </w:p>
    <w:p w14:paraId="76CF76C1" w14:textId="4EE10927" w:rsidR="00A04CD6" w:rsidRDefault="00A04CD6" w:rsidP="00A04CD6">
      <w:pPr>
        <w:tabs>
          <w:tab w:val="left" w:pos="1276"/>
          <w:tab w:val="left" w:pos="1418"/>
        </w:tabs>
        <w:ind w:firstLine="709"/>
        <w:jc w:val="both"/>
        <w:rPr>
          <w:rFonts w:cs="Times New Roman"/>
        </w:rPr>
      </w:pPr>
      <w:r w:rsidRPr="0096323C">
        <w:rPr>
          <w:rFonts w:cs="Times New Roman"/>
        </w:rPr>
        <w:t>It is expected to exchange information and discuss the following issues:</w:t>
      </w:r>
    </w:p>
    <w:p w14:paraId="0612F147" w14:textId="6B022450" w:rsidR="00C7613D" w:rsidRPr="00C7613D" w:rsidRDefault="008D46F1" w:rsidP="00E012A8">
      <w:pPr>
        <w:tabs>
          <w:tab w:val="left" w:pos="1276"/>
          <w:tab w:val="left" w:pos="1418"/>
        </w:tabs>
        <w:ind w:left="1134" w:hanging="425"/>
        <w:jc w:val="both"/>
        <w:rPr>
          <w:rFonts w:cs="Times New Roman"/>
        </w:rPr>
      </w:pPr>
      <w:r>
        <w:rPr>
          <w:rFonts w:cs="Times New Roman"/>
        </w:rPr>
        <w:t>-</w:t>
      </w:r>
      <w:r w:rsidR="00E012A8">
        <w:rPr>
          <w:rFonts w:cs="Times New Roman"/>
        </w:rPr>
        <w:tab/>
      </w:r>
      <w:proofErr w:type="gramStart"/>
      <w:r>
        <w:rPr>
          <w:rFonts w:cs="Times New Roman"/>
        </w:rPr>
        <w:t>purposes</w:t>
      </w:r>
      <w:proofErr w:type="gramEnd"/>
      <w:r>
        <w:rPr>
          <w:rFonts w:cs="Times New Roman"/>
        </w:rPr>
        <w:t>, principles and g</w:t>
      </w:r>
      <w:r w:rsidR="00C7613D" w:rsidRPr="00C7613D">
        <w:rPr>
          <w:rFonts w:cs="Times New Roman"/>
        </w:rPr>
        <w:t xml:space="preserve">eneral approaches </w:t>
      </w:r>
      <w:r>
        <w:rPr>
          <w:rFonts w:cs="Times New Roman"/>
        </w:rPr>
        <w:t>for the</w:t>
      </w:r>
      <w:r w:rsidR="00C7613D" w:rsidRPr="00C7613D">
        <w:rPr>
          <w:rFonts w:cs="Times New Roman"/>
        </w:rPr>
        <w:t xml:space="preserve"> protection of individuals in relation to the processing of personal data and their transfer; </w:t>
      </w:r>
    </w:p>
    <w:p w14:paraId="1FBEED0A" w14:textId="3586A6D6" w:rsidR="00C7613D" w:rsidRPr="00C7613D" w:rsidRDefault="008D46F1" w:rsidP="00E012A8">
      <w:pPr>
        <w:tabs>
          <w:tab w:val="left" w:pos="1276"/>
          <w:tab w:val="left" w:pos="1418"/>
        </w:tabs>
        <w:ind w:left="1134" w:hanging="425"/>
        <w:jc w:val="both"/>
        <w:rPr>
          <w:rFonts w:cs="Times New Roman"/>
        </w:rPr>
      </w:pPr>
      <w:r>
        <w:rPr>
          <w:rFonts w:cs="Times New Roman"/>
        </w:rPr>
        <w:t>-</w:t>
      </w:r>
      <w:r w:rsidR="00E012A8">
        <w:rPr>
          <w:rFonts w:cs="Times New Roman"/>
        </w:rPr>
        <w:tab/>
      </w:r>
      <w:r w:rsidR="00C7613D" w:rsidRPr="00C7613D">
        <w:rPr>
          <w:rFonts w:cs="Times New Roman"/>
        </w:rPr>
        <w:t xml:space="preserve">legislative and regulatory mechanisms adopted in different countries to protect the fundamental rights and freedoms of individuals with regard to the processing of personal data (such as the </w:t>
      </w:r>
      <w:r>
        <w:rPr>
          <w:rFonts w:cs="Times New Roman"/>
        </w:rPr>
        <w:t>national</w:t>
      </w:r>
      <w:r w:rsidR="00C7613D" w:rsidRPr="00C7613D">
        <w:rPr>
          <w:rFonts w:cs="Times New Roman"/>
        </w:rPr>
        <w:t xml:space="preserve"> law</w:t>
      </w:r>
      <w:r>
        <w:rPr>
          <w:rFonts w:cs="Times New Roman"/>
        </w:rPr>
        <w:t>s</w:t>
      </w:r>
      <w:r w:rsidR="00C7613D" w:rsidRPr="00C7613D">
        <w:rPr>
          <w:rFonts w:cs="Times New Roman"/>
        </w:rPr>
        <w:t xml:space="preserve"> on </w:t>
      </w:r>
      <w:r>
        <w:rPr>
          <w:rFonts w:cs="Times New Roman"/>
        </w:rPr>
        <w:t>personal data, GDPR</w:t>
      </w:r>
      <w:r w:rsidR="00C7613D" w:rsidRPr="00C7613D">
        <w:rPr>
          <w:rFonts w:cs="Times New Roman"/>
        </w:rPr>
        <w:t xml:space="preserve"> other similar laws) and the possibility of their harmonization at the international level; </w:t>
      </w:r>
    </w:p>
    <w:p w14:paraId="7A984D9B" w14:textId="4C37FCF5" w:rsidR="00C7613D" w:rsidRPr="00C7613D" w:rsidRDefault="00C7613D" w:rsidP="00E012A8">
      <w:pPr>
        <w:tabs>
          <w:tab w:val="left" w:pos="1276"/>
          <w:tab w:val="left" w:pos="1418"/>
        </w:tabs>
        <w:ind w:left="1134" w:hanging="425"/>
        <w:jc w:val="both"/>
        <w:rPr>
          <w:rFonts w:cs="Times New Roman"/>
        </w:rPr>
      </w:pPr>
      <w:r w:rsidRPr="00C7613D">
        <w:rPr>
          <w:rFonts w:cs="Times New Roman"/>
        </w:rPr>
        <w:t>-</w:t>
      </w:r>
      <w:r w:rsidR="00E012A8">
        <w:rPr>
          <w:rFonts w:cs="Times New Roman"/>
        </w:rPr>
        <w:tab/>
      </w:r>
      <w:proofErr w:type="gramStart"/>
      <w:r w:rsidRPr="00C7613D">
        <w:rPr>
          <w:rFonts w:cs="Times New Roman"/>
        </w:rPr>
        <w:t>procedure</w:t>
      </w:r>
      <w:r w:rsidR="00EA5F74">
        <w:rPr>
          <w:rFonts w:cs="Times New Roman"/>
        </w:rPr>
        <w:t>s</w:t>
      </w:r>
      <w:proofErr w:type="gramEnd"/>
      <w:r w:rsidRPr="00C7613D">
        <w:rPr>
          <w:rFonts w:cs="Times New Roman"/>
        </w:rPr>
        <w:t xml:space="preserve"> for cross-border (international) transfer of personal data;</w:t>
      </w:r>
    </w:p>
    <w:p w14:paraId="3FE61D42" w14:textId="0BCB36E6" w:rsidR="00C7613D" w:rsidRPr="00C7613D" w:rsidRDefault="00C7613D" w:rsidP="00E012A8">
      <w:pPr>
        <w:tabs>
          <w:tab w:val="left" w:pos="1276"/>
          <w:tab w:val="left" w:pos="1418"/>
        </w:tabs>
        <w:ind w:left="1134" w:hanging="425"/>
        <w:jc w:val="both"/>
        <w:rPr>
          <w:rFonts w:cs="Times New Roman"/>
        </w:rPr>
      </w:pPr>
      <w:r w:rsidRPr="00C7613D">
        <w:rPr>
          <w:rFonts w:cs="Times New Roman"/>
        </w:rPr>
        <w:t>-</w:t>
      </w:r>
      <w:r w:rsidR="00E012A8">
        <w:rPr>
          <w:rFonts w:cs="Times New Roman"/>
        </w:rPr>
        <w:tab/>
      </w:r>
      <w:proofErr w:type="gramStart"/>
      <w:r w:rsidRPr="00C7613D">
        <w:rPr>
          <w:rFonts w:cs="Times New Roman"/>
        </w:rPr>
        <w:t>vision</w:t>
      </w:r>
      <w:proofErr w:type="gramEnd"/>
      <w:r w:rsidRPr="00C7613D">
        <w:rPr>
          <w:rFonts w:cs="Times New Roman"/>
        </w:rPr>
        <w:t xml:space="preserve"> of operators and Internet providers of regulation in the field of privacy and protection of personal data and measures for their practical implementation, proposals for its improvement, development and harmonization at the international level; </w:t>
      </w:r>
    </w:p>
    <w:p w14:paraId="7B901E1C" w14:textId="0F48C638" w:rsidR="00C7613D" w:rsidRDefault="00EA5F74" w:rsidP="00E012A8">
      <w:pPr>
        <w:tabs>
          <w:tab w:val="left" w:pos="1276"/>
          <w:tab w:val="left" w:pos="1418"/>
        </w:tabs>
        <w:ind w:left="1134" w:hanging="425"/>
        <w:jc w:val="both"/>
        <w:rPr>
          <w:rFonts w:cs="Times New Roman"/>
        </w:rPr>
      </w:pPr>
      <w:r>
        <w:rPr>
          <w:rFonts w:cs="Times New Roman"/>
        </w:rPr>
        <w:lastRenderedPageBreak/>
        <w:t>-</w:t>
      </w:r>
      <w:r w:rsidR="00E012A8">
        <w:rPr>
          <w:rFonts w:cs="Times New Roman"/>
        </w:rPr>
        <w:tab/>
      </w:r>
      <w:r w:rsidR="00C7613D" w:rsidRPr="00C7613D">
        <w:rPr>
          <w:rFonts w:cs="Times New Roman"/>
        </w:rPr>
        <w:t>international cooperation in the protection of personal data, the development of international policies for the protection of personal data and the harmonization of national regulation in order to create a favorable environment for the development of national and global Internet business.</w:t>
      </w:r>
    </w:p>
    <w:p w14:paraId="0A3A5EF5" w14:textId="77777777" w:rsidR="00F901D0" w:rsidRDefault="00F901D0" w:rsidP="00C7613D">
      <w:pPr>
        <w:tabs>
          <w:tab w:val="left" w:pos="1276"/>
          <w:tab w:val="left" w:pos="1418"/>
        </w:tabs>
        <w:ind w:firstLine="709"/>
        <w:jc w:val="both"/>
        <w:rPr>
          <w:rFonts w:cs="Times New Roman"/>
        </w:rPr>
      </w:pPr>
    </w:p>
    <w:p w14:paraId="7C598264" w14:textId="10EC28AC" w:rsidR="00F901D0" w:rsidRPr="00F901D0" w:rsidRDefault="00F901D0" w:rsidP="00F901D0">
      <w:pPr>
        <w:tabs>
          <w:tab w:val="left" w:pos="1276"/>
          <w:tab w:val="left" w:pos="1418"/>
        </w:tabs>
        <w:ind w:firstLine="709"/>
        <w:jc w:val="center"/>
        <w:rPr>
          <w:rFonts w:cs="Times New Roman"/>
          <w:u w:val="single"/>
        </w:rPr>
      </w:pPr>
      <w:r>
        <w:rPr>
          <w:rFonts w:cs="Times New Roman"/>
          <w:u w:val="single"/>
        </w:rPr>
        <w:t>                                           </w:t>
      </w:r>
    </w:p>
    <w:sectPr w:rsidR="00F901D0" w:rsidRPr="00F901D0" w:rsidSect="006A35B0">
      <w:headerReference w:type="default" r:id="rId8"/>
      <w:footerReference w:type="first" r:id="rId9"/>
      <w:pgSz w:w="11907" w:h="16840" w:code="9"/>
      <w:pgMar w:top="1418" w:right="1418" w:bottom="1418"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BC53" w14:textId="77777777" w:rsidR="00415E82" w:rsidRDefault="00415E82">
      <w:pPr>
        <w:spacing w:before="0"/>
      </w:pPr>
      <w:r>
        <w:separator/>
      </w:r>
    </w:p>
  </w:endnote>
  <w:endnote w:type="continuationSeparator" w:id="0">
    <w:p w14:paraId="43FB6A4E" w14:textId="77777777" w:rsidR="00415E82" w:rsidRDefault="00415E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7AE80" w14:textId="77777777" w:rsidR="007B6B84" w:rsidRDefault="007B6B84" w:rsidP="007B6B8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4FD46" w14:textId="77777777" w:rsidR="00415E82" w:rsidRDefault="00415E82">
      <w:pPr>
        <w:spacing w:before="0"/>
      </w:pPr>
      <w:r>
        <w:separator/>
      </w:r>
    </w:p>
  </w:footnote>
  <w:footnote w:type="continuationSeparator" w:id="0">
    <w:p w14:paraId="00C42B79" w14:textId="77777777" w:rsidR="00415E82" w:rsidRDefault="00415E8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2C1F" w14:textId="3DF13230" w:rsidR="006A35B0" w:rsidRPr="006A35B0" w:rsidRDefault="006A35B0" w:rsidP="006A35B0">
    <w:pPr>
      <w:pStyle w:val="Header"/>
      <w:spacing w:before="480"/>
      <w:jc w:val="center"/>
      <w:rPr>
        <w:sz w:val="18"/>
        <w:szCs w:val="18"/>
      </w:rPr>
    </w:pPr>
    <w:r w:rsidRPr="006A35B0">
      <w:rPr>
        <w:sz w:val="18"/>
        <w:szCs w:val="18"/>
      </w:rPr>
      <w:fldChar w:fldCharType="begin"/>
    </w:r>
    <w:r w:rsidRPr="006A35B0">
      <w:rPr>
        <w:sz w:val="18"/>
        <w:szCs w:val="18"/>
      </w:rPr>
      <w:instrText xml:space="preserve"> PAGE   \* MERGEFORMAT </w:instrText>
    </w:r>
    <w:r w:rsidRPr="006A35B0">
      <w:rPr>
        <w:sz w:val="18"/>
        <w:szCs w:val="18"/>
      </w:rPr>
      <w:fldChar w:fldCharType="separate"/>
    </w:r>
    <w:r w:rsidR="00E835CF">
      <w:rPr>
        <w:noProof/>
        <w:sz w:val="18"/>
        <w:szCs w:val="18"/>
      </w:rPr>
      <w:t>2</w:t>
    </w:r>
    <w:r w:rsidRPr="006A35B0">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D4D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FE2C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A9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015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F23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E8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6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4C1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9A7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E0E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31C1F"/>
    <w:multiLevelType w:val="hybridMultilevel"/>
    <w:tmpl w:val="0850476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2EED6EC1"/>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550AB"/>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0334CA"/>
    <w:multiLevelType w:val="hybridMultilevel"/>
    <w:tmpl w:val="D556D92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5D2465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230E23"/>
    <w:multiLevelType w:val="hybridMultilevel"/>
    <w:tmpl w:val="EA38130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688914F0"/>
    <w:multiLevelType w:val="hybridMultilevel"/>
    <w:tmpl w:val="B542584E"/>
    <w:lvl w:ilvl="0" w:tplc="0409001B">
      <w:start w:val="1"/>
      <w:numFmt w:val="lowerRoman"/>
      <w:lvlText w:val="%1."/>
      <w:lvlJc w:val="right"/>
      <w:pPr>
        <w:ind w:left="720" w:hanging="360"/>
      </w:pPr>
    </w:lvl>
    <w:lvl w:ilvl="1" w:tplc="2EEA15EE">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C7E10"/>
    <w:multiLevelType w:val="hybridMultilevel"/>
    <w:tmpl w:val="EB1047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6DE121E2"/>
    <w:multiLevelType w:val="multilevel"/>
    <w:tmpl w:val="1E284700"/>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7B06BC"/>
    <w:multiLevelType w:val="hybridMultilevel"/>
    <w:tmpl w:val="24B0BF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0"/>
  </w:num>
  <w:num w:numId="4">
    <w:abstractNumId w:val="13"/>
  </w:num>
  <w:num w:numId="5">
    <w:abstractNumId w:val="17"/>
  </w:num>
  <w:num w:numId="6">
    <w:abstractNumId w:val="15"/>
  </w:num>
  <w:num w:numId="7">
    <w:abstractNumId w:val="14"/>
  </w:num>
  <w:num w:numId="8">
    <w:abstractNumId w:val="19"/>
  </w:num>
  <w:num w:numId="9">
    <w:abstractNumId w:val="16"/>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74"/>
    <w:rsid w:val="00016340"/>
    <w:rsid w:val="00022327"/>
    <w:rsid w:val="000A2F15"/>
    <w:rsid w:val="000D0E2A"/>
    <w:rsid w:val="000E72AF"/>
    <w:rsid w:val="00126682"/>
    <w:rsid w:val="00134875"/>
    <w:rsid w:val="0015264F"/>
    <w:rsid w:val="00252597"/>
    <w:rsid w:val="002561B4"/>
    <w:rsid w:val="00266318"/>
    <w:rsid w:val="0026724B"/>
    <w:rsid w:val="002B4266"/>
    <w:rsid w:val="002F3F5B"/>
    <w:rsid w:val="003322EA"/>
    <w:rsid w:val="00365286"/>
    <w:rsid w:val="00367574"/>
    <w:rsid w:val="003817DC"/>
    <w:rsid w:val="003B45D3"/>
    <w:rsid w:val="003C7B31"/>
    <w:rsid w:val="0041119B"/>
    <w:rsid w:val="00415E82"/>
    <w:rsid w:val="00422F6B"/>
    <w:rsid w:val="00451231"/>
    <w:rsid w:val="00487550"/>
    <w:rsid w:val="004A2E94"/>
    <w:rsid w:val="004A676F"/>
    <w:rsid w:val="004A7AFB"/>
    <w:rsid w:val="004B3F85"/>
    <w:rsid w:val="00541449"/>
    <w:rsid w:val="00573EE4"/>
    <w:rsid w:val="00594ED0"/>
    <w:rsid w:val="005A3155"/>
    <w:rsid w:val="005B23C5"/>
    <w:rsid w:val="005B4F5D"/>
    <w:rsid w:val="005D3137"/>
    <w:rsid w:val="005D4529"/>
    <w:rsid w:val="00622709"/>
    <w:rsid w:val="00625F25"/>
    <w:rsid w:val="00683306"/>
    <w:rsid w:val="0068532E"/>
    <w:rsid w:val="006938FE"/>
    <w:rsid w:val="006A35B0"/>
    <w:rsid w:val="006C2E47"/>
    <w:rsid w:val="0070515E"/>
    <w:rsid w:val="00717D84"/>
    <w:rsid w:val="00776E17"/>
    <w:rsid w:val="007B6B84"/>
    <w:rsid w:val="007F762D"/>
    <w:rsid w:val="00871A37"/>
    <w:rsid w:val="008870A2"/>
    <w:rsid w:val="008B2193"/>
    <w:rsid w:val="008D46F1"/>
    <w:rsid w:val="008F1E93"/>
    <w:rsid w:val="008F71A3"/>
    <w:rsid w:val="009710D3"/>
    <w:rsid w:val="009E05D5"/>
    <w:rsid w:val="009E635D"/>
    <w:rsid w:val="009F6FA0"/>
    <w:rsid w:val="009F795D"/>
    <w:rsid w:val="00A01BA7"/>
    <w:rsid w:val="00A04CD6"/>
    <w:rsid w:val="00A07296"/>
    <w:rsid w:val="00A1455D"/>
    <w:rsid w:val="00A150EE"/>
    <w:rsid w:val="00A907A7"/>
    <w:rsid w:val="00A93720"/>
    <w:rsid w:val="00AD1BBE"/>
    <w:rsid w:val="00AD730B"/>
    <w:rsid w:val="00AE4978"/>
    <w:rsid w:val="00B27868"/>
    <w:rsid w:val="00BC01BC"/>
    <w:rsid w:val="00C17512"/>
    <w:rsid w:val="00C33E61"/>
    <w:rsid w:val="00C7613D"/>
    <w:rsid w:val="00CB7817"/>
    <w:rsid w:val="00CD48C6"/>
    <w:rsid w:val="00D832E9"/>
    <w:rsid w:val="00DC28F6"/>
    <w:rsid w:val="00DF210D"/>
    <w:rsid w:val="00DF634B"/>
    <w:rsid w:val="00E012A8"/>
    <w:rsid w:val="00E07F1A"/>
    <w:rsid w:val="00E1731D"/>
    <w:rsid w:val="00E6179E"/>
    <w:rsid w:val="00E646AD"/>
    <w:rsid w:val="00E835CF"/>
    <w:rsid w:val="00EA5F74"/>
    <w:rsid w:val="00EF5FCC"/>
    <w:rsid w:val="00F17C43"/>
    <w:rsid w:val="00F901D0"/>
    <w:rsid w:val="00FD0B9A"/>
    <w:rsid w:val="00FE2B35"/>
    <w:rsid w:val="00FF3B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4FB9542"/>
  <w15:docId w15:val="{E66F418C-87D4-4DD1-B133-02A9C234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 w:eastAsia="en-US" w:bidi="ar-SA"/>
      </w:rPr>
    </w:rPrDefault>
    <w:pPrDefault>
      <w:pPr>
        <w:tabs>
          <w:tab w:val="left" w:pos="567"/>
          <w:tab w:val="left" w:pos="1134"/>
          <w:tab w:val="left" w:pos="1701"/>
          <w:tab w:val="left" w:pos="2268"/>
          <w:tab w:val="left" w:pos="2835"/>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ind w:left="567" w:hanging="567"/>
      <w:outlineLvl w:val="0"/>
    </w:pPr>
    <w:rPr>
      <w:b/>
      <w:sz w:val="28"/>
      <w:szCs w:val="28"/>
    </w:rPr>
  </w:style>
  <w:style w:type="paragraph" w:styleId="Heading2">
    <w:name w:val="heading 2"/>
    <w:basedOn w:val="Normal1"/>
    <w:next w:val="Normal1"/>
    <w:pPr>
      <w:keepNext/>
      <w:keepLines/>
      <w:spacing w:before="320"/>
      <w:ind w:left="567" w:hanging="567"/>
      <w:outlineLvl w:val="1"/>
    </w:pPr>
    <w:rPr>
      <w:b/>
    </w:rPr>
  </w:style>
  <w:style w:type="paragraph" w:styleId="Heading3">
    <w:name w:val="heading 3"/>
    <w:basedOn w:val="Normal1"/>
    <w:next w:val="Normal1"/>
    <w:pPr>
      <w:keepNext/>
      <w:keepLines/>
      <w:spacing w:before="200"/>
      <w:ind w:left="567" w:hanging="567"/>
      <w:outlineLvl w:val="2"/>
    </w:pPr>
    <w:rPr>
      <w:b/>
    </w:rPr>
  </w:style>
  <w:style w:type="paragraph" w:styleId="Heading4">
    <w:name w:val="heading 4"/>
    <w:basedOn w:val="Normal1"/>
    <w:next w:val="Normal1"/>
    <w:pPr>
      <w:keepNext/>
      <w:keepLines/>
      <w:spacing w:before="200"/>
      <w:ind w:left="1134" w:hanging="1134"/>
      <w:outlineLvl w:val="3"/>
    </w:pPr>
    <w:rPr>
      <w:b/>
    </w:rPr>
  </w:style>
  <w:style w:type="paragraph" w:styleId="Heading5">
    <w:name w:val="heading 5"/>
    <w:basedOn w:val="Normal1"/>
    <w:next w:val="Normal1"/>
    <w:pPr>
      <w:keepNext/>
      <w:keepLines/>
      <w:spacing w:before="200"/>
      <w:ind w:left="1134" w:hanging="1134"/>
      <w:outlineLvl w:val="4"/>
    </w:pPr>
    <w:rPr>
      <w:b/>
    </w:rPr>
  </w:style>
  <w:style w:type="paragraph" w:styleId="Heading6">
    <w:name w:val="heading 6"/>
    <w:basedOn w:val="Normal1"/>
    <w:next w:val="Normal1"/>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8F71A3"/>
    <w:pPr>
      <w:spacing w:before="0"/>
    </w:pPr>
  </w:style>
  <w:style w:type="paragraph" w:styleId="FootnoteText">
    <w:name w:val="footnote text"/>
    <w:basedOn w:val="Normal"/>
    <w:link w:val="FootnoteTextChar"/>
    <w:uiPriority w:val="99"/>
    <w:unhideWhenUsed/>
    <w:rsid w:val="00DF210D"/>
    <w:pPr>
      <w:spacing w:before="0"/>
    </w:pPr>
  </w:style>
  <w:style w:type="character" w:customStyle="1" w:styleId="FootnoteTextChar">
    <w:name w:val="Footnote Text Char"/>
    <w:basedOn w:val="DefaultParagraphFont"/>
    <w:link w:val="FootnoteText"/>
    <w:uiPriority w:val="99"/>
    <w:rsid w:val="00DF210D"/>
  </w:style>
  <w:style w:type="character" w:styleId="FootnoteReference">
    <w:name w:val="footnote reference"/>
    <w:basedOn w:val="DefaultParagraphFont"/>
    <w:uiPriority w:val="99"/>
    <w:unhideWhenUsed/>
    <w:rsid w:val="00DF210D"/>
    <w:rPr>
      <w:vertAlign w:val="superscript"/>
    </w:rPr>
  </w:style>
  <w:style w:type="paragraph" w:styleId="Header">
    <w:name w:val="header"/>
    <w:basedOn w:val="Normal"/>
    <w:link w:val="HeaderChar"/>
    <w:rsid w:val="006A35B0"/>
    <w:pPr>
      <w:tabs>
        <w:tab w:val="clear" w:pos="567"/>
        <w:tab w:val="clear" w:pos="1134"/>
        <w:tab w:val="clear" w:pos="1701"/>
        <w:tab w:val="clear" w:pos="2268"/>
        <w:tab w:val="clear" w:pos="2835"/>
        <w:tab w:val="center" w:pos="4703"/>
        <w:tab w:val="right" w:pos="9406"/>
      </w:tabs>
      <w:spacing w:before="0"/>
    </w:pPr>
    <w:rPr>
      <w:rFonts w:ascii="Arial" w:eastAsia="SimSun" w:hAnsi="Arial" w:cs="Times New Roman"/>
      <w:sz w:val="22"/>
      <w:lang w:val="en-US" w:eastAsia="zh-CN"/>
    </w:rPr>
  </w:style>
  <w:style w:type="character" w:customStyle="1" w:styleId="HeaderChar">
    <w:name w:val="Header Char"/>
    <w:basedOn w:val="DefaultParagraphFont"/>
    <w:link w:val="Header"/>
    <w:rsid w:val="006A35B0"/>
    <w:rPr>
      <w:rFonts w:ascii="Arial" w:eastAsia="SimSun" w:hAnsi="Arial" w:cs="Times New Roman"/>
      <w:sz w:val="22"/>
      <w:lang w:val="en-US" w:eastAsia="zh-CN"/>
    </w:rPr>
  </w:style>
  <w:style w:type="paragraph" w:customStyle="1" w:styleId="Source">
    <w:name w:val="Source"/>
    <w:basedOn w:val="Normal1"/>
    <w:rsid w:val="006A35B0"/>
    <w:pPr>
      <w:pBdr>
        <w:top w:val="nil"/>
        <w:left w:val="nil"/>
        <w:bottom w:val="nil"/>
        <w:right w:val="nil"/>
        <w:between w:val="nil"/>
      </w:pBdr>
      <w:spacing w:before="840" w:line="320" w:lineRule="atLeast"/>
      <w:jc w:val="center"/>
    </w:pPr>
    <w:rPr>
      <w:b/>
      <w:sz w:val="28"/>
      <w:szCs w:val="28"/>
    </w:rPr>
  </w:style>
  <w:style w:type="paragraph" w:styleId="Footer">
    <w:name w:val="footer"/>
    <w:basedOn w:val="Normal"/>
    <w:link w:val="FooterChar"/>
    <w:uiPriority w:val="99"/>
    <w:unhideWhenUsed/>
    <w:rsid w:val="006A35B0"/>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6A35B0"/>
  </w:style>
  <w:style w:type="paragraph" w:styleId="BalloonText">
    <w:name w:val="Balloon Text"/>
    <w:basedOn w:val="Normal"/>
    <w:link w:val="BalloonTextChar"/>
    <w:uiPriority w:val="99"/>
    <w:semiHidden/>
    <w:unhideWhenUsed/>
    <w:rsid w:val="009E05D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5D5"/>
    <w:rPr>
      <w:rFonts w:ascii="Tahoma" w:hAnsi="Tahoma" w:cs="Tahoma"/>
      <w:sz w:val="16"/>
      <w:szCs w:val="16"/>
    </w:rPr>
  </w:style>
  <w:style w:type="character" w:customStyle="1" w:styleId="tlid-translation">
    <w:name w:val="tlid-translation"/>
    <w:basedOn w:val="DefaultParagraphFont"/>
    <w:rsid w:val="0068532E"/>
  </w:style>
  <w:style w:type="paragraph" w:customStyle="1" w:styleId="Body">
    <w:name w:val="Body"/>
    <w:rsid w:val="0068532E"/>
    <w:pPr>
      <w:pBdr>
        <w:top w:val="nil"/>
        <w:left w:val="nil"/>
        <w:bottom w:val="nil"/>
        <w:right w:val="nil"/>
        <w:between w:val="nil"/>
        <w:bar w:val="nil"/>
      </w:pBdr>
    </w:pPr>
    <w:rPr>
      <w:color w:val="000000"/>
      <w:u w:color="000000"/>
      <w:bdr w:val="nil"/>
      <w:lang w:val="en-US"/>
    </w:rPr>
  </w:style>
  <w:style w:type="character" w:styleId="Hyperlink">
    <w:name w:val="Hyperlink"/>
    <w:aliases w:val="超级链接"/>
    <w:basedOn w:val="DefaultParagraphFont"/>
    <w:uiPriority w:val="99"/>
    <w:rsid w:val="007B6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4659">
      <w:bodyDiv w:val="1"/>
      <w:marLeft w:val="0"/>
      <w:marRight w:val="0"/>
      <w:marTop w:val="0"/>
      <w:marBottom w:val="0"/>
      <w:divBdr>
        <w:top w:val="none" w:sz="0" w:space="0" w:color="auto"/>
        <w:left w:val="none" w:sz="0" w:space="0" w:color="auto"/>
        <w:bottom w:val="none" w:sz="0" w:space="0" w:color="auto"/>
        <w:right w:val="none" w:sz="0" w:space="0" w:color="auto"/>
      </w:divBdr>
    </w:div>
    <w:div w:id="896357027">
      <w:bodyDiv w:val="1"/>
      <w:marLeft w:val="0"/>
      <w:marRight w:val="0"/>
      <w:marTop w:val="0"/>
      <w:marBottom w:val="0"/>
      <w:divBdr>
        <w:top w:val="none" w:sz="0" w:space="0" w:color="auto"/>
        <w:left w:val="none" w:sz="0" w:space="0" w:color="auto"/>
        <w:bottom w:val="none" w:sz="0" w:space="0" w:color="auto"/>
        <w:right w:val="none" w:sz="0" w:space="0" w:color="auto"/>
      </w:divBdr>
      <w:divsChild>
        <w:div w:id="195971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71869">
              <w:marLeft w:val="0"/>
              <w:marRight w:val="0"/>
              <w:marTop w:val="0"/>
              <w:marBottom w:val="0"/>
              <w:divBdr>
                <w:top w:val="none" w:sz="0" w:space="0" w:color="auto"/>
                <w:left w:val="none" w:sz="0" w:space="0" w:color="auto"/>
                <w:bottom w:val="none" w:sz="0" w:space="0" w:color="auto"/>
                <w:right w:val="none" w:sz="0" w:space="0" w:color="auto"/>
              </w:divBdr>
              <w:divsChild>
                <w:div w:id="9283886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80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00637">
      <w:bodyDiv w:val="1"/>
      <w:marLeft w:val="0"/>
      <w:marRight w:val="0"/>
      <w:marTop w:val="0"/>
      <w:marBottom w:val="0"/>
      <w:divBdr>
        <w:top w:val="none" w:sz="0" w:space="0" w:color="auto"/>
        <w:left w:val="none" w:sz="0" w:space="0" w:color="auto"/>
        <w:bottom w:val="none" w:sz="0" w:space="0" w:color="auto"/>
        <w:right w:val="none" w:sz="0" w:space="0" w:color="auto"/>
      </w:divBdr>
      <w:divsChild>
        <w:div w:id="2128959599">
          <w:marLeft w:val="0"/>
          <w:marRight w:val="0"/>
          <w:marTop w:val="0"/>
          <w:marBottom w:val="0"/>
          <w:divBdr>
            <w:top w:val="none" w:sz="0" w:space="0" w:color="auto"/>
            <w:left w:val="none" w:sz="0" w:space="0" w:color="auto"/>
            <w:bottom w:val="none" w:sz="0" w:space="0" w:color="auto"/>
            <w:right w:val="none" w:sz="0" w:space="0" w:color="auto"/>
          </w:divBdr>
        </w:div>
        <w:div w:id="960455372">
          <w:marLeft w:val="0"/>
          <w:marRight w:val="0"/>
          <w:marTop w:val="0"/>
          <w:marBottom w:val="0"/>
          <w:divBdr>
            <w:top w:val="none" w:sz="0" w:space="0" w:color="auto"/>
            <w:left w:val="none" w:sz="0" w:space="0" w:color="auto"/>
            <w:bottom w:val="none" w:sz="0" w:space="0" w:color="auto"/>
            <w:right w:val="none" w:sz="0" w:space="0" w:color="auto"/>
          </w:divBdr>
        </w:div>
        <w:div w:id="1598055514">
          <w:marLeft w:val="0"/>
          <w:marRight w:val="0"/>
          <w:marTop w:val="0"/>
          <w:marBottom w:val="0"/>
          <w:divBdr>
            <w:top w:val="none" w:sz="0" w:space="0" w:color="auto"/>
            <w:left w:val="none" w:sz="0" w:space="0" w:color="auto"/>
            <w:bottom w:val="none" w:sz="0" w:space="0" w:color="auto"/>
            <w:right w:val="none" w:sz="0" w:space="0" w:color="auto"/>
          </w:divBdr>
        </w:div>
        <w:div w:id="1828785397">
          <w:marLeft w:val="0"/>
          <w:marRight w:val="0"/>
          <w:marTop w:val="0"/>
          <w:marBottom w:val="0"/>
          <w:divBdr>
            <w:top w:val="none" w:sz="0" w:space="0" w:color="auto"/>
            <w:left w:val="none" w:sz="0" w:space="0" w:color="auto"/>
            <w:bottom w:val="none" w:sz="0" w:space="0" w:color="auto"/>
            <w:right w:val="none" w:sz="0" w:space="0" w:color="auto"/>
          </w:divBdr>
        </w:div>
        <w:div w:id="816651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3837</Characters>
  <Application>Microsoft Office Word</Application>
  <DocSecurity>0</DocSecurity>
  <Lines>31</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 Patricia</dc:creator>
  <cp:lastModifiedBy>Janin, Patricia</cp:lastModifiedBy>
  <cp:revision>5</cp:revision>
  <dcterms:created xsi:type="dcterms:W3CDTF">2019-09-06T13:52:00Z</dcterms:created>
  <dcterms:modified xsi:type="dcterms:W3CDTF">2019-09-06T13:57:00Z</dcterms:modified>
</cp:coreProperties>
</file>