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521"/>
        <w:gridCol w:w="3510"/>
      </w:tblGrid>
      <w:tr w:rsidR="00A6706C" w:rsidRPr="00D32211" w:rsidTr="00AF29A8">
        <w:trPr>
          <w:cantSplit/>
          <w:trHeight w:val="1276"/>
        </w:trPr>
        <w:tc>
          <w:tcPr>
            <w:tcW w:w="6521" w:type="dxa"/>
            <w:vAlign w:val="bottom"/>
          </w:tcPr>
          <w:p w:rsidR="00A6706C" w:rsidRPr="00D32211" w:rsidRDefault="00AF29A8" w:rsidP="00C42B14">
            <w:pPr>
              <w:spacing w:line="240" w:lineRule="atLeast"/>
              <w:rPr>
                <w:position w:val="6"/>
                <w:sz w:val="26"/>
                <w:szCs w:val="26"/>
              </w:rPr>
            </w:pPr>
            <w:r w:rsidRPr="00B26E5B">
              <w:rPr>
                <w:rFonts w:cs="Calibri"/>
                <w:b/>
                <w:bCs/>
                <w:position w:val="6"/>
                <w:sz w:val="30"/>
                <w:szCs w:val="30"/>
              </w:rPr>
              <w:t>Council Working Group on International Internet Related Public Policy issues (CWG-Internet)</w:t>
            </w:r>
            <w:r w:rsidRPr="00B26E5B">
              <w:rPr>
                <w:rFonts w:cs="Times"/>
                <w:b/>
                <w:position w:val="6"/>
                <w:szCs w:val="24"/>
              </w:rPr>
              <w:br/>
            </w:r>
            <w:r w:rsidRPr="001E4F55">
              <w:rPr>
                <w:rFonts w:cs="Calibri"/>
                <w:b/>
                <w:bCs/>
                <w:position w:val="6"/>
                <w:sz w:val="24"/>
                <w:szCs w:val="24"/>
              </w:rPr>
              <w:t>Twelfth meeting – Geneva, 1 February 2019</w:t>
            </w:r>
          </w:p>
        </w:tc>
        <w:tc>
          <w:tcPr>
            <w:tcW w:w="3510" w:type="dxa"/>
          </w:tcPr>
          <w:p w:rsidR="00A6706C" w:rsidRPr="00D32211" w:rsidRDefault="00A6706C" w:rsidP="00100E21">
            <w:pPr>
              <w:rPr>
                <w:szCs w:val="24"/>
              </w:rPr>
            </w:pPr>
            <w:bookmarkStart w:id="0" w:name="ditulogo"/>
            <w:bookmarkEnd w:id="0"/>
            <w:r w:rsidRPr="00D32211">
              <w:rPr>
                <w:noProof/>
                <w:szCs w:val="24"/>
                <w:lang w:eastAsia="zh-CN"/>
              </w:rPr>
              <w:drawing>
                <wp:inline distT="0" distB="0" distL="0" distR="0" wp14:anchorId="07A7A272" wp14:editId="450FB639">
                  <wp:extent cx="1762125" cy="7429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62125" cy="742950"/>
                          </a:xfrm>
                          <a:prstGeom prst="rect">
                            <a:avLst/>
                          </a:prstGeom>
                          <a:noFill/>
                          <a:ln>
                            <a:noFill/>
                          </a:ln>
                        </pic:spPr>
                      </pic:pic>
                    </a:graphicData>
                  </a:graphic>
                </wp:inline>
              </w:drawing>
            </w:r>
          </w:p>
        </w:tc>
      </w:tr>
      <w:tr w:rsidR="00A6706C" w:rsidRPr="00D32211" w:rsidTr="00AF29A8">
        <w:trPr>
          <w:cantSplit/>
        </w:trPr>
        <w:tc>
          <w:tcPr>
            <w:tcW w:w="6521" w:type="dxa"/>
            <w:tcBorders>
              <w:bottom w:val="single" w:sz="12" w:space="0" w:color="auto"/>
            </w:tcBorders>
          </w:tcPr>
          <w:p w:rsidR="00A6706C" w:rsidRPr="00D32211" w:rsidRDefault="00A6706C" w:rsidP="00AF29A8">
            <w:pPr>
              <w:spacing w:after="0" w:line="240" w:lineRule="auto"/>
              <w:rPr>
                <w:b/>
                <w:smallCaps/>
                <w:sz w:val="26"/>
                <w:szCs w:val="26"/>
              </w:rPr>
            </w:pPr>
          </w:p>
        </w:tc>
        <w:tc>
          <w:tcPr>
            <w:tcW w:w="3510" w:type="dxa"/>
            <w:tcBorders>
              <w:bottom w:val="single" w:sz="12" w:space="0" w:color="auto"/>
            </w:tcBorders>
          </w:tcPr>
          <w:p w:rsidR="00A6706C" w:rsidRPr="00D32211" w:rsidRDefault="00A6706C" w:rsidP="00AF29A8">
            <w:pPr>
              <w:spacing w:after="0" w:line="240" w:lineRule="auto"/>
              <w:rPr>
                <w:szCs w:val="24"/>
              </w:rPr>
            </w:pPr>
          </w:p>
        </w:tc>
      </w:tr>
      <w:tr w:rsidR="00A6706C" w:rsidRPr="00D32211" w:rsidTr="00AF29A8">
        <w:trPr>
          <w:cantSplit/>
        </w:trPr>
        <w:tc>
          <w:tcPr>
            <w:tcW w:w="6521" w:type="dxa"/>
            <w:tcBorders>
              <w:top w:val="single" w:sz="12" w:space="0" w:color="auto"/>
            </w:tcBorders>
          </w:tcPr>
          <w:p w:rsidR="00A6706C" w:rsidRPr="00D32211" w:rsidRDefault="00A6706C" w:rsidP="00100E21">
            <w:pPr>
              <w:spacing w:after="0" w:line="240" w:lineRule="auto"/>
              <w:rPr>
                <w:b/>
                <w:smallCaps/>
                <w:szCs w:val="24"/>
              </w:rPr>
            </w:pPr>
          </w:p>
        </w:tc>
        <w:tc>
          <w:tcPr>
            <w:tcW w:w="3510" w:type="dxa"/>
            <w:tcBorders>
              <w:top w:val="single" w:sz="12" w:space="0" w:color="auto"/>
            </w:tcBorders>
          </w:tcPr>
          <w:p w:rsidR="00A6706C" w:rsidRPr="00D32211" w:rsidRDefault="00A6706C" w:rsidP="00100E21">
            <w:pPr>
              <w:spacing w:after="0" w:line="240" w:lineRule="auto"/>
              <w:rPr>
                <w:szCs w:val="24"/>
              </w:rPr>
            </w:pPr>
          </w:p>
        </w:tc>
      </w:tr>
      <w:tr w:rsidR="00A6706C" w:rsidRPr="00D32211" w:rsidTr="00AF29A8">
        <w:trPr>
          <w:cantSplit/>
          <w:trHeight w:val="23"/>
        </w:trPr>
        <w:tc>
          <w:tcPr>
            <w:tcW w:w="6521" w:type="dxa"/>
            <w:vMerge w:val="restart"/>
          </w:tcPr>
          <w:p w:rsidR="00A6706C" w:rsidRPr="00D32211" w:rsidRDefault="00A6706C" w:rsidP="00100E21">
            <w:pPr>
              <w:tabs>
                <w:tab w:val="left" w:pos="851"/>
              </w:tabs>
              <w:spacing w:after="0" w:line="240" w:lineRule="auto"/>
              <w:rPr>
                <w:b/>
                <w:szCs w:val="24"/>
              </w:rPr>
            </w:pPr>
          </w:p>
        </w:tc>
        <w:tc>
          <w:tcPr>
            <w:tcW w:w="3510" w:type="dxa"/>
          </w:tcPr>
          <w:p w:rsidR="00A6706C" w:rsidRPr="00D32211" w:rsidRDefault="00A6706C" w:rsidP="00AF29A8">
            <w:pPr>
              <w:tabs>
                <w:tab w:val="left" w:pos="851"/>
              </w:tabs>
              <w:spacing w:after="0" w:line="240" w:lineRule="auto"/>
              <w:rPr>
                <w:b/>
                <w:sz w:val="24"/>
                <w:szCs w:val="24"/>
                <w:lang w:val="de-AT"/>
              </w:rPr>
            </w:pPr>
            <w:r w:rsidRPr="00D32211">
              <w:rPr>
                <w:b/>
                <w:sz w:val="24"/>
                <w:szCs w:val="24"/>
                <w:lang w:val="de-AT"/>
              </w:rPr>
              <w:t xml:space="preserve">Document WG-Internet </w:t>
            </w:r>
            <w:r w:rsidR="00C42B14" w:rsidRPr="00D32211">
              <w:rPr>
                <w:b/>
                <w:sz w:val="24"/>
                <w:szCs w:val="24"/>
                <w:lang w:val="de-AT"/>
              </w:rPr>
              <w:t>12</w:t>
            </w:r>
            <w:r w:rsidRPr="00D32211">
              <w:rPr>
                <w:b/>
                <w:sz w:val="24"/>
                <w:szCs w:val="24"/>
                <w:lang w:val="de-AT"/>
              </w:rPr>
              <w:t>/</w:t>
            </w:r>
            <w:r w:rsidR="00AF29A8">
              <w:rPr>
                <w:b/>
                <w:sz w:val="24"/>
                <w:szCs w:val="24"/>
                <w:lang w:val="de-AT"/>
              </w:rPr>
              <w:t>4</w:t>
            </w:r>
            <w:r w:rsidRPr="00D32211">
              <w:rPr>
                <w:b/>
                <w:sz w:val="24"/>
                <w:szCs w:val="24"/>
                <w:lang w:val="de-AT"/>
              </w:rPr>
              <w:t>-E</w:t>
            </w:r>
          </w:p>
        </w:tc>
      </w:tr>
      <w:tr w:rsidR="00A6706C" w:rsidRPr="00D32211" w:rsidTr="00AF29A8">
        <w:trPr>
          <w:cantSplit/>
          <w:trHeight w:val="23"/>
        </w:trPr>
        <w:tc>
          <w:tcPr>
            <w:tcW w:w="6521" w:type="dxa"/>
            <w:vMerge/>
          </w:tcPr>
          <w:p w:rsidR="00A6706C" w:rsidRPr="00D32211" w:rsidRDefault="00A6706C" w:rsidP="00100E21">
            <w:pPr>
              <w:tabs>
                <w:tab w:val="left" w:pos="851"/>
              </w:tabs>
              <w:spacing w:after="0" w:line="240" w:lineRule="auto"/>
              <w:rPr>
                <w:b/>
                <w:szCs w:val="24"/>
                <w:lang w:val="de-AT"/>
              </w:rPr>
            </w:pPr>
          </w:p>
        </w:tc>
        <w:tc>
          <w:tcPr>
            <w:tcW w:w="3510" w:type="dxa"/>
          </w:tcPr>
          <w:p w:rsidR="00A6706C" w:rsidRPr="00D32211" w:rsidRDefault="00AF29A8" w:rsidP="00AF29A8">
            <w:pPr>
              <w:tabs>
                <w:tab w:val="left" w:pos="993"/>
              </w:tabs>
              <w:spacing w:after="0" w:line="240" w:lineRule="auto"/>
              <w:rPr>
                <w:b/>
                <w:sz w:val="24"/>
                <w:szCs w:val="24"/>
              </w:rPr>
            </w:pPr>
            <w:r>
              <w:rPr>
                <w:b/>
                <w:sz w:val="24"/>
                <w:szCs w:val="24"/>
              </w:rPr>
              <w:t xml:space="preserve">17 January </w:t>
            </w:r>
            <w:r w:rsidR="00C42B14" w:rsidRPr="00D32211">
              <w:rPr>
                <w:b/>
                <w:sz w:val="24"/>
                <w:szCs w:val="24"/>
              </w:rPr>
              <w:t>2019</w:t>
            </w:r>
          </w:p>
        </w:tc>
      </w:tr>
      <w:tr w:rsidR="00A6706C" w:rsidRPr="00D32211" w:rsidTr="00AF29A8">
        <w:trPr>
          <w:cantSplit/>
          <w:trHeight w:val="23"/>
        </w:trPr>
        <w:tc>
          <w:tcPr>
            <w:tcW w:w="6521" w:type="dxa"/>
            <w:vMerge/>
          </w:tcPr>
          <w:p w:rsidR="00A6706C" w:rsidRPr="00D32211" w:rsidRDefault="00A6706C" w:rsidP="00100E21">
            <w:pPr>
              <w:tabs>
                <w:tab w:val="left" w:pos="851"/>
              </w:tabs>
              <w:spacing w:after="0" w:line="240" w:lineRule="auto"/>
              <w:rPr>
                <w:b/>
                <w:szCs w:val="24"/>
              </w:rPr>
            </w:pPr>
          </w:p>
        </w:tc>
        <w:tc>
          <w:tcPr>
            <w:tcW w:w="3510" w:type="dxa"/>
          </w:tcPr>
          <w:p w:rsidR="00A6706C" w:rsidRPr="00D32211" w:rsidRDefault="00A6706C" w:rsidP="00100E21">
            <w:pPr>
              <w:tabs>
                <w:tab w:val="left" w:pos="993"/>
              </w:tabs>
              <w:spacing w:after="0" w:line="240" w:lineRule="auto"/>
              <w:rPr>
                <w:b/>
                <w:sz w:val="24"/>
                <w:szCs w:val="24"/>
              </w:rPr>
            </w:pPr>
            <w:r w:rsidRPr="00D32211">
              <w:rPr>
                <w:b/>
                <w:sz w:val="24"/>
                <w:szCs w:val="24"/>
              </w:rPr>
              <w:t>English only</w:t>
            </w:r>
          </w:p>
        </w:tc>
      </w:tr>
    </w:tbl>
    <w:p w:rsidR="005F38FF" w:rsidRPr="00AF29A8" w:rsidRDefault="00AF29A8" w:rsidP="00AF29A8">
      <w:pPr>
        <w:pStyle w:val="Source"/>
      </w:pPr>
      <w:r w:rsidRPr="00AF29A8">
        <w:t>Contribution by the Russian Federation</w:t>
      </w:r>
    </w:p>
    <w:p w:rsidR="0056494B" w:rsidRPr="00AF29A8" w:rsidRDefault="00EB61BC" w:rsidP="00103B4D">
      <w:pPr>
        <w:pStyle w:val="ResNo"/>
        <w:spacing w:before="360"/>
      </w:pPr>
      <w:r w:rsidRPr="00AF29A8">
        <w:t>practice</w:t>
      </w:r>
      <w:r w:rsidR="00120C6F" w:rsidRPr="00AF29A8">
        <w:t xml:space="preserve"> </w:t>
      </w:r>
      <w:r w:rsidRPr="00AF29A8">
        <w:t xml:space="preserve">of </w:t>
      </w:r>
      <w:r w:rsidR="00120C6F" w:rsidRPr="00AF29A8">
        <w:t>establish</w:t>
      </w:r>
      <w:r w:rsidRPr="00AF29A8">
        <w:t>ing</w:t>
      </w:r>
      <w:r w:rsidR="00120C6F" w:rsidRPr="00AF29A8">
        <w:t xml:space="preserve"> </w:t>
      </w:r>
      <w:r w:rsidR="00B62D26" w:rsidRPr="00AF29A8">
        <w:t xml:space="preserve">ott services </w:t>
      </w:r>
      <w:r w:rsidR="00930041" w:rsidRPr="00AF29A8">
        <w:t>regulatory</w:t>
      </w:r>
      <w:r w:rsidR="00120C6F" w:rsidRPr="00AF29A8">
        <w:t xml:space="preserve"> mechanisms and proposals on the cooperation </w:t>
      </w:r>
      <w:r w:rsidR="005D52C7" w:rsidRPr="00AF29A8">
        <w:t>OF</w:t>
      </w:r>
      <w:r w:rsidR="00120C6F" w:rsidRPr="00AF29A8">
        <w:t xml:space="preserve"> all stakeholders</w:t>
      </w:r>
      <w:r w:rsidRPr="00AF29A8">
        <w:t xml:space="preserve"> on </w:t>
      </w:r>
      <w:r w:rsidR="004A4FCF" w:rsidRPr="00AF29A8">
        <w:t xml:space="preserve">Cross-industry and </w:t>
      </w:r>
      <w:r w:rsidRPr="00AF29A8">
        <w:t>international level</w:t>
      </w:r>
    </w:p>
    <w:p w:rsidR="00103B4D" w:rsidRPr="001E0AC7" w:rsidRDefault="00103B4D" w:rsidP="00103B4D"/>
    <w:p w:rsidR="00103B4D" w:rsidRPr="001E0AC7" w:rsidRDefault="00120C6F" w:rsidP="00103B4D">
      <w:pPr>
        <w:pStyle w:val="ResNo"/>
        <w:numPr>
          <w:ilvl w:val="0"/>
          <w:numId w:val="2"/>
        </w:numPr>
        <w:tabs>
          <w:tab w:val="clear" w:pos="567"/>
          <w:tab w:val="clear" w:pos="1134"/>
          <w:tab w:val="clear" w:pos="1701"/>
          <w:tab w:val="clear" w:pos="2268"/>
          <w:tab w:val="clear" w:pos="2835"/>
        </w:tabs>
        <w:spacing w:before="360"/>
        <w:ind w:hanging="720"/>
        <w:jc w:val="both"/>
        <w:rPr>
          <w:rFonts w:cs="Times New Roman"/>
          <w:b/>
          <w:bCs/>
          <w:caps w:val="0"/>
          <w:color w:val="auto"/>
          <w:sz w:val="24"/>
          <w:szCs w:val="24"/>
        </w:rPr>
      </w:pPr>
      <w:r w:rsidRPr="001E0AC7">
        <w:rPr>
          <w:rFonts w:cs="Times New Roman"/>
          <w:b/>
          <w:bCs/>
          <w:caps w:val="0"/>
          <w:color w:val="auto"/>
          <w:sz w:val="24"/>
          <w:szCs w:val="24"/>
        </w:rPr>
        <w:t>Introduction</w:t>
      </w:r>
    </w:p>
    <w:p w:rsidR="00CA7203" w:rsidRPr="001E0AC7" w:rsidRDefault="00EA4032" w:rsidP="00887AC4">
      <w:pPr>
        <w:pStyle w:val="Body"/>
        <w:ind w:firstLine="709"/>
        <w:jc w:val="both"/>
        <w:rPr>
          <w:rFonts w:cs="Times New Roman"/>
        </w:rPr>
      </w:pPr>
      <w:r w:rsidRPr="001E0AC7">
        <w:rPr>
          <w:rFonts w:cs="Times New Roman"/>
        </w:rPr>
        <w:t>Rapid development of the</w:t>
      </w:r>
      <w:r w:rsidR="00120C6F" w:rsidRPr="001E0AC7">
        <w:rPr>
          <w:rFonts w:cs="Times New Roman"/>
        </w:rPr>
        <w:t xml:space="preserve"> information and communication technologies (ICTs) has led to </w:t>
      </w:r>
      <w:r w:rsidR="00846C69" w:rsidRPr="001E0AC7">
        <w:rPr>
          <w:rFonts w:cs="Times New Roman"/>
        </w:rPr>
        <w:t xml:space="preserve">wide </w:t>
      </w:r>
      <w:r w:rsidR="00120C6F" w:rsidRPr="001E0AC7">
        <w:rPr>
          <w:rFonts w:cs="Times New Roman"/>
        </w:rPr>
        <w:t>distribution</w:t>
      </w:r>
      <w:r w:rsidRPr="001E0AC7">
        <w:rPr>
          <w:rFonts w:cs="Times New Roman"/>
        </w:rPr>
        <w:t xml:space="preserve"> of Internet-provided services, </w:t>
      </w:r>
      <w:r w:rsidR="00EC64BE" w:rsidRPr="001E0AC7">
        <w:rPr>
          <w:rFonts w:cs="Times New Roman"/>
        </w:rPr>
        <w:t xml:space="preserve">also known as OTT </w:t>
      </w:r>
      <w:r w:rsidR="00BD1F29" w:rsidRPr="001E0AC7">
        <w:rPr>
          <w:rFonts w:cs="Times New Roman"/>
        </w:rPr>
        <w:t>services</w:t>
      </w:r>
      <w:r w:rsidR="00CA7203" w:rsidRPr="001E0AC7">
        <w:rPr>
          <w:rFonts w:cs="Times New Roman"/>
        </w:rPr>
        <w:t xml:space="preserve">. </w:t>
      </w:r>
    </w:p>
    <w:p w:rsidR="00CA7203" w:rsidRPr="001E0AC7" w:rsidRDefault="00C31440" w:rsidP="00887AC4">
      <w:pPr>
        <w:pStyle w:val="Body"/>
        <w:ind w:firstLine="709"/>
        <w:jc w:val="both"/>
        <w:rPr>
          <w:rFonts w:cs="Times New Roman"/>
        </w:rPr>
      </w:pPr>
      <w:r w:rsidRPr="001E0AC7">
        <w:rPr>
          <w:rFonts w:cs="Times New Roman"/>
        </w:rPr>
        <w:t xml:space="preserve">Such services </w:t>
      </w:r>
      <w:r w:rsidR="00EB61BC" w:rsidRPr="001E0AC7">
        <w:rPr>
          <w:rFonts w:cs="Times New Roman"/>
        </w:rPr>
        <w:t>have a considerable impact</w:t>
      </w:r>
      <w:r w:rsidRPr="001E0AC7">
        <w:rPr>
          <w:rFonts w:cs="Times New Roman"/>
        </w:rPr>
        <w:t xml:space="preserve"> </w:t>
      </w:r>
      <w:r w:rsidR="00EB61BC" w:rsidRPr="001E0AC7">
        <w:rPr>
          <w:rFonts w:cs="Times New Roman"/>
        </w:rPr>
        <w:t xml:space="preserve">on </w:t>
      </w:r>
      <w:r w:rsidRPr="001E0AC7">
        <w:rPr>
          <w:rFonts w:cs="Times New Roman"/>
        </w:rPr>
        <w:t>national and international telecommunications and bec</w:t>
      </w:r>
      <w:r w:rsidR="00BD1F29" w:rsidRPr="001E0AC7">
        <w:rPr>
          <w:rFonts w:cs="Times New Roman"/>
        </w:rPr>
        <w:t>a</w:t>
      </w:r>
      <w:r w:rsidRPr="001E0AC7">
        <w:rPr>
          <w:rFonts w:cs="Times New Roman"/>
        </w:rPr>
        <w:t>me an important part of global digital economy</w:t>
      </w:r>
      <w:r w:rsidR="00CA7203" w:rsidRPr="001E0AC7">
        <w:rPr>
          <w:rFonts w:cs="Times New Roman"/>
        </w:rPr>
        <w:t xml:space="preserve">. </w:t>
      </w:r>
      <w:r w:rsidRPr="001E0AC7">
        <w:rPr>
          <w:rFonts w:cs="Times New Roman"/>
        </w:rPr>
        <w:t>In this regard</w:t>
      </w:r>
      <w:r w:rsidR="00E769AC" w:rsidRPr="001E0AC7">
        <w:rPr>
          <w:rFonts w:cs="Times New Roman"/>
        </w:rPr>
        <w:t>,</w:t>
      </w:r>
      <w:r w:rsidRPr="001E0AC7">
        <w:rPr>
          <w:rFonts w:cs="Times New Roman"/>
        </w:rPr>
        <w:t xml:space="preserve"> </w:t>
      </w:r>
      <w:r w:rsidR="009E24D7" w:rsidRPr="001E0AC7">
        <w:rPr>
          <w:rFonts w:cs="Times New Roman"/>
        </w:rPr>
        <w:t>the international public polic</w:t>
      </w:r>
      <w:r w:rsidR="00E769AC" w:rsidRPr="001E0AC7">
        <w:rPr>
          <w:rFonts w:cs="Times New Roman"/>
        </w:rPr>
        <w:t>y</w:t>
      </w:r>
      <w:r w:rsidR="009E24D7" w:rsidRPr="001E0AC7">
        <w:rPr>
          <w:rFonts w:cs="Times New Roman"/>
        </w:rPr>
        <w:t xml:space="preserve"> considerations related to OTT should be </w:t>
      </w:r>
      <w:r w:rsidR="001E0AC7" w:rsidRPr="001E0AC7">
        <w:rPr>
          <w:rFonts w:cs="Times New Roman"/>
        </w:rPr>
        <w:t>reviewed</w:t>
      </w:r>
      <w:r w:rsidR="009E24D7" w:rsidRPr="001E0AC7">
        <w:rPr>
          <w:rFonts w:cs="Times New Roman"/>
        </w:rPr>
        <w:t xml:space="preserve"> comprehensively </w:t>
      </w:r>
      <w:r w:rsidR="00951871" w:rsidRPr="001E0AC7">
        <w:rPr>
          <w:rFonts w:cs="Times New Roman"/>
        </w:rPr>
        <w:t>and include</w:t>
      </w:r>
      <w:r w:rsidR="009E24D7" w:rsidRPr="001E0AC7">
        <w:rPr>
          <w:rFonts w:cs="Times New Roman"/>
        </w:rPr>
        <w:t xml:space="preserve"> such </w:t>
      </w:r>
      <w:r w:rsidR="00BD1F29" w:rsidRPr="001E0AC7">
        <w:rPr>
          <w:rFonts w:cs="Times New Roman"/>
        </w:rPr>
        <w:t>issues</w:t>
      </w:r>
      <w:r w:rsidR="009E24D7" w:rsidRPr="001E0AC7">
        <w:rPr>
          <w:rFonts w:cs="Times New Roman"/>
        </w:rPr>
        <w:t xml:space="preserve"> as security, privacy, personal data protection, </w:t>
      </w:r>
      <w:r w:rsidR="00BD1F29" w:rsidRPr="001E0AC7">
        <w:rPr>
          <w:rFonts w:cs="Times New Roman"/>
        </w:rPr>
        <w:t>measures</w:t>
      </w:r>
      <w:r w:rsidR="009E24D7" w:rsidRPr="001E0AC7">
        <w:rPr>
          <w:rFonts w:cs="Times New Roman"/>
        </w:rPr>
        <w:t xml:space="preserve"> to prevent illegal use, etc.</w:t>
      </w:r>
      <w:r w:rsidR="00CA7203" w:rsidRPr="001E0AC7">
        <w:rPr>
          <w:rFonts w:cs="Times New Roman"/>
        </w:rPr>
        <w:t xml:space="preserve"> </w:t>
      </w:r>
      <w:r w:rsidR="00100E21" w:rsidRPr="001E0AC7">
        <w:rPr>
          <w:rFonts w:cs="Times New Roman"/>
        </w:rPr>
        <w:t xml:space="preserve">OTT services development raises new </w:t>
      </w:r>
      <w:r w:rsidR="00715043" w:rsidRPr="001E0AC7">
        <w:rPr>
          <w:rFonts w:cs="Times New Roman"/>
        </w:rPr>
        <w:t>challenges</w:t>
      </w:r>
      <w:r w:rsidR="00100E21" w:rsidRPr="001E0AC7">
        <w:rPr>
          <w:rFonts w:cs="Times New Roman"/>
        </w:rPr>
        <w:t xml:space="preserve"> </w:t>
      </w:r>
      <w:r w:rsidR="00715043" w:rsidRPr="001E0AC7">
        <w:rPr>
          <w:rFonts w:cs="Times New Roman"/>
        </w:rPr>
        <w:t>for</w:t>
      </w:r>
      <w:r w:rsidR="00100E21" w:rsidRPr="001E0AC7">
        <w:rPr>
          <w:rFonts w:cs="Times New Roman"/>
        </w:rPr>
        <w:t xml:space="preserve"> telecommunication industry </w:t>
      </w:r>
      <w:r w:rsidR="00563836" w:rsidRPr="001E0AC7">
        <w:rPr>
          <w:rFonts w:cs="Times New Roman"/>
        </w:rPr>
        <w:t xml:space="preserve">regulation </w:t>
      </w:r>
      <w:r w:rsidR="00100E21" w:rsidRPr="001E0AC7">
        <w:rPr>
          <w:rFonts w:cs="Times New Roman"/>
        </w:rPr>
        <w:t xml:space="preserve">that should </w:t>
      </w:r>
      <w:r w:rsidR="00715043" w:rsidRPr="001E0AC7">
        <w:rPr>
          <w:rFonts w:cs="Times New Roman"/>
        </w:rPr>
        <w:t xml:space="preserve">also </w:t>
      </w:r>
      <w:r w:rsidR="00100E21" w:rsidRPr="001E0AC7">
        <w:rPr>
          <w:rFonts w:cs="Times New Roman"/>
        </w:rPr>
        <w:t xml:space="preserve">focus on </w:t>
      </w:r>
      <w:r w:rsidR="008A2F06" w:rsidRPr="001E0AC7">
        <w:rPr>
          <w:rFonts w:cs="Times New Roman"/>
        </w:rPr>
        <w:t>promoting</w:t>
      </w:r>
      <w:r w:rsidR="00100E21" w:rsidRPr="001E0AC7">
        <w:rPr>
          <w:rFonts w:cs="Times New Roman"/>
        </w:rPr>
        <w:t xml:space="preserve"> investment and innovation</w:t>
      </w:r>
      <w:r w:rsidR="00951871" w:rsidRPr="001E0AC7">
        <w:rPr>
          <w:rFonts w:cs="Times New Roman"/>
        </w:rPr>
        <w:t>s</w:t>
      </w:r>
      <w:r w:rsidR="00100E21" w:rsidRPr="001E0AC7">
        <w:rPr>
          <w:rFonts w:cs="Times New Roman"/>
        </w:rPr>
        <w:t xml:space="preserve">. </w:t>
      </w:r>
      <w:r w:rsidR="008A2F06" w:rsidRPr="001E0AC7">
        <w:rPr>
          <w:rFonts w:cs="Times New Roman"/>
        </w:rPr>
        <w:t>In m</w:t>
      </w:r>
      <w:r w:rsidR="00100E21" w:rsidRPr="001E0AC7">
        <w:rPr>
          <w:rFonts w:cs="Times New Roman"/>
        </w:rPr>
        <w:t>any countries</w:t>
      </w:r>
      <w:r w:rsidR="00EB2CAA" w:rsidRPr="001E0AC7">
        <w:rPr>
          <w:rFonts w:cs="Times New Roman"/>
        </w:rPr>
        <w:t xml:space="preserve"> </w:t>
      </w:r>
      <w:r w:rsidR="008A2F06" w:rsidRPr="001E0AC7">
        <w:rPr>
          <w:rFonts w:cs="Times New Roman"/>
        </w:rPr>
        <w:t xml:space="preserve">there is already an established practice </w:t>
      </w:r>
      <w:r w:rsidR="003877CD" w:rsidRPr="001E0AC7">
        <w:rPr>
          <w:rFonts w:cs="Times New Roman"/>
        </w:rPr>
        <w:t xml:space="preserve">for regulation </w:t>
      </w:r>
      <w:r w:rsidR="008A2F06" w:rsidRPr="001E0AC7">
        <w:rPr>
          <w:rFonts w:cs="Times New Roman"/>
        </w:rPr>
        <w:t xml:space="preserve">of </w:t>
      </w:r>
      <w:r w:rsidR="00EB2CAA" w:rsidRPr="001E0AC7">
        <w:rPr>
          <w:rFonts w:cs="Times New Roman"/>
        </w:rPr>
        <w:t>OTT services</w:t>
      </w:r>
      <w:r w:rsidR="003877CD" w:rsidRPr="001E0AC7">
        <w:rPr>
          <w:rFonts w:cs="Times New Roman"/>
        </w:rPr>
        <w:t xml:space="preserve">, </w:t>
      </w:r>
      <w:r w:rsidR="00984909" w:rsidRPr="001E0AC7">
        <w:rPr>
          <w:rFonts w:cs="Times New Roman"/>
        </w:rPr>
        <w:t>which is worth considering</w:t>
      </w:r>
      <w:r w:rsidR="0020797F" w:rsidRPr="001E0AC7">
        <w:rPr>
          <w:rFonts w:cs="Times New Roman"/>
        </w:rPr>
        <w:t xml:space="preserve"> for the purposes of </w:t>
      </w:r>
      <w:r w:rsidR="00011C06" w:rsidRPr="001E0AC7">
        <w:rPr>
          <w:rFonts w:cs="Times New Roman"/>
        </w:rPr>
        <w:t xml:space="preserve">sharing the best practices, </w:t>
      </w:r>
      <w:r w:rsidR="0074212C" w:rsidRPr="001E0AC7">
        <w:rPr>
          <w:rFonts w:cs="Times New Roman"/>
        </w:rPr>
        <w:t xml:space="preserve">and </w:t>
      </w:r>
      <w:r w:rsidR="00984909" w:rsidRPr="001E0AC7">
        <w:rPr>
          <w:rFonts w:cs="Times New Roman"/>
        </w:rPr>
        <w:t xml:space="preserve">worth </w:t>
      </w:r>
      <w:r w:rsidR="0020797F" w:rsidRPr="001E0AC7">
        <w:rPr>
          <w:rFonts w:cs="Times New Roman"/>
        </w:rPr>
        <w:t>analyzing</w:t>
      </w:r>
      <w:r w:rsidR="00011C06" w:rsidRPr="001E0AC7">
        <w:rPr>
          <w:rFonts w:cs="Times New Roman"/>
        </w:rPr>
        <w:t xml:space="preserve"> </w:t>
      </w:r>
      <w:r w:rsidR="00984909" w:rsidRPr="001E0AC7">
        <w:rPr>
          <w:rFonts w:cs="Times New Roman"/>
        </w:rPr>
        <w:t xml:space="preserve">for </w:t>
      </w:r>
      <w:r w:rsidR="00011C06" w:rsidRPr="001E0AC7">
        <w:rPr>
          <w:rFonts w:cs="Times New Roman"/>
        </w:rPr>
        <w:t>develop</w:t>
      </w:r>
      <w:r w:rsidR="0074212C" w:rsidRPr="001E0AC7">
        <w:rPr>
          <w:rFonts w:cs="Times New Roman"/>
        </w:rPr>
        <w:t>ing</w:t>
      </w:r>
      <w:r w:rsidR="00951871" w:rsidRPr="001E0AC7">
        <w:rPr>
          <w:rFonts w:cs="Times New Roman"/>
        </w:rPr>
        <w:t xml:space="preserve">, if </w:t>
      </w:r>
      <w:r w:rsidR="00FE48EF" w:rsidRPr="001E0AC7">
        <w:rPr>
          <w:rFonts w:cs="Times New Roman"/>
        </w:rPr>
        <w:t>needed</w:t>
      </w:r>
      <w:r w:rsidR="00951871" w:rsidRPr="001E0AC7">
        <w:rPr>
          <w:rFonts w:cs="Times New Roman"/>
        </w:rPr>
        <w:t>, recommendations and/or other CWG</w:t>
      </w:r>
      <w:r w:rsidR="008B451C" w:rsidRPr="001E0AC7">
        <w:rPr>
          <w:rFonts w:cs="Times New Roman"/>
        </w:rPr>
        <w:t>-</w:t>
      </w:r>
      <w:r w:rsidR="00951871" w:rsidRPr="001E0AC7">
        <w:rPr>
          <w:rFonts w:cs="Times New Roman"/>
        </w:rPr>
        <w:t>Internet output documents</w:t>
      </w:r>
      <w:r w:rsidR="00887AC4" w:rsidRPr="001E0AC7">
        <w:rPr>
          <w:rFonts w:cs="Times New Roman"/>
        </w:rPr>
        <w:t>.</w:t>
      </w:r>
    </w:p>
    <w:p w:rsidR="00CA7203" w:rsidRPr="001E0AC7" w:rsidRDefault="00CA7203" w:rsidP="00CA7203">
      <w:pPr>
        <w:pStyle w:val="Body"/>
      </w:pPr>
    </w:p>
    <w:p w:rsidR="00103B4D" w:rsidRPr="001E0AC7" w:rsidRDefault="00EB0404" w:rsidP="00103B4D">
      <w:pPr>
        <w:pStyle w:val="Body"/>
        <w:numPr>
          <w:ilvl w:val="0"/>
          <w:numId w:val="2"/>
        </w:numPr>
        <w:tabs>
          <w:tab w:val="clear" w:pos="567"/>
          <w:tab w:val="clear" w:pos="1134"/>
          <w:tab w:val="clear" w:pos="1701"/>
          <w:tab w:val="clear" w:pos="2268"/>
          <w:tab w:val="clear" w:pos="2835"/>
        </w:tabs>
        <w:ind w:hanging="720"/>
        <w:jc w:val="both"/>
        <w:rPr>
          <w:rFonts w:cs="Times New Roman"/>
          <w:b/>
          <w:lang w:val="ru-RU"/>
        </w:rPr>
      </w:pPr>
      <w:r w:rsidRPr="001E0AC7">
        <w:rPr>
          <w:rFonts w:cs="Times New Roman"/>
          <w:b/>
        </w:rPr>
        <w:t>Discussions</w:t>
      </w:r>
    </w:p>
    <w:p w:rsidR="00103B4D" w:rsidRPr="001E0AC7" w:rsidRDefault="00011C06" w:rsidP="00103B4D">
      <w:pPr>
        <w:pStyle w:val="Body"/>
        <w:tabs>
          <w:tab w:val="clear" w:pos="567"/>
          <w:tab w:val="clear" w:pos="1134"/>
          <w:tab w:val="clear" w:pos="1701"/>
          <w:tab w:val="clear" w:pos="2268"/>
          <w:tab w:val="clear" w:pos="2835"/>
        </w:tabs>
        <w:ind w:firstLine="709"/>
        <w:jc w:val="both"/>
      </w:pPr>
      <w:r w:rsidRPr="001E0AC7">
        <w:rPr>
          <w:rStyle w:val="ms-rtefontsize-2"/>
          <w:bdr w:val="none" w:sz="0" w:space="0" w:color="auto" w:frame="1"/>
        </w:rPr>
        <w:t>First of all</w:t>
      </w:r>
      <w:r w:rsidR="00EB0404" w:rsidRPr="001E0AC7">
        <w:rPr>
          <w:rStyle w:val="ms-rtefontsize-2"/>
          <w:bdr w:val="none" w:sz="0" w:space="0" w:color="auto" w:frame="1"/>
        </w:rPr>
        <w:t xml:space="preserve">, it </w:t>
      </w:r>
      <w:r w:rsidR="001B1C7C" w:rsidRPr="001E0AC7">
        <w:rPr>
          <w:rStyle w:val="ms-rtefontsize-2"/>
          <w:bdr w:val="none" w:sz="0" w:space="0" w:color="auto" w:frame="1"/>
        </w:rPr>
        <w:t xml:space="preserve">is worth noting that OTT services </w:t>
      </w:r>
      <w:r w:rsidR="00984909" w:rsidRPr="001E0AC7">
        <w:rPr>
          <w:rStyle w:val="ms-rtefontsize-2"/>
          <w:bdr w:val="none" w:sz="0" w:space="0" w:color="auto" w:frame="1"/>
        </w:rPr>
        <w:t>combine</w:t>
      </w:r>
      <w:r w:rsidR="00C64AA5" w:rsidRPr="001E0AC7">
        <w:rPr>
          <w:rStyle w:val="ms-rtefontsize-2"/>
          <w:bdr w:val="none" w:sz="0" w:space="0" w:color="auto" w:frame="1"/>
        </w:rPr>
        <w:t xml:space="preserve"> </w:t>
      </w:r>
      <w:r w:rsidR="001B1C7C" w:rsidRPr="001E0AC7">
        <w:rPr>
          <w:rStyle w:val="ms-rtefontsize-2"/>
          <w:bdr w:val="none" w:sz="0" w:space="0" w:color="auto" w:frame="1"/>
        </w:rPr>
        <w:t>multiple</w:t>
      </w:r>
      <w:r w:rsidR="005332E3" w:rsidRPr="001E0AC7">
        <w:rPr>
          <w:rStyle w:val="ms-rtefontsize-2"/>
          <w:bdr w:val="none" w:sz="0" w:space="0" w:color="auto" w:frame="1"/>
        </w:rPr>
        <w:t xml:space="preserve"> </w:t>
      </w:r>
      <w:r w:rsidR="001B1C7C" w:rsidRPr="001E0AC7">
        <w:rPr>
          <w:rStyle w:val="ms-rtefontsize-2"/>
          <w:bdr w:val="none" w:sz="0" w:space="0" w:color="auto" w:frame="1"/>
        </w:rPr>
        <w:t xml:space="preserve">services in various </w:t>
      </w:r>
      <w:r w:rsidR="003127C4" w:rsidRPr="001E0AC7">
        <w:rPr>
          <w:rStyle w:val="ms-rtefontsize-2"/>
          <w:bdr w:val="none" w:sz="0" w:space="0" w:color="auto" w:frame="1"/>
        </w:rPr>
        <w:t>areas</w:t>
      </w:r>
      <w:r w:rsidR="001B1C7C" w:rsidRPr="001E0AC7">
        <w:rPr>
          <w:rStyle w:val="ms-rtefontsize-2"/>
          <w:bdr w:val="none" w:sz="0" w:space="0" w:color="auto" w:frame="1"/>
        </w:rPr>
        <w:t xml:space="preserve"> </w:t>
      </w:r>
      <w:r w:rsidR="003127C4" w:rsidRPr="001E0AC7">
        <w:rPr>
          <w:rStyle w:val="ms-rtefontsize-2"/>
          <w:bdr w:val="none" w:sz="0" w:space="0" w:color="auto" w:frame="1"/>
        </w:rPr>
        <w:t>having several common features:</w:t>
      </w:r>
    </w:p>
    <w:p w:rsidR="00103B4D" w:rsidRPr="001E0AC7" w:rsidRDefault="00DC16EF" w:rsidP="00103B4D">
      <w:pPr>
        <w:pStyle w:val="ListParagraph"/>
        <w:numPr>
          <w:ilvl w:val="0"/>
          <w:numId w:val="3"/>
        </w:numPr>
        <w:jc w:val="both"/>
        <w:rPr>
          <w:rFonts w:ascii="Calibri" w:hAnsi="Calibri"/>
          <w:sz w:val="24"/>
          <w:szCs w:val="24"/>
        </w:rPr>
      </w:pPr>
      <w:r w:rsidRPr="001E0AC7">
        <w:rPr>
          <w:rFonts w:ascii="Calibri" w:hAnsi="Calibri"/>
          <w:sz w:val="24"/>
          <w:szCs w:val="24"/>
        </w:rPr>
        <w:t xml:space="preserve">The use of IP protocol </w:t>
      </w:r>
      <w:r w:rsidRPr="001E0AC7">
        <w:rPr>
          <w:rFonts w:ascii="Calibri" w:hAnsi="Calibri"/>
          <w:bCs/>
          <w:sz w:val="24"/>
          <w:szCs w:val="24"/>
        </w:rPr>
        <w:t>packet switched networks</w:t>
      </w:r>
      <w:r w:rsidRPr="001E0AC7">
        <w:rPr>
          <w:rFonts w:ascii="Calibri" w:hAnsi="Calibri"/>
          <w:sz w:val="24"/>
          <w:szCs w:val="24"/>
        </w:rPr>
        <w:t xml:space="preserve"> for information transmission</w:t>
      </w:r>
      <w:r w:rsidR="00103B4D" w:rsidRPr="001E0AC7">
        <w:rPr>
          <w:rFonts w:ascii="Calibri" w:hAnsi="Calibri"/>
          <w:sz w:val="24"/>
          <w:szCs w:val="24"/>
        </w:rPr>
        <w:t>;</w:t>
      </w:r>
    </w:p>
    <w:p w:rsidR="00103B4D" w:rsidRPr="001E0AC7" w:rsidRDefault="00D21265" w:rsidP="00D21265">
      <w:pPr>
        <w:pStyle w:val="ListParagraph"/>
        <w:numPr>
          <w:ilvl w:val="0"/>
          <w:numId w:val="3"/>
        </w:numPr>
        <w:jc w:val="both"/>
        <w:rPr>
          <w:rFonts w:ascii="Calibri" w:hAnsi="Calibri"/>
          <w:sz w:val="24"/>
          <w:szCs w:val="24"/>
        </w:rPr>
      </w:pPr>
      <w:r w:rsidRPr="001E0AC7">
        <w:rPr>
          <w:rFonts w:ascii="Calibri" w:hAnsi="Calibri"/>
          <w:sz w:val="24"/>
          <w:szCs w:val="24"/>
        </w:rPr>
        <w:t>Provision of services</w:t>
      </w:r>
      <w:r w:rsidR="005F4D98" w:rsidRPr="001E0AC7">
        <w:rPr>
          <w:rFonts w:ascii="Calibri" w:hAnsi="Calibri"/>
          <w:sz w:val="24"/>
          <w:szCs w:val="24"/>
        </w:rPr>
        <w:t xml:space="preserve"> independently from an operator </w:t>
      </w:r>
      <w:r w:rsidR="001F73EA" w:rsidRPr="001E0AC7">
        <w:rPr>
          <w:rFonts w:ascii="Calibri" w:hAnsi="Calibri"/>
          <w:sz w:val="24"/>
          <w:szCs w:val="24"/>
        </w:rPr>
        <w:t>providing</w:t>
      </w:r>
      <w:r w:rsidR="005F4D98" w:rsidRPr="001E0AC7">
        <w:rPr>
          <w:rFonts w:ascii="Calibri" w:hAnsi="Calibri"/>
          <w:sz w:val="24"/>
          <w:szCs w:val="24"/>
        </w:rPr>
        <w:t xml:space="preserve"> the access to </w:t>
      </w:r>
      <w:r w:rsidR="008F19D4" w:rsidRPr="001E0AC7">
        <w:rPr>
          <w:rFonts w:ascii="Calibri" w:hAnsi="Calibri"/>
          <w:sz w:val="24"/>
          <w:szCs w:val="24"/>
        </w:rPr>
        <w:t xml:space="preserve">the </w:t>
      </w:r>
      <w:r w:rsidR="005F4D98" w:rsidRPr="001E0AC7">
        <w:rPr>
          <w:rFonts w:ascii="Calibri" w:hAnsi="Calibri"/>
          <w:sz w:val="24"/>
          <w:szCs w:val="24"/>
        </w:rPr>
        <w:t>Internet (</w:t>
      </w:r>
      <w:r w:rsidRPr="001E0AC7">
        <w:rPr>
          <w:rFonts w:ascii="Calibri" w:hAnsi="Calibri"/>
          <w:sz w:val="24"/>
          <w:szCs w:val="24"/>
        </w:rPr>
        <w:t>over-the-top of the network</w:t>
      </w:r>
      <w:r w:rsidR="005F4D98" w:rsidRPr="001E0AC7">
        <w:rPr>
          <w:rFonts w:ascii="Calibri" w:hAnsi="Calibri"/>
          <w:sz w:val="24"/>
          <w:szCs w:val="24"/>
        </w:rPr>
        <w:t>)</w:t>
      </w:r>
      <w:r w:rsidR="00103B4D" w:rsidRPr="001E0AC7">
        <w:rPr>
          <w:rFonts w:ascii="Calibri" w:hAnsi="Calibri"/>
          <w:sz w:val="24"/>
          <w:szCs w:val="24"/>
        </w:rPr>
        <w:t>;</w:t>
      </w:r>
    </w:p>
    <w:p w:rsidR="00103B4D" w:rsidRPr="001E0AC7" w:rsidRDefault="005F4D98" w:rsidP="00B9295E">
      <w:pPr>
        <w:pStyle w:val="ListParagraph"/>
        <w:numPr>
          <w:ilvl w:val="0"/>
          <w:numId w:val="3"/>
        </w:numPr>
        <w:jc w:val="both"/>
        <w:rPr>
          <w:rFonts w:ascii="Calibri" w:hAnsi="Calibri"/>
          <w:sz w:val="24"/>
          <w:szCs w:val="24"/>
        </w:rPr>
      </w:pPr>
      <w:r w:rsidRPr="001E0AC7">
        <w:rPr>
          <w:rFonts w:ascii="Calibri" w:hAnsi="Calibri"/>
          <w:sz w:val="24"/>
          <w:szCs w:val="24"/>
        </w:rPr>
        <w:t>Traditional telecommunication and innovati</w:t>
      </w:r>
      <w:r w:rsidR="00E36455" w:rsidRPr="001E0AC7">
        <w:rPr>
          <w:rFonts w:ascii="Calibri" w:hAnsi="Calibri"/>
          <w:sz w:val="24"/>
          <w:szCs w:val="24"/>
        </w:rPr>
        <w:t>on</w:t>
      </w:r>
      <w:r w:rsidRPr="001E0AC7">
        <w:rPr>
          <w:rFonts w:ascii="Calibri" w:hAnsi="Calibri"/>
          <w:sz w:val="24"/>
          <w:szCs w:val="24"/>
        </w:rPr>
        <w:t xml:space="preserve"> services to be provided </w:t>
      </w:r>
      <w:r w:rsidR="00B9295E" w:rsidRPr="001E0AC7">
        <w:rPr>
          <w:rFonts w:ascii="Calibri" w:hAnsi="Calibri"/>
          <w:sz w:val="24"/>
          <w:szCs w:val="24"/>
        </w:rPr>
        <w:t>on</w:t>
      </w:r>
      <w:r w:rsidR="000231F2" w:rsidRPr="001E0AC7">
        <w:rPr>
          <w:rFonts w:ascii="Calibri" w:hAnsi="Calibri"/>
          <w:sz w:val="24"/>
          <w:szCs w:val="24"/>
        </w:rPr>
        <w:t xml:space="preserve"> a free or </w:t>
      </w:r>
      <w:r w:rsidR="00B9295E" w:rsidRPr="001E0AC7">
        <w:rPr>
          <w:rFonts w:ascii="Calibri" w:hAnsi="Calibri"/>
          <w:sz w:val="24"/>
          <w:szCs w:val="24"/>
        </w:rPr>
        <w:t xml:space="preserve">freemium </w:t>
      </w:r>
      <w:r w:rsidR="000231F2" w:rsidRPr="001E0AC7">
        <w:rPr>
          <w:rFonts w:ascii="Calibri" w:hAnsi="Calibri"/>
          <w:sz w:val="24"/>
          <w:szCs w:val="24"/>
        </w:rPr>
        <w:t xml:space="preserve">basis </w:t>
      </w:r>
      <w:r w:rsidR="00B9295E" w:rsidRPr="001E0AC7">
        <w:rPr>
          <w:rFonts w:ascii="Calibri" w:hAnsi="Calibri"/>
          <w:sz w:val="24"/>
          <w:szCs w:val="24"/>
        </w:rPr>
        <w:t>which</w:t>
      </w:r>
      <w:r w:rsidRPr="001E0AC7">
        <w:rPr>
          <w:rFonts w:ascii="Calibri" w:hAnsi="Calibri"/>
          <w:sz w:val="24"/>
          <w:szCs w:val="24"/>
        </w:rPr>
        <w:t xml:space="preserve"> do</w:t>
      </w:r>
      <w:r w:rsidR="00B9295E" w:rsidRPr="001E0AC7">
        <w:rPr>
          <w:rFonts w:ascii="Calibri" w:hAnsi="Calibri"/>
          <w:sz w:val="24"/>
          <w:szCs w:val="24"/>
        </w:rPr>
        <w:t>es</w:t>
      </w:r>
      <w:r w:rsidRPr="001E0AC7">
        <w:rPr>
          <w:rFonts w:ascii="Calibri" w:hAnsi="Calibri"/>
          <w:sz w:val="24"/>
          <w:szCs w:val="24"/>
        </w:rPr>
        <w:t xml:space="preserve"> not require service providers to</w:t>
      </w:r>
      <w:r w:rsidR="00B9295E" w:rsidRPr="001E0AC7">
        <w:rPr>
          <w:rFonts w:ascii="Calibri" w:hAnsi="Calibri"/>
          <w:sz w:val="24"/>
          <w:szCs w:val="24"/>
        </w:rPr>
        <w:t xml:space="preserve"> sign contrasts and receive </w:t>
      </w:r>
      <w:r w:rsidR="004B623B" w:rsidRPr="001E0AC7">
        <w:rPr>
          <w:rFonts w:ascii="Calibri" w:hAnsi="Calibri"/>
          <w:sz w:val="24"/>
          <w:szCs w:val="24"/>
        </w:rPr>
        <w:t xml:space="preserve">payment from </w:t>
      </w:r>
      <w:r w:rsidR="00B9295E" w:rsidRPr="001E0AC7">
        <w:rPr>
          <w:rFonts w:ascii="Calibri" w:hAnsi="Calibri"/>
          <w:sz w:val="24"/>
          <w:szCs w:val="24"/>
        </w:rPr>
        <w:t>u</w:t>
      </w:r>
      <w:r w:rsidR="004B623B" w:rsidRPr="001E0AC7">
        <w:rPr>
          <w:rFonts w:ascii="Calibri" w:hAnsi="Calibri"/>
          <w:sz w:val="24"/>
          <w:szCs w:val="24"/>
        </w:rPr>
        <w:t>sers</w:t>
      </w:r>
      <w:r w:rsidR="00103B4D" w:rsidRPr="001E0AC7">
        <w:rPr>
          <w:rFonts w:ascii="Calibri" w:hAnsi="Calibri"/>
          <w:sz w:val="24"/>
          <w:szCs w:val="24"/>
        </w:rPr>
        <w:t>;</w:t>
      </w:r>
    </w:p>
    <w:p w:rsidR="00103B4D" w:rsidRPr="001E0AC7" w:rsidRDefault="00CD3479" w:rsidP="00103B4D">
      <w:pPr>
        <w:pStyle w:val="ListParagraph"/>
        <w:numPr>
          <w:ilvl w:val="0"/>
          <w:numId w:val="3"/>
        </w:numPr>
        <w:jc w:val="both"/>
        <w:rPr>
          <w:rFonts w:ascii="Calibri" w:hAnsi="Calibri"/>
          <w:sz w:val="24"/>
          <w:szCs w:val="24"/>
        </w:rPr>
      </w:pPr>
      <w:r w:rsidRPr="001E0AC7">
        <w:rPr>
          <w:rFonts w:ascii="Calibri" w:hAnsi="Calibri"/>
          <w:sz w:val="24"/>
          <w:szCs w:val="24"/>
        </w:rPr>
        <w:lastRenderedPageBreak/>
        <w:t xml:space="preserve">Services </w:t>
      </w:r>
      <w:r w:rsidR="0053429F" w:rsidRPr="001E0AC7">
        <w:rPr>
          <w:rFonts w:ascii="Calibri" w:hAnsi="Calibri"/>
          <w:sz w:val="24"/>
          <w:szCs w:val="24"/>
        </w:rPr>
        <w:t>are monetized through</w:t>
      </w:r>
      <w:r w:rsidRPr="001E0AC7">
        <w:rPr>
          <w:rFonts w:ascii="Calibri" w:hAnsi="Calibri"/>
          <w:sz w:val="24"/>
          <w:szCs w:val="24"/>
        </w:rPr>
        <w:t xml:space="preserve"> </w:t>
      </w:r>
      <w:r w:rsidR="0053429F" w:rsidRPr="001E0AC7">
        <w:rPr>
          <w:rFonts w:ascii="Calibri" w:hAnsi="Calibri"/>
          <w:sz w:val="24"/>
          <w:szCs w:val="24"/>
        </w:rPr>
        <w:t>advertisement</w:t>
      </w:r>
      <w:r w:rsidRPr="001E0AC7">
        <w:rPr>
          <w:rFonts w:ascii="Calibri" w:hAnsi="Calibri"/>
          <w:sz w:val="24"/>
          <w:szCs w:val="24"/>
        </w:rPr>
        <w:t xml:space="preserve"> and/or partner</w:t>
      </w:r>
      <w:r w:rsidR="00103DFC" w:rsidRPr="001E0AC7">
        <w:rPr>
          <w:rFonts w:ascii="Calibri" w:hAnsi="Calibri"/>
          <w:sz w:val="24"/>
          <w:szCs w:val="24"/>
        </w:rPr>
        <w:t xml:space="preserve"> </w:t>
      </w:r>
      <w:r w:rsidRPr="001E0AC7">
        <w:rPr>
          <w:rFonts w:ascii="Calibri" w:hAnsi="Calibri"/>
          <w:sz w:val="24"/>
          <w:szCs w:val="24"/>
        </w:rPr>
        <w:t>services</w:t>
      </w:r>
      <w:r w:rsidR="00805CF8" w:rsidRPr="001E0AC7">
        <w:rPr>
          <w:rFonts w:ascii="Calibri" w:hAnsi="Calibri"/>
          <w:sz w:val="24"/>
          <w:szCs w:val="24"/>
        </w:rPr>
        <w:t xml:space="preserve">, which requires contractual obligations only with the </w:t>
      </w:r>
      <w:r w:rsidRPr="001E0AC7">
        <w:rPr>
          <w:rFonts w:ascii="Calibri" w:hAnsi="Calibri"/>
          <w:sz w:val="24"/>
          <w:szCs w:val="24"/>
        </w:rPr>
        <w:t>partner</w:t>
      </w:r>
      <w:r w:rsidR="00103B4D" w:rsidRPr="001E0AC7">
        <w:rPr>
          <w:rFonts w:ascii="Calibri" w:hAnsi="Calibri"/>
          <w:sz w:val="24"/>
          <w:szCs w:val="24"/>
        </w:rPr>
        <w:t>;</w:t>
      </w:r>
    </w:p>
    <w:p w:rsidR="00103B4D" w:rsidRPr="001E0AC7" w:rsidRDefault="00BC1984" w:rsidP="00103B4D">
      <w:pPr>
        <w:pStyle w:val="ListParagraph"/>
        <w:numPr>
          <w:ilvl w:val="0"/>
          <w:numId w:val="3"/>
        </w:numPr>
        <w:jc w:val="both"/>
        <w:rPr>
          <w:rFonts w:ascii="Calibri" w:hAnsi="Calibri"/>
          <w:sz w:val="24"/>
          <w:szCs w:val="24"/>
        </w:rPr>
      </w:pPr>
      <w:r w:rsidRPr="001E0AC7">
        <w:rPr>
          <w:rFonts w:ascii="Calibri" w:hAnsi="Calibri"/>
          <w:sz w:val="24"/>
          <w:szCs w:val="24"/>
        </w:rPr>
        <w:t>Services provided on a c</w:t>
      </w:r>
      <w:r w:rsidR="00E36455" w:rsidRPr="001E0AC7">
        <w:rPr>
          <w:rFonts w:ascii="Calibri" w:hAnsi="Calibri"/>
          <w:sz w:val="24"/>
          <w:szCs w:val="24"/>
        </w:rPr>
        <w:t>ross-</w:t>
      </w:r>
      <w:r w:rsidR="00834719" w:rsidRPr="001E0AC7">
        <w:rPr>
          <w:rFonts w:ascii="Calibri" w:hAnsi="Calibri"/>
          <w:sz w:val="24"/>
          <w:szCs w:val="24"/>
        </w:rPr>
        <w:t>border</w:t>
      </w:r>
      <w:r w:rsidRPr="001E0AC7">
        <w:rPr>
          <w:rFonts w:ascii="Calibri" w:hAnsi="Calibri"/>
          <w:sz w:val="24"/>
          <w:szCs w:val="24"/>
        </w:rPr>
        <w:t xml:space="preserve"> </w:t>
      </w:r>
      <w:r w:rsidR="00834719" w:rsidRPr="001E0AC7">
        <w:rPr>
          <w:rFonts w:ascii="Calibri" w:hAnsi="Calibri"/>
          <w:sz w:val="24"/>
          <w:szCs w:val="24"/>
        </w:rPr>
        <w:t>basis</w:t>
      </w:r>
      <w:r w:rsidR="00103B4D" w:rsidRPr="001E0AC7">
        <w:rPr>
          <w:rFonts w:ascii="Calibri" w:hAnsi="Calibri"/>
          <w:sz w:val="24"/>
          <w:szCs w:val="24"/>
        </w:rPr>
        <w:t>.</w:t>
      </w:r>
    </w:p>
    <w:p w:rsidR="00887AC4" w:rsidRPr="001E0AC7" w:rsidRDefault="006E19B1" w:rsidP="002A3528">
      <w:pPr>
        <w:pStyle w:val="Body"/>
        <w:ind w:firstLine="709"/>
        <w:jc w:val="both"/>
        <w:rPr>
          <w:rFonts w:cs="Times New Roman"/>
        </w:rPr>
      </w:pPr>
      <w:r w:rsidRPr="001E0AC7">
        <w:rPr>
          <w:rFonts w:cs="Times New Roman"/>
        </w:rPr>
        <w:t>An</w:t>
      </w:r>
      <w:r w:rsidR="00957852" w:rsidRPr="001E0AC7">
        <w:rPr>
          <w:rFonts w:cs="Times New Roman"/>
        </w:rPr>
        <w:t xml:space="preserve"> important aspect that should be taken into account when </w:t>
      </w:r>
      <w:r w:rsidR="00E671AE" w:rsidRPr="001E0AC7">
        <w:rPr>
          <w:rFonts w:cs="Times New Roman"/>
        </w:rPr>
        <w:t xml:space="preserve">considering the regulation approaches to </w:t>
      </w:r>
      <w:r w:rsidR="00957852" w:rsidRPr="001E0AC7">
        <w:rPr>
          <w:rFonts w:cs="Times New Roman"/>
        </w:rPr>
        <w:t xml:space="preserve">OTT </w:t>
      </w:r>
      <w:r w:rsidR="00930041" w:rsidRPr="001E0AC7">
        <w:rPr>
          <w:rFonts w:cs="Times New Roman"/>
        </w:rPr>
        <w:t xml:space="preserve">services </w:t>
      </w:r>
      <w:r w:rsidR="00E671AE" w:rsidRPr="001E0AC7">
        <w:rPr>
          <w:rFonts w:cs="Times New Roman"/>
        </w:rPr>
        <w:t>is t</w:t>
      </w:r>
      <w:r w:rsidR="00094762" w:rsidRPr="001E0AC7">
        <w:rPr>
          <w:rFonts w:cs="Times New Roman"/>
        </w:rPr>
        <w:t xml:space="preserve">heir </w:t>
      </w:r>
      <w:r w:rsidRPr="001E0AC7">
        <w:rPr>
          <w:rFonts w:cs="Times New Roman"/>
        </w:rPr>
        <w:t xml:space="preserve">cross-border nature </w:t>
      </w:r>
      <w:r w:rsidR="008710E9" w:rsidRPr="001E0AC7">
        <w:rPr>
          <w:rFonts w:cs="Times New Roman"/>
        </w:rPr>
        <w:t>which</w:t>
      </w:r>
      <w:r w:rsidRPr="001E0AC7">
        <w:rPr>
          <w:rFonts w:cs="Times New Roman"/>
        </w:rPr>
        <w:t xml:space="preserve"> requires </w:t>
      </w:r>
      <w:r w:rsidR="00B21B62" w:rsidRPr="001E0AC7">
        <w:rPr>
          <w:rFonts w:cs="Times New Roman"/>
        </w:rPr>
        <w:t>collaboration</w:t>
      </w:r>
      <w:r w:rsidRPr="001E0AC7">
        <w:rPr>
          <w:rFonts w:cs="Times New Roman"/>
        </w:rPr>
        <w:t xml:space="preserve"> and coordination </w:t>
      </w:r>
      <w:r w:rsidR="00846C69" w:rsidRPr="001E0AC7">
        <w:rPr>
          <w:rFonts w:cs="Times New Roman"/>
        </w:rPr>
        <w:t>between</w:t>
      </w:r>
      <w:r w:rsidRPr="001E0AC7">
        <w:rPr>
          <w:rFonts w:cs="Times New Roman"/>
        </w:rPr>
        <w:t xml:space="preserve"> the States and all stakeholders on an international level</w:t>
      </w:r>
      <w:r w:rsidR="00887AC4" w:rsidRPr="001E0AC7">
        <w:rPr>
          <w:rFonts w:cs="Times New Roman"/>
        </w:rPr>
        <w:t>.</w:t>
      </w:r>
    </w:p>
    <w:p w:rsidR="00887AC4" w:rsidRPr="001E0AC7" w:rsidRDefault="000F0913" w:rsidP="002A3528">
      <w:pPr>
        <w:pStyle w:val="Body"/>
        <w:ind w:firstLine="709"/>
        <w:jc w:val="both"/>
        <w:rPr>
          <w:rFonts w:cs="Times New Roman"/>
        </w:rPr>
      </w:pPr>
      <w:r w:rsidRPr="001E0AC7">
        <w:rPr>
          <w:rFonts w:cs="Times New Roman"/>
        </w:rPr>
        <w:t xml:space="preserve">OTT services play an important role in telecommunications/ICTs </w:t>
      </w:r>
      <w:r w:rsidR="008710E9" w:rsidRPr="001E0AC7">
        <w:rPr>
          <w:rFonts w:cs="Times New Roman"/>
        </w:rPr>
        <w:t>at</w:t>
      </w:r>
      <w:r w:rsidRPr="001E0AC7">
        <w:rPr>
          <w:rFonts w:cs="Times New Roman"/>
        </w:rPr>
        <w:t xml:space="preserve"> </w:t>
      </w:r>
      <w:r w:rsidR="008710E9" w:rsidRPr="001E0AC7">
        <w:rPr>
          <w:rFonts w:cs="Times New Roman"/>
        </w:rPr>
        <w:t>the</w:t>
      </w:r>
      <w:r w:rsidRPr="001E0AC7">
        <w:rPr>
          <w:rFonts w:cs="Times New Roman"/>
        </w:rPr>
        <w:t xml:space="preserve"> national and international levels </w:t>
      </w:r>
      <w:r w:rsidR="008710E9" w:rsidRPr="001E0AC7">
        <w:rPr>
          <w:rFonts w:cs="Times New Roman"/>
        </w:rPr>
        <w:t xml:space="preserve">as well as raise </w:t>
      </w:r>
      <w:r w:rsidRPr="001E0AC7">
        <w:rPr>
          <w:rFonts w:cs="Times New Roman"/>
        </w:rPr>
        <w:t xml:space="preserve">new </w:t>
      </w:r>
      <w:r w:rsidR="008710E9" w:rsidRPr="001E0AC7">
        <w:rPr>
          <w:rFonts w:cs="Times New Roman"/>
        </w:rPr>
        <w:t>challenges</w:t>
      </w:r>
      <w:r w:rsidRPr="001E0AC7">
        <w:rPr>
          <w:rFonts w:cs="Times New Roman"/>
        </w:rPr>
        <w:t xml:space="preserve"> before </w:t>
      </w:r>
      <w:r w:rsidR="00930041" w:rsidRPr="001E0AC7">
        <w:rPr>
          <w:rFonts w:cs="Times New Roman"/>
        </w:rPr>
        <w:t>regulatory</w:t>
      </w:r>
      <w:r w:rsidRPr="001E0AC7">
        <w:rPr>
          <w:rFonts w:cs="Times New Roman"/>
        </w:rPr>
        <w:t xml:space="preserve"> authorities relate</w:t>
      </w:r>
      <w:r w:rsidR="00DC5474" w:rsidRPr="001E0AC7">
        <w:rPr>
          <w:rFonts w:cs="Times New Roman"/>
        </w:rPr>
        <w:t>d</w:t>
      </w:r>
      <w:r w:rsidRPr="001E0AC7">
        <w:rPr>
          <w:rFonts w:cs="Times New Roman"/>
        </w:rPr>
        <w:t xml:space="preserve"> to </w:t>
      </w:r>
      <w:r w:rsidR="005E021B" w:rsidRPr="001E0AC7">
        <w:rPr>
          <w:rFonts w:cs="Times New Roman"/>
        </w:rPr>
        <w:t>promoting</w:t>
      </w:r>
      <w:r w:rsidRPr="001E0AC7">
        <w:rPr>
          <w:rFonts w:cs="Times New Roman"/>
        </w:rPr>
        <w:t xml:space="preserve"> investment and innovation, security aspects, privacy, personal data protection, etc.</w:t>
      </w:r>
    </w:p>
    <w:p w:rsidR="00887AC4" w:rsidRPr="001E0AC7" w:rsidRDefault="00921733" w:rsidP="002A3528">
      <w:pPr>
        <w:pStyle w:val="Body"/>
        <w:ind w:firstLine="709"/>
        <w:jc w:val="both"/>
        <w:rPr>
          <w:rFonts w:cs="Times New Roman"/>
        </w:rPr>
      </w:pPr>
      <w:r w:rsidRPr="001E0AC7">
        <w:rPr>
          <w:rFonts w:cs="Times New Roman"/>
        </w:rPr>
        <w:t xml:space="preserve">The document </w:t>
      </w:r>
      <w:r w:rsidR="004C42EE" w:rsidRPr="001E0AC7">
        <w:rPr>
          <w:rFonts w:cs="Times New Roman"/>
        </w:rPr>
        <w:t xml:space="preserve">below </w:t>
      </w:r>
      <w:r w:rsidRPr="001E0AC7">
        <w:rPr>
          <w:rFonts w:cs="Times New Roman"/>
        </w:rPr>
        <w:t xml:space="preserve">(see the </w:t>
      </w:r>
      <w:r w:rsidR="004C42EE" w:rsidRPr="001E0AC7">
        <w:rPr>
          <w:rFonts w:cs="Times New Roman"/>
        </w:rPr>
        <w:t>Annex</w:t>
      </w:r>
      <w:r w:rsidRPr="001E0AC7">
        <w:rPr>
          <w:rFonts w:cs="Times New Roman"/>
        </w:rPr>
        <w:t xml:space="preserve">) </w:t>
      </w:r>
      <w:r w:rsidR="004C42EE" w:rsidRPr="001E0AC7">
        <w:rPr>
          <w:rFonts w:cs="Times New Roman"/>
        </w:rPr>
        <w:t>presents</w:t>
      </w:r>
      <w:r w:rsidRPr="001E0AC7">
        <w:rPr>
          <w:rFonts w:cs="Times New Roman"/>
        </w:rPr>
        <w:t xml:space="preserve"> the examples </w:t>
      </w:r>
      <w:r w:rsidR="004C42EE" w:rsidRPr="001E0AC7">
        <w:rPr>
          <w:rFonts w:cs="Times New Roman"/>
        </w:rPr>
        <w:t xml:space="preserve">OTT services’ regulation by </w:t>
      </w:r>
      <w:r w:rsidRPr="001E0AC7">
        <w:rPr>
          <w:rFonts w:cs="Times New Roman"/>
        </w:rPr>
        <w:t xml:space="preserve">various countries. </w:t>
      </w:r>
      <w:r w:rsidR="004C42EE" w:rsidRPr="001E0AC7">
        <w:rPr>
          <w:rFonts w:cs="Times New Roman"/>
        </w:rPr>
        <w:t>The g</w:t>
      </w:r>
      <w:r w:rsidRPr="001E0AC7">
        <w:rPr>
          <w:rFonts w:cs="Times New Roman"/>
        </w:rPr>
        <w:t xml:space="preserve">iven examples do not cover </w:t>
      </w:r>
      <w:r w:rsidR="00441084" w:rsidRPr="001E0AC7">
        <w:rPr>
          <w:rFonts w:cs="Times New Roman"/>
        </w:rPr>
        <w:t>fully</w:t>
      </w:r>
      <w:r w:rsidRPr="001E0AC7">
        <w:rPr>
          <w:rFonts w:cs="Times New Roman"/>
        </w:rPr>
        <w:t xml:space="preserve"> this </w:t>
      </w:r>
      <w:r w:rsidR="0007482E" w:rsidRPr="001E0AC7">
        <w:rPr>
          <w:rFonts w:cs="Times New Roman"/>
        </w:rPr>
        <w:t>issue</w:t>
      </w:r>
      <w:r w:rsidRPr="001E0AC7">
        <w:rPr>
          <w:rFonts w:cs="Times New Roman"/>
        </w:rPr>
        <w:t xml:space="preserve"> but they </w:t>
      </w:r>
      <w:r w:rsidR="00984F0B" w:rsidRPr="001E0AC7">
        <w:rPr>
          <w:rFonts w:cs="Times New Roman"/>
        </w:rPr>
        <w:t>present</w:t>
      </w:r>
      <w:r w:rsidRPr="001E0AC7">
        <w:rPr>
          <w:rFonts w:cs="Times New Roman"/>
        </w:rPr>
        <w:t xml:space="preserve"> a sufficient picture on </w:t>
      </w:r>
      <w:r w:rsidR="00D47A06" w:rsidRPr="001E0AC7">
        <w:rPr>
          <w:rFonts w:cs="Times New Roman"/>
        </w:rPr>
        <w:t xml:space="preserve">the </w:t>
      </w:r>
      <w:r w:rsidR="001A1307" w:rsidRPr="001E0AC7">
        <w:rPr>
          <w:rFonts w:cs="Times New Roman"/>
        </w:rPr>
        <w:t>extensive</w:t>
      </w:r>
      <w:r w:rsidR="00D47A06" w:rsidRPr="001E0AC7">
        <w:rPr>
          <w:rFonts w:cs="Times New Roman"/>
        </w:rPr>
        <w:t xml:space="preserve">ness of </w:t>
      </w:r>
      <w:r w:rsidRPr="001E0AC7">
        <w:rPr>
          <w:rFonts w:cs="Times New Roman"/>
        </w:rPr>
        <w:t xml:space="preserve">OTT </w:t>
      </w:r>
      <w:r w:rsidR="00930041" w:rsidRPr="001E0AC7">
        <w:rPr>
          <w:rFonts w:cs="Times New Roman"/>
        </w:rPr>
        <w:t>regulatory</w:t>
      </w:r>
      <w:r w:rsidRPr="001E0AC7">
        <w:rPr>
          <w:rFonts w:cs="Times New Roman"/>
        </w:rPr>
        <w:t xml:space="preserve"> practices </w:t>
      </w:r>
      <w:r w:rsidR="00D47A06" w:rsidRPr="001E0AC7">
        <w:rPr>
          <w:rFonts w:cs="Times New Roman"/>
        </w:rPr>
        <w:t>develop</w:t>
      </w:r>
      <w:r w:rsidR="00FB5204" w:rsidRPr="001E0AC7">
        <w:rPr>
          <w:rFonts w:cs="Times New Roman"/>
        </w:rPr>
        <w:t>ment.</w:t>
      </w:r>
      <w:r w:rsidRPr="001E0AC7">
        <w:rPr>
          <w:rFonts w:cs="Times New Roman"/>
        </w:rPr>
        <w:t xml:space="preserve"> </w:t>
      </w:r>
      <w:r w:rsidR="00FB5204" w:rsidRPr="001E0AC7">
        <w:rPr>
          <w:rFonts w:cs="Times New Roman"/>
        </w:rPr>
        <w:t xml:space="preserve">The matters pertaining </w:t>
      </w:r>
      <w:r w:rsidR="00252059" w:rsidRPr="001E0AC7">
        <w:rPr>
          <w:rFonts w:cs="Times New Roman"/>
        </w:rPr>
        <w:t>t</w:t>
      </w:r>
      <w:r w:rsidR="00FB5204" w:rsidRPr="001E0AC7">
        <w:rPr>
          <w:rFonts w:cs="Times New Roman"/>
        </w:rPr>
        <w:t>o</w:t>
      </w:r>
      <w:r w:rsidR="00252059" w:rsidRPr="001E0AC7">
        <w:rPr>
          <w:rFonts w:cs="Times New Roman"/>
        </w:rPr>
        <w:t xml:space="preserve"> regulation of services provided within a particular Internet service</w:t>
      </w:r>
      <w:r w:rsidR="002D5F46" w:rsidRPr="001E0AC7">
        <w:rPr>
          <w:rFonts w:cs="Times New Roman"/>
        </w:rPr>
        <w:t xml:space="preserve">, as well as usage of this service </w:t>
      </w:r>
      <w:r w:rsidR="00252059" w:rsidRPr="001E0AC7">
        <w:rPr>
          <w:rFonts w:cs="Times New Roman"/>
        </w:rPr>
        <w:t xml:space="preserve">is subject to national </w:t>
      </w:r>
      <w:r w:rsidR="00441084" w:rsidRPr="001E0AC7">
        <w:rPr>
          <w:rFonts w:cs="Times New Roman"/>
        </w:rPr>
        <w:t xml:space="preserve">responsibility and constitute a sovereign right of any </w:t>
      </w:r>
      <w:r w:rsidR="002D5F46" w:rsidRPr="001E0AC7">
        <w:rPr>
          <w:rFonts w:cs="Times New Roman"/>
        </w:rPr>
        <w:t>s</w:t>
      </w:r>
      <w:r w:rsidR="00441084" w:rsidRPr="001E0AC7">
        <w:rPr>
          <w:rFonts w:cs="Times New Roman"/>
        </w:rPr>
        <w:t>tate</w:t>
      </w:r>
      <w:r w:rsidR="00887AC4" w:rsidRPr="001E0AC7">
        <w:rPr>
          <w:rFonts w:cs="Times New Roman"/>
        </w:rPr>
        <w:t>.</w:t>
      </w:r>
      <w:r w:rsidR="000D3CCB" w:rsidRPr="001E0AC7">
        <w:rPr>
          <w:rFonts w:cs="Times New Roman"/>
        </w:rPr>
        <w:t xml:space="preserve"> However,</w:t>
      </w:r>
      <w:r w:rsidR="00C500AA" w:rsidRPr="001E0AC7">
        <w:rPr>
          <w:rFonts w:cs="Times New Roman"/>
        </w:rPr>
        <w:t xml:space="preserve"> </w:t>
      </w:r>
      <w:r w:rsidR="000D3CCB" w:rsidRPr="001E0AC7">
        <w:rPr>
          <w:rFonts w:cs="Times New Roman"/>
        </w:rPr>
        <w:t xml:space="preserve">taking </w:t>
      </w:r>
      <w:r w:rsidR="00C500AA" w:rsidRPr="001E0AC7">
        <w:rPr>
          <w:rFonts w:cs="Times New Roman"/>
        </w:rPr>
        <w:t xml:space="preserve">into account </w:t>
      </w:r>
      <w:r w:rsidR="00071A7A" w:rsidRPr="001E0AC7">
        <w:rPr>
          <w:rFonts w:cs="Times New Roman"/>
        </w:rPr>
        <w:t xml:space="preserve">the </w:t>
      </w:r>
      <w:r w:rsidR="00C500AA" w:rsidRPr="001E0AC7">
        <w:rPr>
          <w:rFonts w:cs="Times New Roman"/>
        </w:rPr>
        <w:t>cross-border nature of Internet s</w:t>
      </w:r>
      <w:r w:rsidR="00974D76" w:rsidRPr="001E0AC7">
        <w:rPr>
          <w:rFonts w:cs="Times New Roman"/>
        </w:rPr>
        <w:t xml:space="preserve">ervices, </w:t>
      </w:r>
      <w:r w:rsidR="0007482E" w:rsidRPr="001E0AC7">
        <w:rPr>
          <w:rFonts w:cs="Times New Roman"/>
        </w:rPr>
        <w:t>it</w:t>
      </w:r>
      <w:r w:rsidR="00C500AA" w:rsidRPr="001E0AC7">
        <w:rPr>
          <w:rFonts w:cs="Times New Roman"/>
        </w:rPr>
        <w:t xml:space="preserve"> is worth noting that OTT </w:t>
      </w:r>
      <w:r w:rsidR="00974D76" w:rsidRPr="001E0AC7">
        <w:rPr>
          <w:rFonts w:cs="Times New Roman"/>
        </w:rPr>
        <w:t xml:space="preserve">regulation will be more </w:t>
      </w:r>
      <w:r w:rsidR="00C500AA" w:rsidRPr="001E0AC7">
        <w:rPr>
          <w:rFonts w:cs="Times New Roman"/>
        </w:rPr>
        <w:t xml:space="preserve">successful </w:t>
      </w:r>
      <w:r w:rsidR="00974D76" w:rsidRPr="001E0AC7">
        <w:rPr>
          <w:rFonts w:cs="Times New Roman"/>
        </w:rPr>
        <w:t>should Member States</w:t>
      </w:r>
      <w:r w:rsidR="00541457" w:rsidRPr="001E0AC7">
        <w:rPr>
          <w:rFonts w:cs="Times New Roman"/>
        </w:rPr>
        <w:t xml:space="preserve"> </w:t>
      </w:r>
      <w:r w:rsidR="00974D76" w:rsidRPr="001E0AC7">
        <w:rPr>
          <w:rFonts w:cs="Times New Roman"/>
        </w:rPr>
        <w:t xml:space="preserve">coordinate their efforts at the </w:t>
      </w:r>
      <w:r w:rsidR="00541457" w:rsidRPr="001E0AC7">
        <w:rPr>
          <w:rFonts w:cs="Times New Roman"/>
        </w:rPr>
        <w:t xml:space="preserve">national level, </w:t>
      </w:r>
      <w:r w:rsidR="00974D76" w:rsidRPr="001E0AC7">
        <w:rPr>
          <w:rFonts w:cs="Times New Roman"/>
        </w:rPr>
        <w:t xml:space="preserve">besides establishing </w:t>
      </w:r>
      <w:r w:rsidR="00950A91" w:rsidRPr="001E0AC7">
        <w:rPr>
          <w:rFonts w:cs="Times New Roman"/>
        </w:rPr>
        <w:t xml:space="preserve">the international </w:t>
      </w:r>
      <w:r w:rsidR="00930041" w:rsidRPr="001E0AC7">
        <w:rPr>
          <w:rFonts w:cs="Times New Roman"/>
        </w:rPr>
        <w:t>regulation</w:t>
      </w:r>
      <w:r w:rsidR="00887AC4" w:rsidRPr="001E0AC7">
        <w:rPr>
          <w:rFonts w:cs="Times New Roman"/>
        </w:rPr>
        <w:t>.</w:t>
      </w:r>
      <w:r w:rsidR="005E0CAF" w:rsidRPr="001E0AC7">
        <w:rPr>
          <w:rFonts w:cs="Times New Roman"/>
        </w:rPr>
        <w:t xml:space="preserve"> Russian Administration is </w:t>
      </w:r>
      <w:r w:rsidR="000D7686" w:rsidRPr="001E0AC7">
        <w:rPr>
          <w:rFonts w:cs="Times New Roman"/>
        </w:rPr>
        <w:t>deeply</w:t>
      </w:r>
      <w:r w:rsidR="005E0CAF" w:rsidRPr="001E0AC7">
        <w:rPr>
          <w:rFonts w:cs="Times New Roman"/>
        </w:rPr>
        <w:t xml:space="preserve"> concerned </w:t>
      </w:r>
      <w:r w:rsidR="00974D76" w:rsidRPr="001E0AC7">
        <w:rPr>
          <w:rFonts w:cs="Times New Roman"/>
        </w:rPr>
        <w:t>with</w:t>
      </w:r>
      <w:r w:rsidR="00930041" w:rsidRPr="001E0AC7">
        <w:rPr>
          <w:rFonts w:cs="Times New Roman"/>
        </w:rPr>
        <w:t xml:space="preserve"> </w:t>
      </w:r>
      <w:r w:rsidR="005E0CAF" w:rsidRPr="001E0AC7">
        <w:rPr>
          <w:rFonts w:cs="Times New Roman"/>
        </w:rPr>
        <w:t xml:space="preserve">the lack </w:t>
      </w:r>
      <w:r w:rsidR="00B6464F" w:rsidRPr="001E0AC7">
        <w:rPr>
          <w:rFonts w:cs="Times New Roman"/>
        </w:rPr>
        <w:t xml:space="preserve">of </w:t>
      </w:r>
      <w:r w:rsidR="00930041" w:rsidRPr="001E0AC7">
        <w:rPr>
          <w:rFonts w:cs="Times New Roman"/>
        </w:rPr>
        <w:t>regulation</w:t>
      </w:r>
      <w:r w:rsidR="00974D76" w:rsidRPr="001E0AC7">
        <w:rPr>
          <w:rFonts w:cs="Times New Roman"/>
        </w:rPr>
        <w:t xml:space="preserve"> of Internet </w:t>
      </w:r>
      <w:r w:rsidR="003C3B0B" w:rsidRPr="001E0AC7">
        <w:rPr>
          <w:rFonts w:cs="Times New Roman"/>
        </w:rPr>
        <w:t>services</w:t>
      </w:r>
      <w:r w:rsidR="00974D76" w:rsidRPr="001E0AC7">
        <w:rPr>
          <w:rFonts w:cs="Times New Roman"/>
        </w:rPr>
        <w:t xml:space="preserve"> at the international level, particularly the OTT</w:t>
      </w:r>
      <w:r w:rsidR="004069DD" w:rsidRPr="001E0AC7">
        <w:rPr>
          <w:rFonts w:cs="Times New Roman"/>
        </w:rPr>
        <w:t xml:space="preserve">, </w:t>
      </w:r>
      <w:r w:rsidR="003C3B0B" w:rsidRPr="001E0AC7">
        <w:rPr>
          <w:rFonts w:cs="Times New Roman"/>
        </w:rPr>
        <w:t xml:space="preserve">which leads to </w:t>
      </w:r>
      <w:r w:rsidR="00930041" w:rsidRPr="001E0AC7">
        <w:rPr>
          <w:rFonts w:cs="Times New Roman"/>
        </w:rPr>
        <w:t>Internet fragmentation (</w:t>
      </w:r>
      <w:r w:rsidR="003C3B0B" w:rsidRPr="001E0AC7">
        <w:rPr>
          <w:rFonts w:cs="Times New Roman"/>
        </w:rPr>
        <w:t xml:space="preserve">meaning </w:t>
      </w:r>
      <w:r w:rsidR="00930041" w:rsidRPr="001E0AC7">
        <w:rPr>
          <w:rFonts w:cs="Times New Roman"/>
        </w:rPr>
        <w:t xml:space="preserve">the establishment of national and regional areas with various </w:t>
      </w:r>
      <w:r w:rsidR="007256D1" w:rsidRPr="001E0AC7">
        <w:rPr>
          <w:rFonts w:cs="Times New Roman"/>
        </w:rPr>
        <w:t xml:space="preserve">set of services and working </w:t>
      </w:r>
      <w:r w:rsidR="003C3B0B" w:rsidRPr="001E0AC7">
        <w:rPr>
          <w:rFonts w:cs="Times New Roman"/>
        </w:rPr>
        <w:t>conditions</w:t>
      </w:r>
      <w:r w:rsidR="007256D1" w:rsidRPr="001E0AC7">
        <w:rPr>
          <w:rFonts w:cs="Times New Roman"/>
        </w:rPr>
        <w:t xml:space="preserve">), </w:t>
      </w:r>
      <w:r w:rsidR="00774495" w:rsidRPr="001E0AC7">
        <w:rPr>
          <w:rFonts w:cs="Times New Roman"/>
        </w:rPr>
        <w:t xml:space="preserve">new hurdles emerging </w:t>
      </w:r>
      <w:r w:rsidR="00E84726" w:rsidRPr="001E0AC7">
        <w:rPr>
          <w:rFonts w:cs="Times New Roman"/>
        </w:rPr>
        <w:t xml:space="preserve">preventing the establishment </w:t>
      </w:r>
      <w:r w:rsidR="00774495" w:rsidRPr="001E0AC7">
        <w:rPr>
          <w:rFonts w:cs="Times New Roman"/>
        </w:rPr>
        <w:t>of the favourable environment of Internet development</w:t>
      </w:r>
      <w:r w:rsidR="007256D1" w:rsidRPr="001E0AC7">
        <w:rPr>
          <w:rFonts w:cs="Times New Roman"/>
        </w:rPr>
        <w:t>.</w:t>
      </w:r>
    </w:p>
    <w:p w:rsidR="00887AC4" w:rsidRPr="001E0AC7" w:rsidRDefault="0049731B" w:rsidP="002A3528">
      <w:pPr>
        <w:pStyle w:val="Body"/>
        <w:ind w:firstLine="709"/>
        <w:jc w:val="both"/>
        <w:rPr>
          <w:rFonts w:cs="Times New Roman"/>
        </w:rPr>
      </w:pPr>
      <w:r w:rsidRPr="001E0AC7">
        <w:rPr>
          <w:rFonts w:cs="Times New Roman"/>
        </w:rPr>
        <w:t xml:space="preserve">CWG–Internet </w:t>
      </w:r>
      <w:r w:rsidR="002A3DE9" w:rsidRPr="001E0AC7">
        <w:rPr>
          <w:rFonts w:cs="Times New Roman"/>
        </w:rPr>
        <w:t xml:space="preserve">conducted </w:t>
      </w:r>
      <w:r w:rsidRPr="001E0AC7">
        <w:rPr>
          <w:rFonts w:cs="Times New Roman"/>
        </w:rPr>
        <w:t xml:space="preserve">online consultations </w:t>
      </w:r>
      <w:r w:rsidR="002A3DE9" w:rsidRPr="001E0AC7">
        <w:rPr>
          <w:rFonts w:cs="Times New Roman"/>
        </w:rPr>
        <w:t>under "</w:t>
      </w:r>
      <w:r w:rsidR="007D10FC" w:rsidRPr="001E0AC7">
        <w:rPr>
          <w:rFonts w:cs="Times New Roman"/>
        </w:rPr>
        <w:t>Public p</w:t>
      </w:r>
      <w:r w:rsidR="009F630D" w:rsidRPr="001E0AC7">
        <w:rPr>
          <w:rFonts w:cs="Times New Roman"/>
        </w:rPr>
        <w:t>olicy considerations for OTT</w:t>
      </w:r>
      <w:r w:rsidR="007D10FC" w:rsidRPr="001E0AC7">
        <w:rPr>
          <w:rFonts w:cs="Times New Roman"/>
        </w:rPr>
        <w:t>"</w:t>
      </w:r>
      <w:r w:rsidR="009F630D" w:rsidRPr="001E0AC7">
        <w:rPr>
          <w:rFonts w:cs="Times New Roman"/>
        </w:rPr>
        <w:t xml:space="preserve"> </w:t>
      </w:r>
      <w:r w:rsidR="00691A98" w:rsidRPr="001E0AC7">
        <w:rPr>
          <w:rFonts w:cs="Times New Roman"/>
        </w:rPr>
        <w:t xml:space="preserve">which garnered the most number of contributions, </w:t>
      </w:r>
      <w:r w:rsidR="009F630D" w:rsidRPr="001E0AC7">
        <w:rPr>
          <w:rFonts w:cs="Times New Roman"/>
        </w:rPr>
        <w:t xml:space="preserve">as well as </w:t>
      </w:r>
      <w:r w:rsidR="0083312D" w:rsidRPr="001E0AC7">
        <w:rPr>
          <w:rFonts w:cs="Times New Roman"/>
        </w:rPr>
        <w:t xml:space="preserve">a </w:t>
      </w:r>
      <w:r w:rsidR="00E84726" w:rsidRPr="001E0AC7">
        <w:rPr>
          <w:rFonts w:cs="Times New Roman"/>
        </w:rPr>
        <w:t xml:space="preserve">physical meeting </w:t>
      </w:r>
      <w:r w:rsidR="00B632DD" w:rsidRPr="001E0AC7">
        <w:rPr>
          <w:rFonts w:cs="Times New Roman"/>
        </w:rPr>
        <w:t>held on 18 September 2017</w:t>
      </w:r>
      <w:r w:rsidR="00887AC4" w:rsidRPr="001E0AC7">
        <w:rPr>
          <w:rFonts w:cs="Times New Roman"/>
        </w:rPr>
        <w:t>.</w:t>
      </w:r>
    </w:p>
    <w:p w:rsidR="00887AC4" w:rsidRPr="001E0AC7" w:rsidRDefault="00EB5B49" w:rsidP="002A3528">
      <w:pPr>
        <w:pStyle w:val="Body"/>
        <w:tabs>
          <w:tab w:val="clear" w:pos="567"/>
          <w:tab w:val="clear" w:pos="1134"/>
          <w:tab w:val="clear" w:pos="1701"/>
          <w:tab w:val="clear" w:pos="2268"/>
          <w:tab w:val="clear" w:pos="2835"/>
        </w:tabs>
        <w:ind w:firstLine="709"/>
        <w:jc w:val="both"/>
        <w:rPr>
          <w:rFonts w:cs="Times New Roman"/>
        </w:rPr>
      </w:pPr>
      <w:r w:rsidRPr="001E0AC7">
        <w:rPr>
          <w:rFonts w:cs="Times New Roman"/>
        </w:rPr>
        <w:t xml:space="preserve">The outcomes </w:t>
      </w:r>
      <w:r w:rsidR="0047728D" w:rsidRPr="001E0AC7">
        <w:rPr>
          <w:rFonts w:cs="Times New Roman"/>
        </w:rPr>
        <w:t xml:space="preserve">of the events </w:t>
      </w:r>
      <w:r w:rsidRPr="001E0AC7">
        <w:rPr>
          <w:rFonts w:cs="Times New Roman"/>
        </w:rPr>
        <w:t xml:space="preserve">prove that there is a considerable interest in </w:t>
      </w:r>
      <w:r w:rsidR="0063474D" w:rsidRPr="001E0AC7">
        <w:rPr>
          <w:rFonts w:cs="Times New Roman"/>
        </w:rPr>
        <w:t>this</w:t>
      </w:r>
      <w:r w:rsidRPr="001E0AC7">
        <w:rPr>
          <w:rFonts w:cs="Times New Roman"/>
        </w:rPr>
        <w:t xml:space="preserve"> direction </w:t>
      </w:r>
      <w:r w:rsidR="0047728D" w:rsidRPr="001E0AC7">
        <w:rPr>
          <w:rFonts w:cs="Times New Roman"/>
        </w:rPr>
        <w:t xml:space="preserve">in </w:t>
      </w:r>
      <w:r w:rsidR="0063474D" w:rsidRPr="001E0AC7">
        <w:rPr>
          <w:rFonts w:cs="Times New Roman"/>
        </w:rPr>
        <w:t xml:space="preserve">a plenty of </w:t>
      </w:r>
      <w:r w:rsidR="0047728D" w:rsidRPr="001E0AC7">
        <w:rPr>
          <w:rFonts w:cs="Times New Roman"/>
        </w:rPr>
        <w:t xml:space="preserve">countries. </w:t>
      </w:r>
      <w:r w:rsidR="00661638" w:rsidRPr="001E0AC7">
        <w:rPr>
          <w:rFonts w:cs="Times New Roman"/>
        </w:rPr>
        <w:t>This is the reason we present some of the examples of OTT services regulation as the basis for experience exchange</w:t>
      </w:r>
      <w:r w:rsidR="00FE55C8" w:rsidRPr="001E0AC7">
        <w:rPr>
          <w:rFonts w:cs="Times New Roman"/>
        </w:rPr>
        <w:t xml:space="preserve">, </w:t>
      </w:r>
      <w:r w:rsidR="00661638" w:rsidRPr="001E0AC7">
        <w:rPr>
          <w:rFonts w:cs="Times New Roman"/>
        </w:rPr>
        <w:t xml:space="preserve">as well as constructive discussion </w:t>
      </w:r>
      <w:r w:rsidR="00C46C4E" w:rsidRPr="001E0AC7">
        <w:rPr>
          <w:rFonts w:cs="Times New Roman"/>
        </w:rPr>
        <w:t>within</w:t>
      </w:r>
      <w:r w:rsidR="00661638" w:rsidRPr="001E0AC7">
        <w:rPr>
          <w:rFonts w:cs="Times New Roman"/>
        </w:rPr>
        <w:t xml:space="preserve"> </w:t>
      </w:r>
      <w:r w:rsidR="001A1017" w:rsidRPr="001E0AC7">
        <w:rPr>
          <w:rFonts w:cs="Times New Roman"/>
        </w:rPr>
        <w:t xml:space="preserve">CWG-Internet </w:t>
      </w:r>
      <w:r w:rsidR="000E70FA" w:rsidRPr="001E0AC7">
        <w:rPr>
          <w:rFonts w:cs="Times New Roman"/>
        </w:rPr>
        <w:t xml:space="preserve">leading to recommendations to be approved, if necessary, </w:t>
      </w:r>
      <w:r w:rsidR="00E45F32" w:rsidRPr="001E0AC7">
        <w:rPr>
          <w:rFonts w:cs="Times New Roman"/>
        </w:rPr>
        <w:t xml:space="preserve">to </w:t>
      </w:r>
      <w:r w:rsidR="006336FF" w:rsidRPr="001E0AC7">
        <w:rPr>
          <w:rFonts w:cs="Times New Roman"/>
        </w:rPr>
        <w:t xml:space="preserve">initiate the </w:t>
      </w:r>
      <w:r w:rsidR="0098786C" w:rsidRPr="001E0AC7">
        <w:rPr>
          <w:rFonts w:cs="Times New Roman"/>
        </w:rPr>
        <w:t>establishment</w:t>
      </w:r>
      <w:r w:rsidR="003829C0" w:rsidRPr="001E0AC7">
        <w:rPr>
          <w:rFonts w:cs="Times New Roman"/>
        </w:rPr>
        <w:t xml:space="preserve"> of</w:t>
      </w:r>
      <w:r w:rsidR="0098786C" w:rsidRPr="001E0AC7">
        <w:rPr>
          <w:rFonts w:cs="Times New Roman"/>
        </w:rPr>
        <w:t xml:space="preserve"> </w:t>
      </w:r>
      <w:r w:rsidR="00E45F32" w:rsidRPr="001E0AC7">
        <w:rPr>
          <w:rFonts w:cs="Times New Roman"/>
        </w:rPr>
        <w:t xml:space="preserve">the international </w:t>
      </w:r>
      <w:r w:rsidR="00E84726" w:rsidRPr="001E0AC7">
        <w:rPr>
          <w:rFonts w:cs="Times New Roman"/>
        </w:rPr>
        <w:t>regulation</w:t>
      </w:r>
      <w:r w:rsidR="001A1017" w:rsidRPr="001E0AC7">
        <w:rPr>
          <w:rFonts w:cs="Times New Roman"/>
        </w:rPr>
        <w:t>.</w:t>
      </w:r>
    </w:p>
    <w:p w:rsidR="00103B4D" w:rsidRPr="001E0AC7" w:rsidRDefault="00103B4D" w:rsidP="002A3528">
      <w:pPr>
        <w:pStyle w:val="Body"/>
        <w:tabs>
          <w:tab w:val="clear" w:pos="567"/>
          <w:tab w:val="clear" w:pos="1134"/>
          <w:tab w:val="clear" w:pos="1701"/>
          <w:tab w:val="clear" w:pos="2268"/>
          <w:tab w:val="clear" w:pos="2835"/>
        </w:tabs>
        <w:jc w:val="both"/>
        <w:rPr>
          <w:rFonts w:cs="Times New Roman"/>
          <w:b/>
        </w:rPr>
      </w:pPr>
    </w:p>
    <w:p w:rsidR="00103B4D" w:rsidRPr="001E0AC7" w:rsidRDefault="00A87F43" w:rsidP="002A3528">
      <w:pPr>
        <w:pStyle w:val="Body"/>
        <w:numPr>
          <w:ilvl w:val="0"/>
          <w:numId w:val="2"/>
        </w:numPr>
        <w:tabs>
          <w:tab w:val="clear" w:pos="567"/>
          <w:tab w:val="clear" w:pos="1134"/>
          <w:tab w:val="clear" w:pos="1701"/>
          <w:tab w:val="clear" w:pos="2268"/>
          <w:tab w:val="clear" w:pos="2835"/>
        </w:tabs>
        <w:ind w:hanging="720"/>
        <w:jc w:val="both"/>
        <w:rPr>
          <w:rFonts w:cs="Times New Roman"/>
          <w:b/>
          <w:lang w:val="ru-RU"/>
        </w:rPr>
      </w:pPr>
      <w:r w:rsidRPr="001E0AC7">
        <w:rPr>
          <w:rFonts w:cs="Times New Roman"/>
          <w:b/>
        </w:rPr>
        <w:t>Proposals</w:t>
      </w:r>
    </w:p>
    <w:p w:rsidR="002F1E81" w:rsidRPr="001E0AC7" w:rsidRDefault="00AB2AC2" w:rsidP="002A3528">
      <w:pPr>
        <w:pStyle w:val="Body"/>
        <w:ind w:firstLine="709"/>
        <w:jc w:val="both"/>
        <w:rPr>
          <w:rFonts w:cs="Times New Roman"/>
        </w:rPr>
      </w:pPr>
      <w:r w:rsidRPr="001E0AC7">
        <w:rPr>
          <w:rFonts w:cs="Times New Roman"/>
        </w:rPr>
        <w:t xml:space="preserve">Russian Administration would like to support the </w:t>
      </w:r>
      <w:r w:rsidR="00574C72" w:rsidRPr="001E0AC7">
        <w:rPr>
          <w:rFonts w:cs="Times New Roman"/>
        </w:rPr>
        <w:t>s</w:t>
      </w:r>
      <w:r w:rsidRPr="001E0AC7">
        <w:rPr>
          <w:rFonts w:cs="Times New Roman"/>
        </w:rPr>
        <w:t xml:space="preserve">tudies </w:t>
      </w:r>
      <w:r w:rsidR="00E97749" w:rsidRPr="001E0AC7">
        <w:rPr>
          <w:rFonts w:cs="Times New Roman"/>
        </w:rPr>
        <w:t xml:space="preserve">conducted </w:t>
      </w:r>
      <w:r w:rsidRPr="001E0AC7">
        <w:rPr>
          <w:rFonts w:cs="Times New Roman"/>
        </w:rPr>
        <w:t>by ITU-T on technical, economical, regulatory aspects related to OTT</w:t>
      </w:r>
      <w:r w:rsidR="00AC38E0" w:rsidRPr="001E0AC7">
        <w:rPr>
          <w:rFonts w:cs="Times New Roman"/>
        </w:rPr>
        <w:t xml:space="preserve">, </w:t>
      </w:r>
      <w:r w:rsidR="00011118" w:rsidRPr="001E0AC7">
        <w:rPr>
          <w:rFonts w:cs="Times New Roman"/>
        </w:rPr>
        <w:t>as well as the work performed by ITU-D</w:t>
      </w:r>
      <w:r w:rsidR="00557343" w:rsidRPr="001E0AC7">
        <w:rPr>
          <w:rFonts w:cs="Times New Roman"/>
        </w:rPr>
        <w:t xml:space="preserve">, </w:t>
      </w:r>
      <w:r w:rsidR="00011118" w:rsidRPr="001E0AC7">
        <w:rPr>
          <w:rFonts w:cs="Times New Roman"/>
        </w:rPr>
        <w:t xml:space="preserve">focused on </w:t>
      </w:r>
      <w:r w:rsidR="00557343" w:rsidRPr="001E0AC7">
        <w:rPr>
          <w:rFonts w:cs="Times New Roman"/>
        </w:rPr>
        <w:t>assisting the d</w:t>
      </w:r>
      <w:r w:rsidR="00011118" w:rsidRPr="001E0AC7">
        <w:rPr>
          <w:rFonts w:cs="Times New Roman"/>
        </w:rPr>
        <w:t xml:space="preserve">eveloping countries. Russian Administration looks forward to finishing the existing </w:t>
      </w:r>
      <w:r w:rsidR="00557343" w:rsidRPr="001E0AC7">
        <w:rPr>
          <w:rFonts w:cs="Times New Roman"/>
        </w:rPr>
        <w:t>s</w:t>
      </w:r>
      <w:r w:rsidR="001D0F45" w:rsidRPr="001E0AC7">
        <w:rPr>
          <w:rFonts w:cs="Times New Roman"/>
        </w:rPr>
        <w:t>tudies and adopting</w:t>
      </w:r>
      <w:r w:rsidR="002A3528" w:rsidRPr="001E0AC7">
        <w:rPr>
          <w:rFonts w:cs="Times New Roman"/>
        </w:rPr>
        <w:t xml:space="preserve"> the</w:t>
      </w:r>
      <w:r w:rsidR="00011118" w:rsidRPr="001E0AC7">
        <w:rPr>
          <w:rFonts w:cs="Times New Roman"/>
        </w:rPr>
        <w:t xml:space="preserve"> relevant ITU-T </w:t>
      </w:r>
      <w:r w:rsidR="001E64E5" w:rsidRPr="001E0AC7">
        <w:rPr>
          <w:rFonts w:cs="Times New Roman"/>
        </w:rPr>
        <w:t>Guidelines</w:t>
      </w:r>
      <w:r w:rsidR="002F1E81" w:rsidRPr="001E0AC7">
        <w:rPr>
          <w:rFonts w:cs="Times New Roman"/>
        </w:rPr>
        <w:t>.</w:t>
      </w:r>
    </w:p>
    <w:p w:rsidR="00103B4D" w:rsidRPr="001E0AC7" w:rsidRDefault="003E4B66" w:rsidP="002F1E81">
      <w:pPr>
        <w:pStyle w:val="Body"/>
        <w:ind w:firstLine="709"/>
        <w:jc w:val="both"/>
        <w:rPr>
          <w:rFonts w:cs="Times New Roman"/>
        </w:rPr>
      </w:pPr>
      <w:r w:rsidRPr="001E0AC7">
        <w:rPr>
          <w:rFonts w:cs="Times New Roman"/>
        </w:rPr>
        <w:t xml:space="preserve">We </w:t>
      </w:r>
      <w:r w:rsidR="00DC7259" w:rsidRPr="001E0AC7">
        <w:rPr>
          <w:rFonts w:cs="Times New Roman"/>
        </w:rPr>
        <w:t xml:space="preserve">propose </w:t>
      </w:r>
      <w:r w:rsidRPr="001E0AC7">
        <w:rPr>
          <w:rFonts w:cs="Times New Roman"/>
        </w:rPr>
        <w:t xml:space="preserve">to arrange the </w:t>
      </w:r>
      <w:r w:rsidR="0057591A" w:rsidRPr="001E0AC7">
        <w:rPr>
          <w:rFonts w:cs="Times New Roman"/>
        </w:rPr>
        <w:t xml:space="preserve">discussion </w:t>
      </w:r>
      <w:r w:rsidRPr="001E0AC7">
        <w:rPr>
          <w:rFonts w:cs="Times New Roman"/>
        </w:rPr>
        <w:t xml:space="preserve">of issues related to OTT </w:t>
      </w:r>
      <w:r w:rsidR="007E5917" w:rsidRPr="001E0AC7">
        <w:rPr>
          <w:rFonts w:cs="Times New Roman"/>
        </w:rPr>
        <w:t>regulation</w:t>
      </w:r>
      <w:r w:rsidRPr="001E0AC7">
        <w:rPr>
          <w:rFonts w:cs="Times New Roman"/>
        </w:rPr>
        <w:t xml:space="preserve"> </w:t>
      </w:r>
      <w:r w:rsidR="007E5917" w:rsidRPr="001E0AC7">
        <w:rPr>
          <w:rFonts w:cs="Times New Roman"/>
        </w:rPr>
        <w:t>at</w:t>
      </w:r>
      <w:r w:rsidRPr="001E0AC7">
        <w:rPr>
          <w:rFonts w:cs="Times New Roman"/>
        </w:rPr>
        <w:t xml:space="preserve"> the national and international levels within CWG-Internet </w:t>
      </w:r>
      <w:r w:rsidR="007E6583" w:rsidRPr="001E0AC7">
        <w:rPr>
          <w:rFonts w:cs="Times New Roman"/>
        </w:rPr>
        <w:t>under</w:t>
      </w:r>
      <w:r w:rsidRPr="001E0AC7">
        <w:rPr>
          <w:rFonts w:cs="Times New Roman"/>
        </w:rPr>
        <w:t xml:space="preserve"> </w:t>
      </w:r>
      <w:r w:rsidR="007E6583" w:rsidRPr="001E0AC7">
        <w:rPr>
          <w:rFonts w:cs="Times New Roman"/>
        </w:rPr>
        <w:t xml:space="preserve">the following </w:t>
      </w:r>
      <w:r w:rsidRPr="001E0AC7">
        <w:rPr>
          <w:rFonts w:cs="Times New Roman"/>
        </w:rPr>
        <w:t>general</w:t>
      </w:r>
      <w:r w:rsidR="007E6583" w:rsidRPr="001E0AC7">
        <w:rPr>
          <w:rFonts w:cs="Times New Roman"/>
        </w:rPr>
        <w:t xml:space="preserve"> plan</w:t>
      </w:r>
      <w:r w:rsidR="00103B4D" w:rsidRPr="001E0AC7">
        <w:rPr>
          <w:rFonts w:cs="Times New Roman"/>
        </w:rPr>
        <w:t>:</w:t>
      </w:r>
    </w:p>
    <w:p w:rsidR="002F1E81" w:rsidRPr="001E0AC7" w:rsidRDefault="00115D28" w:rsidP="002F1E81">
      <w:pPr>
        <w:pStyle w:val="Body"/>
        <w:numPr>
          <w:ilvl w:val="0"/>
          <w:numId w:val="5"/>
        </w:numPr>
        <w:jc w:val="both"/>
        <w:rPr>
          <w:rFonts w:cs="Times New Roman"/>
        </w:rPr>
      </w:pPr>
      <w:r w:rsidRPr="001E0AC7">
        <w:rPr>
          <w:rFonts w:cs="Times New Roman"/>
        </w:rPr>
        <w:t xml:space="preserve">To invite </w:t>
      </w:r>
      <w:r w:rsidR="002C1A1F" w:rsidRPr="001E0AC7">
        <w:rPr>
          <w:rFonts w:cs="Times New Roman"/>
        </w:rPr>
        <w:t xml:space="preserve">state representatives </w:t>
      </w:r>
      <w:r w:rsidRPr="001E0AC7">
        <w:rPr>
          <w:rFonts w:cs="Times New Roman"/>
        </w:rPr>
        <w:t>to submit best</w:t>
      </w:r>
      <w:r w:rsidR="00A71555" w:rsidRPr="001E0AC7">
        <w:rPr>
          <w:rFonts w:cs="Times New Roman"/>
        </w:rPr>
        <w:t xml:space="preserve"> practices of</w:t>
      </w:r>
      <w:r w:rsidRPr="001E0AC7">
        <w:rPr>
          <w:rFonts w:cs="Times New Roman"/>
        </w:rPr>
        <w:t xml:space="preserve"> OTT </w:t>
      </w:r>
      <w:r w:rsidR="00A71555" w:rsidRPr="001E0AC7">
        <w:rPr>
          <w:rFonts w:cs="Times New Roman"/>
        </w:rPr>
        <w:t>legislation regulation</w:t>
      </w:r>
      <w:r w:rsidR="002F1E81" w:rsidRPr="001E0AC7">
        <w:rPr>
          <w:rFonts w:cs="Times New Roman"/>
        </w:rPr>
        <w:t>.</w:t>
      </w:r>
    </w:p>
    <w:p w:rsidR="002F1E81" w:rsidRPr="001E0AC7" w:rsidRDefault="00232994" w:rsidP="002F1E81">
      <w:pPr>
        <w:pStyle w:val="Body"/>
        <w:numPr>
          <w:ilvl w:val="0"/>
          <w:numId w:val="5"/>
        </w:numPr>
        <w:jc w:val="both"/>
        <w:rPr>
          <w:rFonts w:cs="Times New Roman"/>
        </w:rPr>
      </w:pPr>
      <w:r w:rsidRPr="001E0AC7">
        <w:rPr>
          <w:rFonts w:cs="Times New Roman"/>
        </w:rPr>
        <w:lastRenderedPageBreak/>
        <w:t>To request ITU-D SG1, ITU-T SG3 and SG17 to submit to CWG-Internet their considerations on the issues related to OTT</w:t>
      </w:r>
      <w:r w:rsidR="009648EC" w:rsidRPr="001E0AC7">
        <w:rPr>
          <w:rFonts w:cs="Times New Roman"/>
        </w:rPr>
        <w:t xml:space="preserve"> services requiring</w:t>
      </w:r>
      <w:r w:rsidRPr="001E0AC7">
        <w:rPr>
          <w:rFonts w:cs="Times New Roman"/>
        </w:rPr>
        <w:t xml:space="preserve"> r</w:t>
      </w:r>
      <w:r w:rsidR="00CD7AD7" w:rsidRPr="001E0AC7">
        <w:rPr>
          <w:rFonts w:cs="Times New Roman"/>
        </w:rPr>
        <w:t>e</w:t>
      </w:r>
      <w:r w:rsidRPr="001E0AC7">
        <w:rPr>
          <w:rFonts w:cs="Times New Roman"/>
        </w:rPr>
        <w:t>gulation</w:t>
      </w:r>
      <w:r w:rsidR="002F1E81" w:rsidRPr="001E0AC7">
        <w:rPr>
          <w:rFonts w:cs="Times New Roman"/>
        </w:rPr>
        <w:t>.</w:t>
      </w:r>
    </w:p>
    <w:p w:rsidR="00103B4D" w:rsidRDefault="009670DD" w:rsidP="002F1E81">
      <w:pPr>
        <w:pStyle w:val="Body"/>
        <w:numPr>
          <w:ilvl w:val="0"/>
          <w:numId w:val="5"/>
        </w:numPr>
        <w:jc w:val="both"/>
        <w:rPr>
          <w:rFonts w:cs="Times New Roman"/>
        </w:rPr>
      </w:pPr>
      <w:r w:rsidRPr="001E0AC7">
        <w:rPr>
          <w:rFonts w:cs="Times New Roman"/>
        </w:rPr>
        <w:t xml:space="preserve">To arrange </w:t>
      </w:r>
      <w:r w:rsidR="00960084" w:rsidRPr="001E0AC7">
        <w:rPr>
          <w:rFonts w:cs="Times New Roman"/>
        </w:rPr>
        <w:t>within</w:t>
      </w:r>
      <w:r w:rsidRPr="001E0AC7">
        <w:rPr>
          <w:rFonts w:cs="Times New Roman"/>
        </w:rPr>
        <w:t xml:space="preserve"> CWG-Internet a </w:t>
      </w:r>
      <w:r w:rsidR="00B27735" w:rsidRPr="001E0AC7">
        <w:rPr>
          <w:rFonts w:cs="Times New Roman"/>
        </w:rPr>
        <w:t xml:space="preserve">wide discussion with </w:t>
      </w:r>
      <w:r w:rsidRPr="001E0AC7">
        <w:rPr>
          <w:rFonts w:cs="Times New Roman"/>
        </w:rPr>
        <w:t xml:space="preserve">Member States </w:t>
      </w:r>
      <w:r w:rsidR="00B27735" w:rsidRPr="001E0AC7">
        <w:rPr>
          <w:rFonts w:cs="Times New Roman"/>
        </w:rPr>
        <w:t>participation</w:t>
      </w:r>
      <w:r w:rsidRPr="001E0AC7">
        <w:rPr>
          <w:rFonts w:cs="Times New Roman"/>
        </w:rPr>
        <w:t xml:space="preserve"> and develop</w:t>
      </w:r>
      <w:r w:rsidR="005519B5" w:rsidRPr="001E0AC7">
        <w:rPr>
          <w:rFonts w:cs="Times New Roman"/>
        </w:rPr>
        <w:t>,</w:t>
      </w:r>
      <w:r w:rsidRPr="001E0AC7">
        <w:rPr>
          <w:rFonts w:cs="Times New Roman"/>
        </w:rPr>
        <w:t xml:space="preserve"> if appropriate</w:t>
      </w:r>
      <w:r w:rsidR="005519B5" w:rsidRPr="001E0AC7">
        <w:rPr>
          <w:rFonts w:cs="Times New Roman"/>
        </w:rPr>
        <w:t>,</w:t>
      </w:r>
      <w:r w:rsidRPr="001E0AC7">
        <w:rPr>
          <w:rFonts w:cs="Times New Roman"/>
        </w:rPr>
        <w:t xml:space="preserve"> </w:t>
      </w:r>
      <w:r w:rsidR="0023393C">
        <w:rPr>
          <w:rFonts w:cs="Times New Roman"/>
        </w:rPr>
        <w:t>r</w:t>
      </w:r>
      <w:r w:rsidR="005519B5" w:rsidRPr="001E0AC7">
        <w:rPr>
          <w:rFonts w:cs="Times New Roman"/>
        </w:rPr>
        <w:t xml:space="preserve">ecommendations for ITU Council </w:t>
      </w:r>
      <w:r w:rsidR="006F798C" w:rsidRPr="001E0AC7">
        <w:rPr>
          <w:rFonts w:cs="Times New Roman"/>
        </w:rPr>
        <w:t xml:space="preserve">on </w:t>
      </w:r>
      <w:r w:rsidR="005519B5" w:rsidRPr="001E0AC7">
        <w:rPr>
          <w:rFonts w:cs="Times New Roman"/>
        </w:rPr>
        <w:t xml:space="preserve">the role </w:t>
      </w:r>
      <w:r w:rsidR="00484A7A" w:rsidRPr="001E0AC7">
        <w:rPr>
          <w:rFonts w:cs="Times New Roman"/>
        </w:rPr>
        <w:t>the s</w:t>
      </w:r>
      <w:r w:rsidR="005519B5" w:rsidRPr="001E0AC7">
        <w:rPr>
          <w:rFonts w:cs="Times New Roman"/>
        </w:rPr>
        <w:t>tate</w:t>
      </w:r>
      <w:r w:rsidR="00484A7A" w:rsidRPr="001E0AC7">
        <w:rPr>
          <w:rFonts w:cs="Times New Roman"/>
        </w:rPr>
        <w:t>s</w:t>
      </w:r>
      <w:r w:rsidR="00C14CC1" w:rsidRPr="001E0AC7">
        <w:rPr>
          <w:rFonts w:cs="Times New Roman"/>
        </w:rPr>
        <w:t xml:space="preserve"> </w:t>
      </w:r>
      <w:r w:rsidR="005519B5" w:rsidRPr="001E0AC7">
        <w:rPr>
          <w:rFonts w:cs="Times New Roman"/>
        </w:rPr>
        <w:t>in</w:t>
      </w:r>
      <w:r w:rsidR="00C14CC1" w:rsidRPr="001E0AC7">
        <w:rPr>
          <w:rFonts w:cs="Times New Roman"/>
        </w:rPr>
        <w:t xml:space="preserve"> </w:t>
      </w:r>
      <w:r w:rsidR="005519B5" w:rsidRPr="001E0AC7">
        <w:rPr>
          <w:rFonts w:cs="Times New Roman"/>
        </w:rPr>
        <w:t xml:space="preserve">OTT services regulation </w:t>
      </w:r>
      <w:r w:rsidR="00C14CC1" w:rsidRPr="001E0AC7">
        <w:rPr>
          <w:rFonts w:cs="Times New Roman"/>
        </w:rPr>
        <w:t xml:space="preserve">issues at </w:t>
      </w:r>
      <w:r w:rsidR="005519B5" w:rsidRPr="001E0AC7">
        <w:rPr>
          <w:rFonts w:cs="Times New Roman"/>
        </w:rPr>
        <w:t>the international level</w:t>
      </w:r>
      <w:r w:rsidR="008C7175">
        <w:rPr>
          <w:rFonts w:cs="Times New Roman"/>
        </w:rPr>
        <w:t>.</w:t>
      </w:r>
    </w:p>
    <w:p w:rsidR="00F320DB" w:rsidRPr="001E0AC7" w:rsidRDefault="00F320DB" w:rsidP="002F1E81">
      <w:pPr>
        <w:pStyle w:val="Body"/>
        <w:ind w:firstLine="709"/>
        <w:jc w:val="both"/>
        <w:rPr>
          <w:rFonts w:cs="Times New Roman"/>
        </w:rPr>
      </w:pPr>
    </w:p>
    <w:p w:rsidR="001818EB" w:rsidRPr="001E0AC7" w:rsidRDefault="001818EB">
      <w:pPr>
        <w:rPr>
          <w:rFonts w:cs="Times New Roman"/>
          <w:b/>
          <w:sz w:val="24"/>
          <w:szCs w:val="24"/>
        </w:rPr>
      </w:pPr>
      <w:r w:rsidRPr="001E0AC7">
        <w:rPr>
          <w:rFonts w:cs="Times New Roman"/>
          <w:b/>
          <w:sz w:val="24"/>
          <w:szCs w:val="24"/>
        </w:rPr>
        <w:br w:type="page"/>
      </w:r>
    </w:p>
    <w:p w:rsidR="004A2E39" w:rsidRPr="001E0AC7" w:rsidRDefault="008D00D5" w:rsidP="004A2E39">
      <w:pPr>
        <w:tabs>
          <w:tab w:val="left" w:pos="1276"/>
          <w:tab w:val="left" w:pos="1418"/>
        </w:tabs>
        <w:spacing w:after="0" w:line="240" w:lineRule="auto"/>
        <w:ind w:firstLine="709"/>
        <w:jc w:val="right"/>
        <w:rPr>
          <w:rFonts w:cs="Times New Roman"/>
          <w:b/>
          <w:sz w:val="24"/>
          <w:szCs w:val="24"/>
        </w:rPr>
      </w:pPr>
      <w:r w:rsidRPr="001E0AC7">
        <w:rPr>
          <w:rFonts w:cs="Times New Roman"/>
          <w:b/>
          <w:sz w:val="24"/>
          <w:szCs w:val="24"/>
        </w:rPr>
        <w:lastRenderedPageBreak/>
        <w:t>Annex</w:t>
      </w:r>
    </w:p>
    <w:p w:rsidR="004A2E39" w:rsidRPr="001E0AC7" w:rsidRDefault="004A2E39" w:rsidP="00F320DB">
      <w:pPr>
        <w:tabs>
          <w:tab w:val="left" w:pos="1276"/>
          <w:tab w:val="left" w:pos="1418"/>
        </w:tabs>
        <w:spacing w:after="0" w:line="240" w:lineRule="auto"/>
        <w:ind w:firstLine="709"/>
        <w:rPr>
          <w:rFonts w:cs="Times New Roman"/>
          <w:b/>
          <w:sz w:val="24"/>
          <w:szCs w:val="24"/>
        </w:rPr>
      </w:pPr>
    </w:p>
    <w:p w:rsidR="00EC4BF4" w:rsidRDefault="00EC4BF4" w:rsidP="00F320DB">
      <w:pPr>
        <w:tabs>
          <w:tab w:val="left" w:pos="1276"/>
          <w:tab w:val="left" w:pos="1418"/>
        </w:tabs>
        <w:spacing w:after="0" w:line="240" w:lineRule="auto"/>
        <w:ind w:firstLine="709"/>
        <w:rPr>
          <w:rFonts w:cs="Times New Roman"/>
          <w:b/>
          <w:caps/>
          <w:sz w:val="24"/>
          <w:szCs w:val="24"/>
        </w:rPr>
      </w:pPr>
    </w:p>
    <w:p w:rsidR="004A2E39" w:rsidRPr="001E0AC7" w:rsidRDefault="00E3028D" w:rsidP="00F320DB">
      <w:pPr>
        <w:tabs>
          <w:tab w:val="left" w:pos="1276"/>
          <w:tab w:val="left" w:pos="1418"/>
        </w:tabs>
        <w:spacing w:after="0" w:line="240" w:lineRule="auto"/>
        <w:ind w:firstLine="709"/>
        <w:rPr>
          <w:rFonts w:cs="Times New Roman"/>
          <w:b/>
          <w:caps/>
          <w:sz w:val="24"/>
          <w:szCs w:val="24"/>
        </w:rPr>
      </w:pPr>
      <w:r w:rsidRPr="001E0AC7">
        <w:rPr>
          <w:rFonts w:cs="Times New Roman"/>
          <w:b/>
          <w:caps/>
          <w:sz w:val="24"/>
          <w:szCs w:val="24"/>
        </w:rPr>
        <w:t>Examples of regulatory practice</w:t>
      </w:r>
      <w:r w:rsidR="007047DD" w:rsidRPr="001E0AC7">
        <w:rPr>
          <w:rFonts w:cs="Times New Roman"/>
          <w:b/>
          <w:caps/>
          <w:sz w:val="24"/>
          <w:szCs w:val="24"/>
        </w:rPr>
        <w:t>s</w:t>
      </w:r>
      <w:r w:rsidRPr="001E0AC7">
        <w:rPr>
          <w:rFonts w:cs="Times New Roman"/>
          <w:b/>
          <w:caps/>
          <w:sz w:val="24"/>
          <w:szCs w:val="24"/>
        </w:rPr>
        <w:t xml:space="preserve"> for OTT services</w:t>
      </w:r>
    </w:p>
    <w:p w:rsidR="00F320DB" w:rsidRPr="001E0AC7" w:rsidRDefault="00EC4BF4" w:rsidP="00F320DB">
      <w:pPr>
        <w:tabs>
          <w:tab w:val="left" w:pos="1276"/>
          <w:tab w:val="left" w:pos="1418"/>
        </w:tabs>
        <w:spacing w:after="0" w:line="240" w:lineRule="auto"/>
        <w:ind w:firstLine="709"/>
        <w:rPr>
          <w:rFonts w:cs="Times New Roman"/>
          <w:b/>
          <w:sz w:val="24"/>
          <w:szCs w:val="24"/>
        </w:rPr>
      </w:pPr>
      <w:proofErr w:type="gramStart"/>
      <w:r>
        <w:rPr>
          <w:rFonts w:cs="Times New Roman"/>
          <w:b/>
          <w:sz w:val="24"/>
          <w:szCs w:val="24"/>
        </w:rPr>
        <w:t>a</w:t>
      </w:r>
      <w:r w:rsidR="00E3028D" w:rsidRPr="001E0AC7">
        <w:rPr>
          <w:rFonts w:cs="Times New Roman"/>
          <w:b/>
          <w:sz w:val="24"/>
          <w:szCs w:val="24"/>
        </w:rPr>
        <w:t>s</w:t>
      </w:r>
      <w:proofErr w:type="gramEnd"/>
      <w:r w:rsidR="00E3028D" w:rsidRPr="001E0AC7">
        <w:rPr>
          <w:rFonts w:cs="Times New Roman"/>
          <w:b/>
          <w:sz w:val="24"/>
          <w:szCs w:val="24"/>
        </w:rPr>
        <w:t xml:space="preserve"> of </w:t>
      </w:r>
      <w:r w:rsidR="00F320DB" w:rsidRPr="001E0AC7">
        <w:rPr>
          <w:rFonts w:cs="Times New Roman"/>
          <w:b/>
          <w:sz w:val="24"/>
          <w:szCs w:val="24"/>
        </w:rPr>
        <w:t>20.12.2018</w:t>
      </w:r>
    </w:p>
    <w:p w:rsidR="00F320DB" w:rsidRPr="001E0AC7" w:rsidRDefault="00F320DB" w:rsidP="00F320DB">
      <w:pPr>
        <w:tabs>
          <w:tab w:val="left" w:pos="1276"/>
          <w:tab w:val="left" w:pos="1418"/>
        </w:tabs>
        <w:spacing w:after="0" w:line="240" w:lineRule="auto"/>
        <w:ind w:firstLine="709"/>
        <w:rPr>
          <w:rFonts w:cs="Times New Roman"/>
          <w:sz w:val="24"/>
          <w:szCs w:val="24"/>
        </w:rPr>
      </w:pPr>
    </w:p>
    <w:p w:rsidR="004A44D9" w:rsidRPr="001E0AC7" w:rsidRDefault="00887AC4" w:rsidP="00F320DB">
      <w:pPr>
        <w:tabs>
          <w:tab w:val="left" w:pos="1276"/>
          <w:tab w:val="left" w:pos="1418"/>
        </w:tabs>
        <w:spacing w:after="0" w:line="240" w:lineRule="auto"/>
        <w:ind w:firstLine="709"/>
        <w:rPr>
          <w:rFonts w:cs="Times New Roman"/>
          <w:b/>
          <w:sz w:val="24"/>
          <w:szCs w:val="24"/>
        </w:rPr>
      </w:pPr>
      <w:r w:rsidRPr="001E0AC7">
        <w:rPr>
          <w:rFonts w:cs="Times New Roman"/>
          <w:b/>
          <w:sz w:val="24"/>
          <w:szCs w:val="24"/>
        </w:rPr>
        <w:t>1</w:t>
      </w:r>
      <w:r w:rsidR="004A44D9" w:rsidRPr="001E0AC7">
        <w:rPr>
          <w:rFonts w:cs="Times New Roman"/>
          <w:b/>
          <w:sz w:val="24"/>
          <w:szCs w:val="24"/>
        </w:rPr>
        <w:t xml:space="preserve">. </w:t>
      </w:r>
      <w:r w:rsidR="00BB7EA8" w:rsidRPr="001E0AC7">
        <w:rPr>
          <w:rFonts w:cs="Times New Roman"/>
          <w:b/>
          <w:sz w:val="24"/>
          <w:szCs w:val="24"/>
        </w:rPr>
        <w:t>RUSSIAN FEDERATION</w:t>
      </w:r>
    </w:p>
    <w:p w:rsidR="00C23B67" w:rsidRPr="001E0AC7" w:rsidRDefault="009B4BF8" w:rsidP="00CA33A9">
      <w:pPr>
        <w:pStyle w:val="Body"/>
        <w:tabs>
          <w:tab w:val="clear" w:pos="567"/>
          <w:tab w:val="clear" w:pos="1134"/>
          <w:tab w:val="clear" w:pos="1701"/>
          <w:tab w:val="clear" w:pos="2268"/>
          <w:tab w:val="clear" w:pos="2835"/>
        </w:tabs>
        <w:ind w:firstLine="709"/>
        <w:jc w:val="both"/>
        <w:rPr>
          <w:rFonts w:cs="Times New Roman"/>
        </w:rPr>
      </w:pPr>
      <w:r w:rsidRPr="001E0AC7">
        <w:rPr>
          <w:rFonts w:cs="Times New Roman"/>
        </w:rPr>
        <w:t>The practice of OTT services regulation is beginning to emerge in the Russian Federation</w:t>
      </w:r>
      <w:r w:rsidR="007047DD" w:rsidRPr="001E0AC7">
        <w:rPr>
          <w:rFonts w:cs="Times New Roman"/>
        </w:rPr>
        <w:t xml:space="preserve">. </w:t>
      </w:r>
      <w:r w:rsidRPr="001E0AC7">
        <w:rPr>
          <w:rFonts w:cs="Times New Roman"/>
        </w:rPr>
        <w:t xml:space="preserve">Nowadays providers under their business models are not required to mandatory authenticate the users, moreover there </w:t>
      </w:r>
      <w:r w:rsidR="005F5CC8" w:rsidRPr="001E0AC7">
        <w:rPr>
          <w:rFonts w:cs="Times New Roman"/>
        </w:rPr>
        <w:t>are</w:t>
      </w:r>
      <w:r w:rsidRPr="001E0AC7">
        <w:rPr>
          <w:rFonts w:cs="Times New Roman"/>
        </w:rPr>
        <w:t xml:space="preserve"> no mandatory requirements and the international police in place</w:t>
      </w:r>
      <w:r w:rsidR="00BA7313" w:rsidRPr="001E0AC7">
        <w:rPr>
          <w:rFonts w:cs="Times New Roman"/>
        </w:rPr>
        <w:t xml:space="preserve">. </w:t>
      </w:r>
      <w:r w:rsidR="00C23B67" w:rsidRPr="001E0AC7">
        <w:rPr>
          <w:rStyle w:val="tlid-translation"/>
        </w:rPr>
        <w:t>This situation gives rise to various kinds of conflicts in legal approaches, for example, for iden</w:t>
      </w:r>
      <w:r w:rsidR="00EC4BF4">
        <w:rPr>
          <w:rStyle w:val="tlid-translation"/>
        </w:rPr>
        <w:t>tical messaging services (voice/</w:t>
      </w:r>
      <w:r w:rsidR="00C23B67" w:rsidRPr="001E0AC7">
        <w:rPr>
          <w:rStyle w:val="tlid-translation"/>
        </w:rPr>
        <w:t>messaging) in circuit-switched networks there are requirements for security and client protection and in packet-switching networks - no.</w:t>
      </w:r>
    </w:p>
    <w:p w:rsidR="00887AC4" w:rsidRPr="001E0AC7" w:rsidRDefault="00B9327F" w:rsidP="00887AC4">
      <w:pPr>
        <w:pStyle w:val="Body"/>
        <w:tabs>
          <w:tab w:val="clear" w:pos="567"/>
          <w:tab w:val="clear" w:pos="1134"/>
          <w:tab w:val="clear" w:pos="1701"/>
          <w:tab w:val="clear" w:pos="2268"/>
          <w:tab w:val="clear" w:pos="2835"/>
        </w:tabs>
        <w:ind w:firstLine="709"/>
        <w:jc w:val="both"/>
        <w:rPr>
          <w:rFonts w:cs="Times New Roman"/>
        </w:rPr>
      </w:pPr>
      <w:r w:rsidRPr="001E0AC7">
        <w:rPr>
          <w:rFonts w:cs="Times New Roman"/>
        </w:rPr>
        <w:t xml:space="preserve">In this regard, OTT </w:t>
      </w:r>
      <w:r w:rsidR="0045551B" w:rsidRPr="001E0AC7">
        <w:rPr>
          <w:rFonts w:cs="Times New Roman"/>
        </w:rPr>
        <w:t xml:space="preserve">messaging </w:t>
      </w:r>
      <w:r w:rsidRPr="001E0AC7">
        <w:rPr>
          <w:rFonts w:cs="Times New Roman"/>
        </w:rPr>
        <w:t xml:space="preserve">services </w:t>
      </w:r>
      <w:r w:rsidR="00C23B67" w:rsidRPr="001E0AC7">
        <w:rPr>
          <w:rFonts w:cs="Times New Roman"/>
        </w:rPr>
        <w:t xml:space="preserve">can </w:t>
      </w:r>
      <w:r w:rsidRPr="001E0AC7">
        <w:rPr>
          <w:rFonts w:cs="Times New Roman"/>
        </w:rPr>
        <w:t xml:space="preserve">widely </w:t>
      </w:r>
      <w:r w:rsidR="005E7B24" w:rsidRPr="001E0AC7">
        <w:rPr>
          <w:rFonts w:cs="Times New Roman"/>
        </w:rPr>
        <w:t xml:space="preserve">and easily </w:t>
      </w:r>
      <w:r w:rsidRPr="001E0AC7">
        <w:rPr>
          <w:rFonts w:cs="Times New Roman"/>
        </w:rPr>
        <w:t xml:space="preserve">used </w:t>
      </w:r>
      <w:r w:rsidR="005E7B24" w:rsidRPr="001E0AC7">
        <w:rPr>
          <w:rFonts w:cs="Times New Roman"/>
        </w:rPr>
        <w:t>for unlawful, antisocial</w:t>
      </w:r>
      <w:r w:rsidRPr="001E0AC7">
        <w:rPr>
          <w:rFonts w:cs="Times New Roman"/>
        </w:rPr>
        <w:t xml:space="preserve"> </w:t>
      </w:r>
      <w:r w:rsidR="00C23B67" w:rsidRPr="001E0AC7">
        <w:rPr>
          <w:rFonts w:cs="Times New Roman"/>
        </w:rPr>
        <w:t>activities</w:t>
      </w:r>
      <w:r w:rsidR="005E7B24" w:rsidRPr="001E0AC7">
        <w:rPr>
          <w:rFonts w:cs="Times New Roman"/>
        </w:rPr>
        <w:t xml:space="preserve">. </w:t>
      </w:r>
      <w:r w:rsidR="00167429" w:rsidRPr="001E0AC7">
        <w:rPr>
          <w:rFonts w:cs="Times New Roman"/>
        </w:rPr>
        <w:t xml:space="preserve">In addition to </w:t>
      </w:r>
      <w:r w:rsidR="009A7020" w:rsidRPr="001E0AC7">
        <w:rPr>
          <w:rFonts w:cs="Times New Roman"/>
        </w:rPr>
        <w:t xml:space="preserve">OTT </w:t>
      </w:r>
      <w:r w:rsidR="00F7111A" w:rsidRPr="001E0AC7">
        <w:rPr>
          <w:rFonts w:cs="Times New Roman"/>
        </w:rPr>
        <w:t>messaging</w:t>
      </w:r>
      <w:r w:rsidR="00F9313F" w:rsidRPr="001E0AC7">
        <w:rPr>
          <w:rFonts w:cs="Times New Roman"/>
        </w:rPr>
        <w:t xml:space="preserve"> services content </w:t>
      </w:r>
      <w:r w:rsidR="007F6E7E" w:rsidRPr="001E0AC7">
        <w:rPr>
          <w:rFonts w:cs="Times New Roman"/>
        </w:rPr>
        <w:t>services with</w:t>
      </w:r>
      <w:r w:rsidR="005E7B24" w:rsidRPr="001E0AC7">
        <w:rPr>
          <w:rFonts w:cs="Times New Roman"/>
        </w:rPr>
        <w:t xml:space="preserve"> </w:t>
      </w:r>
      <w:r w:rsidR="00887AC4" w:rsidRPr="001E0AC7">
        <w:rPr>
          <w:rFonts w:cs="Times New Roman"/>
        </w:rPr>
        <w:t>user generated content</w:t>
      </w:r>
      <w:r w:rsidR="007F6E7E" w:rsidRPr="001E0AC7">
        <w:rPr>
          <w:rFonts w:cs="Times New Roman"/>
        </w:rPr>
        <w:t xml:space="preserve"> </w:t>
      </w:r>
      <w:r w:rsidR="00592B91" w:rsidRPr="001E0AC7">
        <w:rPr>
          <w:rFonts w:cs="Times New Roman"/>
        </w:rPr>
        <w:t xml:space="preserve">pose a </w:t>
      </w:r>
      <w:r w:rsidR="003B44D5" w:rsidRPr="001E0AC7">
        <w:rPr>
          <w:rFonts w:cs="Times New Roman"/>
        </w:rPr>
        <w:t>certain</w:t>
      </w:r>
      <w:r w:rsidR="00592B91" w:rsidRPr="001E0AC7">
        <w:rPr>
          <w:rFonts w:cs="Times New Roman"/>
        </w:rPr>
        <w:t xml:space="preserve"> threat, </w:t>
      </w:r>
      <w:r w:rsidR="00524A49" w:rsidRPr="001E0AC7">
        <w:rPr>
          <w:rFonts w:cs="Times New Roman"/>
        </w:rPr>
        <w:t xml:space="preserve">getting </w:t>
      </w:r>
      <w:r w:rsidR="00592B91" w:rsidRPr="001E0AC7">
        <w:rPr>
          <w:rFonts w:cs="Times New Roman"/>
        </w:rPr>
        <w:t xml:space="preserve">exploited by </w:t>
      </w:r>
      <w:r w:rsidR="007F6E7E" w:rsidRPr="001E0AC7">
        <w:rPr>
          <w:rFonts w:cs="Times New Roman"/>
        </w:rPr>
        <w:t>terror</w:t>
      </w:r>
      <w:r w:rsidR="00592B91" w:rsidRPr="001E0AC7">
        <w:rPr>
          <w:rFonts w:cs="Times New Roman"/>
        </w:rPr>
        <w:t>ist</w:t>
      </w:r>
      <w:r w:rsidR="00887AC4" w:rsidRPr="001E0AC7">
        <w:rPr>
          <w:rFonts w:cs="Times New Roman"/>
        </w:rPr>
        <w:t>,</w:t>
      </w:r>
      <w:r w:rsidR="007F6E7E" w:rsidRPr="001E0AC7">
        <w:rPr>
          <w:rFonts w:cs="Times New Roman"/>
        </w:rPr>
        <w:t xml:space="preserve"> antisocial organizations for </w:t>
      </w:r>
      <w:r w:rsidR="00F71560" w:rsidRPr="001E0AC7">
        <w:rPr>
          <w:rFonts w:cs="Times New Roman"/>
        </w:rPr>
        <w:t xml:space="preserve">promoting </w:t>
      </w:r>
      <w:r w:rsidR="007F6E7E" w:rsidRPr="001E0AC7">
        <w:rPr>
          <w:rFonts w:cs="Times New Roman"/>
        </w:rPr>
        <w:t xml:space="preserve">their </w:t>
      </w:r>
      <w:r w:rsidR="00F71560" w:rsidRPr="001E0AC7">
        <w:rPr>
          <w:rFonts w:cs="Times New Roman"/>
        </w:rPr>
        <w:t>agenda that provoke us</w:t>
      </w:r>
      <w:r w:rsidR="007F6E7E" w:rsidRPr="001E0AC7">
        <w:rPr>
          <w:rFonts w:cs="Times New Roman"/>
        </w:rPr>
        <w:t xml:space="preserve">ers (mainly </w:t>
      </w:r>
      <w:r w:rsidR="0034762D" w:rsidRPr="001E0AC7">
        <w:rPr>
          <w:rFonts w:cs="Times New Roman"/>
        </w:rPr>
        <w:t>minors</w:t>
      </w:r>
      <w:r w:rsidR="007F6E7E" w:rsidRPr="001E0AC7">
        <w:rPr>
          <w:rFonts w:cs="Times New Roman"/>
        </w:rPr>
        <w:t xml:space="preserve">). Lack of regulatory mechanisms </w:t>
      </w:r>
      <w:r w:rsidR="00EC4BF4">
        <w:rPr>
          <w:rFonts w:cs="Times New Roman"/>
        </w:rPr>
        <w:t>lead</w:t>
      </w:r>
      <w:r w:rsidR="007F6E7E" w:rsidRPr="001E0AC7">
        <w:rPr>
          <w:rFonts w:cs="Times New Roman"/>
        </w:rPr>
        <w:t xml:space="preserve"> to a </w:t>
      </w:r>
      <w:r w:rsidR="004471D2" w:rsidRPr="001E0AC7">
        <w:rPr>
          <w:rFonts w:cs="Times New Roman"/>
        </w:rPr>
        <w:t>legislation</w:t>
      </w:r>
      <w:r w:rsidR="007F6E7E" w:rsidRPr="001E0AC7">
        <w:rPr>
          <w:rFonts w:cs="Times New Roman"/>
        </w:rPr>
        <w:t xml:space="preserve"> vacuum</w:t>
      </w:r>
      <w:r w:rsidR="00887AC4" w:rsidRPr="001E0AC7">
        <w:rPr>
          <w:rFonts w:cs="Times New Roman"/>
        </w:rPr>
        <w:t xml:space="preserve">. </w:t>
      </w:r>
    </w:p>
    <w:p w:rsidR="00887AC4" w:rsidRPr="001E0AC7" w:rsidRDefault="00085EBA" w:rsidP="00887AC4">
      <w:pPr>
        <w:pStyle w:val="Body"/>
        <w:tabs>
          <w:tab w:val="clear" w:pos="567"/>
          <w:tab w:val="clear" w:pos="1134"/>
          <w:tab w:val="clear" w:pos="1701"/>
          <w:tab w:val="clear" w:pos="2268"/>
          <w:tab w:val="clear" w:pos="2835"/>
        </w:tabs>
        <w:ind w:firstLine="709"/>
        <w:jc w:val="both"/>
        <w:rPr>
          <w:rFonts w:cs="Times New Roman"/>
        </w:rPr>
      </w:pPr>
      <w:r w:rsidRPr="001E0AC7">
        <w:rPr>
          <w:rFonts w:cs="Times New Roman"/>
        </w:rPr>
        <w:t>OTT service</w:t>
      </w:r>
      <w:r w:rsidR="003F6824" w:rsidRPr="001E0AC7">
        <w:rPr>
          <w:rFonts w:cs="Times New Roman"/>
        </w:rPr>
        <w:t xml:space="preserve"> pr</w:t>
      </w:r>
      <w:r w:rsidR="00F74098" w:rsidRPr="001E0AC7">
        <w:rPr>
          <w:rFonts w:cs="Times New Roman"/>
        </w:rPr>
        <w:t>oviders are also interested in</w:t>
      </w:r>
      <w:r w:rsidR="003F6824" w:rsidRPr="001E0AC7">
        <w:rPr>
          <w:rFonts w:cs="Times New Roman"/>
        </w:rPr>
        <w:t xml:space="preserve"> transparent, </w:t>
      </w:r>
      <w:r w:rsidRPr="001E0AC7">
        <w:rPr>
          <w:rFonts w:cs="Times New Roman"/>
        </w:rPr>
        <w:t>unified</w:t>
      </w:r>
      <w:r w:rsidR="003F6824" w:rsidRPr="001E0AC7">
        <w:rPr>
          <w:rFonts w:cs="Times New Roman"/>
        </w:rPr>
        <w:t xml:space="preserve"> and </w:t>
      </w:r>
      <w:r w:rsidR="00790A52" w:rsidRPr="001E0AC7">
        <w:rPr>
          <w:rFonts w:cs="Times New Roman"/>
        </w:rPr>
        <w:t xml:space="preserve">uniform </w:t>
      </w:r>
      <w:r w:rsidR="003F6824" w:rsidRPr="001E0AC7">
        <w:rPr>
          <w:rFonts w:cs="Times New Roman"/>
        </w:rPr>
        <w:t xml:space="preserve">policies of </w:t>
      </w:r>
      <w:r w:rsidR="006867E9" w:rsidRPr="001E0AC7">
        <w:rPr>
          <w:rFonts w:cs="Times New Roman"/>
        </w:rPr>
        <w:t>u</w:t>
      </w:r>
      <w:r w:rsidR="00F74098" w:rsidRPr="001E0AC7">
        <w:rPr>
          <w:rFonts w:cs="Times New Roman"/>
        </w:rPr>
        <w:t xml:space="preserve">ser </w:t>
      </w:r>
      <w:r w:rsidR="003F6824" w:rsidRPr="001E0AC7">
        <w:rPr>
          <w:rFonts w:cs="Times New Roman"/>
        </w:rPr>
        <w:t>authenti</w:t>
      </w:r>
      <w:r w:rsidR="00F74098" w:rsidRPr="001E0AC7">
        <w:rPr>
          <w:rFonts w:cs="Times New Roman"/>
        </w:rPr>
        <w:t>cation and regulation</w:t>
      </w:r>
      <w:r w:rsidR="00887AC4" w:rsidRPr="001E0AC7">
        <w:rPr>
          <w:rFonts w:cs="Times New Roman"/>
        </w:rPr>
        <w:t xml:space="preserve">. </w:t>
      </w:r>
      <w:r w:rsidR="001C4596" w:rsidRPr="001E0AC7">
        <w:rPr>
          <w:rFonts w:cs="Times New Roman"/>
        </w:rPr>
        <w:t>Today</w:t>
      </w:r>
      <w:r w:rsidR="00A60F0F" w:rsidRPr="001E0AC7">
        <w:rPr>
          <w:rFonts w:cs="Times New Roman"/>
        </w:rPr>
        <w:t xml:space="preserve"> providers</w:t>
      </w:r>
      <w:r w:rsidR="00E44F5A" w:rsidRPr="001E0AC7">
        <w:rPr>
          <w:rFonts w:cs="Times New Roman"/>
        </w:rPr>
        <w:t xml:space="preserve"> use</w:t>
      </w:r>
      <w:r w:rsidR="00A60F0F" w:rsidRPr="001E0AC7">
        <w:rPr>
          <w:rFonts w:cs="Times New Roman"/>
        </w:rPr>
        <w:t xml:space="preserve"> their own judgment </w:t>
      </w:r>
      <w:r w:rsidR="00E44F5A" w:rsidRPr="001E0AC7">
        <w:rPr>
          <w:rFonts w:cs="Times New Roman"/>
        </w:rPr>
        <w:t xml:space="preserve">regarding </w:t>
      </w:r>
      <w:r w:rsidR="00A60F0F" w:rsidRPr="001E0AC7">
        <w:rPr>
          <w:rFonts w:cs="Times New Roman"/>
        </w:rPr>
        <w:t>unlawful user actions</w:t>
      </w:r>
      <w:r w:rsidR="00E44F5A" w:rsidRPr="001E0AC7">
        <w:rPr>
          <w:rFonts w:cs="Times New Roman"/>
        </w:rPr>
        <w:t xml:space="preserve"> and take measures to identify the unlawful actions and criminal content</w:t>
      </w:r>
      <w:r w:rsidR="00F74098" w:rsidRPr="001E0AC7">
        <w:rPr>
          <w:rFonts w:cs="Times New Roman"/>
        </w:rPr>
        <w:t xml:space="preserve">, however, such efforts </w:t>
      </w:r>
      <w:r w:rsidR="00E44F5A" w:rsidRPr="001E0AC7">
        <w:rPr>
          <w:rFonts w:cs="Times New Roman"/>
        </w:rPr>
        <w:t xml:space="preserve">differ </w:t>
      </w:r>
      <w:r w:rsidR="00F74098" w:rsidRPr="001E0AC7">
        <w:rPr>
          <w:rFonts w:cs="Times New Roman"/>
        </w:rPr>
        <w:t xml:space="preserve">from provider to provider and </w:t>
      </w:r>
      <w:r w:rsidR="00BB5915" w:rsidRPr="001E0AC7">
        <w:rPr>
          <w:rFonts w:cs="Times New Roman"/>
        </w:rPr>
        <w:t>are in</w:t>
      </w:r>
      <w:r w:rsidR="00F74098" w:rsidRPr="001E0AC7">
        <w:rPr>
          <w:rFonts w:cs="Times New Roman"/>
        </w:rPr>
        <w:t xml:space="preserve">efficient </w:t>
      </w:r>
      <w:r w:rsidR="00422687" w:rsidRPr="001E0AC7">
        <w:rPr>
          <w:rFonts w:cs="Times New Roman"/>
        </w:rPr>
        <w:t xml:space="preserve">due to the </w:t>
      </w:r>
      <w:r w:rsidR="00F74098" w:rsidRPr="001E0AC7">
        <w:rPr>
          <w:rFonts w:cs="Times New Roman"/>
        </w:rPr>
        <w:t>cross-border nature of OTT services</w:t>
      </w:r>
      <w:r w:rsidR="00887AC4" w:rsidRPr="001E0AC7">
        <w:rPr>
          <w:rFonts w:cs="Times New Roman"/>
        </w:rPr>
        <w:t>.</w:t>
      </w:r>
    </w:p>
    <w:p w:rsidR="00CA33A9" w:rsidRPr="001E0AC7" w:rsidRDefault="002D46E6" w:rsidP="007B05CD">
      <w:pPr>
        <w:pStyle w:val="ResNo"/>
        <w:spacing w:before="120"/>
        <w:ind w:firstLine="709"/>
        <w:jc w:val="both"/>
        <w:rPr>
          <w:rFonts w:cs="Times New Roman"/>
          <w:bCs/>
          <w:caps w:val="0"/>
          <w:sz w:val="24"/>
          <w:szCs w:val="24"/>
        </w:rPr>
      </w:pPr>
      <w:r w:rsidRPr="001E0AC7">
        <w:rPr>
          <w:rFonts w:cs="Times New Roman"/>
          <w:bCs/>
          <w:caps w:val="0"/>
          <w:sz w:val="24"/>
          <w:szCs w:val="24"/>
        </w:rPr>
        <w:t xml:space="preserve">With respect to mentioned above, </w:t>
      </w:r>
      <w:r w:rsidR="00422687" w:rsidRPr="001E0AC7">
        <w:rPr>
          <w:rFonts w:cs="Times New Roman"/>
          <w:bCs/>
          <w:caps w:val="0"/>
          <w:sz w:val="24"/>
          <w:szCs w:val="24"/>
        </w:rPr>
        <w:t xml:space="preserve">the </w:t>
      </w:r>
      <w:r w:rsidRPr="001E0AC7">
        <w:rPr>
          <w:rFonts w:cs="Times New Roman"/>
          <w:bCs/>
          <w:caps w:val="0"/>
          <w:sz w:val="24"/>
          <w:szCs w:val="24"/>
        </w:rPr>
        <w:t xml:space="preserve">Russian Federation prepared a national regulation – </w:t>
      </w:r>
      <w:r w:rsidR="00704995" w:rsidRPr="001E0AC7">
        <w:rPr>
          <w:rFonts w:cs="Times New Roman"/>
          <w:bCs/>
          <w:caps w:val="0"/>
          <w:sz w:val="24"/>
          <w:szCs w:val="24"/>
        </w:rPr>
        <w:t xml:space="preserve">the </w:t>
      </w:r>
      <w:r w:rsidRPr="001E0AC7">
        <w:rPr>
          <w:rFonts w:cs="Times New Roman"/>
          <w:bCs/>
          <w:caps w:val="0"/>
          <w:sz w:val="24"/>
          <w:szCs w:val="24"/>
        </w:rPr>
        <w:t>Feder</w:t>
      </w:r>
      <w:r w:rsidR="003A2D65" w:rsidRPr="001E0AC7">
        <w:rPr>
          <w:rFonts w:cs="Times New Roman"/>
          <w:bCs/>
          <w:caps w:val="0"/>
          <w:sz w:val="24"/>
          <w:szCs w:val="24"/>
        </w:rPr>
        <w:t>al law No. 241-FZ "</w:t>
      </w:r>
      <w:r w:rsidR="00D80964" w:rsidRPr="001E0AC7">
        <w:rPr>
          <w:rFonts w:cs="Times New Roman"/>
          <w:bCs/>
          <w:caps w:val="0"/>
          <w:sz w:val="24"/>
          <w:szCs w:val="24"/>
        </w:rPr>
        <w:t>On amending A</w:t>
      </w:r>
      <w:r w:rsidRPr="001E0AC7">
        <w:rPr>
          <w:rFonts w:cs="Times New Roman"/>
          <w:bCs/>
          <w:caps w:val="0"/>
          <w:sz w:val="24"/>
          <w:szCs w:val="24"/>
        </w:rPr>
        <w:t xml:space="preserve">rticle 10-1 and 15-4 of the Federal </w:t>
      </w:r>
      <w:r w:rsidR="00CE5D18" w:rsidRPr="001E0AC7">
        <w:rPr>
          <w:rFonts w:cs="Times New Roman"/>
          <w:bCs/>
          <w:caps w:val="0"/>
          <w:sz w:val="24"/>
          <w:szCs w:val="24"/>
        </w:rPr>
        <w:t>Law "</w:t>
      </w:r>
      <w:r w:rsidR="00630A8E" w:rsidRPr="001E0AC7">
        <w:rPr>
          <w:rFonts w:cs="Times New Roman"/>
          <w:bCs/>
          <w:caps w:val="0"/>
          <w:sz w:val="24"/>
          <w:szCs w:val="24"/>
        </w:rPr>
        <w:t>On Information, Information Technologies and Information Protection"</w:t>
      </w:r>
      <w:r w:rsidR="007B05CD" w:rsidRPr="001E0AC7">
        <w:rPr>
          <w:rStyle w:val="FootnoteReference"/>
          <w:rFonts w:cs="Times New Roman"/>
          <w:bCs/>
          <w:caps w:val="0"/>
          <w:sz w:val="24"/>
          <w:szCs w:val="24"/>
          <w:lang w:val="ru-RU"/>
        </w:rPr>
        <w:footnoteReference w:id="1"/>
      </w:r>
      <w:r w:rsidR="00103B4D" w:rsidRPr="001E0AC7">
        <w:rPr>
          <w:rFonts w:cs="Times New Roman"/>
          <w:bCs/>
          <w:caps w:val="0"/>
          <w:sz w:val="24"/>
          <w:szCs w:val="24"/>
        </w:rPr>
        <w:t xml:space="preserve">, </w:t>
      </w:r>
      <w:r w:rsidR="00616A5D" w:rsidRPr="001E0AC7">
        <w:rPr>
          <w:rFonts w:cs="Times New Roman"/>
          <w:bCs/>
          <w:caps w:val="0"/>
          <w:sz w:val="24"/>
          <w:szCs w:val="24"/>
        </w:rPr>
        <w:t xml:space="preserve">which would </w:t>
      </w:r>
      <w:r w:rsidR="00A571F8" w:rsidRPr="001E0AC7">
        <w:rPr>
          <w:rFonts w:cs="Times New Roman"/>
          <w:bCs/>
          <w:caps w:val="0"/>
          <w:sz w:val="24"/>
          <w:szCs w:val="24"/>
        </w:rPr>
        <w:t>make it mandatory for the messaging</w:t>
      </w:r>
      <w:r w:rsidRPr="001E0AC7">
        <w:rPr>
          <w:rFonts w:cs="Times New Roman"/>
          <w:bCs/>
          <w:caps w:val="0"/>
          <w:sz w:val="24"/>
          <w:szCs w:val="24"/>
        </w:rPr>
        <w:t xml:space="preserve"> and </w:t>
      </w:r>
      <w:r w:rsidR="00A571F8" w:rsidRPr="001E0AC7">
        <w:rPr>
          <w:rFonts w:cs="Times New Roman"/>
          <w:bCs/>
          <w:caps w:val="0"/>
          <w:sz w:val="24"/>
          <w:szCs w:val="24"/>
        </w:rPr>
        <w:t>OTT</w:t>
      </w:r>
      <w:r w:rsidR="004959C1" w:rsidRPr="001E0AC7">
        <w:rPr>
          <w:rFonts w:cs="Times New Roman"/>
          <w:bCs/>
          <w:caps w:val="0"/>
          <w:sz w:val="24"/>
          <w:szCs w:val="24"/>
        </w:rPr>
        <w:t xml:space="preserve"> content</w:t>
      </w:r>
      <w:r w:rsidR="00A571F8" w:rsidRPr="001E0AC7">
        <w:rPr>
          <w:rFonts w:cs="Times New Roman"/>
          <w:bCs/>
          <w:caps w:val="0"/>
          <w:sz w:val="24"/>
          <w:szCs w:val="24"/>
        </w:rPr>
        <w:t xml:space="preserve"> </w:t>
      </w:r>
      <w:r w:rsidRPr="001E0AC7">
        <w:rPr>
          <w:rFonts w:cs="Times New Roman"/>
          <w:bCs/>
          <w:caps w:val="0"/>
          <w:sz w:val="24"/>
          <w:szCs w:val="24"/>
        </w:rPr>
        <w:t>providers (with respect to</w:t>
      </w:r>
      <w:r w:rsidR="00103B4D" w:rsidRPr="001E0AC7">
        <w:rPr>
          <w:rFonts w:cs="Times New Roman"/>
          <w:bCs/>
          <w:caps w:val="0"/>
          <w:sz w:val="24"/>
          <w:szCs w:val="24"/>
        </w:rPr>
        <w:t xml:space="preserve"> user generated content) </w:t>
      </w:r>
      <w:r w:rsidRPr="001E0AC7">
        <w:rPr>
          <w:rFonts w:cs="Times New Roman"/>
          <w:bCs/>
          <w:caps w:val="0"/>
          <w:sz w:val="24"/>
          <w:szCs w:val="24"/>
        </w:rPr>
        <w:t>to identify users via mobile subscriber number</w:t>
      </w:r>
      <w:r w:rsidR="00103B4D" w:rsidRPr="001E0AC7">
        <w:rPr>
          <w:rFonts w:cs="Times New Roman"/>
          <w:bCs/>
          <w:caps w:val="0"/>
          <w:sz w:val="24"/>
          <w:szCs w:val="24"/>
        </w:rPr>
        <w:t xml:space="preserve"> </w:t>
      </w:r>
      <w:r w:rsidR="00CA33A9" w:rsidRPr="001E0AC7">
        <w:rPr>
          <w:rFonts w:cs="Times New Roman"/>
          <w:bCs/>
          <w:caps w:val="0"/>
          <w:sz w:val="24"/>
          <w:szCs w:val="24"/>
        </w:rPr>
        <w:t xml:space="preserve">(MSISDN). </w:t>
      </w:r>
      <w:r w:rsidR="004E3D01" w:rsidRPr="001E0AC7">
        <w:rPr>
          <w:rFonts w:cs="Times New Roman"/>
          <w:bCs/>
          <w:caps w:val="0"/>
          <w:sz w:val="24"/>
          <w:szCs w:val="24"/>
        </w:rPr>
        <w:t>Besides,</w:t>
      </w:r>
      <w:r w:rsidR="00A571F8" w:rsidRPr="001E0AC7">
        <w:rPr>
          <w:rFonts w:cs="Times New Roman"/>
          <w:bCs/>
          <w:caps w:val="0"/>
          <w:sz w:val="24"/>
          <w:szCs w:val="24"/>
        </w:rPr>
        <w:t xml:space="preserve"> </w:t>
      </w:r>
      <w:r w:rsidR="00482905" w:rsidRPr="001E0AC7">
        <w:rPr>
          <w:rFonts w:cs="Times New Roman"/>
          <w:bCs/>
          <w:caps w:val="0"/>
          <w:sz w:val="24"/>
          <w:szCs w:val="24"/>
        </w:rPr>
        <w:t xml:space="preserve">the OTT provider </w:t>
      </w:r>
      <w:r w:rsidR="00A571F8" w:rsidRPr="001E0AC7">
        <w:rPr>
          <w:rFonts w:cs="Times New Roman"/>
          <w:bCs/>
          <w:caps w:val="0"/>
          <w:sz w:val="24"/>
          <w:szCs w:val="24"/>
        </w:rPr>
        <w:t xml:space="preserve">is required to conclude the contract on identification </w:t>
      </w:r>
      <w:r w:rsidR="00482905" w:rsidRPr="001E0AC7">
        <w:rPr>
          <w:rFonts w:cs="Times New Roman"/>
          <w:bCs/>
          <w:caps w:val="0"/>
          <w:sz w:val="24"/>
          <w:szCs w:val="24"/>
        </w:rPr>
        <w:t xml:space="preserve">between the </w:t>
      </w:r>
      <w:r w:rsidR="00D87C95" w:rsidRPr="001E0AC7">
        <w:rPr>
          <w:rFonts w:cs="Times New Roman"/>
          <w:bCs/>
          <w:caps w:val="0"/>
          <w:sz w:val="24"/>
          <w:szCs w:val="24"/>
        </w:rPr>
        <w:t>instant messenger</w:t>
      </w:r>
      <w:r w:rsidR="008C6094" w:rsidRPr="001E0AC7">
        <w:rPr>
          <w:rFonts w:cs="Times New Roman"/>
          <w:bCs/>
          <w:caps w:val="0"/>
          <w:sz w:val="24"/>
          <w:szCs w:val="24"/>
        </w:rPr>
        <w:t xml:space="preserve"> </w:t>
      </w:r>
      <w:r w:rsidR="00D87C95" w:rsidRPr="001E0AC7">
        <w:rPr>
          <w:rFonts w:cs="Times New Roman"/>
          <w:bCs/>
          <w:caps w:val="0"/>
          <w:sz w:val="24"/>
          <w:szCs w:val="24"/>
        </w:rPr>
        <w:t>and c</w:t>
      </w:r>
      <w:r w:rsidR="00A571F8" w:rsidRPr="001E0AC7">
        <w:rPr>
          <w:rFonts w:cs="Times New Roman"/>
          <w:bCs/>
          <w:caps w:val="0"/>
          <w:sz w:val="24"/>
          <w:szCs w:val="24"/>
        </w:rPr>
        <w:t>ommunication operator and take u</w:t>
      </w:r>
      <w:r w:rsidR="00D87C95" w:rsidRPr="001E0AC7">
        <w:rPr>
          <w:rFonts w:cs="Times New Roman"/>
          <w:bCs/>
          <w:caps w:val="0"/>
          <w:sz w:val="24"/>
          <w:szCs w:val="24"/>
        </w:rPr>
        <w:t>ser authentication in cases prescribed by the local laws, but nothing else</w:t>
      </w:r>
      <w:r w:rsidR="00CA33A9" w:rsidRPr="001E0AC7">
        <w:rPr>
          <w:rFonts w:cs="Times New Roman"/>
          <w:bCs/>
          <w:caps w:val="0"/>
          <w:sz w:val="24"/>
          <w:szCs w:val="24"/>
        </w:rPr>
        <w:t xml:space="preserve">. </w:t>
      </w:r>
    </w:p>
    <w:p w:rsidR="00CA33A9" w:rsidRPr="001E0AC7" w:rsidRDefault="00235269" w:rsidP="00CA33A9">
      <w:pPr>
        <w:pStyle w:val="ResNo"/>
        <w:spacing w:before="120"/>
        <w:ind w:firstLine="709"/>
        <w:jc w:val="both"/>
        <w:rPr>
          <w:rFonts w:cs="Times New Roman"/>
          <w:bCs/>
          <w:caps w:val="0"/>
          <w:sz w:val="24"/>
          <w:szCs w:val="24"/>
        </w:rPr>
      </w:pPr>
      <w:r w:rsidRPr="001E0AC7">
        <w:rPr>
          <w:rFonts w:cs="Times New Roman"/>
          <w:bCs/>
          <w:caps w:val="0"/>
          <w:sz w:val="24"/>
          <w:szCs w:val="24"/>
        </w:rPr>
        <w:t>Along with the</w:t>
      </w:r>
      <w:r w:rsidR="009B1FCE" w:rsidRPr="001E0AC7">
        <w:rPr>
          <w:rFonts w:cs="Times New Roman"/>
          <w:bCs/>
          <w:caps w:val="0"/>
          <w:sz w:val="24"/>
          <w:szCs w:val="24"/>
        </w:rPr>
        <w:t xml:space="preserve"> identification</w:t>
      </w:r>
      <w:r w:rsidR="00977FA6" w:rsidRPr="001E0AC7">
        <w:rPr>
          <w:rFonts w:cs="Times New Roman"/>
          <w:bCs/>
          <w:caps w:val="0"/>
          <w:sz w:val="24"/>
          <w:szCs w:val="24"/>
        </w:rPr>
        <w:t xml:space="preserve"> obligations </w:t>
      </w:r>
      <w:r w:rsidR="009B1FCE" w:rsidRPr="001E0AC7">
        <w:rPr>
          <w:rFonts w:cs="Times New Roman"/>
          <w:bCs/>
          <w:caps w:val="0"/>
          <w:sz w:val="24"/>
          <w:szCs w:val="24"/>
        </w:rPr>
        <w:t>it is proposed that OTT service</w:t>
      </w:r>
      <w:r w:rsidR="00977FA6" w:rsidRPr="001E0AC7">
        <w:rPr>
          <w:rFonts w:cs="Times New Roman"/>
          <w:bCs/>
          <w:caps w:val="0"/>
          <w:sz w:val="24"/>
          <w:szCs w:val="24"/>
        </w:rPr>
        <w:t xml:space="preserve"> providers shall be responsible to </w:t>
      </w:r>
      <w:r w:rsidR="001F5165" w:rsidRPr="001E0AC7">
        <w:rPr>
          <w:rFonts w:cs="Times New Roman"/>
          <w:bCs/>
          <w:caps w:val="0"/>
          <w:sz w:val="24"/>
          <w:szCs w:val="24"/>
        </w:rPr>
        <w:t>implement</w:t>
      </w:r>
      <w:r w:rsidR="00977FA6" w:rsidRPr="001E0AC7">
        <w:rPr>
          <w:rFonts w:cs="Times New Roman"/>
          <w:bCs/>
          <w:caps w:val="0"/>
          <w:sz w:val="24"/>
          <w:szCs w:val="24"/>
        </w:rPr>
        <w:t xml:space="preserve"> technical </w:t>
      </w:r>
      <w:r w:rsidR="00223406" w:rsidRPr="001E0AC7">
        <w:rPr>
          <w:rFonts w:cs="Times New Roman"/>
          <w:bCs/>
          <w:caps w:val="0"/>
          <w:sz w:val="24"/>
          <w:szCs w:val="24"/>
        </w:rPr>
        <w:t>feasibility</w:t>
      </w:r>
      <w:r w:rsidR="00977FA6" w:rsidRPr="001E0AC7">
        <w:rPr>
          <w:rFonts w:cs="Times New Roman"/>
          <w:bCs/>
          <w:caps w:val="0"/>
          <w:sz w:val="24"/>
          <w:szCs w:val="24"/>
        </w:rPr>
        <w:t xml:space="preserve"> </w:t>
      </w:r>
      <w:r w:rsidR="00223406" w:rsidRPr="001E0AC7">
        <w:rPr>
          <w:rFonts w:cs="Times New Roman"/>
          <w:bCs/>
          <w:caps w:val="0"/>
          <w:sz w:val="24"/>
          <w:szCs w:val="24"/>
        </w:rPr>
        <w:t>for users to reject</w:t>
      </w:r>
      <w:r w:rsidR="00977FA6" w:rsidRPr="001E0AC7">
        <w:rPr>
          <w:rFonts w:cs="Times New Roman"/>
          <w:bCs/>
          <w:caps w:val="0"/>
          <w:sz w:val="24"/>
          <w:szCs w:val="24"/>
        </w:rPr>
        <w:t xml:space="preserve"> </w:t>
      </w:r>
      <w:r w:rsidR="00223406" w:rsidRPr="001E0AC7">
        <w:rPr>
          <w:rFonts w:cs="Times New Roman"/>
          <w:bCs/>
          <w:caps w:val="0"/>
          <w:sz w:val="24"/>
          <w:szCs w:val="24"/>
        </w:rPr>
        <w:t>electronic messages from other u</w:t>
      </w:r>
      <w:r w:rsidR="00977FA6" w:rsidRPr="001E0AC7">
        <w:rPr>
          <w:rFonts w:cs="Times New Roman"/>
          <w:bCs/>
          <w:caps w:val="0"/>
          <w:sz w:val="24"/>
          <w:szCs w:val="24"/>
        </w:rPr>
        <w:t xml:space="preserve">sers, to </w:t>
      </w:r>
      <w:r w:rsidR="00F87121" w:rsidRPr="001E0AC7">
        <w:rPr>
          <w:rFonts w:cs="Times New Roman"/>
          <w:bCs/>
          <w:caps w:val="0"/>
          <w:sz w:val="24"/>
          <w:szCs w:val="24"/>
        </w:rPr>
        <w:t>implement</w:t>
      </w:r>
      <w:r w:rsidR="00977FA6" w:rsidRPr="001E0AC7">
        <w:rPr>
          <w:rFonts w:cs="Times New Roman"/>
          <w:bCs/>
          <w:caps w:val="0"/>
          <w:sz w:val="24"/>
          <w:szCs w:val="24"/>
        </w:rPr>
        <w:t xml:space="preserve"> </w:t>
      </w:r>
      <w:r w:rsidR="00223406" w:rsidRPr="001E0AC7">
        <w:rPr>
          <w:rFonts w:cs="Times New Roman"/>
          <w:bCs/>
          <w:caps w:val="0"/>
          <w:sz w:val="24"/>
          <w:szCs w:val="24"/>
        </w:rPr>
        <w:t>the means</w:t>
      </w:r>
      <w:r w:rsidR="00977FA6" w:rsidRPr="001E0AC7">
        <w:rPr>
          <w:rFonts w:cs="Times New Roman"/>
          <w:bCs/>
          <w:caps w:val="0"/>
          <w:sz w:val="24"/>
          <w:szCs w:val="24"/>
        </w:rPr>
        <w:t xml:space="preserve"> to </w:t>
      </w:r>
      <w:r w:rsidR="00FA20D9" w:rsidRPr="001E0AC7">
        <w:rPr>
          <w:rFonts w:cs="Times New Roman"/>
          <w:bCs/>
          <w:caps w:val="0"/>
          <w:sz w:val="24"/>
          <w:szCs w:val="24"/>
        </w:rPr>
        <w:t xml:space="preserve">receive </w:t>
      </w:r>
      <w:r w:rsidR="00977FA6" w:rsidRPr="001E0AC7">
        <w:rPr>
          <w:rFonts w:cs="Times New Roman"/>
          <w:bCs/>
          <w:caps w:val="0"/>
          <w:sz w:val="24"/>
          <w:szCs w:val="24"/>
        </w:rPr>
        <w:t>e-messages</w:t>
      </w:r>
      <w:r w:rsidR="00FA20D9" w:rsidRPr="001E0AC7">
        <w:rPr>
          <w:rFonts w:cs="Times New Roman"/>
          <w:bCs/>
          <w:caps w:val="0"/>
          <w:sz w:val="24"/>
          <w:szCs w:val="24"/>
        </w:rPr>
        <w:t xml:space="preserve"> sent</w:t>
      </w:r>
      <w:r w:rsidR="00977FA6" w:rsidRPr="001E0AC7">
        <w:rPr>
          <w:rFonts w:cs="Times New Roman"/>
          <w:bCs/>
          <w:caps w:val="0"/>
          <w:sz w:val="24"/>
          <w:szCs w:val="24"/>
        </w:rPr>
        <w:t xml:space="preserve"> </w:t>
      </w:r>
      <w:r w:rsidR="00223406" w:rsidRPr="001E0AC7">
        <w:rPr>
          <w:rFonts w:cs="Times New Roman"/>
          <w:bCs/>
          <w:caps w:val="0"/>
          <w:sz w:val="24"/>
          <w:szCs w:val="24"/>
        </w:rPr>
        <w:t>under the discretion</w:t>
      </w:r>
      <w:r w:rsidR="00977FA6" w:rsidRPr="001E0AC7">
        <w:rPr>
          <w:rFonts w:cs="Times New Roman"/>
          <w:bCs/>
          <w:caps w:val="0"/>
          <w:sz w:val="24"/>
          <w:szCs w:val="24"/>
        </w:rPr>
        <w:t xml:space="preserve"> of public authorities (in emergencies) as well as </w:t>
      </w:r>
      <w:r w:rsidR="000B645A" w:rsidRPr="001E0AC7">
        <w:rPr>
          <w:rFonts w:cs="Times New Roman"/>
          <w:bCs/>
          <w:caps w:val="0"/>
          <w:sz w:val="24"/>
          <w:szCs w:val="24"/>
        </w:rPr>
        <w:t xml:space="preserve">to </w:t>
      </w:r>
      <w:r w:rsidR="00977FA6" w:rsidRPr="001E0AC7">
        <w:rPr>
          <w:rFonts w:cs="Times New Roman"/>
          <w:bCs/>
          <w:caps w:val="0"/>
          <w:sz w:val="24"/>
          <w:szCs w:val="24"/>
        </w:rPr>
        <w:t xml:space="preserve">restrict the </w:t>
      </w:r>
      <w:r w:rsidR="00657BE4" w:rsidRPr="001E0AC7">
        <w:rPr>
          <w:rFonts w:cs="Times New Roman"/>
          <w:bCs/>
          <w:caps w:val="0"/>
          <w:sz w:val="24"/>
          <w:szCs w:val="24"/>
        </w:rPr>
        <w:t xml:space="preserve">reception of </w:t>
      </w:r>
      <w:r w:rsidR="00977FA6" w:rsidRPr="001E0AC7">
        <w:rPr>
          <w:rFonts w:cs="Times New Roman"/>
          <w:bCs/>
          <w:caps w:val="0"/>
          <w:sz w:val="24"/>
          <w:szCs w:val="24"/>
        </w:rPr>
        <w:t>messages containing information violating the local laws</w:t>
      </w:r>
      <w:r w:rsidR="00743D2D" w:rsidRPr="001E0AC7">
        <w:rPr>
          <w:rFonts w:cs="Times New Roman"/>
          <w:bCs/>
          <w:caps w:val="0"/>
          <w:sz w:val="24"/>
          <w:szCs w:val="24"/>
        </w:rPr>
        <w:t>,</w:t>
      </w:r>
      <w:r w:rsidR="00223406" w:rsidRPr="001E0AC7">
        <w:rPr>
          <w:rFonts w:cs="Times New Roman"/>
          <w:bCs/>
          <w:caps w:val="0"/>
          <w:sz w:val="24"/>
          <w:szCs w:val="24"/>
        </w:rPr>
        <w:t xml:space="preserve"> through the</w:t>
      </w:r>
      <w:r w:rsidR="00977FA6" w:rsidRPr="001E0AC7">
        <w:rPr>
          <w:rFonts w:cs="Times New Roman"/>
          <w:bCs/>
          <w:caps w:val="0"/>
          <w:sz w:val="24"/>
          <w:szCs w:val="24"/>
        </w:rPr>
        <w:t xml:space="preserve"> decision of the responsible authorities</w:t>
      </w:r>
      <w:r w:rsidR="00CA33A9" w:rsidRPr="001E0AC7">
        <w:rPr>
          <w:rFonts w:cs="Times New Roman"/>
          <w:bCs/>
          <w:caps w:val="0"/>
          <w:sz w:val="24"/>
          <w:szCs w:val="24"/>
        </w:rPr>
        <w:t>.</w:t>
      </w:r>
    </w:p>
    <w:p w:rsidR="00422F33" w:rsidRPr="001E0AC7" w:rsidRDefault="00422F33" w:rsidP="00F320DB">
      <w:pPr>
        <w:tabs>
          <w:tab w:val="left" w:pos="1276"/>
          <w:tab w:val="left" w:pos="1418"/>
        </w:tabs>
        <w:spacing w:after="0" w:line="240" w:lineRule="auto"/>
        <w:ind w:firstLine="709"/>
        <w:rPr>
          <w:rFonts w:cs="Times New Roman"/>
          <w:b/>
          <w:sz w:val="24"/>
          <w:szCs w:val="24"/>
        </w:rPr>
      </w:pPr>
    </w:p>
    <w:p w:rsidR="00422F33" w:rsidRPr="001E0AC7" w:rsidRDefault="00422F33" w:rsidP="00EC4BF4">
      <w:pPr>
        <w:rPr>
          <w:rFonts w:cs="Times New Roman"/>
          <w:b/>
          <w:sz w:val="24"/>
          <w:szCs w:val="24"/>
        </w:rPr>
      </w:pPr>
      <w:r w:rsidRPr="001E0AC7">
        <w:rPr>
          <w:rFonts w:cs="Times New Roman"/>
          <w:b/>
          <w:sz w:val="24"/>
          <w:szCs w:val="24"/>
        </w:rPr>
        <w:br w:type="page"/>
      </w:r>
      <w:r w:rsidR="008C34AA" w:rsidRPr="001E0AC7">
        <w:rPr>
          <w:rFonts w:cs="Times New Roman"/>
          <w:b/>
          <w:sz w:val="24"/>
          <w:szCs w:val="24"/>
        </w:rPr>
        <w:lastRenderedPageBreak/>
        <w:t>2</w:t>
      </w:r>
      <w:r w:rsidR="004A44D9" w:rsidRPr="001E0AC7">
        <w:rPr>
          <w:rFonts w:cs="Times New Roman"/>
          <w:b/>
          <w:sz w:val="24"/>
          <w:szCs w:val="24"/>
        </w:rPr>
        <w:t xml:space="preserve">. </w:t>
      </w:r>
      <w:r w:rsidR="00183EDF" w:rsidRPr="001E0AC7">
        <w:rPr>
          <w:rFonts w:cs="Times New Roman"/>
          <w:b/>
          <w:sz w:val="24"/>
          <w:szCs w:val="24"/>
        </w:rPr>
        <w:t>EUROPEAN UNION</w:t>
      </w:r>
      <w:r w:rsidR="00F320DB" w:rsidRPr="001E0AC7">
        <w:rPr>
          <w:rFonts w:cs="Times New Roman"/>
          <w:b/>
          <w:sz w:val="24"/>
          <w:szCs w:val="24"/>
        </w:rPr>
        <w:t xml:space="preserve"> (</w:t>
      </w:r>
      <w:r w:rsidR="00183EDF" w:rsidRPr="001E0AC7">
        <w:rPr>
          <w:rFonts w:cs="Times New Roman"/>
          <w:b/>
          <w:sz w:val="24"/>
          <w:szCs w:val="24"/>
        </w:rPr>
        <w:t>EU</w:t>
      </w:r>
      <w:r w:rsidR="00F320DB" w:rsidRPr="001E0AC7">
        <w:rPr>
          <w:rFonts w:cs="Times New Roman"/>
          <w:b/>
          <w:sz w:val="24"/>
          <w:szCs w:val="24"/>
        </w:rPr>
        <w:t>)</w:t>
      </w:r>
    </w:p>
    <w:p w:rsidR="00F320DB" w:rsidRPr="001E0AC7" w:rsidRDefault="002248DA" w:rsidP="00F320DB">
      <w:pPr>
        <w:tabs>
          <w:tab w:val="left" w:pos="1276"/>
          <w:tab w:val="left" w:pos="1418"/>
        </w:tabs>
        <w:spacing w:after="0" w:line="240" w:lineRule="auto"/>
        <w:ind w:firstLine="709"/>
        <w:rPr>
          <w:rFonts w:cs="Times New Roman"/>
          <w:sz w:val="24"/>
          <w:szCs w:val="24"/>
        </w:rPr>
      </w:pPr>
      <w:r w:rsidRPr="001E0AC7">
        <w:rPr>
          <w:rFonts w:cs="Times New Roman"/>
          <w:sz w:val="24"/>
          <w:szCs w:val="24"/>
        </w:rPr>
        <w:t>European Union regulates the acti</w:t>
      </w:r>
      <w:r w:rsidR="00D42A87" w:rsidRPr="001E0AC7">
        <w:rPr>
          <w:rFonts w:cs="Times New Roman"/>
          <w:sz w:val="24"/>
          <w:szCs w:val="24"/>
        </w:rPr>
        <w:t>vities of OTT providers using an array</w:t>
      </w:r>
      <w:r w:rsidRPr="001E0AC7">
        <w:rPr>
          <w:rFonts w:cs="Times New Roman"/>
          <w:sz w:val="24"/>
          <w:szCs w:val="24"/>
        </w:rPr>
        <w:t xml:space="preserve"> of laws and law initiatives. </w:t>
      </w:r>
      <w:r w:rsidR="003E7E59" w:rsidRPr="001E0AC7">
        <w:rPr>
          <w:rFonts w:cs="Times New Roman"/>
          <w:sz w:val="24"/>
          <w:szCs w:val="24"/>
        </w:rPr>
        <w:t>B</w:t>
      </w:r>
      <w:r w:rsidRPr="001E0AC7">
        <w:rPr>
          <w:rFonts w:cs="Times New Roman"/>
          <w:sz w:val="24"/>
          <w:szCs w:val="24"/>
        </w:rPr>
        <w:t xml:space="preserve">oth </w:t>
      </w:r>
      <w:r w:rsidR="00422F33" w:rsidRPr="001E0AC7">
        <w:rPr>
          <w:rFonts w:cs="Times New Roman"/>
          <w:sz w:val="24"/>
          <w:szCs w:val="24"/>
        </w:rPr>
        <w:t>industry</w:t>
      </w:r>
      <w:r w:rsidRPr="001E0AC7">
        <w:rPr>
          <w:rFonts w:cs="Times New Roman"/>
          <w:sz w:val="24"/>
          <w:szCs w:val="24"/>
        </w:rPr>
        <w:t xml:space="preserve"> and horizontal regulation</w:t>
      </w:r>
      <w:r w:rsidR="003E7E59" w:rsidRPr="001E0AC7">
        <w:rPr>
          <w:rFonts w:cs="Times New Roman"/>
          <w:sz w:val="24"/>
          <w:szCs w:val="24"/>
        </w:rPr>
        <w:t xml:space="preserve"> are </w:t>
      </w:r>
      <w:proofErr w:type="gramStart"/>
      <w:r w:rsidR="006D363D" w:rsidRPr="001E0AC7">
        <w:rPr>
          <w:rFonts w:cs="Times New Roman"/>
          <w:sz w:val="24"/>
          <w:szCs w:val="24"/>
        </w:rPr>
        <w:t>present</w:t>
      </w:r>
      <w:r w:rsidRPr="001E0AC7">
        <w:rPr>
          <w:rFonts w:cs="Times New Roman"/>
          <w:sz w:val="24"/>
          <w:szCs w:val="24"/>
        </w:rPr>
        <w:t xml:space="preserve"> </w:t>
      </w:r>
      <w:proofErr w:type="gramEnd"/>
      <w:r w:rsidR="00F320DB" w:rsidRPr="001E0AC7">
        <w:rPr>
          <w:rStyle w:val="FootnoteReference"/>
          <w:rFonts w:cs="Times New Roman"/>
          <w:sz w:val="24"/>
          <w:szCs w:val="24"/>
          <w:lang w:val="ru-RU"/>
        </w:rPr>
        <w:footnoteReference w:id="2"/>
      </w:r>
      <w:r w:rsidR="00F320DB" w:rsidRPr="001E0AC7">
        <w:rPr>
          <w:rFonts w:cs="Times New Roman"/>
          <w:sz w:val="24"/>
          <w:szCs w:val="24"/>
        </w:rPr>
        <w:t xml:space="preserve">. </w:t>
      </w:r>
      <w:r w:rsidR="003B0626" w:rsidRPr="001E0AC7">
        <w:rPr>
          <w:rFonts w:cs="Times New Roman"/>
          <w:sz w:val="24"/>
          <w:szCs w:val="24"/>
        </w:rPr>
        <w:t>In particular, EU adopted in 2002 and supplemented in 2009 the so-called Telecoms package that contains 7 initiatives</w:t>
      </w:r>
      <w:r w:rsidR="00F320DB" w:rsidRPr="001E0AC7">
        <w:rPr>
          <w:rFonts w:cs="Times New Roman"/>
          <w:sz w:val="24"/>
          <w:szCs w:val="24"/>
        </w:rPr>
        <w:t>:</w:t>
      </w:r>
    </w:p>
    <w:p w:rsidR="00F320DB" w:rsidRPr="001E0AC7" w:rsidRDefault="00F320DB" w:rsidP="00F320DB">
      <w:pPr>
        <w:tabs>
          <w:tab w:val="left" w:pos="1276"/>
          <w:tab w:val="left" w:pos="1418"/>
        </w:tabs>
        <w:spacing w:after="0" w:line="240" w:lineRule="auto"/>
        <w:ind w:firstLine="709"/>
        <w:rPr>
          <w:rFonts w:cs="Times New Roman"/>
          <w:b/>
          <w:sz w:val="24"/>
          <w:szCs w:val="24"/>
        </w:rPr>
      </w:pPr>
      <w:r w:rsidRPr="001E0AC7">
        <w:rPr>
          <w:rFonts w:cs="Times New Roman"/>
          <w:b/>
          <w:sz w:val="24"/>
          <w:szCs w:val="24"/>
        </w:rPr>
        <w:t>1) Electronic Communications Framework Directive</w:t>
      </w:r>
      <w:r w:rsidR="00724C2F" w:rsidRPr="001E0AC7">
        <w:rPr>
          <w:rStyle w:val="FootnoteReference"/>
          <w:rFonts w:cs="Times New Roman"/>
          <w:b/>
          <w:sz w:val="24"/>
          <w:szCs w:val="24"/>
          <w:lang w:val="ru-RU"/>
        </w:rPr>
        <w:footnoteReference w:id="3"/>
      </w:r>
      <w:r w:rsidRPr="001E0AC7">
        <w:rPr>
          <w:rFonts w:cs="Times New Roman"/>
          <w:b/>
          <w:sz w:val="24"/>
          <w:szCs w:val="24"/>
        </w:rPr>
        <w:t xml:space="preserve"> </w:t>
      </w:r>
    </w:p>
    <w:p w:rsidR="00F320DB" w:rsidRPr="001E0AC7" w:rsidRDefault="006D363D" w:rsidP="00F320DB">
      <w:pPr>
        <w:tabs>
          <w:tab w:val="left" w:pos="1276"/>
          <w:tab w:val="left" w:pos="1418"/>
        </w:tabs>
        <w:spacing w:after="0" w:line="240" w:lineRule="auto"/>
        <w:ind w:firstLine="709"/>
        <w:rPr>
          <w:rFonts w:cs="Times New Roman"/>
          <w:sz w:val="24"/>
          <w:szCs w:val="24"/>
        </w:rPr>
      </w:pPr>
      <w:r w:rsidRPr="001E0AC7">
        <w:rPr>
          <w:rFonts w:cs="Times New Roman"/>
          <w:sz w:val="24"/>
          <w:szCs w:val="24"/>
        </w:rPr>
        <w:t xml:space="preserve">It is the principal </w:t>
      </w:r>
      <w:r w:rsidR="00206ABB" w:rsidRPr="001E0AC7">
        <w:rPr>
          <w:rFonts w:cs="Times New Roman"/>
          <w:sz w:val="24"/>
          <w:szCs w:val="24"/>
        </w:rPr>
        <w:t>regulatory document regarding the work of electronic communication</w:t>
      </w:r>
      <w:r w:rsidR="00F3290C" w:rsidRPr="001E0AC7">
        <w:rPr>
          <w:rFonts w:cs="Times New Roman"/>
          <w:sz w:val="24"/>
          <w:szCs w:val="24"/>
        </w:rPr>
        <w:t>s</w:t>
      </w:r>
      <w:r w:rsidR="00206ABB" w:rsidRPr="001E0AC7">
        <w:rPr>
          <w:rFonts w:cs="Times New Roman"/>
          <w:sz w:val="24"/>
          <w:szCs w:val="24"/>
        </w:rPr>
        <w:t xml:space="preserve"> networks and services in EU </w:t>
      </w:r>
      <w:r w:rsidR="00643A33" w:rsidRPr="001E0AC7">
        <w:rPr>
          <w:rFonts w:cs="Times New Roman"/>
          <w:sz w:val="24"/>
          <w:szCs w:val="24"/>
        </w:rPr>
        <w:t xml:space="preserve">as a </w:t>
      </w:r>
      <w:r w:rsidR="000411DB" w:rsidRPr="001E0AC7">
        <w:rPr>
          <w:rFonts w:cs="Times New Roman"/>
          <w:sz w:val="24"/>
          <w:szCs w:val="24"/>
        </w:rPr>
        <w:t xml:space="preserve">whole and </w:t>
      </w:r>
      <w:r w:rsidR="00A43A71" w:rsidRPr="001E0AC7">
        <w:rPr>
          <w:rFonts w:cs="Times New Roman"/>
          <w:sz w:val="24"/>
          <w:szCs w:val="24"/>
        </w:rPr>
        <w:t>i</w:t>
      </w:r>
      <w:r w:rsidR="00987B41" w:rsidRPr="001E0AC7">
        <w:rPr>
          <w:rFonts w:cs="Times New Roman"/>
          <w:sz w:val="24"/>
          <w:szCs w:val="24"/>
        </w:rPr>
        <w:t>n part of</w:t>
      </w:r>
      <w:r w:rsidR="000411DB" w:rsidRPr="001E0AC7">
        <w:rPr>
          <w:rFonts w:cs="Times New Roman"/>
          <w:sz w:val="24"/>
          <w:szCs w:val="24"/>
        </w:rPr>
        <w:t xml:space="preserve"> </w:t>
      </w:r>
      <w:r w:rsidR="00F20475" w:rsidRPr="001E0AC7">
        <w:rPr>
          <w:rFonts w:cs="Times New Roman"/>
          <w:sz w:val="24"/>
          <w:szCs w:val="24"/>
        </w:rPr>
        <w:t xml:space="preserve">ensuring </w:t>
      </w:r>
      <w:r w:rsidR="000411DB" w:rsidRPr="001E0AC7">
        <w:rPr>
          <w:rFonts w:cs="Times New Roman"/>
          <w:sz w:val="24"/>
          <w:szCs w:val="24"/>
        </w:rPr>
        <w:t>the u</w:t>
      </w:r>
      <w:r w:rsidR="00206ABB" w:rsidRPr="001E0AC7">
        <w:rPr>
          <w:rFonts w:cs="Times New Roman"/>
          <w:sz w:val="24"/>
          <w:szCs w:val="24"/>
        </w:rPr>
        <w:t xml:space="preserve">ser </w:t>
      </w:r>
      <w:r w:rsidR="0008097E" w:rsidRPr="001E0AC7">
        <w:rPr>
          <w:rFonts w:cs="Times New Roman"/>
          <w:sz w:val="24"/>
          <w:szCs w:val="24"/>
        </w:rPr>
        <w:t>principal</w:t>
      </w:r>
      <w:r w:rsidR="00206ABB" w:rsidRPr="001E0AC7">
        <w:rPr>
          <w:rFonts w:cs="Times New Roman"/>
          <w:sz w:val="24"/>
          <w:szCs w:val="24"/>
        </w:rPr>
        <w:t xml:space="preserve"> rights</w:t>
      </w:r>
      <w:r w:rsidR="00F320DB" w:rsidRPr="001E0AC7">
        <w:rPr>
          <w:rFonts w:cs="Times New Roman"/>
          <w:sz w:val="24"/>
          <w:szCs w:val="24"/>
        </w:rPr>
        <w:t xml:space="preserve">. </w:t>
      </w:r>
      <w:r w:rsidR="00F20475" w:rsidRPr="001E0AC7">
        <w:rPr>
          <w:rFonts w:cs="Times New Roman"/>
          <w:sz w:val="24"/>
          <w:szCs w:val="24"/>
        </w:rPr>
        <w:t>The</w:t>
      </w:r>
      <w:r w:rsidR="00206ABB" w:rsidRPr="001E0AC7">
        <w:rPr>
          <w:rFonts w:cs="Times New Roman"/>
          <w:sz w:val="24"/>
          <w:szCs w:val="24"/>
        </w:rPr>
        <w:t xml:space="preserve"> Directive authorizes the application of regulatory measures </w:t>
      </w:r>
      <w:r w:rsidR="004F76C8" w:rsidRPr="001E0AC7">
        <w:rPr>
          <w:rFonts w:cs="Times New Roman"/>
          <w:sz w:val="24"/>
          <w:szCs w:val="24"/>
        </w:rPr>
        <w:t>to OTT service</w:t>
      </w:r>
      <w:r w:rsidR="00206ABB" w:rsidRPr="001E0AC7">
        <w:rPr>
          <w:rFonts w:cs="Times New Roman"/>
          <w:sz w:val="24"/>
          <w:szCs w:val="24"/>
        </w:rPr>
        <w:t xml:space="preserve"> providers</w:t>
      </w:r>
      <w:r w:rsidR="00F320DB" w:rsidRPr="001E0AC7">
        <w:rPr>
          <w:rFonts w:cs="Times New Roman"/>
          <w:sz w:val="24"/>
          <w:szCs w:val="24"/>
        </w:rPr>
        <w:t>:</w:t>
      </w:r>
    </w:p>
    <w:p w:rsidR="00F320DB" w:rsidRPr="001E0AC7" w:rsidRDefault="00987B41" w:rsidP="00F320DB">
      <w:pPr>
        <w:tabs>
          <w:tab w:val="left" w:pos="1276"/>
          <w:tab w:val="left" w:pos="1418"/>
        </w:tabs>
        <w:spacing w:after="0" w:line="240" w:lineRule="auto"/>
        <w:ind w:firstLine="709"/>
        <w:rPr>
          <w:rFonts w:cs="Times New Roman"/>
          <w:i/>
          <w:sz w:val="24"/>
          <w:szCs w:val="24"/>
        </w:rPr>
      </w:pPr>
      <w:r w:rsidRPr="001E0AC7">
        <w:rPr>
          <w:rFonts w:cs="Times New Roman"/>
          <w:i/>
          <w:sz w:val="24"/>
          <w:szCs w:val="24"/>
        </w:rPr>
        <w:t>(7) "</w:t>
      </w:r>
      <w:r w:rsidR="00422F33" w:rsidRPr="001E0AC7">
        <w:rPr>
          <w:rFonts w:cs="Times New Roman"/>
          <w:i/>
          <w:sz w:val="24"/>
          <w:szCs w:val="24"/>
        </w:rPr>
        <w:t>The provisions of this Directive and the Specific Directives are without prejudice to the possibility for each Member State to take the necessary measures to ensure the protection of its essential security interests, to safeguard public policy and public security, and to permit the investigation, detection and prosecution of criminal offences, including the establishment by national regulatory authorities of specific and proportional obligations applicable to providers of electronic communications services.</w:t>
      </w:r>
      <w:r w:rsidR="00BC544D" w:rsidRPr="001E0AC7">
        <w:rPr>
          <w:rFonts w:cs="Times New Roman"/>
          <w:i/>
          <w:sz w:val="24"/>
          <w:szCs w:val="24"/>
        </w:rPr>
        <w:t>"</w:t>
      </w:r>
      <w:r w:rsidR="00F320DB" w:rsidRPr="001E0AC7">
        <w:rPr>
          <w:rFonts w:cs="Times New Roman"/>
          <w:i/>
          <w:sz w:val="24"/>
          <w:szCs w:val="24"/>
        </w:rPr>
        <w:t>.</w:t>
      </w:r>
    </w:p>
    <w:p w:rsidR="00F320DB" w:rsidRPr="001E0AC7" w:rsidRDefault="00D23333" w:rsidP="00F320DB">
      <w:pPr>
        <w:tabs>
          <w:tab w:val="left" w:pos="1276"/>
          <w:tab w:val="left" w:pos="1418"/>
        </w:tabs>
        <w:spacing w:after="0" w:line="240" w:lineRule="auto"/>
        <w:ind w:firstLine="709"/>
        <w:rPr>
          <w:rFonts w:cs="Times New Roman"/>
          <w:sz w:val="24"/>
          <w:szCs w:val="24"/>
        </w:rPr>
      </w:pPr>
      <w:r w:rsidRPr="001E0AC7">
        <w:rPr>
          <w:rFonts w:cs="Times New Roman"/>
          <w:sz w:val="24"/>
          <w:szCs w:val="24"/>
        </w:rPr>
        <w:t>Furthermore, t</w:t>
      </w:r>
      <w:r w:rsidR="003A3922" w:rsidRPr="001E0AC7">
        <w:rPr>
          <w:rFonts w:cs="Times New Roman"/>
          <w:sz w:val="24"/>
          <w:szCs w:val="24"/>
        </w:rPr>
        <w:t xml:space="preserve">he right to </w:t>
      </w:r>
      <w:r w:rsidR="001C4596" w:rsidRPr="001E0AC7">
        <w:rPr>
          <w:rFonts w:cs="Times New Roman"/>
          <w:sz w:val="24"/>
          <w:szCs w:val="24"/>
        </w:rPr>
        <w:t xml:space="preserve">a </w:t>
      </w:r>
      <w:r w:rsidR="003A3922" w:rsidRPr="001E0AC7">
        <w:rPr>
          <w:rFonts w:cs="Times New Roman"/>
          <w:sz w:val="24"/>
          <w:szCs w:val="24"/>
        </w:rPr>
        <w:t>free reception/</w:t>
      </w:r>
      <w:r w:rsidRPr="001E0AC7">
        <w:rPr>
          <w:rFonts w:cs="Times New Roman"/>
          <w:sz w:val="24"/>
          <w:szCs w:val="24"/>
        </w:rPr>
        <w:t xml:space="preserve">distribution </w:t>
      </w:r>
      <w:r w:rsidR="003A3922" w:rsidRPr="001E0AC7">
        <w:rPr>
          <w:rFonts w:cs="Times New Roman"/>
          <w:sz w:val="24"/>
          <w:szCs w:val="24"/>
        </w:rPr>
        <w:t>of information</w:t>
      </w:r>
      <w:r w:rsidRPr="001E0AC7">
        <w:rPr>
          <w:rFonts w:cs="Times New Roman"/>
          <w:sz w:val="24"/>
          <w:szCs w:val="24"/>
        </w:rPr>
        <w:t xml:space="preserve">, as well as the absence of censorship, </w:t>
      </w:r>
      <w:r w:rsidR="003A3922" w:rsidRPr="001E0AC7">
        <w:rPr>
          <w:rFonts w:cs="Times New Roman"/>
          <w:sz w:val="24"/>
          <w:szCs w:val="24"/>
        </w:rPr>
        <w:t>is recognized</w:t>
      </w:r>
      <w:r w:rsidR="008D00D5" w:rsidRPr="001E0AC7">
        <w:rPr>
          <w:rFonts w:cs="Times New Roman"/>
          <w:sz w:val="24"/>
          <w:szCs w:val="24"/>
        </w:rPr>
        <w:t>:</w:t>
      </w:r>
    </w:p>
    <w:p w:rsidR="00F320DB" w:rsidRPr="001E0AC7" w:rsidRDefault="00F320DB" w:rsidP="00422F33">
      <w:pPr>
        <w:tabs>
          <w:tab w:val="left" w:pos="1276"/>
          <w:tab w:val="left" w:pos="1418"/>
        </w:tabs>
        <w:spacing w:after="0" w:line="240" w:lineRule="auto"/>
        <w:ind w:firstLine="709"/>
        <w:rPr>
          <w:rFonts w:cs="Times New Roman"/>
          <w:i/>
          <w:sz w:val="24"/>
          <w:szCs w:val="24"/>
        </w:rPr>
      </w:pPr>
      <w:r w:rsidRPr="001E0AC7">
        <w:rPr>
          <w:rFonts w:cs="Times New Roman"/>
          <w:sz w:val="24"/>
          <w:szCs w:val="24"/>
        </w:rPr>
        <w:t xml:space="preserve"> </w:t>
      </w:r>
      <w:r w:rsidR="00DE1B04" w:rsidRPr="001E0AC7">
        <w:rPr>
          <w:rFonts w:cs="Times New Roman"/>
          <w:i/>
          <w:sz w:val="24"/>
          <w:szCs w:val="24"/>
        </w:rPr>
        <w:t>(6) "</w:t>
      </w:r>
      <w:r w:rsidR="00422F33" w:rsidRPr="001E0AC7">
        <w:rPr>
          <w:rFonts w:cs="Times New Roman"/>
          <w:i/>
          <w:sz w:val="24"/>
          <w:szCs w:val="24"/>
        </w:rPr>
        <w:t>Audiovisual policy and content regulation are undertaken in pursuit of general interest objectives, such as freedom of expression, media pluralism, impartiality, cultural and linguistic diversity, social inclusion, consumer protection and the protection of minors.</w:t>
      </w:r>
      <w:r w:rsidR="00DE1B04" w:rsidRPr="001E0AC7">
        <w:rPr>
          <w:rFonts w:cs="Times New Roman"/>
          <w:i/>
          <w:sz w:val="24"/>
          <w:szCs w:val="24"/>
        </w:rPr>
        <w:t>"</w:t>
      </w:r>
      <w:r w:rsidRPr="001E0AC7">
        <w:rPr>
          <w:rFonts w:cs="Times New Roman"/>
          <w:i/>
          <w:sz w:val="24"/>
          <w:szCs w:val="24"/>
        </w:rPr>
        <w:t>.</w:t>
      </w:r>
    </w:p>
    <w:p w:rsidR="00CF4D65" w:rsidRPr="001E0AC7" w:rsidRDefault="00CF4D65" w:rsidP="00CF4D65">
      <w:pPr>
        <w:tabs>
          <w:tab w:val="left" w:pos="1276"/>
          <w:tab w:val="left" w:pos="1418"/>
        </w:tabs>
        <w:spacing w:after="0" w:line="240" w:lineRule="auto"/>
        <w:ind w:firstLine="709"/>
        <w:rPr>
          <w:rFonts w:cs="Times New Roman"/>
          <w:b/>
          <w:sz w:val="24"/>
          <w:szCs w:val="24"/>
        </w:rPr>
      </w:pPr>
      <w:r w:rsidRPr="001E0AC7">
        <w:rPr>
          <w:rFonts w:cs="Times New Roman"/>
          <w:b/>
          <w:sz w:val="24"/>
          <w:szCs w:val="24"/>
        </w:rPr>
        <w:t>2) Directive on the authorisation of electronic communications networks and services (Authorisation Directive)</w:t>
      </w:r>
      <w:r w:rsidRPr="001E0AC7">
        <w:rPr>
          <w:rFonts w:cs="Times New Roman"/>
          <w:b/>
          <w:sz w:val="24"/>
          <w:szCs w:val="24"/>
          <w:vertAlign w:val="superscript"/>
          <w:lang w:val="ru-RU"/>
        </w:rPr>
        <w:footnoteReference w:id="4"/>
      </w:r>
      <w:r w:rsidRPr="001E0AC7">
        <w:rPr>
          <w:rFonts w:cs="Times New Roman"/>
          <w:b/>
          <w:sz w:val="24"/>
          <w:szCs w:val="24"/>
        </w:rPr>
        <w:t xml:space="preserve"> </w:t>
      </w:r>
    </w:p>
    <w:p w:rsidR="00CF4D65" w:rsidRPr="001E0AC7" w:rsidRDefault="00CF4D65" w:rsidP="00CF4D65">
      <w:pPr>
        <w:tabs>
          <w:tab w:val="left" w:pos="1276"/>
          <w:tab w:val="left" w:pos="1418"/>
        </w:tabs>
        <w:spacing w:after="0" w:line="240" w:lineRule="auto"/>
        <w:ind w:firstLine="709"/>
        <w:rPr>
          <w:rFonts w:cs="Times New Roman"/>
          <w:sz w:val="24"/>
          <w:szCs w:val="24"/>
        </w:rPr>
      </w:pPr>
      <w:r w:rsidRPr="001E0AC7">
        <w:rPr>
          <w:sz w:val="24"/>
          <w:szCs w:val="24"/>
        </w:rPr>
        <w:t>The Directive is intended to issue authorisations to networks and electronic communications services, regardless of whether they are made public or not</w:t>
      </w:r>
      <w:r w:rsidRPr="001E0AC7">
        <w:rPr>
          <w:rFonts w:cs="Times New Roman"/>
          <w:sz w:val="24"/>
          <w:szCs w:val="24"/>
        </w:rPr>
        <w:t>.</w:t>
      </w:r>
    </w:p>
    <w:p w:rsidR="00CF4D65" w:rsidRPr="001E0AC7" w:rsidRDefault="00CF4D65" w:rsidP="00CF4D65">
      <w:pPr>
        <w:tabs>
          <w:tab w:val="left" w:pos="1276"/>
          <w:tab w:val="left" w:pos="1418"/>
        </w:tabs>
        <w:spacing w:after="0" w:line="240" w:lineRule="auto"/>
        <w:ind w:firstLine="709"/>
        <w:rPr>
          <w:rFonts w:cs="Times New Roman"/>
          <w:sz w:val="24"/>
          <w:szCs w:val="24"/>
        </w:rPr>
      </w:pPr>
      <w:r w:rsidRPr="001E0AC7">
        <w:rPr>
          <w:sz w:val="24"/>
          <w:szCs w:val="24"/>
        </w:rPr>
        <w:t>The goal of the Directive is to harmonize the market for electronic communications services by limiting regulation to the minimum necessary</w:t>
      </w:r>
      <w:r w:rsidRPr="001E0AC7">
        <w:rPr>
          <w:rFonts w:cs="Times New Roman"/>
          <w:sz w:val="24"/>
          <w:szCs w:val="24"/>
        </w:rPr>
        <w:t>.</w:t>
      </w:r>
    </w:p>
    <w:p w:rsidR="00CF4D65" w:rsidRPr="001E0AC7" w:rsidRDefault="00CF4D65" w:rsidP="00CF4D65">
      <w:pPr>
        <w:tabs>
          <w:tab w:val="left" w:pos="1276"/>
          <w:tab w:val="left" w:pos="1418"/>
        </w:tabs>
        <w:spacing w:after="0" w:line="240" w:lineRule="auto"/>
        <w:ind w:firstLine="709"/>
        <w:rPr>
          <w:rFonts w:cs="Times New Roman"/>
          <w:sz w:val="24"/>
          <w:szCs w:val="24"/>
        </w:rPr>
      </w:pPr>
      <w:r w:rsidRPr="001E0AC7">
        <w:rPr>
          <w:sz w:val="24"/>
          <w:szCs w:val="24"/>
        </w:rPr>
        <w:t xml:space="preserve">In the EU, OTT service providers located at least in one EU Member State have the right to provide communication services in all other EU Member States, without the need to have an office there. They can begin to provide communication services without any formal licensing process with the national regulator and are only subject to </w:t>
      </w:r>
      <w:r w:rsidRPr="001E0AC7">
        <w:rPr>
          <w:rFonts w:cs="Times New Roman"/>
          <w:sz w:val="24"/>
          <w:szCs w:val="24"/>
        </w:rPr>
        <w:t>"</w:t>
      </w:r>
      <w:r w:rsidRPr="001E0AC7">
        <w:rPr>
          <w:sz w:val="24"/>
          <w:szCs w:val="24"/>
        </w:rPr>
        <w:t>general authorization</w:t>
      </w:r>
      <w:r w:rsidRPr="001E0AC7">
        <w:rPr>
          <w:rFonts w:cs="Times New Roman"/>
          <w:sz w:val="24"/>
          <w:szCs w:val="24"/>
        </w:rPr>
        <w:t>"</w:t>
      </w:r>
      <w:r w:rsidRPr="001E0AC7">
        <w:rPr>
          <w:sz w:val="24"/>
          <w:szCs w:val="24"/>
        </w:rPr>
        <w:t xml:space="preserve"> in each Member State where they provide services (see Article 3 of the Authorisation Directive). </w:t>
      </w:r>
      <w:r w:rsidRPr="001E0AC7">
        <w:rPr>
          <w:rFonts w:cs="Times New Roman"/>
          <w:sz w:val="24"/>
          <w:szCs w:val="24"/>
        </w:rPr>
        <w:t>"</w:t>
      </w:r>
      <w:r w:rsidRPr="001E0AC7">
        <w:rPr>
          <w:sz w:val="24"/>
          <w:szCs w:val="24"/>
        </w:rPr>
        <w:t>General Authorisation</w:t>
      </w:r>
      <w:r w:rsidRPr="001E0AC7">
        <w:rPr>
          <w:rFonts w:cs="Times New Roman"/>
          <w:sz w:val="24"/>
          <w:szCs w:val="24"/>
        </w:rPr>
        <w:t>"</w:t>
      </w:r>
      <w:r w:rsidRPr="001E0AC7">
        <w:rPr>
          <w:sz w:val="24"/>
          <w:szCs w:val="24"/>
        </w:rPr>
        <w:t xml:space="preserve"> provides rights and imposes obligations on the use of networks and communication services by simply notifying the regulators, that reduces the licensing procedure just to a simple notification of the regulator</w:t>
      </w:r>
      <w:r w:rsidRPr="001E0AC7">
        <w:rPr>
          <w:rFonts w:cs="Times New Roman"/>
          <w:sz w:val="24"/>
          <w:szCs w:val="24"/>
        </w:rPr>
        <w:t>.</w:t>
      </w:r>
    </w:p>
    <w:p w:rsidR="00CF4D65" w:rsidRPr="001E0AC7" w:rsidRDefault="00CF4D65" w:rsidP="00CF4D65">
      <w:pPr>
        <w:tabs>
          <w:tab w:val="left" w:pos="1276"/>
          <w:tab w:val="left" w:pos="1418"/>
        </w:tabs>
        <w:spacing w:after="0" w:line="240" w:lineRule="auto"/>
        <w:ind w:firstLine="709"/>
        <w:rPr>
          <w:rFonts w:cs="Times New Roman"/>
          <w:b/>
          <w:sz w:val="24"/>
          <w:szCs w:val="24"/>
        </w:rPr>
      </w:pPr>
      <w:r w:rsidRPr="001E0AC7">
        <w:rPr>
          <w:rFonts w:cs="Times New Roman"/>
          <w:b/>
          <w:sz w:val="24"/>
          <w:szCs w:val="24"/>
        </w:rPr>
        <w:t>3) Directive on access to, and interconnection of, electronic communications networks and associated facilities (Access Directive)</w:t>
      </w:r>
      <w:r w:rsidRPr="001E0AC7">
        <w:rPr>
          <w:rFonts w:cs="Times New Roman"/>
          <w:b/>
          <w:sz w:val="24"/>
          <w:szCs w:val="24"/>
          <w:vertAlign w:val="superscript"/>
        </w:rPr>
        <w:footnoteReference w:id="5"/>
      </w:r>
    </w:p>
    <w:p w:rsidR="00CF4D65" w:rsidRPr="001E0AC7" w:rsidRDefault="00CF4D65" w:rsidP="00CF4D65">
      <w:pPr>
        <w:tabs>
          <w:tab w:val="left" w:pos="1276"/>
          <w:tab w:val="left" w:pos="1418"/>
        </w:tabs>
        <w:spacing w:after="0" w:line="240" w:lineRule="auto"/>
        <w:ind w:firstLine="709"/>
        <w:rPr>
          <w:rFonts w:cs="Times New Roman"/>
          <w:sz w:val="24"/>
          <w:szCs w:val="24"/>
        </w:rPr>
      </w:pPr>
      <w:r w:rsidRPr="001E0AC7">
        <w:rPr>
          <w:sz w:val="24"/>
          <w:szCs w:val="24"/>
        </w:rPr>
        <w:lastRenderedPageBreak/>
        <w:t xml:space="preserve">The Directive harmonizes access to electronic communications networks and related facilities in EU countries. It establishes a regulatory framework for relationships between providers of networks and communications </w:t>
      </w:r>
      <w:proofErr w:type="gramStart"/>
      <w:r w:rsidRPr="001E0AC7">
        <w:rPr>
          <w:sz w:val="24"/>
          <w:szCs w:val="24"/>
        </w:rPr>
        <w:t>services, that</w:t>
      </w:r>
      <w:proofErr w:type="gramEnd"/>
      <w:r w:rsidRPr="001E0AC7">
        <w:rPr>
          <w:sz w:val="24"/>
          <w:szCs w:val="24"/>
        </w:rPr>
        <w:t xml:space="preserve"> leads to a sustainable competition and interoperability of electronic communications services</w:t>
      </w:r>
      <w:r w:rsidRPr="001E0AC7">
        <w:rPr>
          <w:rFonts w:cs="Times New Roman"/>
          <w:sz w:val="24"/>
          <w:szCs w:val="24"/>
        </w:rPr>
        <w:t>.</w:t>
      </w:r>
    </w:p>
    <w:p w:rsidR="00CF4D65" w:rsidRPr="001E0AC7" w:rsidRDefault="00CF4D65" w:rsidP="00CF4D65">
      <w:pPr>
        <w:tabs>
          <w:tab w:val="left" w:pos="1276"/>
          <w:tab w:val="left" w:pos="1418"/>
        </w:tabs>
        <w:spacing w:after="0" w:line="240" w:lineRule="auto"/>
        <w:ind w:firstLine="709"/>
        <w:rPr>
          <w:rFonts w:cs="Times New Roman"/>
          <w:sz w:val="24"/>
          <w:szCs w:val="24"/>
        </w:rPr>
      </w:pPr>
      <w:r w:rsidRPr="001E0AC7">
        <w:rPr>
          <w:sz w:val="24"/>
          <w:szCs w:val="24"/>
        </w:rPr>
        <w:t>The Directive applies to all forms of public communications networks that provide public electronic communications services. These include fixed and mobile networks, networks used for terrestrial broadcasting, cable television networks, and satellite and Internet networks used for delivery of voice, fax, data and images</w:t>
      </w:r>
      <w:r w:rsidRPr="001E0AC7">
        <w:rPr>
          <w:rFonts w:cs="Times New Roman"/>
          <w:sz w:val="24"/>
          <w:szCs w:val="24"/>
        </w:rPr>
        <w:t>.</w:t>
      </w:r>
    </w:p>
    <w:p w:rsidR="00CF4D65" w:rsidRPr="001E0AC7" w:rsidRDefault="00CF4D65" w:rsidP="00CF4D65">
      <w:pPr>
        <w:tabs>
          <w:tab w:val="left" w:pos="1276"/>
          <w:tab w:val="left" w:pos="1418"/>
        </w:tabs>
        <w:spacing w:after="0" w:line="240" w:lineRule="auto"/>
        <w:ind w:firstLine="709"/>
        <w:rPr>
          <w:rFonts w:cs="Times New Roman"/>
          <w:sz w:val="24"/>
          <w:szCs w:val="24"/>
        </w:rPr>
      </w:pPr>
      <w:r w:rsidRPr="001E0AC7">
        <w:rPr>
          <w:sz w:val="24"/>
          <w:szCs w:val="24"/>
        </w:rPr>
        <w:t>The Directive establishes the fundamental rule that operators of public telecommunication networks are required to agree on interconnection with each other to ensure compatibility between services throughout the European Union</w:t>
      </w:r>
      <w:r w:rsidRPr="001E0AC7">
        <w:rPr>
          <w:rFonts w:cs="Times New Roman"/>
          <w:sz w:val="24"/>
          <w:szCs w:val="24"/>
        </w:rPr>
        <w:t>.</w:t>
      </w:r>
    </w:p>
    <w:p w:rsidR="00CF4D65" w:rsidRPr="001E0AC7" w:rsidRDefault="00CF4D65" w:rsidP="00CF4D65">
      <w:pPr>
        <w:tabs>
          <w:tab w:val="left" w:pos="1276"/>
          <w:tab w:val="left" w:pos="1418"/>
        </w:tabs>
        <w:spacing w:after="0" w:line="240" w:lineRule="auto"/>
        <w:ind w:firstLine="709"/>
        <w:rPr>
          <w:rFonts w:cs="Times New Roman"/>
          <w:sz w:val="24"/>
          <w:szCs w:val="24"/>
        </w:rPr>
      </w:pPr>
      <w:r w:rsidRPr="001E0AC7">
        <w:rPr>
          <w:sz w:val="24"/>
          <w:szCs w:val="24"/>
        </w:rPr>
        <w:t>National regulators are responsible for regular market analysis in order to determine whether one or more operators have a significant market power in the market in question (monopolists). If after market analysis, an operator is defined as having significant market power in a given market, the regulator must impose one or more of the following obligations on it, depending on the circumstances (transparency, elimination of discrimination, accounting separation, cost recovery and price control, etc.)</w:t>
      </w:r>
    </w:p>
    <w:p w:rsidR="00CF4D65" w:rsidRPr="001E0AC7" w:rsidRDefault="00CF4D65" w:rsidP="00CF4D65">
      <w:pPr>
        <w:tabs>
          <w:tab w:val="left" w:pos="1276"/>
          <w:tab w:val="left" w:pos="1418"/>
        </w:tabs>
        <w:spacing w:after="0" w:line="240" w:lineRule="auto"/>
        <w:ind w:firstLine="709"/>
        <w:rPr>
          <w:rFonts w:cs="Times New Roman"/>
          <w:sz w:val="24"/>
          <w:szCs w:val="24"/>
        </w:rPr>
      </w:pPr>
      <w:r w:rsidRPr="001E0AC7">
        <w:rPr>
          <w:rFonts w:cs="Times New Roman"/>
          <w:b/>
          <w:sz w:val="24"/>
          <w:szCs w:val="24"/>
        </w:rPr>
        <w:t>4) Directive on universal service and users' rights relating to electronic communications networks and services (Universal Service Directive)</w:t>
      </w:r>
      <w:r w:rsidRPr="001E0AC7">
        <w:rPr>
          <w:rFonts w:cs="Times New Roman"/>
          <w:b/>
          <w:sz w:val="24"/>
          <w:szCs w:val="24"/>
          <w:vertAlign w:val="superscript"/>
          <w:lang w:val="ru-RU"/>
        </w:rPr>
        <w:footnoteReference w:id="6"/>
      </w:r>
    </w:p>
    <w:p w:rsidR="00CF4D65" w:rsidRPr="001E0AC7" w:rsidRDefault="00CF4D65" w:rsidP="00CF4D65">
      <w:pPr>
        <w:tabs>
          <w:tab w:val="left" w:pos="1276"/>
          <w:tab w:val="left" w:pos="1418"/>
        </w:tabs>
        <w:spacing w:after="0" w:line="240" w:lineRule="auto"/>
        <w:ind w:firstLine="709"/>
        <w:rPr>
          <w:rFonts w:cs="Times New Roman"/>
          <w:sz w:val="24"/>
          <w:szCs w:val="24"/>
        </w:rPr>
      </w:pPr>
      <w:r w:rsidRPr="001E0AC7">
        <w:rPr>
          <w:sz w:val="24"/>
          <w:szCs w:val="24"/>
        </w:rPr>
        <w:t>Universal service is a concept developed by the European Union on a set of common interests that should be met by services such as telecommunications and postal services throughout the EU. The goal of the concept is to provide all users with the access to quality services at an affordable price regardless of their geographical location</w:t>
      </w:r>
      <w:r w:rsidRPr="001E0AC7">
        <w:rPr>
          <w:rFonts w:cs="Times New Roman"/>
          <w:sz w:val="24"/>
          <w:szCs w:val="24"/>
        </w:rPr>
        <w:t>.</w:t>
      </w:r>
    </w:p>
    <w:p w:rsidR="00CF4D65" w:rsidRPr="001E0AC7" w:rsidRDefault="00CF4D65" w:rsidP="00CF4D65">
      <w:pPr>
        <w:tabs>
          <w:tab w:val="left" w:pos="1276"/>
          <w:tab w:val="left" w:pos="1418"/>
        </w:tabs>
        <w:spacing w:after="0" w:line="240" w:lineRule="auto"/>
        <w:ind w:firstLine="709"/>
        <w:rPr>
          <w:rFonts w:cs="Times New Roman"/>
          <w:sz w:val="24"/>
          <w:szCs w:val="24"/>
        </w:rPr>
      </w:pPr>
      <w:r w:rsidRPr="001E0AC7">
        <w:rPr>
          <w:sz w:val="24"/>
          <w:szCs w:val="24"/>
        </w:rPr>
        <w:t>The Universal Service Directive establishes specific rules for the provision of electronic communications services within the EU. In this context it establishes</w:t>
      </w:r>
      <w:r w:rsidRPr="001E0AC7">
        <w:rPr>
          <w:rFonts w:cs="Times New Roman"/>
          <w:sz w:val="24"/>
          <w:szCs w:val="24"/>
        </w:rPr>
        <w:t>:</w:t>
      </w:r>
    </w:p>
    <w:p w:rsidR="00CF4D65" w:rsidRPr="001E0AC7" w:rsidRDefault="00CF4D65" w:rsidP="00CF4D65">
      <w:pPr>
        <w:tabs>
          <w:tab w:val="left" w:pos="1276"/>
          <w:tab w:val="left" w:pos="1418"/>
        </w:tabs>
        <w:spacing w:after="0" w:line="240" w:lineRule="auto"/>
        <w:ind w:firstLine="709"/>
        <w:rPr>
          <w:rFonts w:cs="Times New Roman"/>
          <w:sz w:val="24"/>
          <w:szCs w:val="24"/>
        </w:rPr>
      </w:pPr>
      <w:r w:rsidRPr="001E0AC7">
        <w:rPr>
          <w:rFonts w:cs="Times New Roman"/>
          <w:sz w:val="24"/>
          <w:szCs w:val="24"/>
        </w:rPr>
        <w:t>•</w:t>
      </w:r>
      <w:r w:rsidRPr="001E0AC7">
        <w:rPr>
          <w:rFonts w:cs="Times New Roman"/>
          <w:sz w:val="24"/>
          <w:szCs w:val="24"/>
        </w:rPr>
        <w:tab/>
      </w:r>
      <w:proofErr w:type="gramStart"/>
      <w:r w:rsidRPr="001E0AC7">
        <w:rPr>
          <w:sz w:val="24"/>
          <w:szCs w:val="24"/>
        </w:rPr>
        <w:t>obligations</w:t>
      </w:r>
      <w:proofErr w:type="gramEnd"/>
      <w:r w:rsidRPr="001E0AC7">
        <w:rPr>
          <w:sz w:val="24"/>
          <w:szCs w:val="24"/>
        </w:rPr>
        <w:t xml:space="preserve"> to provide certain mandatory services (universal service)</w:t>
      </w:r>
      <w:r w:rsidRPr="001E0AC7">
        <w:rPr>
          <w:rFonts w:cs="Times New Roman"/>
          <w:sz w:val="24"/>
          <w:szCs w:val="24"/>
        </w:rPr>
        <w:t>;</w:t>
      </w:r>
    </w:p>
    <w:p w:rsidR="00CF4D65" w:rsidRPr="001E0AC7" w:rsidRDefault="00CF4D65" w:rsidP="00CF4D65">
      <w:pPr>
        <w:tabs>
          <w:tab w:val="left" w:pos="1276"/>
          <w:tab w:val="left" w:pos="1418"/>
        </w:tabs>
        <w:spacing w:after="0" w:line="240" w:lineRule="auto"/>
        <w:ind w:firstLine="709"/>
        <w:rPr>
          <w:rFonts w:cs="Times New Roman"/>
          <w:sz w:val="24"/>
          <w:szCs w:val="24"/>
        </w:rPr>
      </w:pPr>
      <w:r w:rsidRPr="001E0AC7">
        <w:rPr>
          <w:rFonts w:cs="Times New Roman"/>
          <w:sz w:val="24"/>
          <w:szCs w:val="24"/>
        </w:rPr>
        <w:t>•</w:t>
      </w:r>
      <w:r w:rsidRPr="001E0AC7">
        <w:rPr>
          <w:rFonts w:cs="Times New Roman"/>
          <w:sz w:val="24"/>
          <w:szCs w:val="24"/>
        </w:rPr>
        <w:tab/>
      </w:r>
      <w:proofErr w:type="gramStart"/>
      <w:r w:rsidRPr="001E0AC7">
        <w:rPr>
          <w:sz w:val="24"/>
          <w:szCs w:val="24"/>
        </w:rPr>
        <w:t>end-user</w:t>
      </w:r>
      <w:proofErr w:type="gramEnd"/>
      <w:r w:rsidRPr="001E0AC7">
        <w:rPr>
          <w:sz w:val="24"/>
          <w:szCs w:val="24"/>
        </w:rPr>
        <w:t xml:space="preserve"> rights and corresponding obligations in relation to companies that provide public networks and electronic communications services</w:t>
      </w:r>
      <w:r w:rsidRPr="001E0AC7">
        <w:rPr>
          <w:rFonts w:cs="Times New Roman"/>
          <w:sz w:val="24"/>
          <w:szCs w:val="24"/>
        </w:rPr>
        <w:t>.</w:t>
      </w:r>
    </w:p>
    <w:p w:rsidR="00CF4D65" w:rsidRPr="001E0AC7" w:rsidRDefault="00CF4D65" w:rsidP="00CF4D65">
      <w:pPr>
        <w:tabs>
          <w:tab w:val="left" w:pos="1276"/>
          <w:tab w:val="left" w:pos="1418"/>
        </w:tabs>
        <w:spacing w:after="0" w:line="240" w:lineRule="auto"/>
        <w:ind w:firstLine="709"/>
        <w:rPr>
          <w:rFonts w:cs="Times New Roman"/>
          <w:sz w:val="24"/>
          <w:szCs w:val="24"/>
        </w:rPr>
      </w:pPr>
      <w:r w:rsidRPr="001E0AC7">
        <w:rPr>
          <w:sz w:val="24"/>
          <w:szCs w:val="24"/>
        </w:rPr>
        <w:t>The Directive also provides</w:t>
      </w:r>
      <w:r w:rsidRPr="001E0AC7">
        <w:rPr>
          <w:rFonts w:cs="Times New Roman"/>
          <w:sz w:val="24"/>
          <w:szCs w:val="24"/>
        </w:rPr>
        <w:t>:</w:t>
      </w:r>
    </w:p>
    <w:p w:rsidR="00CF4D65" w:rsidRPr="001E0AC7" w:rsidRDefault="00CF4D65" w:rsidP="00CF4D65">
      <w:pPr>
        <w:tabs>
          <w:tab w:val="left" w:pos="1276"/>
          <w:tab w:val="left" w:pos="1418"/>
        </w:tabs>
        <w:spacing w:after="0" w:line="240" w:lineRule="auto"/>
        <w:ind w:firstLine="709"/>
        <w:rPr>
          <w:rFonts w:cs="Times New Roman"/>
          <w:sz w:val="24"/>
          <w:szCs w:val="24"/>
        </w:rPr>
      </w:pPr>
      <w:r w:rsidRPr="001E0AC7">
        <w:rPr>
          <w:rFonts w:cs="Times New Roman"/>
          <w:sz w:val="24"/>
          <w:szCs w:val="24"/>
        </w:rPr>
        <w:t>•</w:t>
      </w:r>
      <w:r w:rsidRPr="001E0AC7">
        <w:rPr>
          <w:rFonts w:cs="Times New Roman"/>
          <w:sz w:val="24"/>
          <w:szCs w:val="24"/>
        </w:rPr>
        <w:tab/>
      </w:r>
      <w:proofErr w:type="gramStart"/>
      <w:r w:rsidR="00E6159D" w:rsidRPr="001E0AC7">
        <w:rPr>
          <w:sz w:val="24"/>
          <w:szCs w:val="24"/>
        </w:rPr>
        <w:t>a</w:t>
      </w:r>
      <w:proofErr w:type="gramEnd"/>
      <w:r w:rsidR="00E6159D" w:rsidRPr="001E0AC7">
        <w:rPr>
          <w:sz w:val="24"/>
          <w:szCs w:val="24"/>
        </w:rPr>
        <w:t xml:space="preserve"> </w:t>
      </w:r>
      <w:r w:rsidRPr="001E0AC7">
        <w:rPr>
          <w:sz w:val="24"/>
          <w:szCs w:val="24"/>
        </w:rPr>
        <w:t>consumer the right to change the fixed or mobile operator within one business day while maintaining his old phone number</w:t>
      </w:r>
      <w:r w:rsidRPr="001E0AC7">
        <w:rPr>
          <w:rFonts w:cs="Times New Roman"/>
          <w:sz w:val="24"/>
          <w:szCs w:val="24"/>
        </w:rPr>
        <w:t>;</w:t>
      </w:r>
    </w:p>
    <w:p w:rsidR="00CF4D65" w:rsidRPr="001E0AC7" w:rsidRDefault="00CF4D65" w:rsidP="00CF4D65">
      <w:pPr>
        <w:tabs>
          <w:tab w:val="left" w:pos="1276"/>
          <w:tab w:val="left" w:pos="1418"/>
        </w:tabs>
        <w:spacing w:after="0" w:line="240" w:lineRule="auto"/>
        <w:ind w:firstLine="709"/>
        <w:rPr>
          <w:rFonts w:cs="Times New Roman"/>
          <w:sz w:val="24"/>
          <w:szCs w:val="24"/>
        </w:rPr>
      </w:pPr>
      <w:r w:rsidRPr="001E0AC7">
        <w:rPr>
          <w:rFonts w:cs="Times New Roman"/>
          <w:sz w:val="24"/>
          <w:szCs w:val="24"/>
        </w:rPr>
        <w:t>•</w:t>
      </w:r>
      <w:r w:rsidRPr="001E0AC7">
        <w:rPr>
          <w:rFonts w:cs="Times New Roman"/>
          <w:sz w:val="24"/>
          <w:szCs w:val="24"/>
        </w:rPr>
        <w:tab/>
      </w:r>
      <w:proofErr w:type="gramStart"/>
      <w:r w:rsidRPr="001E0AC7">
        <w:rPr>
          <w:rFonts w:cs="Times New Roman"/>
          <w:sz w:val="24"/>
          <w:szCs w:val="24"/>
        </w:rPr>
        <w:t>an</w:t>
      </w:r>
      <w:proofErr w:type="gramEnd"/>
      <w:r w:rsidRPr="001E0AC7">
        <w:rPr>
          <w:rFonts w:cs="Times New Roman"/>
          <w:sz w:val="24"/>
          <w:szCs w:val="24"/>
        </w:rPr>
        <w:t xml:space="preserve"> </w:t>
      </w:r>
      <w:r w:rsidRPr="001E0AC7">
        <w:rPr>
          <w:sz w:val="24"/>
          <w:szCs w:val="24"/>
        </w:rPr>
        <w:t>obligation for operators to provide transparent and timely information on prices and tariffs</w:t>
      </w:r>
      <w:r w:rsidRPr="001E0AC7">
        <w:rPr>
          <w:rFonts w:cs="Times New Roman"/>
          <w:sz w:val="24"/>
          <w:szCs w:val="24"/>
        </w:rPr>
        <w:t>;</w:t>
      </w:r>
    </w:p>
    <w:p w:rsidR="00CF4D65" w:rsidRPr="001E0AC7" w:rsidRDefault="00CF4D65" w:rsidP="00CF4D65">
      <w:pPr>
        <w:tabs>
          <w:tab w:val="left" w:pos="1276"/>
          <w:tab w:val="left" w:pos="1418"/>
        </w:tabs>
        <w:spacing w:after="0" w:line="240" w:lineRule="auto"/>
        <w:ind w:firstLine="709"/>
        <w:rPr>
          <w:rFonts w:cs="Times New Roman"/>
          <w:sz w:val="24"/>
          <w:szCs w:val="24"/>
        </w:rPr>
      </w:pPr>
      <w:r w:rsidRPr="001E0AC7">
        <w:rPr>
          <w:rFonts w:cs="Times New Roman"/>
          <w:sz w:val="24"/>
          <w:szCs w:val="24"/>
        </w:rPr>
        <w:t>•</w:t>
      </w:r>
      <w:r w:rsidRPr="001E0AC7">
        <w:rPr>
          <w:rFonts w:cs="Times New Roman"/>
          <w:sz w:val="24"/>
          <w:szCs w:val="24"/>
        </w:rPr>
        <w:tab/>
      </w:r>
      <w:r w:rsidRPr="001E0AC7">
        <w:rPr>
          <w:sz w:val="24"/>
          <w:szCs w:val="24"/>
        </w:rPr>
        <w:t>free delivery of the European emergency number "112" with the requirement for operators to transmit information to the emergency services on the location of the caller</w:t>
      </w:r>
      <w:r w:rsidRPr="001E0AC7">
        <w:rPr>
          <w:rFonts w:cs="Times New Roman"/>
          <w:sz w:val="24"/>
          <w:szCs w:val="24"/>
        </w:rPr>
        <w:t>;</w:t>
      </w:r>
    </w:p>
    <w:p w:rsidR="00CF4D65" w:rsidRPr="001E0AC7" w:rsidRDefault="00CF4D65" w:rsidP="00CF4D65">
      <w:pPr>
        <w:tabs>
          <w:tab w:val="left" w:pos="1276"/>
          <w:tab w:val="left" w:pos="1418"/>
        </w:tabs>
        <w:spacing w:after="0" w:line="240" w:lineRule="auto"/>
        <w:ind w:firstLine="709"/>
        <w:rPr>
          <w:rFonts w:cs="Times New Roman"/>
          <w:sz w:val="24"/>
          <w:szCs w:val="24"/>
        </w:rPr>
      </w:pPr>
      <w:r w:rsidRPr="001E0AC7">
        <w:rPr>
          <w:rFonts w:cs="Times New Roman"/>
          <w:sz w:val="24"/>
          <w:szCs w:val="24"/>
        </w:rPr>
        <w:t>•</w:t>
      </w:r>
      <w:r w:rsidRPr="001E0AC7">
        <w:rPr>
          <w:rFonts w:cs="Times New Roman"/>
          <w:sz w:val="24"/>
          <w:szCs w:val="24"/>
        </w:rPr>
        <w:tab/>
      </w:r>
      <w:proofErr w:type="gramStart"/>
      <w:r w:rsidRPr="001E0AC7">
        <w:rPr>
          <w:sz w:val="24"/>
          <w:szCs w:val="24"/>
        </w:rPr>
        <w:t>promotion</w:t>
      </w:r>
      <w:proofErr w:type="gramEnd"/>
      <w:r w:rsidRPr="001E0AC7">
        <w:rPr>
          <w:sz w:val="24"/>
          <w:szCs w:val="24"/>
        </w:rPr>
        <w:t xml:space="preserve"> of "116" numbers for social services, including "missing children" emergency phone number</w:t>
      </w:r>
      <w:r w:rsidRPr="001E0AC7">
        <w:rPr>
          <w:rFonts w:cs="Times New Roman"/>
          <w:sz w:val="24"/>
          <w:szCs w:val="24"/>
        </w:rPr>
        <w:t>.</w:t>
      </w:r>
    </w:p>
    <w:p w:rsidR="00CF4D65" w:rsidRPr="001E0AC7" w:rsidRDefault="00CF4D65" w:rsidP="00CF4D65">
      <w:pPr>
        <w:tabs>
          <w:tab w:val="left" w:pos="1276"/>
          <w:tab w:val="left" w:pos="1418"/>
        </w:tabs>
        <w:spacing w:after="0" w:line="240" w:lineRule="auto"/>
        <w:ind w:firstLine="709"/>
        <w:rPr>
          <w:rFonts w:cs="Times New Roman"/>
          <w:b/>
          <w:sz w:val="24"/>
          <w:szCs w:val="24"/>
        </w:rPr>
      </w:pPr>
      <w:r w:rsidRPr="001E0AC7">
        <w:rPr>
          <w:rFonts w:cs="Times New Roman"/>
          <w:b/>
          <w:sz w:val="24"/>
          <w:szCs w:val="24"/>
        </w:rPr>
        <w:t xml:space="preserve">5) </w:t>
      </w:r>
      <w:r w:rsidRPr="001E0AC7">
        <w:rPr>
          <w:b/>
          <w:sz w:val="24"/>
          <w:szCs w:val="24"/>
        </w:rPr>
        <w:t>Directive 2002/58/EC on the processing of personal data and the protection of privacy in the electronic communications sector</w:t>
      </w:r>
      <w:r w:rsidRPr="001E0AC7">
        <w:rPr>
          <w:rFonts w:cs="Times New Roman"/>
          <w:b/>
          <w:sz w:val="24"/>
          <w:szCs w:val="24"/>
        </w:rPr>
        <w:t xml:space="preserve"> (e-Privacy Directive)</w:t>
      </w:r>
      <w:r w:rsidRPr="001E0AC7">
        <w:rPr>
          <w:rFonts w:cs="Times New Roman"/>
          <w:b/>
          <w:sz w:val="24"/>
          <w:szCs w:val="24"/>
          <w:vertAlign w:val="superscript"/>
          <w:lang w:val="ru-RU"/>
        </w:rPr>
        <w:footnoteReference w:id="7"/>
      </w:r>
    </w:p>
    <w:p w:rsidR="00CF4D65" w:rsidRPr="001E0AC7" w:rsidRDefault="00CF4D65" w:rsidP="00CF4D65">
      <w:pPr>
        <w:tabs>
          <w:tab w:val="left" w:pos="1276"/>
          <w:tab w:val="left" w:pos="1418"/>
        </w:tabs>
        <w:spacing w:after="0" w:line="240" w:lineRule="auto"/>
        <w:ind w:firstLine="709"/>
        <w:rPr>
          <w:rFonts w:cs="Times New Roman"/>
          <w:i/>
          <w:sz w:val="24"/>
          <w:szCs w:val="24"/>
        </w:rPr>
      </w:pPr>
      <w:r w:rsidRPr="001E0AC7">
        <w:rPr>
          <w:i/>
          <w:sz w:val="24"/>
          <w:szCs w:val="24"/>
        </w:rPr>
        <w:t>REPLACED</w:t>
      </w:r>
    </w:p>
    <w:p w:rsidR="00CF4D65" w:rsidRPr="001E0AC7" w:rsidRDefault="00CF4D65" w:rsidP="00CF4D65">
      <w:pPr>
        <w:tabs>
          <w:tab w:val="left" w:pos="1276"/>
          <w:tab w:val="left" w:pos="1418"/>
        </w:tabs>
        <w:spacing w:after="0" w:line="240" w:lineRule="auto"/>
        <w:ind w:firstLine="709"/>
        <w:rPr>
          <w:rFonts w:cs="Times New Roman"/>
          <w:sz w:val="24"/>
          <w:szCs w:val="24"/>
        </w:rPr>
      </w:pPr>
      <w:r w:rsidRPr="001E0AC7">
        <w:rPr>
          <w:sz w:val="24"/>
          <w:szCs w:val="24"/>
        </w:rPr>
        <w:lastRenderedPageBreak/>
        <w:t>The Directive applies to the harmonization of national provisions necessary to ensure an equivalent level of protection of the fundamental rights and freedoms of both individuals and legal entities in electronic communications. In particular, the rights to privacy, confidentiality of personal correspondence and the protection of personal data in the electronic communications sector. It guarantees free circulation of data, equipment and services in the EU</w:t>
      </w:r>
      <w:r w:rsidRPr="001E0AC7">
        <w:rPr>
          <w:rFonts w:cs="Times New Roman"/>
          <w:sz w:val="24"/>
          <w:szCs w:val="24"/>
        </w:rPr>
        <w:t>.</w:t>
      </w:r>
    </w:p>
    <w:p w:rsidR="00CF4D65" w:rsidRPr="001E0AC7" w:rsidRDefault="00CF4D65" w:rsidP="00CF4D65">
      <w:pPr>
        <w:tabs>
          <w:tab w:val="left" w:pos="1276"/>
          <w:tab w:val="left" w:pos="1418"/>
        </w:tabs>
        <w:spacing w:after="0" w:line="240" w:lineRule="auto"/>
        <w:ind w:firstLine="709"/>
        <w:rPr>
          <w:rFonts w:cs="Times New Roman"/>
          <w:sz w:val="24"/>
          <w:szCs w:val="24"/>
        </w:rPr>
      </w:pPr>
      <w:r w:rsidRPr="001E0AC7">
        <w:rPr>
          <w:sz w:val="24"/>
          <w:szCs w:val="24"/>
        </w:rPr>
        <w:t>On May 25, 2018, the Directive was cancelled due to its replacement by the Regulation on Privacy and Electronic Communications</w:t>
      </w:r>
      <w:r w:rsidRPr="001E0AC7">
        <w:rPr>
          <w:rFonts w:cs="Times New Roman"/>
          <w:sz w:val="24"/>
          <w:szCs w:val="24"/>
        </w:rPr>
        <w:t>.</w:t>
      </w:r>
    </w:p>
    <w:p w:rsidR="00CF4D65" w:rsidRPr="001E0AC7" w:rsidRDefault="00CF4D65" w:rsidP="00CF4D65">
      <w:pPr>
        <w:tabs>
          <w:tab w:val="left" w:pos="1276"/>
          <w:tab w:val="left" w:pos="1418"/>
        </w:tabs>
        <w:spacing w:after="0" w:line="240" w:lineRule="auto"/>
        <w:ind w:firstLine="709"/>
        <w:rPr>
          <w:rFonts w:cs="Times New Roman"/>
          <w:sz w:val="24"/>
          <w:szCs w:val="24"/>
        </w:rPr>
      </w:pPr>
      <w:r w:rsidRPr="001E0AC7">
        <w:rPr>
          <w:rFonts w:cs="Times New Roman"/>
          <w:b/>
          <w:sz w:val="24"/>
          <w:szCs w:val="24"/>
        </w:rPr>
        <w:t>Regulation on Privacy and Electronic Communications</w:t>
      </w:r>
      <w:r w:rsidRPr="001E0AC7">
        <w:rPr>
          <w:rFonts w:cs="Times New Roman"/>
          <w:b/>
          <w:sz w:val="24"/>
          <w:szCs w:val="24"/>
          <w:vertAlign w:val="superscript"/>
          <w:lang w:val="ru-RU"/>
        </w:rPr>
        <w:footnoteReference w:id="8"/>
      </w:r>
    </w:p>
    <w:p w:rsidR="00CF4D65" w:rsidRPr="001E0AC7" w:rsidRDefault="00CF4D65" w:rsidP="00CF4D65">
      <w:pPr>
        <w:tabs>
          <w:tab w:val="left" w:pos="1276"/>
          <w:tab w:val="left" w:pos="1418"/>
        </w:tabs>
        <w:spacing w:after="0" w:line="240" w:lineRule="auto"/>
        <w:ind w:firstLine="709"/>
        <w:rPr>
          <w:rFonts w:cs="Times New Roman"/>
          <w:sz w:val="24"/>
          <w:szCs w:val="24"/>
        </w:rPr>
      </w:pPr>
      <w:r w:rsidRPr="001E0AC7">
        <w:rPr>
          <w:sz w:val="24"/>
          <w:szCs w:val="24"/>
        </w:rPr>
        <w:t>The Regulation pursues objectives similar to those of the replaced Directive 2002/58/EC. The EU Council holds monthly hearings on the need for any changes</w:t>
      </w:r>
      <w:r w:rsidRPr="001E0AC7">
        <w:rPr>
          <w:rFonts w:cs="Times New Roman"/>
          <w:sz w:val="24"/>
          <w:szCs w:val="24"/>
        </w:rPr>
        <w:t>.</w:t>
      </w:r>
    </w:p>
    <w:p w:rsidR="00CF4D65" w:rsidRPr="001E0AC7" w:rsidRDefault="00CF4D65" w:rsidP="00CF4D65">
      <w:pPr>
        <w:tabs>
          <w:tab w:val="left" w:pos="1276"/>
          <w:tab w:val="left" w:pos="1418"/>
        </w:tabs>
        <w:spacing w:after="0" w:line="240" w:lineRule="auto"/>
        <w:ind w:firstLine="709"/>
        <w:rPr>
          <w:rFonts w:cs="Times New Roman"/>
          <w:b/>
          <w:sz w:val="24"/>
          <w:szCs w:val="24"/>
        </w:rPr>
      </w:pPr>
      <w:r w:rsidRPr="001E0AC7">
        <w:rPr>
          <w:rFonts w:cs="Times New Roman"/>
          <w:b/>
          <w:sz w:val="24"/>
          <w:szCs w:val="24"/>
        </w:rPr>
        <w:t>6) Regulation (EC) No 1211/2009 establishing the Body of European Regulators for Electronic Communications (BEREC) and the Office)</w:t>
      </w:r>
      <w:r w:rsidRPr="001E0AC7">
        <w:rPr>
          <w:rFonts w:cs="Times New Roman"/>
          <w:b/>
          <w:sz w:val="24"/>
          <w:szCs w:val="24"/>
          <w:vertAlign w:val="superscript"/>
        </w:rPr>
        <w:footnoteReference w:id="9"/>
      </w:r>
    </w:p>
    <w:p w:rsidR="00CF4D65" w:rsidRPr="001E0AC7" w:rsidRDefault="00CF4D65" w:rsidP="00CF4D65">
      <w:pPr>
        <w:tabs>
          <w:tab w:val="left" w:pos="1276"/>
          <w:tab w:val="left" w:pos="1418"/>
        </w:tabs>
        <w:spacing w:after="0" w:line="240" w:lineRule="auto"/>
        <w:ind w:firstLine="709"/>
        <w:rPr>
          <w:rFonts w:cs="Times New Roman"/>
          <w:sz w:val="24"/>
          <w:szCs w:val="24"/>
        </w:rPr>
      </w:pPr>
      <w:r w:rsidRPr="001E0AC7">
        <w:rPr>
          <w:sz w:val="24"/>
          <w:szCs w:val="24"/>
        </w:rPr>
        <w:t>By adopting this Regulation, the Body of European Regulators (BEREC) was established, which advises EU institutions on creating the best market for electronic communications networks and services and organizes communication between national regulators and the European Commission, disseminating best practices among regulators</w:t>
      </w:r>
      <w:r w:rsidRPr="001E0AC7">
        <w:rPr>
          <w:rFonts w:cs="Times New Roman"/>
          <w:sz w:val="24"/>
          <w:szCs w:val="24"/>
        </w:rPr>
        <w:t>.</w:t>
      </w:r>
    </w:p>
    <w:p w:rsidR="00CF4D65" w:rsidRPr="001E0AC7" w:rsidRDefault="00CF4D65" w:rsidP="00CF4D65">
      <w:pPr>
        <w:tabs>
          <w:tab w:val="left" w:pos="1276"/>
          <w:tab w:val="left" w:pos="1418"/>
        </w:tabs>
        <w:spacing w:after="0" w:line="240" w:lineRule="auto"/>
        <w:ind w:firstLine="709"/>
        <w:rPr>
          <w:rFonts w:cs="Times New Roman"/>
          <w:b/>
          <w:sz w:val="24"/>
          <w:szCs w:val="24"/>
        </w:rPr>
      </w:pPr>
      <w:r w:rsidRPr="001E0AC7">
        <w:rPr>
          <w:rFonts w:cs="Times New Roman"/>
          <w:b/>
          <w:sz w:val="24"/>
          <w:szCs w:val="24"/>
        </w:rPr>
        <w:t>7) Regulation (EU) No 531/2012 on roaming on public mobile communications networks)</w:t>
      </w:r>
      <w:r w:rsidRPr="001E0AC7">
        <w:rPr>
          <w:rFonts w:cs="Times New Roman"/>
          <w:b/>
          <w:sz w:val="24"/>
          <w:szCs w:val="24"/>
          <w:vertAlign w:val="superscript"/>
          <w:lang w:val="ru-RU"/>
        </w:rPr>
        <w:footnoteReference w:id="10"/>
      </w:r>
      <w:r w:rsidRPr="001E0AC7">
        <w:rPr>
          <w:rFonts w:cs="Times New Roman"/>
          <w:b/>
          <w:sz w:val="24"/>
          <w:szCs w:val="24"/>
        </w:rPr>
        <w:t xml:space="preserve"> (</w:t>
      </w:r>
      <w:r w:rsidRPr="001E0AC7">
        <w:rPr>
          <w:b/>
          <w:sz w:val="24"/>
          <w:szCs w:val="24"/>
        </w:rPr>
        <w:t>amended on May 17, 2017</w:t>
      </w:r>
      <w:r w:rsidRPr="001E0AC7">
        <w:rPr>
          <w:rFonts w:cs="Times New Roman"/>
          <w:b/>
          <w:sz w:val="24"/>
          <w:szCs w:val="24"/>
        </w:rPr>
        <w:t>)</w:t>
      </w:r>
      <w:r w:rsidRPr="001E0AC7">
        <w:rPr>
          <w:rFonts w:cs="Times New Roman"/>
          <w:b/>
          <w:sz w:val="24"/>
          <w:szCs w:val="24"/>
          <w:vertAlign w:val="superscript"/>
          <w:lang w:val="ru-RU"/>
        </w:rPr>
        <w:footnoteReference w:id="11"/>
      </w:r>
    </w:p>
    <w:p w:rsidR="00CF4D65" w:rsidRPr="001E0AC7" w:rsidRDefault="00CF4D65" w:rsidP="00CF4D65">
      <w:pPr>
        <w:tabs>
          <w:tab w:val="left" w:pos="1276"/>
          <w:tab w:val="left" w:pos="1418"/>
        </w:tabs>
        <w:spacing w:after="0" w:line="240" w:lineRule="auto"/>
        <w:ind w:firstLine="709"/>
        <w:rPr>
          <w:rFonts w:cs="Times New Roman"/>
          <w:sz w:val="24"/>
          <w:szCs w:val="24"/>
        </w:rPr>
      </w:pPr>
      <w:r w:rsidRPr="001E0AC7">
        <w:rPr>
          <w:sz w:val="24"/>
          <w:szCs w:val="24"/>
        </w:rPr>
        <w:t>From July 1, 2012, the Regulation eliminated roaming charges when travelling within the EU. This means that EU citizens travelling within the EU can make calls, send text messages and have access</w:t>
      </w:r>
      <w:r w:rsidR="00395EA2" w:rsidRPr="001E0AC7">
        <w:rPr>
          <w:sz w:val="24"/>
          <w:szCs w:val="24"/>
        </w:rPr>
        <w:t xml:space="preserve"> to</w:t>
      </w:r>
      <w:r w:rsidRPr="001E0AC7">
        <w:rPr>
          <w:sz w:val="24"/>
          <w:szCs w:val="24"/>
        </w:rPr>
        <w:t xml:space="preserve"> the Internet on their mobile devices at the same price as in their own countries</w:t>
      </w:r>
      <w:r w:rsidRPr="001E0AC7">
        <w:rPr>
          <w:rFonts w:cs="Times New Roman"/>
          <w:sz w:val="24"/>
          <w:szCs w:val="24"/>
        </w:rPr>
        <w:t>.</w:t>
      </w:r>
    </w:p>
    <w:p w:rsidR="00CF4D65" w:rsidRPr="001E0AC7" w:rsidRDefault="00CF4D65" w:rsidP="00D301DE">
      <w:pPr>
        <w:tabs>
          <w:tab w:val="left" w:pos="1276"/>
          <w:tab w:val="left" w:pos="1418"/>
        </w:tabs>
        <w:spacing w:line="240" w:lineRule="auto"/>
        <w:ind w:firstLine="709"/>
        <w:rPr>
          <w:rFonts w:cs="Times New Roman"/>
          <w:sz w:val="24"/>
          <w:szCs w:val="24"/>
        </w:rPr>
      </w:pPr>
      <w:r w:rsidRPr="001E0AC7">
        <w:rPr>
          <w:sz w:val="24"/>
          <w:szCs w:val="24"/>
        </w:rPr>
        <w:t>The Regulation also sets out security measures for protecting mobile operators from abuse, and operators could maintain new roaming rules without raising domestic prices</w:t>
      </w:r>
      <w:r w:rsidRPr="001E0AC7">
        <w:rPr>
          <w:rFonts w:cs="Times New Roman"/>
          <w:sz w:val="24"/>
          <w:szCs w:val="24"/>
        </w:rPr>
        <w:t>.</w:t>
      </w:r>
    </w:p>
    <w:p w:rsidR="00CF4D65" w:rsidRPr="001E0AC7" w:rsidRDefault="00CF4D65" w:rsidP="00CF4D65">
      <w:pPr>
        <w:tabs>
          <w:tab w:val="left" w:pos="1276"/>
          <w:tab w:val="left" w:pos="1418"/>
        </w:tabs>
        <w:spacing w:after="0" w:line="240" w:lineRule="auto"/>
        <w:ind w:firstLine="709"/>
        <w:rPr>
          <w:rFonts w:cs="Times New Roman"/>
          <w:sz w:val="24"/>
          <w:szCs w:val="24"/>
        </w:rPr>
      </w:pPr>
      <w:r w:rsidRPr="001E0AC7">
        <w:rPr>
          <w:sz w:val="24"/>
          <w:szCs w:val="24"/>
        </w:rPr>
        <w:t>The following EU-adopted initiatives are complementary for the OTT industry</w:t>
      </w:r>
      <w:r w:rsidRPr="001E0AC7">
        <w:rPr>
          <w:rFonts w:cs="Times New Roman"/>
          <w:sz w:val="24"/>
          <w:szCs w:val="24"/>
        </w:rPr>
        <w:t>:</w:t>
      </w:r>
    </w:p>
    <w:p w:rsidR="00CF4D65" w:rsidRPr="001E0AC7" w:rsidRDefault="00CF4D65" w:rsidP="00CF4D65">
      <w:pPr>
        <w:tabs>
          <w:tab w:val="left" w:pos="1276"/>
          <w:tab w:val="left" w:pos="1418"/>
        </w:tabs>
        <w:spacing w:after="0" w:line="240" w:lineRule="auto"/>
        <w:ind w:firstLine="709"/>
        <w:rPr>
          <w:rFonts w:cs="Times New Roman"/>
          <w:b/>
          <w:sz w:val="24"/>
          <w:szCs w:val="24"/>
        </w:rPr>
      </w:pPr>
      <w:r w:rsidRPr="001E0AC7">
        <w:rPr>
          <w:rFonts w:cs="Times New Roman"/>
          <w:b/>
          <w:sz w:val="24"/>
          <w:szCs w:val="24"/>
        </w:rPr>
        <w:t>Audiovisual Media Services Directive</w:t>
      </w:r>
      <w:r w:rsidRPr="001E0AC7">
        <w:rPr>
          <w:rFonts w:cs="Times New Roman"/>
          <w:b/>
          <w:sz w:val="24"/>
          <w:szCs w:val="24"/>
          <w:vertAlign w:val="superscript"/>
          <w:lang w:val="ru-RU"/>
        </w:rPr>
        <w:footnoteReference w:id="12"/>
      </w:r>
    </w:p>
    <w:p w:rsidR="00CF4D65" w:rsidRPr="001E0AC7" w:rsidRDefault="00CF4D65" w:rsidP="00CF4D65">
      <w:pPr>
        <w:tabs>
          <w:tab w:val="left" w:pos="1276"/>
          <w:tab w:val="left" w:pos="1418"/>
        </w:tabs>
        <w:spacing w:after="0" w:line="240" w:lineRule="auto"/>
        <w:ind w:firstLine="709"/>
        <w:rPr>
          <w:rFonts w:cs="Times New Roman"/>
          <w:sz w:val="24"/>
          <w:szCs w:val="24"/>
        </w:rPr>
      </w:pPr>
      <w:r w:rsidRPr="001E0AC7">
        <w:rPr>
          <w:sz w:val="24"/>
          <w:szCs w:val="24"/>
        </w:rPr>
        <w:t>The Directive aims to create a framework for cross-border audiovisual media services in order to strengthen the domestic market for produc</w:t>
      </w:r>
      <w:r w:rsidR="00D301DE" w:rsidRPr="001E0AC7">
        <w:rPr>
          <w:sz w:val="24"/>
          <w:szCs w:val="24"/>
        </w:rPr>
        <w:t>tion and distribution of progra</w:t>
      </w:r>
      <w:r w:rsidRPr="001E0AC7">
        <w:rPr>
          <w:sz w:val="24"/>
          <w:szCs w:val="24"/>
        </w:rPr>
        <w:t>ms and ensure fair competition</w:t>
      </w:r>
      <w:r w:rsidRPr="001E0AC7">
        <w:rPr>
          <w:rFonts w:cs="Times New Roman"/>
          <w:sz w:val="24"/>
          <w:szCs w:val="24"/>
        </w:rPr>
        <w:t>.</w:t>
      </w:r>
    </w:p>
    <w:p w:rsidR="00CF4D65" w:rsidRPr="001E0AC7" w:rsidRDefault="00CF4D65" w:rsidP="00CF4D65">
      <w:pPr>
        <w:tabs>
          <w:tab w:val="left" w:pos="1276"/>
          <w:tab w:val="left" w:pos="1418"/>
        </w:tabs>
        <w:spacing w:after="0" w:line="240" w:lineRule="auto"/>
        <w:ind w:firstLine="709"/>
        <w:rPr>
          <w:rFonts w:cs="Times New Roman"/>
          <w:sz w:val="24"/>
          <w:szCs w:val="24"/>
        </w:rPr>
      </w:pPr>
      <w:r w:rsidRPr="001E0AC7">
        <w:rPr>
          <w:sz w:val="24"/>
          <w:szCs w:val="24"/>
        </w:rPr>
        <w:t>The Directive establishes legal, regulatory and administrative provisions related to the provision and distribution of audiovisual media services</w:t>
      </w:r>
      <w:r w:rsidRPr="001E0AC7">
        <w:rPr>
          <w:rFonts w:cs="Times New Roman"/>
          <w:sz w:val="24"/>
          <w:szCs w:val="24"/>
        </w:rPr>
        <w:t>.</w:t>
      </w:r>
    </w:p>
    <w:p w:rsidR="00B426E4" w:rsidRPr="001E0AC7" w:rsidRDefault="00B426E4" w:rsidP="00B426E4">
      <w:pPr>
        <w:tabs>
          <w:tab w:val="left" w:pos="1276"/>
          <w:tab w:val="left" w:pos="1418"/>
        </w:tabs>
        <w:spacing w:after="0" w:line="240" w:lineRule="auto"/>
        <w:ind w:firstLine="709"/>
        <w:rPr>
          <w:rFonts w:cs="Times New Roman"/>
          <w:sz w:val="24"/>
          <w:szCs w:val="24"/>
        </w:rPr>
      </w:pPr>
      <w:r w:rsidRPr="001E0AC7">
        <w:rPr>
          <w:rFonts w:cs="Times New Roman"/>
          <w:sz w:val="24"/>
          <w:szCs w:val="24"/>
          <w:lang w:val="en-GB"/>
        </w:rPr>
        <w:t>EU</w:t>
      </w:r>
      <w:r w:rsidRPr="001E0AC7">
        <w:rPr>
          <w:rFonts w:cs="Times New Roman"/>
          <w:sz w:val="24"/>
          <w:szCs w:val="24"/>
        </w:rPr>
        <w:t xml:space="preserve"> </w:t>
      </w:r>
      <w:r w:rsidRPr="001E0AC7">
        <w:rPr>
          <w:rFonts w:cs="Times New Roman"/>
          <w:sz w:val="24"/>
          <w:szCs w:val="24"/>
          <w:lang w:val="en-GB"/>
        </w:rPr>
        <w:t>countries</w:t>
      </w:r>
      <w:r w:rsidRPr="001E0AC7">
        <w:rPr>
          <w:rFonts w:cs="Times New Roman"/>
          <w:sz w:val="24"/>
          <w:szCs w:val="24"/>
        </w:rPr>
        <w:t xml:space="preserve"> </w:t>
      </w:r>
      <w:r w:rsidRPr="001E0AC7">
        <w:rPr>
          <w:rFonts w:cs="Times New Roman"/>
          <w:sz w:val="24"/>
          <w:szCs w:val="24"/>
          <w:lang w:val="en-GB"/>
        </w:rPr>
        <w:t>shall</w:t>
      </w:r>
      <w:r w:rsidRPr="001E0AC7">
        <w:rPr>
          <w:rFonts w:cs="Times New Roman"/>
          <w:sz w:val="24"/>
          <w:szCs w:val="24"/>
        </w:rPr>
        <w:t xml:space="preserve"> </w:t>
      </w:r>
      <w:r w:rsidRPr="001E0AC7">
        <w:rPr>
          <w:rFonts w:cs="Times New Roman"/>
          <w:sz w:val="24"/>
          <w:szCs w:val="24"/>
          <w:lang w:val="en-GB"/>
        </w:rPr>
        <w:t>not</w:t>
      </w:r>
      <w:r w:rsidRPr="001E0AC7">
        <w:rPr>
          <w:rFonts w:cs="Times New Roman"/>
          <w:sz w:val="24"/>
          <w:szCs w:val="24"/>
        </w:rPr>
        <w:t xml:space="preserve"> </w:t>
      </w:r>
      <w:r w:rsidRPr="001E0AC7">
        <w:rPr>
          <w:rFonts w:cs="Times New Roman"/>
          <w:sz w:val="24"/>
          <w:szCs w:val="24"/>
          <w:lang w:val="en-GB"/>
        </w:rPr>
        <w:t>limit</w:t>
      </w:r>
      <w:r w:rsidRPr="001E0AC7">
        <w:rPr>
          <w:rFonts w:cs="Times New Roman"/>
          <w:sz w:val="24"/>
          <w:szCs w:val="24"/>
        </w:rPr>
        <w:t xml:space="preserve"> </w:t>
      </w:r>
      <w:r w:rsidRPr="001E0AC7">
        <w:rPr>
          <w:rFonts w:cs="Times New Roman"/>
          <w:sz w:val="24"/>
          <w:szCs w:val="24"/>
          <w:lang w:val="en-GB"/>
        </w:rPr>
        <w:t>rebroadcasting</w:t>
      </w:r>
      <w:r w:rsidRPr="001E0AC7">
        <w:rPr>
          <w:rFonts w:cs="Times New Roman"/>
          <w:sz w:val="24"/>
          <w:szCs w:val="24"/>
        </w:rPr>
        <w:t xml:space="preserve"> </w:t>
      </w:r>
      <w:r w:rsidRPr="001E0AC7">
        <w:rPr>
          <w:rFonts w:cs="Times New Roman"/>
          <w:sz w:val="24"/>
          <w:szCs w:val="24"/>
          <w:lang w:val="en-GB"/>
        </w:rPr>
        <w:t>of</w:t>
      </w:r>
      <w:r w:rsidRPr="001E0AC7">
        <w:rPr>
          <w:rFonts w:cs="Times New Roman"/>
          <w:sz w:val="24"/>
          <w:szCs w:val="24"/>
        </w:rPr>
        <w:t xml:space="preserve"> </w:t>
      </w:r>
      <w:r w:rsidRPr="001E0AC7">
        <w:rPr>
          <w:rFonts w:cs="Times New Roman"/>
          <w:sz w:val="24"/>
          <w:szCs w:val="24"/>
          <w:lang w:val="en-GB"/>
        </w:rPr>
        <w:t>audio-visual</w:t>
      </w:r>
      <w:r w:rsidRPr="001E0AC7">
        <w:rPr>
          <w:rFonts w:cs="Times New Roman"/>
          <w:sz w:val="24"/>
          <w:szCs w:val="24"/>
        </w:rPr>
        <w:t xml:space="preserve"> </w:t>
      </w:r>
      <w:r w:rsidRPr="001E0AC7">
        <w:rPr>
          <w:rFonts w:cs="Times New Roman"/>
          <w:sz w:val="24"/>
          <w:szCs w:val="24"/>
          <w:lang w:val="en-GB"/>
        </w:rPr>
        <w:t>media</w:t>
      </w:r>
      <w:r w:rsidRPr="001E0AC7">
        <w:rPr>
          <w:rFonts w:cs="Times New Roman"/>
          <w:sz w:val="24"/>
          <w:szCs w:val="24"/>
        </w:rPr>
        <w:t xml:space="preserve"> </w:t>
      </w:r>
      <w:r w:rsidRPr="001E0AC7">
        <w:rPr>
          <w:rFonts w:cs="Times New Roman"/>
          <w:sz w:val="24"/>
          <w:szCs w:val="24"/>
          <w:lang w:val="en-GB"/>
        </w:rPr>
        <w:t>services</w:t>
      </w:r>
      <w:r w:rsidRPr="001E0AC7">
        <w:rPr>
          <w:rFonts w:cs="Times New Roman"/>
          <w:sz w:val="24"/>
          <w:szCs w:val="24"/>
        </w:rPr>
        <w:t xml:space="preserve"> </w:t>
      </w:r>
      <w:r w:rsidRPr="001E0AC7">
        <w:rPr>
          <w:rFonts w:cs="Times New Roman"/>
          <w:sz w:val="24"/>
          <w:szCs w:val="24"/>
          <w:lang w:val="en-GB"/>
        </w:rPr>
        <w:t>from</w:t>
      </w:r>
      <w:r w:rsidRPr="001E0AC7">
        <w:rPr>
          <w:rFonts w:cs="Times New Roman"/>
          <w:sz w:val="24"/>
          <w:szCs w:val="24"/>
        </w:rPr>
        <w:t xml:space="preserve"> </w:t>
      </w:r>
      <w:r w:rsidRPr="001E0AC7">
        <w:rPr>
          <w:rFonts w:cs="Times New Roman"/>
          <w:sz w:val="24"/>
          <w:szCs w:val="24"/>
          <w:lang w:val="en-GB"/>
        </w:rPr>
        <w:t>other</w:t>
      </w:r>
      <w:r w:rsidRPr="001E0AC7">
        <w:rPr>
          <w:rFonts w:cs="Times New Roman"/>
          <w:sz w:val="24"/>
          <w:szCs w:val="24"/>
        </w:rPr>
        <w:t xml:space="preserve"> </w:t>
      </w:r>
      <w:r w:rsidRPr="001E0AC7">
        <w:rPr>
          <w:rFonts w:cs="Times New Roman"/>
          <w:sz w:val="24"/>
          <w:szCs w:val="24"/>
          <w:lang w:val="en-GB"/>
        </w:rPr>
        <w:t>EU</w:t>
      </w:r>
      <w:r w:rsidRPr="001E0AC7">
        <w:rPr>
          <w:rFonts w:cs="Times New Roman"/>
          <w:sz w:val="24"/>
          <w:szCs w:val="24"/>
        </w:rPr>
        <w:t xml:space="preserve"> </w:t>
      </w:r>
      <w:r w:rsidRPr="001E0AC7">
        <w:rPr>
          <w:rFonts w:cs="Times New Roman"/>
          <w:sz w:val="24"/>
          <w:szCs w:val="24"/>
          <w:lang w:val="en-GB"/>
        </w:rPr>
        <w:t>countries</w:t>
      </w:r>
      <w:r w:rsidRPr="001E0AC7">
        <w:rPr>
          <w:rFonts w:cs="Times New Roman"/>
          <w:sz w:val="24"/>
          <w:szCs w:val="24"/>
        </w:rPr>
        <w:t xml:space="preserve"> </w:t>
      </w:r>
      <w:r w:rsidRPr="001E0AC7">
        <w:rPr>
          <w:rFonts w:cs="Times New Roman"/>
          <w:sz w:val="24"/>
          <w:szCs w:val="24"/>
          <w:lang w:val="en-GB"/>
        </w:rPr>
        <w:t>on</w:t>
      </w:r>
      <w:r w:rsidRPr="001E0AC7">
        <w:rPr>
          <w:rFonts w:cs="Times New Roman"/>
          <w:sz w:val="24"/>
          <w:szCs w:val="24"/>
        </w:rPr>
        <w:t xml:space="preserve"> </w:t>
      </w:r>
      <w:r w:rsidRPr="001E0AC7">
        <w:rPr>
          <w:rFonts w:cs="Times New Roman"/>
          <w:sz w:val="24"/>
          <w:szCs w:val="24"/>
          <w:lang w:val="en-GB"/>
        </w:rPr>
        <w:t>their</w:t>
      </w:r>
      <w:r w:rsidRPr="001E0AC7">
        <w:rPr>
          <w:rFonts w:cs="Times New Roman"/>
          <w:sz w:val="24"/>
          <w:szCs w:val="24"/>
        </w:rPr>
        <w:t xml:space="preserve"> </w:t>
      </w:r>
      <w:r w:rsidRPr="001E0AC7">
        <w:rPr>
          <w:rFonts w:cs="Times New Roman"/>
          <w:sz w:val="24"/>
          <w:szCs w:val="24"/>
          <w:lang w:val="en-GB"/>
        </w:rPr>
        <w:t>territories</w:t>
      </w:r>
      <w:r w:rsidRPr="001E0AC7">
        <w:rPr>
          <w:rFonts w:cs="Times New Roman"/>
          <w:sz w:val="24"/>
          <w:szCs w:val="24"/>
        </w:rPr>
        <w:t xml:space="preserve"> </w:t>
      </w:r>
      <w:r w:rsidRPr="001E0AC7">
        <w:rPr>
          <w:rFonts w:cs="Times New Roman"/>
          <w:sz w:val="24"/>
          <w:szCs w:val="24"/>
          <w:lang w:val="en-GB"/>
        </w:rPr>
        <w:t>until</w:t>
      </w:r>
      <w:r w:rsidRPr="001E0AC7">
        <w:rPr>
          <w:rFonts w:cs="Times New Roman"/>
          <w:sz w:val="24"/>
          <w:szCs w:val="24"/>
        </w:rPr>
        <w:t xml:space="preserve"> </w:t>
      </w:r>
      <w:r w:rsidRPr="001E0AC7">
        <w:rPr>
          <w:rFonts w:cs="Times New Roman"/>
          <w:sz w:val="24"/>
          <w:szCs w:val="24"/>
          <w:lang w:val="en-GB"/>
        </w:rPr>
        <w:t>broadcasting</w:t>
      </w:r>
      <w:r w:rsidRPr="001E0AC7">
        <w:rPr>
          <w:rFonts w:cs="Times New Roman"/>
          <w:sz w:val="24"/>
          <w:szCs w:val="24"/>
        </w:rPr>
        <w:t xml:space="preserve"> </w:t>
      </w:r>
      <w:r w:rsidRPr="001E0AC7">
        <w:rPr>
          <w:rFonts w:cs="Times New Roman"/>
          <w:sz w:val="24"/>
          <w:szCs w:val="24"/>
          <w:lang w:val="en-GB"/>
        </w:rPr>
        <w:t>programmes</w:t>
      </w:r>
      <w:r w:rsidRPr="001E0AC7">
        <w:rPr>
          <w:rFonts w:cs="Times New Roman"/>
          <w:sz w:val="24"/>
          <w:szCs w:val="24"/>
        </w:rPr>
        <w:t xml:space="preserve"> </w:t>
      </w:r>
      <w:r w:rsidR="00D301DE" w:rsidRPr="001E0AC7">
        <w:rPr>
          <w:rFonts w:cs="Times New Roman"/>
          <w:sz w:val="24"/>
          <w:szCs w:val="24"/>
          <w:lang w:val="en-GB"/>
        </w:rPr>
        <w:t>do not b</w:t>
      </w:r>
      <w:r w:rsidRPr="001E0AC7">
        <w:rPr>
          <w:rFonts w:cs="Times New Roman"/>
          <w:sz w:val="24"/>
          <w:szCs w:val="24"/>
          <w:lang w:val="en-GB"/>
        </w:rPr>
        <w:t>ecome violent or pornographic</w:t>
      </w:r>
      <w:r w:rsidRPr="001E0AC7">
        <w:rPr>
          <w:rFonts w:cs="Times New Roman"/>
          <w:sz w:val="24"/>
          <w:szCs w:val="24"/>
        </w:rPr>
        <w:t>, capable</w:t>
      </w:r>
      <w:r w:rsidR="00BF05A9" w:rsidRPr="001E0AC7">
        <w:rPr>
          <w:rFonts w:cs="Times New Roman"/>
          <w:sz w:val="24"/>
          <w:szCs w:val="24"/>
        </w:rPr>
        <w:t xml:space="preserve"> of</w:t>
      </w:r>
      <w:r w:rsidRPr="001E0AC7">
        <w:rPr>
          <w:rFonts w:cs="Times New Roman"/>
          <w:sz w:val="24"/>
          <w:szCs w:val="24"/>
        </w:rPr>
        <w:t xml:space="preserve"> </w:t>
      </w:r>
      <w:r w:rsidR="00A37148" w:rsidRPr="001E0AC7">
        <w:rPr>
          <w:rFonts w:cs="Times New Roman"/>
          <w:sz w:val="24"/>
          <w:szCs w:val="24"/>
        </w:rPr>
        <w:t>hurting</w:t>
      </w:r>
      <w:r w:rsidRPr="001E0AC7">
        <w:rPr>
          <w:rFonts w:cs="Times New Roman"/>
          <w:sz w:val="24"/>
          <w:szCs w:val="24"/>
        </w:rPr>
        <w:t xml:space="preserve"> the feelings of minors.</w:t>
      </w:r>
    </w:p>
    <w:p w:rsidR="00B426E4" w:rsidRPr="001E0AC7" w:rsidRDefault="00B426E4" w:rsidP="00B426E4">
      <w:pPr>
        <w:tabs>
          <w:tab w:val="left" w:pos="1276"/>
          <w:tab w:val="left" w:pos="1418"/>
        </w:tabs>
        <w:spacing w:after="0" w:line="240" w:lineRule="auto"/>
        <w:ind w:firstLine="709"/>
        <w:rPr>
          <w:rFonts w:cs="Times New Roman"/>
          <w:sz w:val="24"/>
          <w:szCs w:val="24"/>
        </w:rPr>
      </w:pPr>
      <w:r w:rsidRPr="001E0AC7">
        <w:rPr>
          <w:rFonts w:cs="Times New Roman"/>
          <w:sz w:val="24"/>
          <w:szCs w:val="24"/>
        </w:rPr>
        <w:t xml:space="preserve">EU countries </w:t>
      </w:r>
      <w:r w:rsidRPr="001E0AC7">
        <w:rPr>
          <w:rFonts w:cs="Times New Roman"/>
          <w:sz w:val="24"/>
          <w:szCs w:val="24"/>
          <w:lang w:val="en-GB"/>
        </w:rPr>
        <w:t>may</w:t>
      </w:r>
      <w:r w:rsidRPr="001E0AC7">
        <w:rPr>
          <w:rFonts w:cs="Times New Roman"/>
          <w:sz w:val="24"/>
          <w:szCs w:val="24"/>
        </w:rPr>
        <w:t xml:space="preserve"> </w:t>
      </w:r>
      <w:r w:rsidRPr="001E0AC7">
        <w:rPr>
          <w:rFonts w:cs="Times New Roman"/>
          <w:sz w:val="24"/>
          <w:szCs w:val="24"/>
          <w:lang w:val="en-GB"/>
        </w:rPr>
        <w:t>also</w:t>
      </w:r>
      <w:r w:rsidRPr="001E0AC7">
        <w:rPr>
          <w:rFonts w:cs="Times New Roman"/>
          <w:sz w:val="24"/>
          <w:szCs w:val="24"/>
        </w:rPr>
        <w:t xml:space="preserve"> </w:t>
      </w:r>
      <w:r w:rsidRPr="001E0AC7">
        <w:rPr>
          <w:rFonts w:cs="Times New Roman"/>
          <w:sz w:val="24"/>
          <w:szCs w:val="24"/>
          <w:lang w:val="en-GB"/>
        </w:rPr>
        <w:t>limit the content delivery on the territory if a national regulator is</w:t>
      </w:r>
      <w:r w:rsidRPr="001E0AC7">
        <w:rPr>
          <w:rFonts w:cs="Times New Roman"/>
          <w:sz w:val="24"/>
          <w:szCs w:val="24"/>
        </w:rPr>
        <w:t xml:space="preserve"> </w:t>
      </w:r>
      <w:r w:rsidRPr="001E0AC7">
        <w:rPr>
          <w:rFonts w:cs="Times New Roman"/>
          <w:sz w:val="24"/>
          <w:szCs w:val="24"/>
          <w:lang w:val="en-GB"/>
        </w:rPr>
        <w:t>suspicious about the</w:t>
      </w:r>
      <w:r w:rsidRPr="001E0AC7">
        <w:rPr>
          <w:rFonts w:cs="Times New Roman"/>
          <w:sz w:val="24"/>
          <w:szCs w:val="24"/>
        </w:rPr>
        <w:t xml:space="preserve"> </w:t>
      </w:r>
      <w:r w:rsidR="00A37148" w:rsidRPr="001E0AC7">
        <w:rPr>
          <w:rFonts w:cs="Times New Roman"/>
          <w:sz w:val="24"/>
          <w:szCs w:val="24"/>
          <w:lang w:val="en-GB"/>
        </w:rPr>
        <w:t>state policy</w:t>
      </w:r>
      <w:r w:rsidRPr="001E0AC7">
        <w:rPr>
          <w:rFonts w:cs="Times New Roman"/>
          <w:sz w:val="24"/>
          <w:szCs w:val="24"/>
        </w:rPr>
        <w:t xml:space="preserve">, security or consumer protection may be </w:t>
      </w:r>
      <w:r w:rsidR="00873290" w:rsidRPr="001E0AC7">
        <w:rPr>
          <w:rFonts w:cs="Times New Roman"/>
          <w:sz w:val="24"/>
          <w:szCs w:val="24"/>
        </w:rPr>
        <w:t>at risk</w:t>
      </w:r>
      <w:r w:rsidRPr="001E0AC7">
        <w:rPr>
          <w:rFonts w:cs="Times New Roman"/>
          <w:sz w:val="24"/>
          <w:szCs w:val="24"/>
        </w:rPr>
        <w:t xml:space="preserve">. In particular, </w:t>
      </w:r>
      <w:r w:rsidRPr="001E0AC7">
        <w:rPr>
          <w:rFonts w:cs="Times New Roman"/>
          <w:sz w:val="24"/>
          <w:szCs w:val="24"/>
          <w:lang w:val="en-GB"/>
        </w:rPr>
        <w:t>in</w:t>
      </w:r>
      <w:r w:rsidRPr="001E0AC7">
        <w:rPr>
          <w:rFonts w:cs="Times New Roman"/>
          <w:sz w:val="24"/>
          <w:szCs w:val="24"/>
        </w:rPr>
        <w:t xml:space="preserve"> 2014 </w:t>
      </w:r>
      <w:r w:rsidRPr="001E0AC7">
        <w:rPr>
          <w:rFonts w:cs="Times New Roman"/>
          <w:sz w:val="24"/>
          <w:szCs w:val="24"/>
          <w:lang w:val="en-GB"/>
        </w:rPr>
        <w:t>in</w:t>
      </w:r>
      <w:r w:rsidRPr="001E0AC7">
        <w:rPr>
          <w:rFonts w:cs="Times New Roman"/>
          <w:sz w:val="24"/>
          <w:szCs w:val="24"/>
        </w:rPr>
        <w:t xml:space="preserve"> </w:t>
      </w:r>
      <w:r w:rsidRPr="001E0AC7">
        <w:rPr>
          <w:rFonts w:cs="Times New Roman"/>
          <w:sz w:val="24"/>
          <w:szCs w:val="24"/>
          <w:lang w:val="en-GB"/>
        </w:rPr>
        <w:t>France</w:t>
      </w:r>
      <w:r w:rsidRPr="001E0AC7">
        <w:rPr>
          <w:rFonts w:cs="Times New Roman"/>
          <w:sz w:val="24"/>
          <w:szCs w:val="24"/>
        </w:rPr>
        <w:t xml:space="preserve"> </w:t>
      </w:r>
      <w:r w:rsidRPr="001E0AC7">
        <w:rPr>
          <w:rFonts w:cs="Times New Roman"/>
          <w:sz w:val="24"/>
          <w:szCs w:val="24"/>
          <w:lang w:val="en-GB"/>
        </w:rPr>
        <w:t>and</w:t>
      </w:r>
      <w:r w:rsidRPr="001E0AC7">
        <w:rPr>
          <w:rFonts w:cs="Times New Roman"/>
          <w:sz w:val="24"/>
          <w:szCs w:val="24"/>
        </w:rPr>
        <w:t xml:space="preserve"> </w:t>
      </w:r>
      <w:r w:rsidRPr="001E0AC7">
        <w:rPr>
          <w:rFonts w:cs="Times New Roman"/>
          <w:sz w:val="24"/>
          <w:szCs w:val="24"/>
          <w:lang w:val="en-GB"/>
        </w:rPr>
        <w:t>Spain</w:t>
      </w:r>
      <w:r w:rsidRPr="001E0AC7">
        <w:rPr>
          <w:rFonts w:cs="Times New Roman"/>
          <w:sz w:val="24"/>
          <w:szCs w:val="24"/>
        </w:rPr>
        <w:t xml:space="preserve"> </w:t>
      </w:r>
      <w:r w:rsidRPr="001E0AC7">
        <w:rPr>
          <w:rFonts w:cs="Times New Roman"/>
          <w:sz w:val="24"/>
          <w:szCs w:val="24"/>
          <w:lang w:val="ru-RU"/>
        </w:rPr>
        <w:t>ОТТ</w:t>
      </w:r>
      <w:r w:rsidR="002908C7" w:rsidRPr="001E0AC7">
        <w:rPr>
          <w:rFonts w:cs="Times New Roman"/>
          <w:sz w:val="24"/>
          <w:szCs w:val="24"/>
        </w:rPr>
        <w:t xml:space="preserve"> </w:t>
      </w:r>
      <w:r w:rsidRPr="001E0AC7">
        <w:rPr>
          <w:rFonts w:cs="Times New Roman"/>
          <w:sz w:val="24"/>
          <w:szCs w:val="24"/>
          <w:lang w:val="en-GB"/>
        </w:rPr>
        <w:t>services</w:t>
      </w:r>
      <w:r w:rsidRPr="001E0AC7">
        <w:rPr>
          <w:rFonts w:cs="Times New Roman"/>
          <w:sz w:val="24"/>
          <w:szCs w:val="24"/>
        </w:rPr>
        <w:t xml:space="preserve"> </w:t>
      </w:r>
      <w:r w:rsidRPr="001E0AC7">
        <w:rPr>
          <w:rFonts w:cs="Times New Roman"/>
          <w:sz w:val="24"/>
          <w:szCs w:val="24"/>
          <w:lang w:val="en-GB"/>
        </w:rPr>
        <w:t>providers</w:t>
      </w:r>
      <w:r w:rsidRPr="001E0AC7">
        <w:rPr>
          <w:rFonts w:cs="Times New Roman"/>
          <w:sz w:val="24"/>
          <w:szCs w:val="24"/>
        </w:rPr>
        <w:t xml:space="preserve"> </w:t>
      </w:r>
      <w:r w:rsidR="00724528" w:rsidRPr="001E0AC7">
        <w:rPr>
          <w:rFonts w:cs="Times New Roman"/>
          <w:sz w:val="24"/>
          <w:szCs w:val="24"/>
          <w:lang w:val="en-GB"/>
        </w:rPr>
        <w:t xml:space="preserve">operating by </w:t>
      </w:r>
      <w:r w:rsidRPr="001E0AC7">
        <w:rPr>
          <w:rFonts w:cs="Times New Roman"/>
          <w:sz w:val="24"/>
          <w:szCs w:val="24"/>
          <w:lang w:val="en-GB"/>
        </w:rPr>
        <w:t>connection to</w:t>
      </w:r>
      <w:r w:rsidRPr="001E0AC7">
        <w:rPr>
          <w:rFonts w:cs="Times New Roman"/>
          <w:sz w:val="24"/>
          <w:szCs w:val="24"/>
        </w:rPr>
        <w:t xml:space="preserve"> </w:t>
      </w:r>
      <w:r w:rsidR="00724528" w:rsidRPr="001E0AC7">
        <w:rPr>
          <w:rFonts w:cs="Times New Roman"/>
          <w:sz w:val="24"/>
          <w:szCs w:val="24"/>
        </w:rPr>
        <w:t xml:space="preserve">the </w:t>
      </w:r>
      <w:r w:rsidRPr="001E0AC7">
        <w:rPr>
          <w:rFonts w:cs="Times New Roman"/>
          <w:sz w:val="24"/>
          <w:szCs w:val="24"/>
        </w:rPr>
        <w:t xml:space="preserve">public switched telephone network (PSTN) were prohibited to provide voice services. This prohibition was justified by the fact that </w:t>
      </w:r>
      <w:r w:rsidRPr="001E0AC7">
        <w:rPr>
          <w:rFonts w:cs="Times New Roman"/>
          <w:sz w:val="24"/>
          <w:szCs w:val="24"/>
          <w:lang w:val="ru-RU"/>
        </w:rPr>
        <w:t>ОТТ</w:t>
      </w:r>
      <w:r w:rsidRPr="001E0AC7">
        <w:rPr>
          <w:rFonts w:cs="Times New Roman"/>
          <w:sz w:val="24"/>
          <w:szCs w:val="24"/>
        </w:rPr>
        <w:t xml:space="preserve"> </w:t>
      </w:r>
      <w:r w:rsidRPr="001E0AC7">
        <w:rPr>
          <w:rFonts w:cs="Times New Roman"/>
          <w:sz w:val="24"/>
          <w:szCs w:val="24"/>
          <w:lang w:val="en-GB"/>
        </w:rPr>
        <w:t>acted</w:t>
      </w:r>
      <w:r w:rsidRPr="001E0AC7">
        <w:rPr>
          <w:rFonts w:cs="Times New Roman"/>
          <w:sz w:val="24"/>
          <w:szCs w:val="24"/>
        </w:rPr>
        <w:t xml:space="preserve"> </w:t>
      </w:r>
      <w:r w:rsidRPr="001E0AC7">
        <w:rPr>
          <w:rFonts w:cs="Times New Roman"/>
          <w:sz w:val="24"/>
          <w:szCs w:val="24"/>
          <w:lang w:val="en-GB"/>
        </w:rPr>
        <w:t>like</w:t>
      </w:r>
      <w:r w:rsidRPr="001E0AC7">
        <w:rPr>
          <w:rFonts w:cs="Times New Roman"/>
          <w:sz w:val="24"/>
          <w:szCs w:val="24"/>
        </w:rPr>
        <w:t xml:space="preserve"> </w:t>
      </w:r>
      <w:r w:rsidRPr="001E0AC7">
        <w:rPr>
          <w:rFonts w:cs="Times New Roman"/>
          <w:sz w:val="24"/>
          <w:szCs w:val="24"/>
          <w:lang w:val="en-GB"/>
        </w:rPr>
        <w:t>a</w:t>
      </w:r>
      <w:r w:rsidRPr="001E0AC7">
        <w:rPr>
          <w:rFonts w:cs="Times New Roman"/>
          <w:sz w:val="24"/>
          <w:szCs w:val="24"/>
        </w:rPr>
        <w:t xml:space="preserve"> </w:t>
      </w:r>
      <w:r w:rsidRPr="001E0AC7">
        <w:rPr>
          <w:rFonts w:cs="Times New Roman"/>
          <w:sz w:val="24"/>
          <w:szCs w:val="24"/>
          <w:lang w:val="en-GB"/>
        </w:rPr>
        <w:t>fully</w:t>
      </w:r>
      <w:r w:rsidRPr="001E0AC7">
        <w:rPr>
          <w:rFonts w:cs="Times New Roman"/>
          <w:sz w:val="24"/>
          <w:szCs w:val="24"/>
        </w:rPr>
        <w:t xml:space="preserve"> </w:t>
      </w:r>
      <w:r w:rsidRPr="001E0AC7">
        <w:rPr>
          <w:rFonts w:cs="Times New Roman"/>
          <w:sz w:val="24"/>
          <w:szCs w:val="24"/>
          <w:lang w:val="en-GB"/>
        </w:rPr>
        <w:t>functional</w:t>
      </w:r>
      <w:r w:rsidRPr="001E0AC7">
        <w:rPr>
          <w:rFonts w:cs="Times New Roman"/>
          <w:sz w:val="24"/>
          <w:szCs w:val="24"/>
        </w:rPr>
        <w:t xml:space="preserve"> </w:t>
      </w:r>
      <w:r w:rsidRPr="001E0AC7">
        <w:rPr>
          <w:rFonts w:cs="Times New Roman"/>
          <w:sz w:val="24"/>
          <w:szCs w:val="24"/>
          <w:lang w:val="en-GB"/>
        </w:rPr>
        <w:t>carrier</w:t>
      </w:r>
      <w:r w:rsidRPr="001E0AC7">
        <w:rPr>
          <w:rFonts w:cs="Times New Roman"/>
          <w:sz w:val="24"/>
          <w:szCs w:val="24"/>
        </w:rPr>
        <w:t xml:space="preserve"> </w:t>
      </w:r>
      <w:r w:rsidRPr="001E0AC7">
        <w:rPr>
          <w:rFonts w:cs="Times New Roman"/>
          <w:sz w:val="24"/>
          <w:szCs w:val="24"/>
          <w:lang w:val="en-GB"/>
        </w:rPr>
        <w:t>company</w:t>
      </w:r>
      <w:r w:rsidRPr="001E0AC7">
        <w:rPr>
          <w:rFonts w:cs="Times New Roman"/>
          <w:sz w:val="24"/>
          <w:szCs w:val="24"/>
        </w:rPr>
        <w:t xml:space="preserve">, </w:t>
      </w:r>
      <w:r w:rsidRPr="001E0AC7">
        <w:rPr>
          <w:rFonts w:cs="Times New Roman"/>
          <w:sz w:val="24"/>
          <w:szCs w:val="24"/>
          <w:lang w:val="en-GB"/>
        </w:rPr>
        <w:t>but</w:t>
      </w:r>
      <w:r w:rsidRPr="001E0AC7">
        <w:rPr>
          <w:rFonts w:cs="Times New Roman"/>
          <w:sz w:val="24"/>
          <w:szCs w:val="24"/>
        </w:rPr>
        <w:t xml:space="preserve"> did </w:t>
      </w:r>
      <w:r w:rsidRPr="001E0AC7">
        <w:rPr>
          <w:rFonts w:cs="Times New Roman"/>
          <w:sz w:val="24"/>
          <w:szCs w:val="24"/>
          <w:lang w:val="en-GB"/>
        </w:rPr>
        <w:t>not</w:t>
      </w:r>
      <w:r w:rsidRPr="001E0AC7">
        <w:rPr>
          <w:rFonts w:cs="Times New Roman"/>
          <w:sz w:val="24"/>
          <w:szCs w:val="24"/>
        </w:rPr>
        <w:t xml:space="preserve"> </w:t>
      </w:r>
      <w:r w:rsidRPr="001E0AC7">
        <w:rPr>
          <w:rFonts w:cs="Times New Roman"/>
          <w:sz w:val="24"/>
          <w:szCs w:val="24"/>
          <w:lang w:val="en-GB"/>
        </w:rPr>
        <w:t xml:space="preserve">fulfil </w:t>
      </w:r>
      <w:r w:rsidRPr="001E0AC7">
        <w:rPr>
          <w:rFonts w:cs="Times New Roman"/>
          <w:sz w:val="24"/>
          <w:szCs w:val="24"/>
          <w:lang w:val="en-GB"/>
        </w:rPr>
        <w:lastRenderedPageBreak/>
        <w:t xml:space="preserve">the obligations </w:t>
      </w:r>
      <w:r w:rsidRPr="001E0AC7">
        <w:rPr>
          <w:rFonts w:cs="Times New Roman"/>
          <w:sz w:val="24"/>
          <w:szCs w:val="24"/>
        </w:rPr>
        <w:t>of a traditional telecommunication company (d</w:t>
      </w:r>
      <w:r w:rsidR="00736619" w:rsidRPr="001E0AC7">
        <w:rPr>
          <w:rFonts w:cs="Times New Roman"/>
          <w:sz w:val="24"/>
          <w:szCs w:val="24"/>
        </w:rPr>
        <w:t>id</w:t>
      </w:r>
      <w:r w:rsidRPr="001E0AC7">
        <w:rPr>
          <w:rFonts w:cs="Times New Roman"/>
          <w:sz w:val="24"/>
          <w:szCs w:val="24"/>
        </w:rPr>
        <w:t xml:space="preserve"> not pay </w:t>
      </w:r>
      <w:r w:rsidR="00EB6352" w:rsidRPr="001E0AC7">
        <w:rPr>
          <w:rFonts w:cs="Times New Roman"/>
          <w:sz w:val="24"/>
          <w:szCs w:val="24"/>
        </w:rPr>
        <w:t xml:space="preserve">for </w:t>
      </w:r>
      <w:r w:rsidRPr="001E0AC7">
        <w:rPr>
          <w:rFonts w:cs="Times New Roman"/>
          <w:sz w:val="24"/>
          <w:szCs w:val="24"/>
        </w:rPr>
        <w:t xml:space="preserve">universal communications services </w:t>
      </w:r>
      <w:r w:rsidR="00EB6352" w:rsidRPr="001E0AC7">
        <w:rPr>
          <w:rFonts w:cs="Times New Roman"/>
          <w:sz w:val="24"/>
          <w:szCs w:val="24"/>
        </w:rPr>
        <w:t xml:space="preserve">according to </w:t>
      </w:r>
      <w:r w:rsidRPr="001E0AC7">
        <w:rPr>
          <w:rFonts w:cs="Times New Roman"/>
          <w:sz w:val="24"/>
          <w:szCs w:val="24"/>
        </w:rPr>
        <w:t>the legal requirements</w:t>
      </w:r>
      <w:r w:rsidR="00601989" w:rsidRPr="001E0AC7">
        <w:rPr>
          <w:rFonts w:cs="Times New Roman"/>
          <w:sz w:val="24"/>
          <w:szCs w:val="24"/>
        </w:rPr>
        <w:t xml:space="preserve">, did not </w:t>
      </w:r>
      <w:r w:rsidR="00EB6352" w:rsidRPr="001E0AC7">
        <w:rPr>
          <w:rFonts w:cs="Times New Roman"/>
          <w:sz w:val="24"/>
          <w:szCs w:val="24"/>
        </w:rPr>
        <w:t>provide</w:t>
      </w:r>
      <w:r w:rsidR="00601989" w:rsidRPr="001E0AC7">
        <w:rPr>
          <w:rFonts w:cs="Times New Roman"/>
          <w:sz w:val="24"/>
          <w:szCs w:val="24"/>
        </w:rPr>
        <w:t xml:space="preserve"> the ability to call </w:t>
      </w:r>
      <w:r w:rsidRPr="001E0AC7">
        <w:rPr>
          <w:rFonts w:cs="Times New Roman"/>
          <w:sz w:val="24"/>
          <w:szCs w:val="24"/>
        </w:rPr>
        <w:t xml:space="preserve">Emergency Services, </w:t>
      </w:r>
      <w:r w:rsidR="00A34A22" w:rsidRPr="001E0AC7">
        <w:rPr>
          <w:rFonts w:cs="Times New Roman"/>
          <w:sz w:val="24"/>
          <w:szCs w:val="24"/>
        </w:rPr>
        <w:t xml:space="preserve">disclaimed liability </w:t>
      </w:r>
      <w:r w:rsidR="00642948" w:rsidRPr="001E0AC7">
        <w:rPr>
          <w:rFonts w:cs="Times New Roman"/>
          <w:sz w:val="24"/>
          <w:szCs w:val="24"/>
        </w:rPr>
        <w:t xml:space="preserve">for the breach of </w:t>
      </w:r>
      <w:r w:rsidRPr="001E0AC7">
        <w:rPr>
          <w:rFonts w:cs="Times New Roman"/>
          <w:sz w:val="24"/>
          <w:szCs w:val="24"/>
        </w:rPr>
        <w:t xml:space="preserve">national legislation). </w:t>
      </w:r>
      <w:r w:rsidRPr="001E0AC7">
        <w:rPr>
          <w:rFonts w:cs="Times New Roman"/>
          <w:sz w:val="24"/>
          <w:szCs w:val="24"/>
          <w:vertAlign w:val="superscript"/>
          <w:lang w:val="ru-RU"/>
        </w:rPr>
        <w:footnoteReference w:id="13"/>
      </w:r>
    </w:p>
    <w:p w:rsidR="00B426E4" w:rsidRPr="001E0AC7" w:rsidRDefault="007455A1" w:rsidP="00B426E4">
      <w:pPr>
        <w:tabs>
          <w:tab w:val="left" w:pos="1276"/>
          <w:tab w:val="left" w:pos="1418"/>
        </w:tabs>
        <w:spacing w:after="0" w:line="240" w:lineRule="auto"/>
        <w:ind w:firstLine="709"/>
        <w:rPr>
          <w:rFonts w:cs="Times New Roman"/>
          <w:sz w:val="24"/>
          <w:szCs w:val="24"/>
        </w:rPr>
      </w:pPr>
      <w:r w:rsidRPr="001E0AC7">
        <w:rPr>
          <w:rFonts w:cs="Times New Roman"/>
          <w:sz w:val="24"/>
          <w:szCs w:val="24"/>
          <w:lang w:val="en-GB"/>
        </w:rPr>
        <w:t>Audiovisual services provider shall disclose the following information</w:t>
      </w:r>
      <w:r w:rsidR="001663E6" w:rsidRPr="001E0AC7">
        <w:rPr>
          <w:rFonts w:cs="Times New Roman"/>
          <w:sz w:val="24"/>
          <w:szCs w:val="24"/>
          <w:lang w:val="en-GB"/>
        </w:rPr>
        <w:t xml:space="preserve"> to the consumer</w:t>
      </w:r>
      <w:r w:rsidR="00B426E4" w:rsidRPr="001E0AC7">
        <w:rPr>
          <w:rFonts w:cs="Times New Roman"/>
          <w:sz w:val="24"/>
          <w:szCs w:val="24"/>
        </w:rPr>
        <w:t>:</w:t>
      </w:r>
    </w:p>
    <w:p w:rsidR="00B426E4" w:rsidRPr="001E0AC7" w:rsidRDefault="00B426E4" w:rsidP="00B426E4">
      <w:pPr>
        <w:tabs>
          <w:tab w:val="left" w:pos="1276"/>
          <w:tab w:val="left" w:pos="1418"/>
        </w:tabs>
        <w:spacing w:after="0" w:line="240" w:lineRule="auto"/>
        <w:ind w:firstLine="709"/>
        <w:rPr>
          <w:rFonts w:cs="Times New Roman"/>
          <w:sz w:val="24"/>
          <w:szCs w:val="24"/>
        </w:rPr>
      </w:pPr>
      <w:r w:rsidRPr="001E0AC7">
        <w:rPr>
          <w:rFonts w:cs="Times New Roman"/>
          <w:sz w:val="24"/>
          <w:szCs w:val="24"/>
        </w:rPr>
        <w:t xml:space="preserve">- </w:t>
      </w:r>
      <w:proofErr w:type="gramStart"/>
      <w:r w:rsidR="001663E6" w:rsidRPr="001E0AC7">
        <w:rPr>
          <w:rFonts w:cs="Times New Roman"/>
          <w:sz w:val="24"/>
          <w:szCs w:val="24"/>
        </w:rPr>
        <w:t>its</w:t>
      </w:r>
      <w:proofErr w:type="gramEnd"/>
      <w:r w:rsidR="001663E6" w:rsidRPr="001E0AC7">
        <w:rPr>
          <w:rFonts w:cs="Times New Roman"/>
          <w:sz w:val="24"/>
          <w:szCs w:val="24"/>
        </w:rPr>
        <w:t xml:space="preserve"> </w:t>
      </w:r>
      <w:r w:rsidRPr="001E0AC7">
        <w:rPr>
          <w:rFonts w:cs="Times New Roman"/>
          <w:sz w:val="24"/>
          <w:szCs w:val="24"/>
          <w:lang w:val="en-GB"/>
        </w:rPr>
        <w:t>name</w:t>
      </w:r>
      <w:r w:rsidRPr="001E0AC7">
        <w:rPr>
          <w:rFonts w:cs="Times New Roman"/>
          <w:sz w:val="24"/>
          <w:szCs w:val="24"/>
        </w:rPr>
        <w:t>;</w:t>
      </w:r>
    </w:p>
    <w:p w:rsidR="00B426E4" w:rsidRPr="001E0AC7" w:rsidRDefault="00B426E4" w:rsidP="00B426E4">
      <w:pPr>
        <w:tabs>
          <w:tab w:val="left" w:pos="1276"/>
          <w:tab w:val="left" w:pos="1418"/>
        </w:tabs>
        <w:spacing w:after="0" w:line="240" w:lineRule="auto"/>
        <w:ind w:firstLine="709"/>
        <w:rPr>
          <w:rFonts w:cs="Times New Roman"/>
          <w:sz w:val="24"/>
          <w:szCs w:val="24"/>
        </w:rPr>
      </w:pPr>
      <w:r w:rsidRPr="001E0AC7">
        <w:rPr>
          <w:rFonts w:cs="Times New Roman"/>
          <w:sz w:val="24"/>
          <w:szCs w:val="24"/>
        </w:rPr>
        <w:t xml:space="preserve">- </w:t>
      </w:r>
      <w:proofErr w:type="gramStart"/>
      <w:r w:rsidR="001663E6" w:rsidRPr="001E0AC7">
        <w:rPr>
          <w:rFonts w:cs="Times New Roman"/>
          <w:sz w:val="24"/>
          <w:szCs w:val="24"/>
        </w:rPr>
        <w:t>its</w:t>
      </w:r>
      <w:proofErr w:type="gramEnd"/>
      <w:r w:rsidR="001663E6" w:rsidRPr="001E0AC7">
        <w:rPr>
          <w:rFonts w:cs="Times New Roman"/>
          <w:sz w:val="24"/>
          <w:szCs w:val="24"/>
        </w:rPr>
        <w:t xml:space="preserve"> </w:t>
      </w:r>
      <w:r w:rsidRPr="001E0AC7">
        <w:rPr>
          <w:rFonts w:cs="Times New Roman"/>
          <w:sz w:val="24"/>
          <w:szCs w:val="24"/>
          <w:lang w:val="en-GB"/>
        </w:rPr>
        <w:t>geographical address</w:t>
      </w:r>
      <w:r w:rsidRPr="001E0AC7">
        <w:rPr>
          <w:rFonts w:cs="Times New Roman"/>
          <w:sz w:val="24"/>
          <w:szCs w:val="24"/>
        </w:rPr>
        <w:t>;</w:t>
      </w:r>
    </w:p>
    <w:p w:rsidR="00B426E4" w:rsidRPr="001E0AC7" w:rsidRDefault="00B426E4" w:rsidP="00B426E4">
      <w:pPr>
        <w:tabs>
          <w:tab w:val="left" w:pos="1276"/>
          <w:tab w:val="left" w:pos="1418"/>
        </w:tabs>
        <w:spacing w:after="0" w:line="240" w:lineRule="auto"/>
        <w:ind w:firstLine="709"/>
        <w:rPr>
          <w:rFonts w:cs="Times New Roman"/>
          <w:sz w:val="24"/>
          <w:szCs w:val="24"/>
        </w:rPr>
      </w:pPr>
      <w:r w:rsidRPr="001E0AC7">
        <w:rPr>
          <w:rFonts w:cs="Times New Roman"/>
          <w:sz w:val="24"/>
          <w:szCs w:val="24"/>
        </w:rPr>
        <w:t xml:space="preserve">- </w:t>
      </w:r>
      <w:proofErr w:type="gramStart"/>
      <w:r w:rsidR="001663E6" w:rsidRPr="001E0AC7">
        <w:rPr>
          <w:rFonts w:cs="Times New Roman"/>
          <w:sz w:val="24"/>
          <w:szCs w:val="24"/>
        </w:rPr>
        <w:t>its</w:t>
      </w:r>
      <w:proofErr w:type="gramEnd"/>
      <w:r w:rsidR="001663E6" w:rsidRPr="001E0AC7">
        <w:rPr>
          <w:rFonts w:cs="Times New Roman"/>
          <w:sz w:val="24"/>
          <w:szCs w:val="24"/>
        </w:rPr>
        <w:t xml:space="preserve"> </w:t>
      </w:r>
      <w:r w:rsidRPr="001E0AC7">
        <w:rPr>
          <w:rFonts w:cs="Times New Roman"/>
          <w:sz w:val="24"/>
          <w:szCs w:val="24"/>
          <w:lang w:val="en-GB"/>
        </w:rPr>
        <w:t>contact details</w:t>
      </w:r>
      <w:r w:rsidRPr="001E0AC7">
        <w:rPr>
          <w:rFonts w:cs="Times New Roman"/>
          <w:sz w:val="24"/>
          <w:szCs w:val="24"/>
        </w:rPr>
        <w:t>;</w:t>
      </w:r>
    </w:p>
    <w:p w:rsidR="00B426E4" w:rsidRPr="001E0AC7" w:rsidRDefault="00B426E4" w:rsidP="00B426E4">
      <w:pPr>
        <w:tabs>
          <w:tab w:val="left" w:pos="1276"/>
          <w:tab w:val="left" w:pos="1418"/>
        </w:tabs>
        <w:spacing w:after="0" w:line="240" w:lineRule="auto"/>
        <w:ind w:firstLine="709"/>
        <w:rPr>
          <w:rFonts w:cs="Times New Roman"/>
          <w:sz w:val="24"/>
          <w:szCs w:val="24"/>
        </w:rPr>
      </w:pPr>
      <w:r w:rsidRPr="001E0AC7">
        <w:rPr>
          <w:rFonts w:cs="Times New Roman"/>
          <w:sz w:val="24"/>
          <w:szCs w:val="24"/>
        </w:rPr>
        <w:t xml:space="preserve">- </w:t>
      </w:r>
      <w:proofErr w:type="gramStart"/>
      <w:r w:rsidR="001663E6" w:rsidRPr="001E0AC7">
        <w:rPr>
          <w:rFonts w:cs="Times New Roman"/>
          <w:sz w:val="24"/>
          <w:szCs w:val="24"/>
          <w:lang w:val="en-GB"/>
        </w:rPr>
        <w:t>relevant</w:t>
      </w:r>
      <w:proofErr w:type="gramEnd"/>
      <w:r w:rsidRPr="001E0AC7">
        <w:rPr>
          <w:rFonts w:cs="Times New Roman"/>
          <w:sz w:val="24"/>
          <w:szCs w:val="24"/>
          <w:lang w:val="en-GB"/>
        </w:rPr>
        <w:t xml:space="preserve"> regulating or supervisory authorities</w:t>
      </w:r>
      <w:r w:rsidRPr="001E0AC7">
        <w:rPr>
          <w:rFonts w:cs="Times New Roman"/>
          <w:sz w:val="24"/>
          <w:szCs w:val="24"/>
        </w:rPr>
        <w:t>.</w:t>
      </w:r>
    </w:p>
    <w:p w:rsidR="00B426E4" w:rsidRPr="001E0AC7" w:rsidRDefault="00B426E4" w:rsidP="00B426E4">
      <w:pPr>
        <w:tabs>
          <w:tab w:val="left" w:pos="1276"/>
          <w:tab w:val="left" w:pos="1418"/>
        </w:tabs>
        <w:spacing w:after="0" w:line="240" w:lineRule="auto"/>
        <w:ind w:firstLine="709"/>
        <w:rPr>
          <w:rFonts w:cs="Times New Roman"/>
          <w:sz w:val="24"/>
          <w:szCs w:val="24"/>
        </w:rPr>
      </w:pPr>
      <w:r w:rsidRPr="001E0AC7">
        <w:rPr>
          <w:rFonts w:cs="Times New Roman"/>
          <w:sz w:val="24"/>
          <w:szCs w:val="24"/>
          <w:lang w:val="en-GB"/>
        </w:rPr>
        <w:t>When</w:t>
      </w:r>
      <w:r w:rsidRPr="001E0AC7">
        <w:rPr>
          <w:rFonts w:cs="Times New Roman"/>
          <w:sz w:val="24"/>
          <w:szCs w:val="24"/>
        </w:rPr>
        <w:t xml:space="preserve"> </w:t>
      </w:r>
      <w:r w:rsidRPr="001E0AC7">
        <w:rPr>
          <w:rFonts w:cs="Times New Roman"/>
          <w:sz w:val="24"/>
          <w:szCs w:val="24"/>
          <w:lang w:val="en-GB"/>
        </w:rPr>
        <w:t xml:space="preserve">providing </w:t>
      </w:r>
      <w:r w:rsidR="00162710" w:rsidRPr="001E0AC7">
        <w:rPr>
          <w:rFonts w:cs="Times New Roman"/>
          <w:sz w:val="24"/>
          <w:szCs w:val="24"/>
          <w:lang w:val="en-GB"/>
        </w:rPr>
        <w:t xml:space="preserve">on-demand </w:t>
      </w:r>
      <w:r w:rsidRPr="001E0AC7">
        <w:rPr>
          <w:rFonts w:cs="Times New Roman"/>
          <w:sz w:val="24"/>
          <w:szCs w:val="24"/>
          <w:lang w:val="en-GB"/>
        </w:rPr>
        <w:t>audiovisual information services</w:t>
      </w:r>
      <w:r w:rsidRPr="001E0AC7">
        <w:rPr>
          <w:rFonts w:cs="Times New Roman"/>
          <w:sz w:val="24"/>
          <w:szCs w:val="24"/>
        </w:rPr>
        <w:t xml:space="preserve"> (Video </w:t>
      </w:r>
      <w:proofErr w:type="gramStart"/>
      <w:r w:rsidRPr="001E0AC7">
        <w:rPr>
          <w:rFonts w:cs="Times New Roman"/>
          <w:sz w:val="24"/>
          <w:szCs w:val="24"/>
        </w:rPr>
        <w:t>On</w:t>
      </w:r>
      <w:proofErr w:type="gramEnd"/>
      <w:r w:rsidRPr="001E0AC7">
        <w:rPr>
          <w:rFonts w:cs="Times New Roman"/>
          <w:sz w:val="24"/>
          <w:szCs w:val="24"/>
        </w:rPr>
        <w:t xml:space="preserve"> Demand), EU countries </w:t>
      </w:r>
      <w:r w:rsidRPr="001E0AC7">
        <w:rPr>
          <w:rFonts w:cs="Times New Roman"/>
          <w:sz w:val="24"/>
          <w:szCs w:val="24"/>
          <w:lang w:val="en-GB"/>
        </w:rPr>
        <w:t xml:space="preserve">shall ensure </w:t>
      </w:r>
      <w:r w:rsidRPr="001E0AC7">
        <w:rPr>
          <w:rFonts w:cs="Times New Roman"/>
          <w:sz w:val="24"/>
          <w:szCs w:val="24"/>
        </w:rPr>
        <w:t xml:space="preserve">required </w:t>
      </w:r>
      <w:r w:rsidRPr="001E0AC7">
        <w:rPr>
          <w:rFonts w:cs="Times New Roman"/>
          <w:sz w:val="24"/>
          <w:szCs w:val="24"/>
          <w:lang w:val="en-GB"/>
        </w:rPr>
        <w:t>conditions</w:t>
      </w:r>
      <w:r w:rsidRPr="001E0AC7">
        <w:rPr>
          <w:rFonts w:cs="Times New Roman"/>
          <w:sz w:val="24"/>
          <w:szCs w:val="24"/>
        </w:rPr>
        <w:t xml:space="preserve"> </w:t>
      </w:r>
      <w:r w:rsidRPr="001E0AC7">
        <w:rPr>
          <w:rFonts w:cs="Times New Roman"/>
          <w:sz w:val="24"/>
          <w:szCs w:val="24"/>
          <w:lang w:val="en-GB"/>
        </w:rPr>
        <w:t xml:space="preserve">for providers of audiovisual media services </w:t>
      </w:r>
      <w:r w:rsidRPr="001E0AC7">
        <w:rPr>
          <w:rFonts w:cs="Times New Roman"/>
          <w:sz w:val="24"/>
          <w:szCs w:val="24"/>
        </w:rPr>
        <w:t xml:space="preserve">so that they facilitate the production of and access to European </w:t>
      </w:r>
      <w:r w:rsidR="000B1094" w:rsidRPr="001E0AC7">
        <w:rPr>
          <w:rFonts w:cs="Times New Roman"/>
          <w:sz w:val="24"/>
          <w:szCs w:val="24"/>
        </w:rPr>
        <w:t>content</w:t>
      </w:r>
      <w:r w:rsidRPr="001E0AC7">
        <w:rPr>
          <w:rFonts w:cs="Times New Roman"/>
          <w:sz w:val="24"/>
          <w:szCs w:val="24"/>
        </w:rPr>
        <w:t xml:space="preserve">. With this purpose providers </w:t>
      </w:r>
      <w:r w:rsidRPr="001E0AC7">
        <w:rPr>
          <w:rFonts w:cs="Times New Roman"/>
          <w:sz w:val="24"/>
          <w:szCs w:val="24"/>
          <w:lang w:val="en-GB"/>
        </w:rPr>
        <w:t>may</w:t>
      </w:r>
      <w:r w:rsidRPr="001E0AC7">
        <w:rPr>
          <w:rFonts w:cs="Times New Roman"/>
          <w:sz w:val="24"/>
          <w:szCs w:val="24"/>
        </w:rPr>
        <w:t xml:space="preserve"> </w:t>
      </w:r>
      <w:r w:rsidRPr="001E0AC7">
        <w:rPr>
          <w:rFonts w:cs="Times New Roman"/>
          <w:sz w:val="24"/>
          <w:szCs w:val="24"/>
          <w:lang w:val="en-GB"/>
        </w:rPr>
        <w:t>make</w:t>
      </w:r>
      <w:r w:rsidRPr="001E0AC7">
        <w:rPr>
          <w:rFonts w:cs="Times New Roman"/>
          <w:sz w:val="24"/>
          <w:szCs w:val="24"/>
        </w:rPr>
        <w:t xml:space="preserve"> </w:t>
      </w:r>
      <w:r w:rsidRPr="001E0AC7">
        <w:rPr>
          <w:rFonts w:cs="Times New Roman"/>
          <w:sz w:val="24"/>
          <w:szCs w:val="24"/>
          <w:lang w:val="en-GB"/>
        </w:rPr>
        <w:t>financial</w:t>
      </w:r>
      <w:r w:rsidRPr="001E0AC7">
        <w:rPr>
          <w:rFonts w:cs="Times New Roman"/>
          <w:sz w:val="24"/>
          <w:szCs w:val="24"/>
        </w:rPr>
        <w:t xml:space="preserve"> </w:t>
      </w:r>
      <w:r w:rsidRPr="001E0AC7">
        <w:rPr>
          <w:rFonts w:cs="Times New Roman"/>
          <w:sz w:val="24"/>
          <w:szCs w:val="24"/>
          <w:lang w:val="en-GB"/>
        </w:rPr>
        <w:t>contributions</w:t>
      </w:r>
      <w:r w:rsidRPr="001E0AC7">
        <w:rPr>
          <w:rFonts w:cs="Times New Roman"/>
          <w:sz w:val="24"/>
          <w:szCs w:val="24"/>
        </w:rPr>
        <w:t xml:space="preserve"> </w:t>
      </w:r>
      <w:r w:rsidRPr="001E0AC7">
        <w:rPr>
          <w:rFonts w:cs="Times New Roman"/>
          <w:sz w:val="24"/>
          <w:szCs w:val="24"/>
          <w:lang w:val="en-GB"/>
        </w:rPr>
        <w:t xml:space="preserve">to the production of European </w:t>
      </w:r>
      <w:r w:rsidR="002A420E" w:rsidRPr="001E0AC7">
        <w:rPr>
          <w:rFonts w:cs="Times New Roman"/>
          <w:sz w:val="24"/>
          <w:szCs w:val="24"/>
          <w:lang w:val="en-GB"/>
        </w:rPr>
        <w:t>content</w:t>
      </w:r>
      <w:r w:rsidRPr="001E0AC7">
        <w:rPr>
          <w:rFonts w:cs="Times New Roman"/>
          <w:sz w:val="24"/>
          <w:szCs w:val="24"/>
          <w:lang w:val="en-GB"/>
        </w:rPr>
        <w:t xml:space="preserve"> or they may reserve a share and</w:t>
      </w:r>
      <w:r w:rsidRPr="001E0AC7">
        <w:rPr>
          <w:rFonts w:cs="Times New Roman"/>
          <w:sz w:val="24"/>
          <w:szCs w:val="24"/>
        </w:rPr>
        <w:t xml:space="preserve">/or </w:t>
      </w:r>
      <w:r w:rsidR="002A420E" w:rsidRPr="001E0AC7">
        <w:rPr>
          <w:rFonts w:cs="Times New Roman"/>
          <w:sz w:val="24"/>
          <w:szCs w:val="24"/>
        </w:rPr>
        <w:t xml:space="preserve">increase popularity of </w:t>
      </w:r>
      <w:r w:rsidRPr="001E0AC7">
        <w:rPr>
          <w:rFonts w:cs="Times New Roman"/>
          <w:sz w:val="24"/>
          <w:szCs w:val="24"/>
        </w:rPr>
        <w:t xml:space="preserve">European </w:t>
      </w:r>
      <w:r w:rsidR="002A420E" w:rsidRPr="001E0AC7">
        <w:rPr>
          <w:rFonts w:cs="Times New Roman"/>
          <w:sz w:val="24"/>
          <w:szCs w:val="24"/>
        </w:rPr>
        <w:t xml:space="preserve">content </w:t>
      </w:r>
      <w:r w:rsidRPr="001E0AC7">
        <w:rPr>
          <w:rFonts w:cs="Times New Roman"/>
          <w:sz w:val="24"/>
          <w:szCs w:val="24"/>
        </w:rPr>
        <w:t>in their program catalogues.</w:t>
      </w:r>
    </w:p>
    <w:p w:rsidR="00B426E4" w:rsidRPr="001E0AC7" w:rsidRDefault="006C7ED6" w:rsidP="00B426E4">
      <w:pPr>
        <w:tabs>
          <w:tab w:val="left" w:pos="1276"/>
          <w:tab w:val="left" w:pos="1418"/>
        </w:tabs>
        <w:spacing w:after="0" w:line="240" w:lineRule="auto"/>
        <w:ind w:firstLine="709"/>
        <w:rPr>
          <w:rFonts w:cs="Times New Roman"/>
          <w:sz w:val="24"/>
          <w:szCs w:val="24"/>
        </w:rPr>
      </w:pPr>
      <w:r w:rsidRPr="001E0AC7">
        <w:rPr>
          <w:rFonts w:cs="Times New Roman"/>
          <w:sz w:val="24"/>
          <w:szCs w:val="24"/>
        </w:rPr>
        <w:t xml:space="preserve">AVMS </w:t>
      </w:r>
      <w:r w:rsidRPr="001E0AC7">
        <w:rPr>
          <w:rFonts w:cs="Times New Roman"/>
          <w:sz w:val="24"/>
          <w:szCs w:val="24"/>
          <w:lang w:val="en-GB"/>
        </w:rPr>
        <w:t>Directive (Audiovisual Media Services) was amended and adopted</w:t>
      </w:r>
      <w:r w:rsidRPr="001E0AC7">
        <w:rPr>
          <w:rFonts w:cs="Times New Roman"/>
          <w:sz w:val="24"/>
          <w:szCs w:val="24"/>
        </w:rPr>
        <w:t xml:space="preserve"> on </w:t>
      </w:r>
      <w:r w:rsidR="00B426E4" w:rsidRPr="001E0AC7">
        <w:rPr>
          <w:rFonts w:cs="Times New Roman"/>
          <w:sz w:val="24"/>
          <w:szCs w:val="24"/>
        </w:rPr>
        <w:t xml:space="preserve">6 </w:t>
      </w:r>
      <w:r w:rsidR="00B426E4" w:rsidRPr="001E0AC7">
        <w:rPr>
          <w:rFonts w:cs="Times New Roman"/>
          <w:sz w:val="24"/>
          <w:szCs w:val="24"/>
          <w:lang w:val="en-GB"/>
        </w:rPr>
        <w:t>November</w:t>
      </w:r>
      <w:r w:rsidR="00B426E4" w:rsidRPr="001E0AC7">
        <w:rPr>
          <w:rFonts w:cs="Times New Roman"/>
          <w:sz w:val="24"/>
          <w:szCs w:val="24"/>
        </w:rPr>
        <w:t xml:space="preserve"> 2018.</w:t>
      </w:r>
    </w:p>
    <w:p w:rsidR="00B1410A" w:rsidRPr="001E0AC7" w:rsidRDefault="00B1410A" w:rsidP="00B1410A">
      <w:pPr>
        <w:tabs>
          <w:tab w:val="left" w:pos="1276"/>
          <w:tab w:val="left" w:pos="1418"/>
        </w:tabs>
        <w:spacing w:after="0" w:line="240" w:lineRule="auto"/>
        <w:ind w:firstLine="709"/>
        <w:rPr>
          <w:rFonts w:cs="Times New Roman"/>
          <w:sz w:val="24"/>
          <w:szCs w:val="24"/>
        </w:rPr>
      </w:pPr>
      <w:r w:rsidRPr="001E0AC7">
        <w:rPr>
          <w:rFonts w:cs="Times New Roman"/>
          <w:sz w:val="24"/>
          <w:szCs w:val="24"/>
        </w:rPr>
        <w:t>New additions:</w:t>
      </w:r>
    </w:p>
    <w:p w:rsidR="00B1410A" w:rsidRPr="001E0AC7" w:rsidRDefault="00B1410A" w:rsidP="00B1410A">
      <w:pPr>
        <w:tabs>
          <w:tab w:val="left" w:pos="1276"/>
          <w:tab w:val="left" w:pos="1418"/>
        </w:tabs>
        <w:spacing w:after="0" w:line="240" w:lineRule="auto"/>
        <w:ind w:firstLine="709"/>
        <w:rPr>
          <w:rFonts w:cs="Times New Roman"/>
          <w:sz w:val="24"/>
          <w:szCs w:val="24"/>
        </w:rPr>
      </w:pPr>
      <w:r w:rsidRPr="001E0AC7">
        <w:rPr>
          <w:rFonts w:cs="Times New Roman"/>
          <w:sz w:val="24"/>
          <w:szCs w:val="24"/>
        </w:rPr>
        <w:t>•</w:t>
      </w:r>
      <w:r w:rsidRPr="001E0AC7">
        <w:rPr>
          <w:rFonts w:cs="Times New Roman"/>
          <w:sz w:val="24"/>
          <w:szCs w:val="24"/>
        </w:rPr>
        <w:tab/>
        <w:t>Several rules of the revised Directive are now extended to cover video sharing platforms such as: YouTube as well as audiovisual content distributed in social networks such as Facebook.</w:t>
      </w:r>
    </w:p>
    <w:p w:rsidR="00B1410A" w:rsidRPr="001E0AC7" w:rsidRDefault="00B1410A" w:rsidP="00B1410A">
      <w:pPr>
        <w:tabs>
          <w:tab w:val="left" w:pos="1276"/>
          <w:tab w:val="left" w:pos="1418"/>
        </w:tabs>
        <w:spacing w:after="0" w:line="240" w:lineRule="auto"/>
        <w:ind w:firstLine="709"/>
        <w:rPr>
          <w:rFonts w:cs="Times New Roman"/>
          <w:sz w:val="24"/>
          <w:szCs w:val="24"/>
        </w:rPr>
      </w:pPr>
      <w:r w:rsidRPr="001E0AC7">
        <w:rPr>
          <w:rFonts w:cs="Times New Roman"/>
          <w:sz w:val="24"/>
          <w:szCs w:val="24"/>
        </w:rPr>
        <w:t>•</w:t>
      </w:r>
      <w:r w:rsidRPr="001E0AC7">
        <w:rPr>
          <w:rFonts w:cs="Times New Roman"/>
          <w:sz w:val="24"/>
          <w:szCs w:val="24"/>
        </w:rPr>
        <w:tab/>
        <w:t>Increased protection of minors from harmful content in digital world is provided: new rules increase the safety of "video on demand" services with the commitment to protect the minors also being extended to video sharing platforms which now must take appropriate actions.</w:t>
      </w:r>
    </w:p>
    <w:p w:rsidR="00B1410A" w:rsidRPr="001E0AC7" w:rsidRDefault="00B1410A" w:rsidP="00B1410A">
      <w:pPr>
        <w:tabs>
          <w:tab w:val="left" w:pos="1276"/>
          <w:tab w:val="left" w:pos="1418"/>
        </w:tabs>
        <w:spacing w:after="0" w:line="240" w:lineRule="auto"/>
        <w:ind w:firstLine="709"/>
        <w:rPr>
          <w:rFonts w:cs="Times New Roman"/>
          <w:sz w:val="24"/>
          <w:szCs w:val="24"/>
        </w:rPr>
      </w:pPr>
      <w:r w:rsidRPr="001E0AC7">
        <w:rPr>
          <w:rFonts w:cs="Times New Roman"/>
          <w:sz w:val="24"/>
          <w:szCs w:val="24"/>
        </w:rPr>
        <w:t>•</w:t>
      </w:r>
      <w:r w:rsidRPr="001E0AC7">
        <w:rPr>
          <w:rFonts w:cs="Times New Roman"/>
          <w:sz w:val="24"/>
          <w:szCs w:val="24"/>
        </w:rPr>
        <w:tab/>
        <w:t>Protection of TV and video on demand services from violence/hate rhetoric and public incitement to conduct terrorist crimes has been increased. Platforms for video sharing must also take appropriate measures to protect people from violence/hate rhetoric as well as from the content constituting criminal offences.</w:t>
      </w:r>
    </w:p>
    <w:p w:rsidR="00B1410A" w:rsidRPr="001E0AC7" w:rsidRDefault="00B1410A" w:rsidP="00B1410A">
      <w:pPr>
        <w:tabs>
          <w:tab w:val="left" w:pos="1276"/>
          <w:tab w:val="left" w:pos="1418"/>
        </w:tabs>
        <w:spacing w:after="0" w:line="240" w:lineRule="auto"/>
        <w:ind w:firstLine="709"/>
        <w:rPr>
          <w:rFonts w:cs="Times New Roman"/>
          <w:sz w:val="24"/>
          <w:szCs w:val="24"/>
        </w:rPr>
      </w:pPr>
      <w:r w:rsidRPr="001E0AC7">
        <w:rPr>
          <w:rFonts w:cs="Times New Roman"/>
          <w:sz w:val="24"/>
          <w:szCs w:val="24"/>
        </w:rPr>
        <w:t>•</w:t>
      </w:r>
      <w:r w:rsidRPr="001E0AC7">
        <w:rPr>
          <w:rFonts w:cs="Times New Roman"/>
          <w:sz w:val="24"/>
          <w:szCs w:val="24"/>
        </w:rPr>
        <w:tab/>
        <w:t>Increased commitment to promote European audiovisual titles for VOD services which are required to have at least 30% of European content in their catalogues and ensure that this content is sufficiently covered.</w:t>
      </w:r>
    </w:p>
    <w:p w:rsidR="00B1410A" w:rsidRPr="001E0AC7" w:rsidRDefault="00B1410A" w:rsidP="00B1410A">
      <w:pPr>
        <w:tabs>
          <w:tab w:val="left" w:pos="1276"/>
          <w:tab w:val="left" w:pos="1418"/>
        </w:tabs>
        <w:spacing w:after="0" w:line="240" w:lineRule="auto"/>
        <w:ind w:firstLine="709"/>
        <w:rPr>
          <w:rFonts w:cs="Times New Roman"/>
          <w:sz w:val="24"/>
          <w:szCs w:val="24"/>
        </w:rPr>
      </w:pPr>
      <w:r w:rsidRPr="001E0AC7">
        <w:rPr>
          <w:rFonts w:cs="Times New Roman"/>
          <w:sz w:val="24"/>
          <w:szCs w:val="24"/>
        </w:rPr>
        <w:t>•</w:t>
      </w:r>
      <w:r w:rsidRPr="001E0AC7">
        <w:rPr>
          <w:rFonts w:cs="Times New Roman"/>
          <w:sz w:val="24"/>
          <w:szCs w:val="24"/>
        </w:rPr>
        <w:tab/>
        <w:t>Reinforced provisions on protection of children from inappropriate audiovisual commercial messages for the products with high fat, salt and sodium, and sugars content including by promoting codes of conduct at the EU level, where appropriate. Video sharing platforms should also comply with specific obligations with respect to commercial messages, for which they are responsible, providing transparency of these messages placed on user uploaded content.</w:t>
      </w:r>
    </w:p>
    <w:p w:rsidR="00B1410A" w:rsidRPr="001E0AC7" w:rsidRDefault="00B1410A" w:rsidP="00B1410A">
      <w:pPr>
        <w:tabs>
          <w:tab w:val="left" w:pos="1276"/>
          <w:tab w:val="left" w:pos="1418"/>
        </w:tabs>
        <w:spacing w:after="0" w:line="240" w:lineRule="auto"/>
        <w:ind w:firstLine="709"/>
        <w:rPr>
          <w:rFonts w:cs="Times New Roman"/>
          <w:sz w:val="24"/>
          <w:szCs w:val="24"/>
        </w:rPr>
      </w:pPr>
      <w:r w:rsidRPr="001E0AC7">
        <w:rPr>
          <w:rFonts w:cs="Times New Roman"/>
          <w:sz w:val="24"/>
          <w:szCs w:val="24"/>
        </w:rPr>
        <w:t xml:space="preserve">However, the legal and regulatory framework given above does not fully comply with the tasks of efficient protection of personal data (PD) on the Internet, in general, and in ОТТ services, in particular. For that reason, in recent years EU has developed more detailed legislative framework in this area which would cover all EU countries as well as partially third countries, taking into account changes in existing EU system for processing personal data of </w:t>
      </w:r>
      <w:r w:rsidRPr="001E0AC7">
        <w:rPr>
          <w:rFonts w:cs="Times New Roman"/>
          <w:sz w:val="24"/>
          <w:szCs w:val="24"/>
        </w:rPr>
        <w:lastRenderedPageBreak/>
        <w:t xml:space="preserve">customers. The legislative framework developed is called </w:t>
      </w:r>
      <w:r w:rsidRPr="001E0AC7">
        <w:rPr>
          <w:rFonts w:cs="Times New Roman"/>
          <w:b/>
          <w:sz w:val="24"/>
          <w:szCs w:val="24"/>
        </w:rPr>
        <w:t>"</w:t>
      </w:r>
      <w:r w:rsidRPr="001E0AC7">
        <w:rPr>
          <w:b/>
        </w:rPr>
        <w:t>P</w:t>
      </w:r>
      <w:r w:rsidRPr="001E0AC7">
        <w:rPr>
          <w:rFonts w:cs="Times New Roman"/>
          <w:b/>
          <w:sz w:val="24"/>
          <w:szCs w:val="24"/>
        </w:rPr>
        <w:t>ersonal data protection legislative package"</w:t>
      </w:r>
      <w:r w:rsidRPr="001E0AC7">
        <w:rPr>
          <w:rFonts w:cs="Times New Roman"/>
          <w:b/>
          <w:sz w:val="24"/>
          <w:szCs w:val="24"/>
          <w:vertAlign w:val="superscript"/>
        </w:rPr>
        <w:footnoteReference w:id="14"/>
      </w:r>
      <w:r w:rsidRPr="001E0AC7">
        <w:rPr>
          <w:rFonts w:cs="Times New Roman"/>
          <w:b/>
          <w:sz w:val="24"/>
          <w:szCs w:val="24"/>
        </w:rPr>
        <w:t xml:space="preserve"> </w:t>
      </w:r>
      <w:r w:rsidRPr="001E0AC7">
        <w:rPr>
          <w:rFonts w:cs="Times New Roman"/>
          <w:sz w:val="24"/>
          <w:szCs w:val="24"/>
        </w:rPr>
        <w:t xml:space="preserve">which includes two documents, intended to replace obsolete legal framework: </w:t>
      </w:r>
    </w:p>
    <w:p w:rsidR="00B1410A" w:rsidRPr="001E0AC7" w:rsidRDefault="00B1410A" w:rsidP="00B1410A">
      <w:pPr>
        <w:tabs>
          <w:tab w:val="left" w:pos="1276"/>
          <w:tab w:val="left" w:pos="1418"/>
        </w:tabs>
        <w:spacing w:after="0" w:line="240" w:lineRule="auto"/>
        <w:ind w:firstLine="709"/>
        <w:rPr>
          <w:rFonts w:cs="Times New Roman"/>
          <w:sz w:val="24"/>
          <w:szCs w:val="24"/>
        </w:rPr>
      </w:pPr>
      <w:r w:rsidRPr="001E0AC7">
        <w:rPr>
          <w:rFonts w:cs="Times New Roman"/>
          <w:sz w:val="24"/>
          <w:szCs w:val="24"/>
        </w:rPr>
        <w:t xml:space="preserve">1) "General Data Protection Regulation" (GDPR), </w:t>
      </w:r>
    </w:p>
    <w:p w:rsidR="00B1410A" w:rsidRPr="001E0AC7" w:rsidRDefault="00B1410A" w:rsidP="00B1410A">
      <w:pPr>
        <w:tabs>
          <w:tab w:val="left" w:pos="1276"/>
          <w:tab w:val="left" w:pos="1418"/>
        </w:tabs>
        <w:spacing w:after="0" w:line="240" w:lineRule="auto"/>
        <w:ind w:firstLine="709"/>
        <w:rPr>
          <w:rFonts w:cs="Times New Roman"/>
          <w:sz w:val="24"/>
          <w:szCs w:val="24"/>
        </w:rPr>
      </w:pPr>
      <w:r w:rsidRPr="001E0AC7">
        <w:rPr>
          <w:rFonts w:cs="Times New Roman"/>
          <w:sz w:val="24"/>
          <w:szCs w:val="24"/>
        </w:rPr>
        <w:t>2) "Directive (EU) – protecting individuals with regard to the processing of their personal data by police and criminal justice authorities".</w:t>
      </w:r>
    </w:p>
    <w:p w:rsidR="00B1410A" w:rsidRPr="001E0AC7" w:rsidRDefault="00B1410A" w:rsidP="00B1410A">
      <w:pPr>
        <w:tabs>
          <w:tab w:val="left" w:pos="1276"/>
          <w:tab w:val="left" w:pos="1418"/>
        </w:tabs>
        <w:spacing w:after="0" w:line="240" w:lineRule="auto"/>
        <w:ind w:firstLine="709"/>
        <w:rPr>
          <w:rFonts w:cs="Times New Roman"/>
          <w:b/>
          <w:sz w:val="24"/>
          <w:szCs w:val="24"/>
        </w:rPr>
      </w:pPr>
      <w:r w:rsidRPr="001E0AC7">
        <w:rPr>
          <w:rFonts w:cs="Times New Roman"/>
          <w:b/>
          <w:sz w:val="24"/>
          <w:szCs w:val="24"/>
        </w:rPr>
        <w:t>1) EU General Data Protection Regulation 2016/679)</w:t>
      </w:r>
      <w:r w:rsidRPr="001E0AC7">
        <w:rPr>
          <w:rFonts w:cs="Times New Roman"/>
          <w:b/>
          <w:sz w:val="24"/>
          <w:szCs w:val="24"/>
          <w:vertAlign w:val="superscript"/>
        </w:rPr>
        <w:footnoteReference w:id="15"/>
      </w:r>
      <w:r w:rsidRPr="001E0AC7">
        <w:rPr>
          <w:rFonts w:cs="Times New Roman"/>
          <w:b/>
          <w:sz w:val="24"/>
          <w:szCs w:val="24"/>
        </w:rPr>
        <w:t xml:space="preserve"> </w:t>
      </w:r>
    </w:p>
    <w:p w:rsidR="00B1410A" w:rsidRPr="001E0AC7" w:rsidRDefault="00B1410A" w:rsidP="00B1410A">
      <w:pPr>
        <w:tabs>
          <w:tab w:val="left" w:pos="1276"/>
          <w:tab w:val="left" w:pos="1418"/>
        </w:tabs>
        <w:spacing w:after="0" w:line="240" w:lineRule="auto"/>
        <w:ind w:firstLine="709"/>
        <w:rPr>
          <w:rFonts w:cs="Times New Roman"/>
          <w:sz w:val="24"/>
          <w:szCs w:val="24"/>
        </w:rPr>
      </w:pPr>
      <w:r w:rsidRPr="001E0AC7">
        <w:rPr>
          <w:rFonts w:cs="Times New Roman"/>
          <w:sz w:val="24"/>
          <w:szCs w:val="24"/>
        </w:rPr>
        <w:t xml:space="preserve">EU General Data Protection Regulation 2016/679 is the EU regulation adopted by the European Parliament on </w:t>
      </w:r>
      <w:r w:rsidR="00261BB4" w:rsidRPr="001E0AC7">
        <w:rPr>
          <w:rFonts w:cs="Times New Roman"/>
          <w:sz w:val="24"/>
          <w:szCs w:val="24"/>
        </w:rPr>
        <w:t>24</w:t>
      </w:r>
      <w:r w:rsidRPr="001E0AC7">
        <w:rPr>
          <w:rFonts w:cs="Times New Roman"/>
          <w:sz w:val="24"/>
          <w:szCs w:val="24"/>
        </w:rPr>
        <w:t xml:space="preserve"> May 2016 according to the results of lengthy discussions. It entered into force on 25 May 2018. The adopted document in the field of PD protection has the status of regulation, in contrast to the prior directive.</w:t>
      </w:r>
      <w:r w:rsidRPr="001E0AC7">
        <w:rPr>
          <w:rFonts w:cs="Times New Roman"/>
          <w:sz w:val="24"/>
          <w:szCs w:val="24"/>
          <w:vertAlign w:val="superscript"/>
        </w:rPr>
        <w:footnoteReference w:id="16"/>
      </w:r>
      <w:r w:rsidRPr="001E0AC7">
        <w:rPr>
          <w:rFonts w:cs="Times New Roman"/>
          <w:sz w:val="24"/>
          <w:szCs w:val="24"/>
        </w:rPr>
        <w:t xml:space="preserve"> This regulation has replaced Directive 95/46/EC which was prior in force, better known as EU Directive</w:t>
      </w:r>
      <w:r w:rsidRPr="001E0AC7">
        <w:rPr>
          <w:sz w:val="24"/>
          <w:szCs w:val="24"/>
        </w:rPr>
        <w:t xml:space="preserve"> on </w:t>
      </w:r>
      <w:r w:rsidRPr="001E0AC7">
        <w:rPr>
          <w:bCs/>
          <w:sz w:val="24"/>
          <w:szCs w:val="24"/>
        </w:rPr>
        <w:t>protection of natural persons with regard to the processing of personal data</w:t>
      </w:r>
      <w:r w:rsidRPr="001E0AC7">
        <w:rPr>
          <w:rFonts w:cs="Times New Roman"/>
          <w:sz w:val="24"/>
          <w:szCs w:val="24"/>
        </w:rPr>
        <w:t>.</w:t>
      </w:r>
    </w:p>
    <w:p w:rsidR="00B1410A" w:rsidRPr="001E0AC7" w:rsidRDefault="00B1410A" w:rsidP="00B1410A">
      <w:pPr>
        <w:tabs>
          <w:tab w:val="left" w:pos="1276"/>
          <w:tab w:val="left" w:pos="1418"/>
        </w:tabs>
        <w:spacing w:after="0" w:line="240" w:lineRule="auto"/>
        <w:ind w:firstLine="709"/>
        <w:rPr>
          <w:rFonts w:cs="Times New Roman"/>
          <w:sz w:val="24"/>
          <w:szCs w:val="24"/>
        </w:rPr>
      </w:pPr>
      <w:r w:rsidRPr="001E0AC7">
        <w:rPr>
          <w:rFonts w:cs="Times New Roman"/>
          <w:sz w:val="24"/>
          <w:szCs w:val="24"/>
        </w:rPr>
        <w:t>It allows European Union citizens to better control their personal data. It also updates and unifies rules allowing enterprises to reduce bureaucracy and enjoy greater consumer confidence.</w:t>
      </w:r>
    </w:p>
    <w:p w:rsidR="00B1410A" w:rsidRPr="001E0AC7" w:rsidRDefault="00B1410A" w:rsidP="00B1410A">
      <w:pPr>
        <w:tabs>
          <w:tab w:val="left" w:pos="1276"/>
          <w:tab w:val="left" w:pos="1418"/>
        </w:tabs>
        <w:spacing w:after="0" w:line="240" w:lineRule="auto"/>
        <w:ind w:firstLine="709"/>
        <w:rPr>
          <w:rFonts w:cs="Times New Roman"/>
          <w:sz w:val="24"/>
          <w:szCs w:val="24"/>
        </w:rPr>
      </w:pPr>
      <w:r w:rsidRPr="001E0AC7">
        <w:rPr>
          <w:rFonts w:cs="Times New Roman"/>
          <w:sz w:val="24"/>
          <w:szCs w:val="24"/>
        </w:rPr>
        <w:t xml:space="preserve">As compared to the obsolete Directive 95/46/ЕС, new regulation strengthens already existing citizen rights providing them with new ones as well as granting the citizens more control over their PD. In particular, these include: </w:t>
      </w:r>
    </w:p>
    <w:p w:rsidR="00B1410A" w:rsidRPr="001E0AC7" w:rsidRDefault="00B1410A" w:rsidP="00B1410A">
      <w:pPr>
        <w:tabs>
          <w:tab w:val="left" w:pos="1276"/>
          <w:tab w:val="left" w:pos="1418"/>
        </w:tabs>
        <w:spacing w:after="0" w:line="240" w:lineRule="auto"/>
        <w:ind w:firstLine="709"/>
        <w:rPr>
          <w:rFonts w:cs="Times New Roman"/>
          <w:sz w:val="24"/>
          <w:szCs w:val="24"/>
        </w:rPr>
      </w:pPr>
      <w:r w:rsidRPr="001E0AC7">
        <w:rPr>
          <w:rFonts w:cs="Times New Roman"/>
          <w:sz w:val="24"/>
          <w:szCs w:val="24"/>
        </w:rPr>
        <w:t>•</w:t>
      </w:r>
      <w:r w:rsidRPr="001E0AC7">
        <w:rPr>
          <w:rFonts w:cs="Times New Roman"/>
          <w:sz w:val="24"/>
          <w:szCs w:val="24"/>
        </w:rPr>
        <w:tab/>
        <w:t xml:space="preserve">Increased rights of PD subjects. The regulation specifies and expands the rights of citizens as subjects of PD. Thus, PD subjects have the rights to: </w:t>
      </w:r>
    </w:p>
    <w:p w:rsidR="00B1410A" w:rsidRPr="001E0AC7" w:rsidRDefault="00B1410A" w:rsidP="00B1410A">
      <w:pPr>
        <w:pStyle w:val="ListParagraph"/>
        <w:numPr>
          <w:ilvl w:val="0"/>
          <w:numId w:val="6"/>
        </w:numPr>
        <w:tabs>
          <w:tab w:val="left" w:pos="1276"/>
          <w:tab w:val="left" w:pos="1418"/>
        </w:tabs>
        <w:spacing w:after="0" w:line="240" w:lineRule="auto"/>
        <w:rPr>
          <w:rFonts w:cs="Times New Roman"/>
          <w:sz w:val="24"/>
          <w:szCs w:val="24"/>
        </w:rPr>
      </w:pPr>
      <w:r w:rsidRPr="001E0AC7">
        <w:rPr>
          <w:rFonts w:cs="Times New Roman"/>
          <w:sz w:val="24"/>
          <w:szCs w:val="24"/>
        </w:rPr>
        <w:t xml:space="preserve">receive the proof of the fact of PD processing; </w:t>
      </w:r>
    </w:p>
    <w:p w:rsidR="00B1410A" w:rsidRPr="001E0AC7" w:rsidRDefault="00B1410A" w:rsidP="00B1410A">
      <w:pPr>
        <w:pStyle w:val="ListParagraph"/>
        <w:numPr>
          <w:ilvl w:val="0"/>
          <w:numId w:val="6"/>
        </w:numPr>
        <w:tabs>
          <w:tab w:val="left" w:pos="1276"/>
          <w:tab w:val="left" w:pos="1418"/>
        </w:tabs>
        <w:spacing w:after="0" w:line="240" w:lineRule="auto"/>
        <w:rPr>
          <w:rFonts w:cs="Times New Roman"/>
          <w:sz w:val="24"/>
          <w:szCs w:val="24"/>
        </w:rPr>
      </w:pPr>
      <w:r w:rsidRPr="001E0AC7">
        <w:rPr>
          <w:rFonts w:cs="Times New Roman"/>
          <w:sz w:val="24"/>
          <w:szCs w:val="24"/>
        </w:rPr>
        <w:t xml:space="preserve">demand furnishing copies of such PDs; </w:t>
      </w:r>
    </w:p>
    <w:p w:rsidR="00B1410A" w:rsidRPr="001E0AC7" w:rsidRDefault="00B1410A" w:rsidP="00B1410A">
      <w:pPr>
        <w:pStyle w:val="ListParagraph"/>
        <w:numPr>
          <w:ilvl w:val="0"/>
          <w:numId w:val="6"/>
        </w:numPr>
        <w:tabs>
          <w:tab w:val="left" w:pos="1276"/>
          <w:tab w:val="left" w:pos="1418"/>
        </w:tabs>
        <w:spacing w:after="0" w:line="240" w:lineRule="auto"/>
        <w:rPr>
          <w:rFonts w:cs="Times New Roman"/>
          <w:sz w:val="24"/>
          <w:szCs w:val="24"/>
        </w:rPr>
      </w:pPr>
      <w:proofErr w:type="gramStart"/>
      <w:r w:rsidRPr="001E0AC7">
        <w:rPr>
          <w:rFonts w:cs="Times New Roman"/>
          <w:sz w:val="24"/>
          <w:szCs w:val="24"/>
        </w:rPr>
        <w:t>demand</w:t>
      </w:r>
      <w:proofErr w:type="gramEnd"/>
      <w:r w:rsidRPr="001E0AC7">
        <w:rPr>
          <w:rFonts w:cs="Times New Roman"/>
          <w:sz w:val="24"/>
          <w:szCs w:val="24"/>
        </w:rPr>
        <w:t xml:space="preserve"> providing additional information (stating the purpose for processing, PD categories, recipients, dates etc.); </w:t>
      </w:r>
    </w:p>
    <w:p w:rsidR="00B1410A" w:rsidRPr="001E0AC7" w:rsidRDefault="00B1410A" w:rsidP="00B1410A">
      <w:pPr>
        <w:pStyle w:val="ListParagraph"/>
        <w:numPr>
          <w:ilvl w:val="0"/>
          <w:numId w:val="6"/>
        </w:numPr>
        <w:tabs>
          <w:tab w:val="left" w:pos="1276"/>
          <w:tab w:val="left" w:pos="1418"/>
        </w:tabs>
        <w:spacing w:after="0" w:line="240" w:lineRule="auto"/>
        <w:rPr>
          <w:rFonts w:cs="Times New Roman"/>
          <w:sz w:val="24"/>
          <w:szCs w:val="24"/>
        </w:rPr>
      </w:pPr>
      <w:r w:rsidRPr="001E0AC7">
        <w:rPr>
          <w:rFonts w:cs="Times New Roman"/>
          <w:sz w:val="24"/>
          <w:szCs w:val="24"/>
        </w:rPr>
        <w:t xml:space="preserve"> protest against PD processing for specific purposes; </w:t>
      </w:r>
    </w:p>
    <w:p w:rsidR="00B1410A" w:rsidRPr="001E0AC7" w:rsidRDefault="00B1410A" w:rsidP="00B1410A">
      <w:pPr>
        <w:pStyle w:val="ListParagraph"/>
        <w:numPr>
          <w:ilvl w:val="0"/>
          <w:numId w:val="6"/>
        </w:numPr>
        <w:tabs>
          <w:tab w:val="left" w:pos="1276"/>
          <w:tab w:val="left" w:pos="1418"/>
        </w:tabs>
        <w:spacing w:after="0" w:line="240" w:lineRule="auto"/>
        <w:rPr>
          <w:rFonts w:cs="Times New Roman"/>
          <w:sz w:val="24"/>
          <w:szCs w:val="24"/>
        </w:rPr>
      </w:pPr>
      <w:r w:rsidRPr="001E0AC7">
        <w:rPr>
          <w:rFonts w:cs="Times New Roman"/>
          <w:sz w:val="24"/>
          <w:szCs w:val="24"/>
        </w:rPr>
        <w:t xml:space="preserve"> demand full removal of PD or temporal restriction of the use of such PD,</w:t>
      </w:r>
    </w:p>
    <w:p w:rsidR="00B1410A" w:rsidRPr="001E0AC7" w:rsidRDefault="00B1410A" w:rsidP="00B1410A">
      <w:pPr>
        <w:tabs>
          <w:tab w:val="left" w:pos="1276"/>
          <w:tab w:val="left" w:pos="1418"/>
        </w:tabs>
        <w:spacing w:after="0" w:line="240" w:lineRule="auto"/>
        <w:ind w:firstLine="709"/>
        <w:rPr>
          <w:rFonts w:cs="Times New Roman"/>
          <w:sz w:val="24"/>
          <w:szCs w:val="24"/>
        </w:rPr>
      </w:pPr>
      <w:r w:rsidRPr="001E0AC7">
        <w:rPr>
          <w:rFonts w:cs="Times New Roman"/>
          <w:sz w:val="24"/>
          <w:szCs w:val="24"/>
        </w:rPr>
        <w:t>•</w:t>
      </w:r>
      <w:r w:rsidRPr="001E0AC7">
        <w:rPr>
          <w:rFonts w:cs="Times New Roman"/>
          <w:sz w:val="24"/>
          <w:szCs w:val="24"/>
        </w:rPr>
        <w:tab/>
        <w:t xml:space="preserve">More transparent "Right to Be Forgotten", </w:t>
      </w:r>
    </w:p>
    <w:p w:rsidR="00B1410A" w:rsidRPr="001E0AC7" w:rsidRDefault="00B1410A" w:rsidP="00B1410A">
      <w:pPr>
        <w:tabs>
          <w:tab w:val="left" w:pos="1276"/>
          <w:tab w:val="left" w:pos="1418"/>
        </w:tabs>
        <w:spacing w:after="0" w:line="240" w:lineRule="auto"/>
        <w:ind w:firstLine="709"/>
        <w:rPr>
          <w:rFonts w:cs="Times New Roman"/>
          <w:sz w:val="24"/>
          <w:szCs w:val="24"/>
        </w:rPr>
      </w:pPr>
      <w:r w:rsidRPr="001E0AC7">
        <w:rPr>
          <w:rFonts w:cs="Times New Roman"/>
          <w:sz w:val="24"/>
          <w:szCs w:val="24"/>
        </w:rPr>
        <w:t>•</w:t>
      </w:r>
      <w:r w:rsidRPr="001E0AC7">
        <w:rPr>
          <w:rFonts w:cs="Times New Roman"/>
          <w:sz w:val="24"/>
          <w:szCs w:val="24"/>
        </w:rPr>
        <w:tab/>
        <w:t xml:space="preserve">New right to transfer data among services providers, </w:t>
      </w:r>
    </w:p>
    <w:p w:rsidR="00B1410A" w:rsidRPr="001E0AC7" w:rsidRDefault="00B1410A" w:rsidP="00B1410A">
      <w:pPr>
        <w:tabs>
          <w:tab w:val="left" w:pos="1276"/>
          <w:tab w:val="left" w:pos="1418"/>
        </w:tabs>
        <w:spacing w:after="0" w:line="240" w:lineRule="auto"/>
        <w:ind w:firstLine="709"/>
        <w:rPr>
          <w:rFonts w:cs="Times New Roman"/>
          <w:sz w:val="24"/>
          <w:szCs w:val="24"/>
        </w:rPr>
      </w:pPr>
      <w:r w:rsidRPr="001E0AC7">
        <w:rPr>
          <w:rFonts w:cs="Times New Roman"/>
          <w:sz w:val="24"/>
          <w:szCs w:val="24"/>
        </w:rPr>
        <w:t>•</w:t>
      </w:r>
      <w:r w:rsidRPr="001E0AC7">
        <w:rPr>
          <w:rFonts w:cs="Times New Roman"/>
          <w:sz w:val="24"/>
          <w:szCs w:val="24"/>
        </w:rPr>
        <w:tab/>
        <w:t>New right to know that PD of a citizen were hacked/compromised. Organizations are obliged to disclose information on occurred hacks or PD compromising. Organizations, supervising PD, must notify the regulator on such cases as well as PD subjects themselves, under specific conditions.</w:t>
      </w:r>
    </w:p>
    <w:p w:rsidR="00B1410A" w:rsidRPr="001E0AC7" w:rsidRDefault="00B1410A" w:rsidP="00B1410A">
      <w:pPr>
        <w:tabs>
          <w:tab w:val="left" w:pos="1276"/>
          <w:tab w:val="left" w:pos="1418"/>
        </w:tabs>
        <w:spacing w:after="0" w:line="240" w:lineRule="auto"/>
        <w:ind w:firstLine="709"/>
        <w:rPr>
          <w:rFonts w:cs="Times New Roman"/>
          <w:sz w:val="24"/>
          <w:szCs w:val="24"/>
        </w:rPr>
      </w:pPr>
      <w:r w:rsidRPr="001E0AC7">
        <w:rPr>
          <w:rFonts w:cs="Times New Roman"/>
          <w:sz w:val="24"/>
          <w:szCs w:val="24"/>
        </w:rPr>
        <w:t xml:space="preserve">In addition to PD subjects, the regulation is applied not only to PD processing organization which have been established on the EU territory, but to other organizations which work directly on the European market. All online services offering services in different languages and accepting Euro as payment, as well as data centers located on the territory of third-party states and collecting PD of Europeans (Dropbox, Mega, iCloud etc.) could be considered as most likely "victims" among such organizations. </w:t>
      </w:r>
    </w:p>
    <w:p w:rsidR="00B1410A" w:rsidRPr="001E0AC7" w:rsidRDefault="00B1410A" w:rsidP="00B1410A">
      <w:pPr>
        <w:tabs>
          <w:tab w:val="left" w:pos="1276"/>
          <w:tab w:val="left" w:pos="1418"/>
        </w:tabs>
        <w:spacing w:after="0" w:line="240" w:lineRule="auto"/>
        <w:ind w:firstLine="709"/>
        <w:rPr>
          <w:rFonts w:cs="Times New Roman"/>
          <w:b/>
          <w:sz w:val="24"/>
          <w:szCs w:val="24"/>
        </w:rPr>
      </w:pPr>
      <w:r w:rsidRPr="001E0AC7">
        <w:rPr>
          <w:rFonts w:cs="Times New Roman"/>
          <w:b/>
          <w:sz w:val="24"/>
          <w:szCs w:val="24"/>
        </w:rPr>
        <w:lastRenderedPageBreak/>
        <w:t>2)</w:t>
      </w:r>
      <w:r w:rsidRPr="001E0AC7">
        <w:rPr>
          <w:rFonts w:cs="Times New Roman"/>
          <w:b/>
          <w:sz w:val="24"/>
          <w:szCs w:val="24"/>
        </w:rPr>
        <w:tab/>
        <w:t>Directive (EU) on the protection of natural persons with regard to the processing of their personal data by police and criminal justice authorities (Data Protection Directive 2016/680 for Police and Criminal Justice Authorities)</w:t>
      </w:r>
      <w:r w:rsidRPr="001E0AC7">
        <w:rPr>
          <w:rFonts w:cs="Times New Roman"/>
          <w:b/>
          <w:sz w:val="24"/>
          <w:szCs w:val="24"/>
          <w:vertAlign w:val="superscript"/>
        </w:rPr>
        <w:footnoteReference w:id="17"/>
      </w:r>
      <w:r w:rsidRPr="001E0AC7">
        <w:rPr>
          <w:rFonts w:cs="Times New Roman"/>
          <w:b/>
          <w:sz w:val="24"/>
          <w:szCs w:val="24"/>
        </w:rPr>
        <w:t xml:space="preserve">  </w:t>
      </w:r>
    </w:p>
    <w:p w:rsidR="00B1410A" w:rsidRPr="001E0AC7" w:rsidRDefault="00B1410A" w:rsidP="00B1410A">
      <w:pPr>
        <w:tabs>
          <w:tab w:val="left" w:pos="1276"/>
          <w:tab w:val="left" w:pos="1418"/>
        </w:tabs>
        <w:spacing w:after="0" w:line="240" w:lineRule="auto"/>
        <w:ind w:firstLine="709"/>
        <w:rPr>
          <w:rFonts w:cs="Times New Roman"/>
          <w:sz w:val="24"/>
          <w:szCs w:val="24"/>
        </w:rPr>
      </w:pPr>
      <w:r w:rsidRPr="001E0AC7">
        <w:rPr>
          <w:rFonts w:cs="Times New Roman"/>
          <w:sz w:val="24"/>
          <w:szCs w:val="24"/>
        </w:rPr>
        <w:t>On an equal footing with an obsolete Framework Decision 2008/977/JHA (see below), this Directive is intended to protect natural persons’ personal data when processed in the police and criminal justice authorities, and provides more effective information exchange required for conducting investigation activities. The data collected are protected from unauthorized or illegal processing. EU Members States have implemented this Directive in accordance with their national laws (harmonization) and it entered into force on 6 May 2018.</w:t>
      </w:r>
    </w:p>
    <w:p w:rsidR="00B1410A" w:rsidRPr="001E0AC7" w:rsidRDefault="00B1410A" w:rsidP="00B1410A">
      <w:pPr>
        <w:tabs>
          <w:tab w:val="left" w:pos="1276"/>
          <w:tab w:val="left" w:pos="1418"/>
        </w:tabs>
        <w:spacing w:after="0" w:line="240" w:lineRule="auto"/>
        <w:ind w:firstLine="709"/>
        <w:rPr>
          <w:rFonts w:cs="Times New Roman"/>
          <w:b/>
          <w:sz w:val="24"/>
          <w:szCs w:val="24"/>
        </w:rPr>
      </w:pPr>
      <w:r w:rsidRPr="001E0AC7">
        <w:rPr>
          <w:rFonts w:cs="Times New Roman"/>
          <w:b/>
          <w:sz w:val="24"/>
          <w:szCs w:val="24"/>
        </w:rPr>
        <w:t>The Framework Decision on the protection of personal data processed in the framework of police and judicial cooperation in criminal matters (Council Framework Decision 2008/977/JHA of 27 November 2008)</w:t>
      </w:r>
      <w:r w:rsidRPr="001E0AC7">
        <w:rPr>
          <w:rFonts w:cs="Times New Roman"/>
          <w:b/>
          <w:sz w:val="24"/>
          <w:szCs w:val="24"/>
          <w:vertAlign w:val="superscript"/>
        </w:rPr>
        <w:footnoteReference w:id="18"/>
      </w:r>
      <w:r w:rsidRPr="001E0AC7">
        <w:rPr>
          <w:rFonts w:cs="Times New Roman"/>
          <w:b/>
          <w:sz w:val="24"/>
          <w:szCs w:val="24"/>
        </w:rPr>
        <w:t xml:space="preserve"> </w:t>
      </w:r>
    </w:p>
    <w:p w:rsidR="00B1410A" w:rsidRPr="001E0AC7" w:rsidRDefault="00B1410A" w:rsidP="00B1410A">
      <w:pPr>
        <w:tabs>
          <w:tab w:val="left" w:pos="1276"/>
          <w:tab w:val="left" w:pos="1418"/>
        </w:tabs>
        <w:spacing w:after="0" w:line="240" w:lineRule="auto"/>
        <w:ind w:firstLine="709"/>
        <w:rPr>
          <w:rFonts w:cs="Times New Roman"/>
          <w:i/>
          <w:sz w:val="24"/>
          <w:szCs w:val="24"/>
        </w:rPr>
      </w:pPr>
      <w:r w:rsidRPr="001E0AC7">
        <w:rPr>
          <w:rFonts w:cs="Times New Roman"/>
          <w:i/>
          <w:sz w:val="24"/>
          <w:szCs w:val="24"/>
        </w:rPr>
        <w:t>REPLACED</w:t>
      </w:r>
    </w:p>
    <w:p w:rsidR="00B1410A" w:rsidRPr="001E0AC7" w:rsidRDefault="00B1410A" w:rsidP="00B1410A">
      <w:pPr>
        <w:tabs>
          <w:tab w:val="left" w:pos="1276"/>
          <w:tab w:val="left" w:pos="1418"/>
        </w:tabs>
        <w:spacing w:after="0" w:line="240" w:lineRule="auto"/>
        <w:ind w:firstLine="709"/>
        <w:rPr>
          <w:rFonts w:cs="Times New Roman"/>
          <w:sz w:val="24"/>
          <w:szCs w:val="24"/>
        </w:rPr>
      </w:pPr>
      <w:r w:rsidRPr="001E0AC7">
        <w:rPr>
          <w:rFonts w:cs="Times New Roman"/>
          <w:sz w:val="24"/>
          <w:szCs w:val="24"/>
        </w:rPr>
        <w:t>It is intended for the protection of fundamental rights and freedoms of people, when their personal data are processed for the purpose of preventing and combating crime, facilitating investigation, criminal prosecution and criminal punishment. In particular, the timeframe for the work with personal data of citizens for the purpose of processing, transfer, as well as rights of subjects of this data and their protection by relevant authorities is established.</w:t>
      </w:r>
    </w:p>
    <w:p w:rsidR="00B1410A" w:rsidRPr="001E0AC7" w:rsidRDefault="00B1410A" w:rsidP="00B1410A">
      <w:pPr>
        <w:tabs>
          <w:tab w:val="left" w:pos="1276"/>
          <w:tab w:val="left" w:pos="1418"/>
        </w:tabs>
        <w:spacing w:after="0" w:line="240" w:lineRule="auto"/>
        <w:ind w:firstLine="709"/>
        <w:rPr>
          <w:rFonts w:cs="Times New Roman"/>
          <w:sz w:val="24"/>
          <w:szCs w:val="24"/>
        </w:rPr>
      </w:pPr>
      <w:r w:rsidRPr="001E0AC7">
        <w:rPr>
          <w:rFonts w:cs="Times New Roman"/>
          <w:sz w:val="24"/>
          <w:szCs w:val="24"/>
        </w:rPr>
        <w:t>This document was replaced by the EU Directive 2016/680 (see above) which entered into force on 6 May 2018.</w:t>
      </w:r>
    </w:p>
    <w:p w:rsidR="00B1410A" w:rsidRPr="001E0AC7" w:rsidRDefault="00B1410A" w:rsidP="00B1410A">
      <w:pPr>
        <w:tabs>
          <w:tab w:val="left" w:pos="1276"/>
          <w:tab w:val="left" w:pos="1418"/>
        </w:tabs>
        <w:spacing w:after="0" w:line="240" w:lineRule="auto"/>
        <w:ind w:firstLine="709"/>
        <w:rPr>
          <w:rFonts w:cs="Times New Roman"/>
          <w:sz w:val="24"/>
          <w:szCs w:val="24"/>
        </w:rPr>
      </w:pPr>
      <w:r w:rsidRPr="001E0AC7">
        <w:rPr>
          <w:rFonts w:cs="Times New Roman"/>
          <w:b/>
          <w:sz w:val="24"/>
          <w:szCs w:val="24"/>
        </w:rPr>
        <w:t>Directive 95/46/EC on the protection of individuals with regards to the processing of personal data and on the free movement of such data</w:t>
      </w:r>
      <w:r w:rsidRPr="001E0AC7">
        <w:rPr>
          <w:rFonts w:cs="Times New Roman"/>
          <w:b/>
          <w:sz w:val="24"/>
          <w:szCs w:val="24"/>
          <w:vertAlign w:val="superscript"/>
        </w:rPr>
        <w:footnoteReference w:id="19"/>
      </w:r>
      <w:r w:rsidRPr="001E0AC7">
        <w:rPr>
          <w:rFonts w:cs="Times New Roman"/>
          <w:sz w:val="24"/>
          <w:szCs w:val="24"/>
        </w:rPr>
        <w:t xml:space="preserve"> </w:t>
      </w:r>
    </w:p>
    <w:p w:rsidR="00B1410A" w:rsidRPr="001E0AC7" w:rsidRDefault="00B1410A" w:rsidP="00B1410A">
      <w:pPr>
        <w:tabs>
          <w:tab w:val="left" w:pos="1276"/>
          <w:tab w:val="left" w:pos="1418"/>
        </w:tabs>
        <w:spacing w:after="0" w:line="240" w:lineRule="auto"/>
        <w:ind w:firstLine="709"/>
        <w:rPr>
          <w:rFonts w:cs="Times New Roman"/>
          <w:i/>
          <w:sz w:val="24"/>
          <w:szCs w:val="24"/>
        </w:rPr>
      </w:pPr>
      <w:r w:rsidRPr="001E0AC7">
        <w:rPr>
          <w:rFonts w:cs="Times New Roman"/>
          <w:i/>
          <w:sz w:val="24"/>
          <w:szCs w:val="24"/>
        </w:rPr>
        <w:t>REPLACED BY GDPR</w:t>
      </w:r>
    </w:p>
    <w:p w:rsidR="00B1410A" w:rsidRPr="001E0AC7" w:rsidRDefault="00B1410A" w:rsidP="00B1410A">
      <w:pPr>
        <w:tabs>
          <w:tab w:val="left" w:pos="1276"/>
          <w:tab w:val="left" w:pos="1418"/>
        </w:tabs>
        <w:spacing w:after="0" w:line="240" w:lineRule="auto"/>
        <w:ind w:firstLine="709"/>
        <w:rPr>
          <w:rFonts w:cs="Times New Roman"/>
          <w:sz w:val="24"/>
          <w:szCs w:val="24"/>
        </w:rPr>
      </w:pPr>
      <w:r w:rsidRPr="001E0AC7">
        <w:rPr>
          <w:rFonts w:cs="Times New Roman"/>
          <w:sz w:val="24"/>
          <w:szCs w:val="24"/>
        </w:rPr>
        <w:t>The Directive specifies the regulatory framework aimed at achieving a balance between high level of privacy protection and free circulation of PD within the EU. For this purpose the Directive establishes strict restrictions on PD collection and use and requires that each Member State creates an independent national authority responsible for the control over any activity related to PD processing.</w:t>
      </w:r>
    </w:p>
    <w:p w:rsidR="00B1410A" w:rsidRPr="001E0AC7" w:rsidRDefault="00B1410A" w:rsidP="00B1410A">
      <w:pPr>
        <w:tabs>
          <w:tab w:val="left" w:pos="1276"/>
          <w:tab w:val="left" w:pos="1418"/>
        </w:tabs>
        <w:spacing w:after="0" w:line="240" w:lineRule="auto"/>
        <w:ind w:firstLine="709"/>
        <w:rPr>
          <w:rFonts w:cs="Times New Roman"/>
          <w:sz w:val="24"/>
          <w:szCs w:val="24"/>
        </w:rPr>
      </w:pPr>
      <w:r w:rsidRPr="001E0AC7">
        <w:rPr>
          <w:rFonts w:cs="Times New Roman"/>
          <w:sz w:val="24"/>
          <w:szCs w:val="24"/>
        </w:rPr>
        <w:t xml:space="preserve">The Directive is applied to both data processed by automated tools (for example, computerized customer database), and data contained or intended for use in unautomated workflow systems (traditional paper documents). The transfer of PD from a Member State to a third party with an adequate protection level is permitted. </w:t>
      </w:r>
    </w:p>
    <w:p w:rsidR="00B1410A" w:rsidRPr="001E0AC7" w:rsidRDefault="00B1410A" w:rsidP="00B1410A">
      <w:pPr>
        <w:tabs>
          <w:tab w:val="left" w:pos="1276"/>
          <w:tab w:val="left" w:pos="1418"/>
        </w:tabs>
        <w:spacing w:after="0" w:line="240" w:lineRule="auto"/>
        <w:ind w:firstLine="709"/>
        <w:rPr>
          <w:rFonts w:cs="Times New Roman"/>
          <w:b/>
          <w:sz w:val="24"/>
          <w:szCs w:val="24"/>
        </w:rPr>
      </w:pPr>
      <w:r w:rsidRPr="001E0AC7">
        <w:rPr>
          <w:rFonts w:cs="Times New Roman"/>
          <w:b/>
          <w:sz w:val="24"/>
          <w:szCs w:val="24"/>
        </w:rPr>
        <w:t xml:space="preserve">E-Commerce Directive (Directive on privacy and electronic communications) </w:t>
      </w:r>
      <w:r w:rsidRPr="001E0AC7">
        <w:rPr>
          <w:rFonts w:cs="Times New Roman"/>
          <w:b/>
          <w:sz w:val="24"/>
          <w:szCs w:val="24"/>
          <w:vertAlign w:val="superscript"/>
        </w:rPr>
        <w:footnoteReference w:id="20"/>
      </w:r>
      <w:r w:rsidRPr="001E0AC7">
        <w:rPr>
          <w:rFonts w:cs="Times New Roman"/>
          <w:b/>
          <w:sz w:val="24"/>
          <w:szCs w:val="24"/>
        </w:rPr>
        <w:t xml:space="preserve"> </w:t>
      </w:r>
    </w:p>
    <w:p w:rsidR="00B1410A" w:rsidRPr="001E0AC7" w:rsidRDefault="00B1410A" w:rsidP="00B1410A">
      <w:pPr>
        <w:tabs>
          <w:tab w:val="left" w:pos="1276"/>
          <w:tab w:val="left" w:pos="1418"/>
        </w:tabs>
        <w:spacing w:after="0" w:line="240" w:lineRule="auto"/>
        <w:ind w:firstLine="709"/>
        <w:rPr>
          <w:rFonts w:cs="Times New Roman"/>
          <w:sz w:val="24"/>
          <w:szCs w:val="24"/>
        </w:rPr>
      </w:pPr>
      <w:r w:rsidRPr="001E0AC7">
        <w:rPr>
          <w:rFonts w:cs="Times New Roman"/>
          <w:sz w:val="24"/>
          <w:szCs w:val="24"/>
        </w:rPr>
        <w:t>This EU Directive regulates different matters related to online commerce in "information society services", such as, among others, ОТТ services.</w:t>
      </w:r>
    </w:p>
    <w:p w:rsidR="00B1410A" w:rsidRPr="001E0AC7" w:rsidRDefault="00B1410A" w:rsidP="00B1410A">
      <w:pPr>
        <w:tabs>
          <w:tab w:val="left" w:pos="1276"/>
          <w:tab w:val="left" w:pos="1418"/>
        </w:tabs>
        <w:spacing w:after="0" w:line="240" w:lineRule="auto"/>
        <w:ind w:firstLine="709"/>
        <w:rPr>
          <w:rFonts w:cs="Times New Roman"/>
          <w:sz w:val="24"/>
          <w:szCs w:val="24"/>
        </w:rPr>
      </w:pPr>
      <w:r w:rsidRPr="001E0AC7">
        <w:rPr>
          <w:rFonts w:cs="Times New Roman"/>
          <w:sz w:val="24"/>
          <w:szCs w:val="24"/>
        </w:rPr>
        <w:t xml:space="preserve">The Directive establishes the principle, according to which service operators (including ОТТ) are subject to regulation related to service providing/search, only in </w:t>
      </w:r>
      <w:proofErr w:type="gramStart"/>
      <w:r w:rsidRPr="001E0AC7">
        <w:rPr>
          <w:rFonts w:cs="Times New Roman"/>
          <w:sz w:val="24"/>
          <w:szCs w:val="24"/>
        </w:rPr>
        <w:t>a</w:t>
      </w:r>
      <w:proofErr w:type="gramEnd"/>
      <w:r w:rsidRPr="001E0AC7">
        <w:rPr>
          <w:rFonts w:cs="Times New Roman"/>
          <w:sz w:val="24"/>
          <w:szCs w:val="24"/>
        </w:rPr>
        <w:t xml:space="preserve"> EU country, where they have a registered headquarters, and not in a country where servers, e-mail addresses or mail boxes used by them are located.</w:t>
      </w:r>
    </w:p>
    <w:p w:rsidR="00B1410A" w:rsidRPr="001E0AC7" w:rsidRDefault="00B1410A" w:rsidP="00B1410A">
      <w:pPr>
        <w:tabs>
          <w:tab w:val="left" w:pos="1276"/>
          <w:tab w:val="left" w:pos="1418"/>
        </w:tabs>
        <w:spacing w:after="0" w:line="240" w:lineRule="auto"/>
        <w:ind w:firstLine="709"/>
        <w:rPr>
          <w:rFonts w:cs="Times New Roman"/>
          <w:sz w:val="24"/>
          <w:szCs w:val="24"/>
        </w:rPr>
      </w:pPr>
      <w:r w:rsidRPr="001E0AC7">
        <w:rPr>
          <w:rFonts w:cs="Times New Roman"/>
          <w:sz w:val="24"/>
          <w:szCs w:val="24"/>
        </w:rPr>
        <w:lastRenderedPageBreak/>
        <w:t>National EU governments ensure the publication by the operators of the basic information on their activities (name, address, commercial register number etc.) in easily accessible way.</w:t>
      </w:r>
    </w:p>
    <w:p w:rsidR="00B1410A" w:rsidRPr="001E0AC7" w:rsidRDefault="00B1410A" w:rsidP="00B1410A">
      <w:pPr>
        <w:tabs>
          <w:tab w:val="left" w:pos="1276"/>
          <w:tab w:val="left" w:pos="1418"/>
        </w:tabs>
        <w:spacing w:after="0" w:line="240" w:lineRule="auto"/>
        <w:ind w:firstLine="709"/>
        <w:rPr>
          <w:rFonts w:cs="Times New Roman"/>
          <w:sz w:val="24"/>
          <w:szCs w:val="24"/>
        </w:rPr>
      </w:pPr>
      <w:r w:rsidRPr="001E0AC7">
        <w:rPr>
          <w:rFonts w:cs="Times New Roman"/>
          <w:sz w:val="24"/>
          <w:szCs w:val="24"/>
        </w:rPr>
        <w:t>Regulation relates to the following services to be provided:</w:t>
      </w:r>
    </w:p>
    <w:p w:rsidR="00B1410A" w:rsidRPr="001E0AC7" w:rsidRDefault="00B1410A" w:rsidP="00B1410A">
      <w:pPr>
        <w:tabs>
          <w:tab w:val="left" w:pos="1276"/>
          <w:tab w:val="left" w:pos="1418"/>
        </w:tabs>
        <w:spacing w:after="0" w:line="240" w:lineRule="auto"/>
        <w:ind w:firstLine="709"/>
        <w:rPr>
          <w:rFonts w:cs="Times New Roman"/>
          <w:sz w:val="24"/>
          <w:szCs w:val="24"/>
        </w:rPr>
      </w:pPr>
      <w:r w:rsidRPr="001E0AC7">
        <w:rPr>
          <w:rFonts w:cs="Times New Roman"/>
          <w:sz w:val="24"/>
          <w:szCs w:val="24"/>
        </w:rPr>
        <w:t>- News services (news sites);</w:t>
      </w:r>
    </w:p>
    <w:p w:rsidR="00B1410A" w:rsidRPr="001E0AC7" w:rsidRDefault="00B1410A" w:rsidP="00B1410A">
      <w:pPr>
        <w:tabs>
          <w:tab w:val="left" w:pos="1276"/>
          <w:tab w:val="left" w:pos="1418"/>
        </w:tabs>
        <w:spacing w:after="0" w:line="240" w:lineRule="auto"/>
        <w:ind w:firstLine="709"/>
        <w:rPr>
          <w:rFonts w:cs="Times New Roman"/>
          <w:sz w:val="24"/>
          <w:szCs w:val="24"/>
        </w:rPr>
      </w:pPr>
      <w:r w:rsidRPr="001E0AC7">
        <w:rPr>
          <w:rFonts w:cs="Times New Roman"/>
          <w:sz w:val="24"/>
          <w:szCs w:val="24"/>
        </w:rPr>
        <w:t>- Sale (books, financial services, tourist services etc.);</w:t>
      </w:r>
    </w:p>
    <w:p w:rsidR="00B1410A" w:rsidRPr="001E0AC7" w:rsidRDefault="00B1410A" w:rsidP="00B1410A">
      <w:pPr>
        <w:tabs>
          <w:tab w:val="left" w:pos="1276"/>
          <w:tab w:val="left" w:pos="1418"/>
        </w:tabs>
        <w:spacing w:after="0" w:line="240" w:lineRule="auto"/>
        <w:ind w:firstLine="709"/>
        <w:rPr>
          <w:rFonts w:cs="Times New Roman"/>
          <w:sz w:val="24"/>
          <w:szCs w:val="24"/>
        </w:rPr>
      </w:pPr>
      <w:r w:rsidRPr="001E0AC7">
        <w:rPr>
          <w:rFonts w:cs="Times New Roman"/>
          <w:sz w:val="24"/>
          <w:szCs w:val="24"/>
        </w:rPr>
        <w:t>- Advertisement;</w:t>
      </w:r>
    </w:p>
    <w:p w:rsidR="00B1410A" w:rsidRPr="001E0AC7" w:rsidRDefault="00B1410A" w:rsidP="00B1410A">
      <w:pPr>
        <w:tabs>
          <w:tab w:val="left" w:pos="1276"/>
          <w:tab w:val="left" w:pos="1418"/>
        </w:tabs>
        <w:spacing w:after="0" w:line="240" w:lineRule="auto"/>
        <w:ind w:firstLine="709"/>
        <w:rPr>
          <w:rFonts w:cs="Times New Roman"/>
          <w:sz w:val="24"/>
          <w:szCs w:val="24"/>
        </w:rPr>
      </w:pPr>
      <w:r w:rsidRPr="001E0AC7">
        <w:rPr>
          <w:rFonts w:cs="Times New Roman"/>
          <w:sz w:val="24"/>
          <w:szCs w:val="24"/>
        </w:rPr>
        <w:t>- Professional services (lawyers, physicians, real-estate agents);</w:t>
      </w:r>
    </w:p>
    <w:p w:rsidR="00B1410A" w:rsidRPr="001E0AC7" w:rsidRDefault="00B1410A" w:rsidP="00B1410A">
      <w:pPr>
        <w:tabs>
          <w:tab w:val="left" w:pos="1276"/>
          <w:tab w:val="left" w:pos="1418"/>
        </w:tabs>
        <w:spacing w:after="0" w:line="240" w:lineRule="auto"/>
        <w:ind w:firstLine="709"/>
        <w:rPr>
          <w:rFonts w:cs="Times New Roman"/>
          <w:sz w:val="24"/>
          <w:szCs w:val="24"/>
        </w:rPr>
      </w:pPr>
      <w:r w:rsidRPr="001E0AC7">
        <w:rPr>
          <w:rFonts w:cs="Times New Roman"/>
          <w:sz w:val="24"/>
          <w:szCs w:val="24"/>
        </w:rPr>
        <w:t>- Entertainment services;</w:t>
      </w:r>
    </w:p>
    <w:p w:rsidR="00B1410A" w:rsidRPr="001E0AC7" w:rsidRDefault="00B1410A" w:rsidP="00B1410A">
      <w:pPr>
        <w:tabs>
          <w:tab w:val="left" w:pos="1276"/>
          <w:tab w:val="left" w:pos="1418"/>
        </w:tabs>
        <w:spacing w:after="0" w:line="240" w:lineRule="auto"/>
        <w:ind w:firstLine="709"/>
        <w:rPr>
          <w:rFonts w:cs="Times New Roman"/>
          <w:sz w:val="24"/>
          <w:szCs w:val="24"/>
        </w:rPr>
      </w:pPr>
      <w:r w:rsidRPr="001E0AC7">
        <w:rPr>
          <w:rFonts w:cs="Times New Roman"/>
          <w:sz w:val="24"/>
          <w:szCs w:val="24"/>
        </w:rPr>
        <w:t>- Basic intermediary services (access to the Internet, transfer and posting of the information);</w:t>
      </w:r>
    </w:p>
    <w:p w:rsidR="00B1410A" w:rsidRPr="001E0AC7" w:rsidRDefault="00B1410A" w:rsidP="00B1410A">
      <w:pPr>
        <w:tabs>
          <w:tab w:val="left" w:pos="1276"/>
          <w:tab w:val="left" w:pos="1418"/>
        </w:tabs>
        <w:spacing w:after="0" w:line="240" w:lineRule="auto"/>
        <w:ind w:firstLine="709"/>
        <w:rPr>
          <w:rFonts w:cs="Times New Roman"/>
          <w:sz w:val="24"/>
          <w:szCs w:val="24"/>
        </w:rPr>
      </w:pPr>
      <w:r w:rsidRPr="001E0AC7">
        <w:rPr>
          <w:rFonts w:cs="Times New Roman"/>
          <w:sz w:val="24"/>
          <w:szCs w:val="24"/>
        </w:rPr>
        <w:t>- Free services, financed by advertising, sponsorship etc.</w:t>
      </w:r>
    </w:p>
    <w:p w:rsidR="00B1410A" w:rsidRPr="001E0AC7" w:rsidRDefault="00B1410A" w:rsidP="00B1410A">
      <w:pPr>
        <w:tabs>
          <w:tab w:val="left" w:pos="1276"/>
          <w:tab w:val="left" w:pos="1418"/>
        </w:tabs>
        <w:spacing w:after="0" w:line="240" w:lineRule="auto"/>
        <w:ind w:firstLine="709"/>
        <w:rPr>
          <w:rFonts w:cs="Times New Roman"/>
          <w:sz w:val="24"/>
          <w:szCs w:val="24"/>
        </w:rPr>
      </w:pPr>
      <w:r w:rsidRPr="001E0AC7">
        <w:rPr>
          <w:rFonts w:cs="Times New Roman"/>
          <w:sz w:val="24"/>
          <w:szCs w:val="24"/>
        </w:rPr>
        <w:t>Unsolicited e-mails ("spam") should be clearly identified. Companies sending spam e-mails must regularly check with and consult with "reject mail lists" which may include people unwilling to receive spam e-mails.</w:t>
      </w:r>
    </w:p>
    <w:p w:rsidR="00B1410A" w:rsidRPr="001E0AC7" w:rsidRDefault="00B1410A" w:rsidP="00B1410A">
      <w:pPr>
        <w:tabs>
          <w:tab w:val="left" w:pos="1276"/>
          <w:tab w:val="left" w:pos="1418"/>
        </w:tabs>
        <w:spacing w:after="0" w:line="240" w:lineRule="auto"/>
        <w:ind w:firstLine="709"/>
        <w:rPr>
          <w:rFonts w:cs="Times New Roman"/>
          <w:b/>
          <w:sz w:val="24"/>
          <w:szCs w:val="24"/>
        </w:rPr>
      </w:pPr>
      <w:r w:rsidRPr="001E0AC7">
        <w:rPr>
          <w:rFonts w:cs="Times New Roman"/>
          <w:b/>
          <w:sz w:val="24"/>
          <w:szCs w:val="24"/>
        </w:rPr>
        <w:t>Principles and guidelines for the audiovisual policy (Principles and guidelines for the Community’s audiovisual policy in the digital age)</w:t>
      </w:r>
      <w:r w:rsidRPr="001E0AC7">
        <w:rPr>
          <w:rFonts w:cs="Times New Roman"/>
          <w:b/>
          <w:sz w:val="24"/>
          <w:szCs w:val="24"/>
          <w:vertAlign w:val="superscript"/>
        </w:rPr>
        <w:footnoteReference w:id="21"/>
      </w:r>
      <w:r w:rsidRPr="001E0AC7">
        <w:rPr>
          <w:rFonts w:cs="Times New Roman"/>
          <w:b/>
          <w:sz w:val="24"/>
          <w:szCs w:val="24"/>
        </w:rPr>
        <w:t xml:space="preserve"> </w:t>
      </w:r>
    </w:p>
    <w:p w:rsidR="00B1410A" w:rsidRPr="001E0AC7" w:rsidRDefault="00B1410A" w:rsidP="00B1410A">
      <w:pPr>
        <w:tabs>
          <w:tab w:val="left" w:pos="1276"/>
          <w:tab w:val="left" w:pos="1418"/>
        </w:tabs>
        <w:spacing w:after="0" w:line="240" w:lineRule="auto"/>
        <w:ind w:firstLine="709"/>
        <w:rPr>
          <w:rFonts w:cs="Times New Roman"/>
          <w:sz w:val="24"/>
          <w:szCs w:val="24"/>
        </w:rPr>
      </w:pPr>
      <w:r w:rsidRPr="001E0AC7">
        <w:rPr>
          <w:rFonts w:cs="Times New Roman"/>
          <w:sz w:val="24"/>
          <w:szCs w:val="24"/>
        </w:rPr>
        <w:t>ABOLISHED</w:t>
      </w:r>
    </w:p>
    <w:p w:rsidR="00B1410A" w:rsidRPr="001E0AC7" w:rsidRDefault="00B1410A" w:rsidP="00B1410A">
      <w:pPr>
        <w:tabs>
          <w:tab w:val="left" w:pos="1276"/>
          <w:tab w:val="left" w:pos="1418"/>
        </w:tabs>
        <w:spacing w:after="0" w:line="240" w:lineRule="auto"/>
        <w:ind w:firstLine="709"/>
        <w:rPr>
          <w:rFonts w:cs="Times New Roman"/>
          <w:sz w:val="24"/>
          <w:szCs w:val="24"/>
        </w:rPr>
      </w:pPr>
      <w:r w:rsidRPr="001E0AC7">
        <w:rPr>
          <w:rFonts w:cs="Times New Roman"/>
          <w:sz w:val="24"/>
          <w:szCs w:val="24"/>
        </w:rPr>
        <w:t>The Directive on principals and guidelines for the audiovisual policy in the digital age (remains in force but is obsolete).</w:t>
      </w:r>
    </w:p>
    <w:p w:rsidR="00B1410A" w:rsidRPr="001E0AC7" w:rsidRDefault="00B1410A" w:rsidP="00B1410A">
      <w:pPr>
        <w:tabs>
          <w:tab w:val="left" w:pos="1276"/>
          <w:tab w:val="left" w:pos="1418"/>
        </w:tabs>
        <w:spacing w:after="0" w:line="240" w:lineRule="auto"/>
        <w:ind w:firstLine="709"/>
        <w:rPr>
          <w:rFonts w:cs="Times New Roman"/>
          <w:sz w:val="24"/>
          <w:szCs w:val="24"/>
        </w:rPr>
      </w:pPr>
    </w:p>
    <w:p w:rsidR="00B1410A" w:rsidRPr="001E0AC7" w:rsidRDefault="00B1410A" w:rsidP="00B1410A">
      <w:pPr>
        <w:tabs>
          <w:tab w:val="left" w:pos="1276"/>
          <w:tab w:val="left" w:pos="1418"/>
        </w:tabs>
        <w:spacing w:after="0" w:line="240" w:lineRule="auto"/>
        <w:ind w:firstLine="709"/>
        <w:rPr>
          <w:rFonts w:cs="Times New Roman"/>
          <w:b/>
          <w:sz w:val="24"/>
          <w:szCs w:val="24"/>
        </w:rPr>
      </w:pPr>
      <w:r w:rsidRPr="001E0AC7">
        <w:rPr>
          <w:rFonts w:cs="Times New Roman"/>
          <w:b/>
          <w:sz w:val="24"/>
          <w:szCs w:val="24"/>
        </w:rPr>
        <w:t>3. USA</w:t>
      </w:r>
    </w:p>
    <w:p w:rsidR="00B1410A" w:rsidRPr="001E0AC7" w:rsidRDefault="00B1410A" w:rsidP="00B1410A">
      <w:pPr>
        <w:tabs>
          <w:tab w:val="left" w:pos="1276"/>
          <w:tab w:val="left" w:pos="1418"/>
        </w:tabs>
        <w:spacing w:after="0" w:line="240" w:lineRule="auto"/>
        <w:ind w:firstLine="709"/>
        <w:rPr>
          <w:rFonts w:cs="Times New Roman"/>
          <w:sz w:val="24"/>
          <w:szCs w:val="24"/>
        </w:rPr>
      </w:pPr>
      <w:r w:rsidRPr="001E0AC7">
        <w:rPr>
          <w:rFonts w:cs="Times New Roman"/>
          <w:sz w:val="24"/>
          <w:szCs w:val="24"/>
        </w:rPr>
        <w:t>In USA ОТТ providers are not required to have licenses to provide communications services, however there are some obligations in terms of providing emergency calls as well as responsibility for violating USA legislation.</w:t>
      </w:r>
    </w:p>
    <w:p w:rsidR="00B1410A" w:rsidRPr="001E0AC7" w:rsidRDefault="00B1410A" w:rsidP="00B1410A">
      <w:pPr>
        <w:tabs>
          <w:tab w:val="left" w:pos="1276"/>
          <w:tab w:val="left" w:pos="1418"/>
        </w:tabs>
        <w:spacing w:after="0" w:line="240" w:lineRule="auto"/>
        <w:ind w:firstLine="709"/>
        <w:rPr>
          <w:rFonts w:cs="Times New Roman"/>
          <w:sz w:val="24"/>
          <w:szCs w:val="24"/>
        </w:rPr>
      </w:pPr>
      <w:r w:rsidRPr="001E0AC7">
        <w:rPr>
          <w:rFonts w:cs="Times New Roman"/>
          <w:sz w:val="24"/>
          <w:szCs w:val="24"/>
        </w:rPr>
        <w:t xml:space="preserve">In 2015 the USA regulator, the Federal Communication Commission (FCC) formalized strict rules with regard to network neutrality – Open Internet Order. </w:t>
      </w:r>
    </w:p>
    <w:p w:rsidR="00B1410A" w:rsidRPr="001E0AC7" w:rsidRDefault="00B1410A" w:rsidP="00B1410A">
      <w:pPr>
        <w:tabs>
          <w:tab w:val="left" w:pos="1276"/>
          <w:tab w:val="left" w:pos="1418"/>
        </w:tabs>
        <w:spacing w:after="0" w:line="240" w:lineRule="auto"/>
        <w:ind w:firstLine="709"/>
        <w:rPr>
          <w:rFonts w:cs="Times New Roman"/>
          <w:sz w:val="24"/>
          <w:szCs w:val="24"/>
        </w:rPr>
      </w:pPr>
      <w:r w:rsidRPr="001E0AC7">
        <w:rPr>
          <w:rFonts w:cs="Times New Roman"/>
          <w:sz w:val="24"/>
          <w:szCs w:val="24"/>
        </w:rPr>
        <w:t>Since 2011, the White House and the Federal Trade Commission (FTC) have issued several important documents. Although in these proposals no particular emphasis has been placed on OTT services, they aim to protect personal data used in obtaining services on the Internet.</w:t>
      </w:r>
    </w:p>
    <w:p w:rsidR="00B1410A" w:rsidRPr="001E0AC7" w:rsidRDefault="00B1410A" w:rsidP="00B1410A">
      <w:pPr>
        <w:tabs>
          <w:tab w:val="left" w:pos="1276"/>
          <w:tab w:val="left" w:pos="1418"/>
        </w:tabs>
        <w:spacing w:after="0" w:line="240" w:lineRule="auto"/>
        <w:ind w:firstLine="709"/>
        <w:rPr>
          <w:rFonts w:cs="Times New Roman"/>
          <w:sz w:val="24"/>
          <w:szCs w:val="24"/>
        </w:rPr>
      </w:pPr>
    </w:p>
    <w:p w:rsidR="006A351A" w:rsidRPr="001E0AC7" w:rsidRDefault="006A351A" w:rsidP="006A351A">
      <w:pPr>
        <w:tabs>
          <w:tab w:val="left" w:pos="1276"/>
          <w:tab w:val="left" w:pos="1418"/>
        </w:tabs>
        <w:spacing w:after="0" w:line="240" w:lineRule="auto"/>
        <w:ind w:firstLine="709"/>
        <w:rPr>
          <w:rFonts w:cs="Times New Roman"/>
          <w:b/>
          <w:sz w:val="24"/>
          <w:szCs w:val="24"/>
        </w:rPr>
      </w:pPr>
      <w:r w:rsidRPr="001E0AC7">
        <w:rPr>
          <w:rFonts w:cs="Times New Roman"/>
          <w:b/>
          <w:sz w:val="24"/>
          <w:szCs w:val="24"/>
        </w:rPr>
        <w:t>Safe Harbor</w:t>
      </w:r>
    </w:p>
    <w:p w:rsidR="006A351A" w:rsidRPr="001E0AC7" w:rsidRDefault="006A351A" w:rsidP="006A351A">
      <w:pPr>
        <w:tabs>
          <w:tab w:val="left" w:pos="1276"/>
          <w:tab w:val="left" w:pos="1418"/>
        </w:tabs>
        <w:spacing w:after="0" w:line="240" w:lineRule="auto"/>
        <w:ind w:firstLine="709"/>
        <w:rPr>
          <w:rFonts w:cs="Times New Roman"/>
          <w:i/>
          <w:sz w:val="24"/>
          <w:szCs w:val="24"/>
        </w:rPr>
      </w:pPr>
      <w:r w:rsidRPr="001E0AC7">
        <w:rPr>
          <w:rFonts w:cs="Times New Roman"/>
          <w:i/>
          <w:sz w:val="24"/>
          <w:szCs w:val="24"/>
        </w:rPr>
        <w:t xml:space="preserve">REPLACED </w:t>
      </w:r>
    </w:p>
    <w:p w:rsidR="006A351A" w:rsidRPr="001E0AC7" w:rsidRDefault="006A351A" w:rsidP="006A351A">
      <w:pPr>
        <w:tabs>
          <w:tab w:val="left" w:pos="1276"/>
          <w:tab w:val="left" w:pos="1418"/>
        </w:tabs>
        <w:spacing w:after="0" w:line="240" w:lineRule="auto"/>
        <w:ind w:firstLine="709"/>
        <w:rPr>
          <w:rFonts w:cs="Times New Roman"/>
          <w:sz w:val="24"/>
          <w:szCs w:val="24"/>
        </w:rPr>
      </w:pPr>
      <w:r w:rsidRPr="001E0AC7">
        <w:rPr>
          <w:rFonts w:cs="Times New Roman"/>
          <w:sz w:val="24"/>
          <w:szCs w:val="24"/>
        </w:rPr>
        <w:t xml:space="preserve">A special agreement between the United States and EU (Safe Harbor) – is a system of self-regulation with some regulatory principles whereby the companies in the United States sign Principles of confidentiality and complaints system. The aim of the agreement is to assure business enterprises that by giving PD to partner states within Safe Harbor in USA, all their confidential personal data transferred outside the EU, will be properly protected. The system is supervised by the Federal Trade Commission. As of 6 October 2015 the concept was considered invalid. Privacy Shield was proposed to implement the transatlantic exchange of personal data for commercial purposes complying with all the data protection requirements of the Directive </w:t>
      </w:r>
      <w:r w:rsidRPr="001E0AC7">
        <w:rPr>
          <w:rFonts w:cs="Times New Roman"/>
          <w:sz w:val="24"/>
          <w:szCs w:val="24"/>
        </w:rPr>
        <w:lastRenderedPageBreak/>
        <w:t>95/46/EC on the protection of individuals with regard to the processing of personal data and on free movement of such data.</w:t>
      </w:r>
    </w:p>
    <w:p w:rsidR="006A351A" w:rsidRPr="001E0AC7" w:rsidRDefault="006A351A" w:rsidP="006A351A">
      <w:pPr>
        <w:tabs>
          <w:tab w:val="left" w:pos="1276"/>
          <w:tab w:val="left" w:pos="1418"/>
        </w:tabs>
        <w:spacing w:after="0" w:line="240" w:lineRule="auto"/>
        <w:ind w:firstLine="709"/>
        <w:rPr>
          <w:rFonts w:cs="Times New Roman"/>
          <w:b/>
          <w:sz w:val="24"/>
          <w:szCs w:val="24"/>
        </w:rPr>
      </w:pPr>
    </w:p>
    <w:p w:rsidR="006A351A" w:rsidRPr="001E0AC7" w:rsidRDefault="006A351A" w:rsidP="006A351A">
      <w:pPr>
        <w:tabs>
          <w:tab w:val="left" w:pos="1276"/>
          <w:tab w:val="left" w:pos="1418"/>
        </w:tabs>
        <w:spacing w:after="0" w:line="240" w:lineRule="auto"/>
        <w:ind w:firstLine="709"/>
        <w:rPr>
          <w:rFonts w:cs="Times New Roman"/>
          <w:b/>
          <w:sz w:val="24"/>
          <w:szCs w:val="24"/>
        </w:rPr>
      </w:pPr>
      <w:r w:rsidRPr="001E0AC7">
        <w:rPr>
          <w:rFonts w:cs="Times New Roman"/>
          <w:b/>
          <w:sz w:val="24"/>
          <w:szCs w:val="24"/>
        </w:rPr>
        <w:t xml:space="preserve">Privacy Shield </w:t>
      </w:r>
    </w:p>
    <w:p w:rsidR="006A351A" w:rsidRPr="001E0AC7" w:rsidRDefault="006A351A" w:rsidP="006A351A">
      <w:pPr>
        <w:tabs>
          <w:tab w:val="left" w:pos="1276"/>
          <w:tab w:val="left" w:pos="1418"/>
        </w:tabs>
        <w:spacing w:after="0" w:line="240" w:lineRule="auto"/>
        <w:ind w:firstLine="709"/>
        <w:rPr>
          <w:rFonts w:cs="Times New Roman"/>
          <w:sz w:val="24"/>
          <w:szCs w:val="24"/>
        </w:rPr>
      </w:pPr>
      <w:r w:rsidRPr="001E0AC7">
        <w:rPr>
          <w:rFonts w:cs="Times New Roman"/>
          <w:sz w:val="24"/>
          <w:szCs w:val="24"/>
        </w:rPr>
        <w:t>The EU-US Privacy Shield reflects the requirements set out by the European Court of Justice in its ruling on 6 October 2015, which declared the old Safe Harbor framework invalid. Since 1 August 2016 the new arrangement will provide stronger obligations for companies in the US to protect the personal data of the European citizens and stronger monitoring and enforcement by the US Department of Commerce and Federal Trade Commission (FTC), including through increased cooperation with European data protection authorities. The new agreement includes obligations by the US state bodies to avoid disclosure of the personal data. In this regard, Europeans will have the possibility to raise any enquiry or complaint in this context with a dedicated new Ombudsperson</w:t>
      </w:r>
      <w:r w:rsidRPr="001E0AC7">
        <w:rPr>
          <w:rFonts w:cs="Times New Roman"/>
          <w:sz w:val="24"/>
          <w:szCs w:val="24"/>
          <w:vertAlign w:val="superscript"/>
        </w:rPr>
        <w:footnoteReference w:id="22"/>
      </w:r>
      <w:r w:rsidRPr="001E0AC7">
        <w:rPr>
          <w:rFonts w:cs="Times New Roman"/>
          <w:sz w:val="24"/>
          <w:szCs w:val="24"/>
        </w:rPr>
        <w:t>.</w:t>
      </w:r>
    </w:p>
    <w:p w:rsidR="006A351A" w:rsidRPr="001E0AC7" w:rsidRDefault="006A351A" w:rsidP="006A351A">
      <w:pPr>
        <w:tabs>
          <w:tab w:val="left" w:pos="1276"/>
          <w:tab w:val="left" w:pos="1418"/>
        </w:tabs>
        <w:spacing w:after="0" w:line="240" w:lineRule="auto"/>
        <w:ind w:firstLine="709"/>
        <w:rPr>
          <w:rFonts w:cs="Times New Roman"/>
          <w:sz w:val="24"/>
          <w:szCs w:val="24"/>
        </w:rPr>
      </w:pPr>
      <w:r w:rsidRPr="001E0AC7">
        <w:rPr>
          <w:rFonts w:cs="Times New Roman"/>
          <w:sz w:val="24"/>
          <w:szCs w:val="24"/>
        </w:rPr>
        <w:t>In the annual Report No. 13-99 of the Federal Communications Commission (FCC) on status of video content delivery the notion of "Online Video Distributor (OVD)" is introduced and is defined as "any entity that offers video content by means of the Internet or other Internet Protocol (IP)-based transmission path provided by a person or entity other than the OVD"</w:t>
      </w:r>
      <w:r w:rsidRPr="001E0AC7">
        <w:rPr>
          <w:rFonts w:cs="Times New Roman"/>
          <w:sz w:val="24"/>
          <w:szCs w:val="24"/>
          <w:vertAlign w:val="superscript"/>
        </w:rPr>
        <w:footnoteReference w:id="23"/>
      </w:r>
      <w:r w:rsidRPr="001E0AC7">
        <w:rPr>
          <w:rFonts w:cs="Times New Roman"/>
          <w:sz w:val="24"/>
          <w:szCs w:val="24"/>
        </w:rPr>
        <w:t xml:space="preserve">. </w:t>
      </w:r>
    </w:p>
    <w:p w:rsidR="006A351A" w:rsidRPr="001E0AC7" w:rsidRDefault="006A351A" w:rsidP="006A351A">
      <w:pPr>
        <w:tabs>
          <w:tab w:val="left" w:pos="1276"/>
          <w:tab w:val="left" w:pos="1418"/>
        </w:tabs>
        <w:spacing w:after="0" w:line="240" w:lineRule="auto"/>
        <w:ind w:firstLine="709"/>
        <w:rPr>
          <w:rFonts w:cs="Times New Roman"/>
          <w:sz w:val="24"/>
          <w:szCs w:val="24"/>
        </w:rPr>
      </w:pPr>
      <w:r w:rsidRPr="001E0AC7">
        <w:rPr>
          <w:rFonts w:cs="Times New Roman"/>
          <w:sz w:val="24"/>
          <w:szCs w:val="24"/>
        </w:rPr>
        <w:t xml:space="preserve">The following professionally produced content can be distinguished: </w:t>
      </w:r>
    </w:p>
    <w:p w:rsidR="006A351A" w:rsidRPr="001E0AC7" w:rsidRDefault="006A351A" w:rsidP="006A351A">
      <w:pPr>
        <w:tabs>
          <w:tab w:val="left" w:pos="1276"/>
          <w:tab w:val="left" w:pos="1418"/>
        </w:tabs>
        <w:spacing w:after="0" w:line="240" w:lineRule="auto"/>
        <w:ind w:firstLine="709"/>
        <w:rPr>
          <w:rFonts w:cs="Times New Roman"/>
          <w:sz w:val="24"/>
          <w:szCs w:val="24"/>
        </w:rPr>
      </w:pPr>
      <w:r w:rsidRPr="001E0AC7">
        <w:rPr>
          <w:rFonts w:cs="Times New Roman"/>
          <w:sz w:val="24"/>
          <w:szCs w:val="24"/>
        </w:rPr>
        <w:t xml:space="preserve">(1) </w:t>
      </w:r>
      <w:proofErr w:type="gramStart"/>
      <w:r w:rsidRPr="001E0AC7">
        <w:rPr>
          <w:rFonts w:cs="Times New Roman"/>
          <w:sz w:val="24"/>
          <w:szCs w:val="24"/>
        </w:rPr>
        <w:t>semi-professionally</w:t>
      </w:r>
      <w:proofErr w:type="gramEnd"/>
      <w:r w:rsidRPr="001E0AC7">
        <w:rPr>
          <w:rFonts w:cs="Times New Roman"/>
          <w:sz w:val="24"/>
          <w:szCs w:val="24"/>
        </w:rPr>
        <w:t xml:space="preserve"> produced video that relates to the consumer or user content with professional or production qualities (for instance, video filmed with professional equipment using professional skills), as well as content produced solely for online audiences; and </w:t>
      </w:r>
    </w:p>
    <w:p w:rsidR="006A351A" w:rsidRPr="001E0AC7" w:rsidRDefault="006A351A" w:rsidP="006A351A">
      <w:pPr>
        <w:tabs>
          <w:tab w:val="left" w:pos="1276"/>
          <w:tab w:val="left" w:pos="1418"/>
        </w:tabs>
        <w:spacing w:after="0" w:line="240" w:lineRule="auto"/>
        <w:ind w:firstLine="709"/>
        <w:rPr>
          <w:rFonts w:cs="Times New Roman"/>
          <w:sz w:val="24"/>
          <w:szCs w:val="24"/>
        </w:rPr>
      </w:pPr>
      <w:r w:rsidRPr="001E0AC7">
        <w:rPr>
          <w:rFonts w:cs="Times New Roman"/>
          <w:sz w:val="24"/>
          <w:szCs w:val="24"/>
        </w:rPr>
        <w:t>(2) user-generated content that is publicly available, created by end users, often with little to no brand equity or brand recognition.</w:t>
      </w:r>
    </w:p>
    <w:p w:rsidR="006A351A" w:rsidRPr="001E0AC7" w:rsidRDefault="006A351A" w:rsidP="006A351A">
      <w:pPr>
        <w:tabs>
          <w:tab w:val="left" w:pos="1276"/>
          <w:tab w:val="left" w:pos="1418"/>
        </w:tabs>
        <w:spacing w:after="0" w:line="240" w:lineRule="auto"/>
        <w:ind w:firstLine="709"/>
        <w:rPr>
          <w:rFonts w:cs="Times New Roman"/>
          <w:sz w:val="24"/>
          <w:szCs w:val="24"/>
        </w:rPr>
      </w:pPr>
      <w:r w:rsidRPr="001E0AC7">
        <w:rPr>
          <w:rFonts w:cs="Times New Roman"/>
          <w:sz w:val="24"/>
          <w:szCs w:val="24"/>
        </w:rPr>
        <w:t>As of 2018 more than 4,000 companies are certified (comply with the provisions) by Privacy Shield.</w:t>
      </w:r>
    </w:p>
    <w:p w:rsidR="006A351A" w:rsidRPr="001E0AC7" w:rsidRDefault="006A351A" w:rsidP="006A351A">
      <w:pPr>
        <w:tabs>
          <w:tab w:val="left" w:pos="1276"/>
          <w:tab w:val="left" w:pos="1418"/>
        </w:tabs>
        <w:spacing w:after="0" w:line="240" w:lineRule="auto"/>
        <w:ind w:firstLine="709"/>
        <w:rPr>
          <w:rFonts w:cs="Times New Roman"/>
          <w:sz w:val="24"/>
          <w:szCs w:val="24"/>
        </w:rPr>
      </w:pPr>
    </w:p>
    <w:p w:rsidR="006A351A" w:rsidRPr="001E0AC7" w:rsidRDefault="006A351A" w:rsidP="006A351A">
      <w:pPr>
        <w:tabs>
          <w:tab w:val="left" w:pos="1276"/>
          <w:tab w:val="left" w:pos="1418"/>
        </w:tabs>
        <w:spacing w:after="0" w:line="240" w:lineRule="auto"/>
        <w:ind w:firstLine="709"/>
        <w:rPr>
          <w:rFonts w:cs="Times New Roman"/>
          <w:b/>
          <w:sz w:val="24"/>
          <w:szCs w:val="24"/>
        </w:rPr>
      </w:pPr>
      <w:r w:rsidRPr="001E0AC7">
        <w:rPr>
          <w:rFonts w:cs="Times New Roman"/>
          <w:b/>
          <w:sz w:val="24"/>
          <w:szCs w:val="24"/>
        </w:rPr>
        <w:t xml:space="preserve">4. BRAZIL </w:t>
      </w:r>
    </w:p>
    <w:p w:rsidR="006A351A" w:rsidRPr="001E0AC7" w:rsidRDefault="006A351A" w:rsidP="006A351A">
      <w:pPr>
        <w:tabs>
          <w:tab w:val="left" w:pos="1276"/>
          <w:tab w:val="left" w:pos="1418"/>
        </w:tabs>
        <w:spacing w:after="0" w:line="240" w:lineRule="auto"/>
        <w:ind w:firstLine="709"/>
        <w:rPr>
          <w:rFonts w:cs="Times New Roman"/>
          <w:sz w:val="24"/>
          <w:szCs w:val="24"/>
        </w:rPr>
      </w:pPr>
      <w:r w:rsidRPr="001E0AC7">
        <w:rPr>
          <w:rFonts w:cs="Times New Roman"/>
          <w:sz w:val="24"/>
          <w:szCs w:val="24"/>
        </w:rPr>
        <w:t>Telecommunications services are regulated and monitored by ANATEL – the agency that is responsible for implementing national telecommunications policy and for carrying out most of the administrative activities associated with telecommunications providers. In 2015 the telecommunication operator "</w:t>
      </w:r>
      <w:proofErr w:type="spellStart"/>
      <w:r w:rsidRPr="001E0AC7">
        <w:rPr>
          <w:rFonts w:cs="Times New Roman"/>
          <w:sz w:val="24"/>
          <w:szCs w:val="24"/>
        </w:rPr>
        <w:t>Telefônica</w:t>
      </w:r>
      <w:proofErr w:type="spellEnd"/>
      <w:r w:rsidRPr="001E0AC7">
        <w:rPr>
          <w:rFonts w:cs="Times New Roman"/>
          <w:sz w:val="24"/>
          <w:szCs w:val="24"/>
        </w:rPr>
        <w:t xml:space="preserve"> </w:t>
      </w:r>
      <w:proofErr w:type="spellStart"/>
      <w:r w:rsidRPr="001E0AC7">
        <w:rPr>
          <w:rFonts w:cs="Times New Roman"/>
          <w:sz w:val="24"/>
          <w:szCs w:val="24"/>
        </w:rPr>
        <w:t>Brasil</w:t>
      </w:r>
      <w:proofErr w:type="spellEnd"/>
      <w:r w:rsidRPr="001E0AC7">
        <w:rPr>
          <w:rFonts w:cs="Times New Roman"/>
          <w:sz w:val="24"/>
          <w:szCs w:val="24"/>
        </w:rPr>
        <w:t>" called the WhatsApp administration "pirates" due to the threat WhatsApp poses to the traditional SMS messaging and sent a request to ANATEL to develop and approve the regulation for OTT services.</w:t>
      </w:r>
    </w:p>
    <w:p w:rsidR="006A351A" w:rsidRPr="001E0AC7" w:rsidRDefault="006A351A" w:rsidP="006A351A">
      <w:pPr>
        <w:tabs>
          <w:tab w:val="left" w:pos="1276"/>
          <w:tab w:val="left" w:pos="1418"/>
        </w:tabs>
        <w:spacing w:after="0" w:line="240" w:lineRule="auto"/>
        <w:ind w:firstLine="709"/>
        <w:rPr>
          <w:rFonts w:cs="Times New Roman"/>
          <w:sz w:val="24"/>
          <w:szCs w:val="24"/>
        </w:rPr>
      </w:pPr>
      <w:r w:rsidRPr="001E0AC7">
        <w:rPr>
          <w:rFonts w:cs="Times New Roman"/>
          <w:sz w:val="24"/>
          <w:szCs w:val="24"/>
        </w:rPr>
        <w:t xml:space="preserve">Marco Civil da Internet (Law No. 12.965) – is the current law, known as the "Brazilian Civil Rights Framework for the Internet", which regulates the use of the Internet in Brazil by regulating the guarantee principles, rights and obligations for using the Internet, as well as defines the guidelines for the state. </w:t>
      </w:r>
    </w:p>
    <w:p w:rsidR="006A351A" w:rsidRPr="001E0AC7" w:rsidRDefault="006A351A" w:rsidP="006A351A">
      <w:pPr>
        <w:tabs>
          <w:tab w:val="left" w:pos="1276"/>
          <w:tab w:val="left" w:pos="1418"/>
        </w:tabs>
        <w:spacing w:after="0" w:line="240" w:lineRule="auto"/>
        <w:ind w:firstLine="709"/>
        <w:rPr>
          <w:rFonts w:cs="Times New Roman"/>
          <w:sz w:val="24"/>
          <w:szCs w:val="24"/>
        </w:rPr>
      </w:pPr>
      <w:r w:rsidRPr="001E0AC7">
        <w:rPr>
          <w:rFonts w:cs="Times New Roman"/>
          <w:sz w:val="24"/>
          <w:szCs w:val="24"/>
        </w:rPr>
        <w:lastRenderedPageBreak/>
        <w:t xml:space="preserve">OTT service providers have to provide ANATEL with information that allows them to verify compliance with Brazilian legislation in part of collecting, compiling, storing and using data, as well in part of complying with data and communications confidentiality requirements. </w:t>
      </w:r>
    </w:p>
    <w:p w:rsidR="006A351A" w:rsidRPr="001E0AC7" w:rsidRDefault="006A351A" w:rsidP="006A351A">
      <w:pPr>
        <w:tabs>
          <w:tab w:val="left" w:pos="1276"/>
          <w:tab w:val="left" w:pos="1418"/>
        </w:tabs>
        <w:spacing w:after="0" w:line="240" w:lineRule="auto"/>
        <w:ind w:firstLine="709"/>
        <w:rPr>
          <w:rFonts w:cs="Times New Roman"/>
          <w:sz w:val="24"/>
          <w:szCs w:val="24"/>
        </w:rPr>
      </w:pPr>
      <w:r w:rsidRPr="001E0AC7">
        <w:rPr>
          <w:rFonts w:cs="Times New Roman"/>
          <w:sz w:val="24"/>
          <w:szCs w:val="24"/>
        </w:rPr>
        <w:t xml:space="preserve">The law is aimed at protecting PD of Internet users and ensuring the principles of network neutrality. It also limits the categories of user data that Internet service providers can store and collect. </w:t>
      </w:r>
    </w:p>
    <w:p w:rsidR="006A351A" w:rsidRPr="001E0AC7" w:rsidRDefault="006A351A" w:rsidP="006A351A">
      <w:pPr>
        <w:tabs>
          <w:tab w:val="left" w:pos="1276"/>
          <w:tab w:val="left" w:pos="1418"/>
        </w:tabs>
        <w:spacing w:after="0" w:line="240" w:lineRule="auto"/>
        <w:ind w:firstLine="709"/>
        <w:rPr>
          <w:rFonts w:cs="Times New Roman"/>
          <w:sz w:val="24"/>
          <w:szCs w:val="24"/>
        </w:rPr>
      </w:pPr>
      <w:r w:rsidRPr="001E0AC7">
        <w:rPr>
          <w:rFonts w:cs="Times New Roman"/>
          <w:sz w:val="24"/>
          <w:szCs w:val="24"/>
        </w:rPr>
        <w:t>The provisions cover records of committed communication instances (calls) and information about access to applications that cannot be transferred to third parties without the voluntary, explicit and informed consent from an individual. The content of private communications can only be disclosed by a court decision, in situations and according to procedures defined by law.</w:t>
      </w:r>
    </w:p>
    <w:p w:rsidR="006A351A" w:rsidRPr="001E0AC7" w:rsidRDefault="006A351A" w:rsidP="006A351A">
      <w:pPr>
        <w:tabs>
          <w:tab w:val="left" w:pos="1276"/>
          <w:tab w:val="left" w:pos="1418"/>
        </w:tabs>
        <w:spacing w:after="0" w:line="240" w:lineRule="auto"/>
        <w:ind w:firstLine="709"/>
        <w:rPr>
          <w:rFonts w:cs="Times New Roman"/>
          <w:sz w:val="24"/>
          <w:szCs w:val="24"/>
        </w:rPr>
      </w:pPr>
      <w:r w:rsidRPr="001E0AC7">
        <w:rPr>
          <w:rFonts w:cs="Times New Roman"/>
          <w:sz w:val="24"/>
          <w:szCs w:val="24"/>
        </w:rPr>
        <w:t>The law establishes net neutrality: "Any traffic discrimination or deterioration of quality of services that do not count as necessary technical requirements for the adequate provision of services are prohibited". Providers are required to transfer data on an equal basis, regardless of the content of this data, their source and destination.</w:t>
      </w:r>
    </w:p>
    <w:p w:rsidR="006A351A" w:rsidRPr="001E0AC7" w:rsidRDefault="006A351A" w:rsidP="006A351A">
      <w:pPr>
        <w:tabs>
          <w:tab w:val="left" w:pos="1276"/>
          <w:tab w:val="left" w:pos="1418"/>
        </w:tabs>
        <w:spacing w:after="0" w:line="240" w:lineRule="auto"/>
        <w:ind w:firstLine="709"/>
        <w:rPr>
          <w:rFonts w:cs="Times New Roman"/>
          <w:sz w:val="24"/>
          <w:szCs w:val="24"/>
        </w:rPr>
      </w:pPr>
      <w:r w:rsidRPr="001E0AC7">
        <w:rPr>
          <w:rFonts w:cs="Times New Roman"/>
          <w:sz w:val="24"/>
          <w:szCs w:val="24"/>
        </w:rPr>
        <w:t>It is also forbidden in the process of providing both paid and free access to the Internet, as well as when transmitting, switching and routing, to block, monitor, filter or analyze the data packet content.</w:t>
      </w:r>
    </w:p>
    <w:p w:rsidR="006A351A" w:rsidRPr="001E0AC7" w:rsidRDefault="006A351A" w:rsidP="006A351A">
      <w:pPr>
        <w:tabs>
          <w:tab w:val="left" w:pos="1276"/>
          <w:tab w:val="left" w:pos="1418"/>
        </w:tabs>
        <w:spacing w:after="0" w:line="240" w:lineRule="auto"/>
        <w:ind w:firstLine="709"/>
        <w:rPr>
          <w:rFonts w:cs="Times New Roman"/>
          <w:sz w:val="24"/>
          <w:szCs w:val="24"/>
        </w:rPr>
      </w:pPr>
    </w:p>
    <w:p w:rsidR="006A351A" w:rsidRPr="001E0AC7" w:rsidRDefault="006A351A" w:rsidP="006A351A">
      <w:pPr>
        <w:tabs>
          <w:tab w:val="left" w:pos="1276"/>
          <w:tab w:val="left" w:pos="1418"/>
        </w:tabs>
        <w:spacing w:after="0" w:line="240" w:lineRule="auto"/>
        <w:ind w:firstLine="709"/>
        <w:rPr>
          <w:rFonts w:cs="Times New Roman"/>
          <w:b/>
          <w:sz w:val="24"/>
          <w:szCs w:val="24"/>
        </w:rPr>
      </w:pPr>
      <w:r w:rsidRPr="001E0AC7">
        <w:rPr>
          <w:rFonts w:cs="Times New Roman"/>
          <w:b/>
          <w:sz w:val="24"/>
          <w:szCs w:val="24"/>
        </w:rPr>
        <w:t xml:space="preserve">5. INDIA </w:t>
      </w:r>
    </w:p>
    <w:p w:rsidR="006A351A" w:rsidRPr="001E0AC7" w:rsidRDefault="006A351A" w:rsidP="006A351A">
      <w:pPr>
        <w:tabs>
          <w:tab w:val="left" w:pos="1276"/>
          <w:tab w:val="left" w:pos="1418"/>
        </w:tabs>
        <w:spacing w:after="0" w:line="240" w:lineRule="auto"/>
        <w:ind w:firstLine="709"/>
        <w:rPr>
          <w:rFonts w:cs="Times New Roman"/>
          <w:sz w:val="24"/>
          <w:szCs w:val="24"/>
        </w:rPr>
      </w:pPr>
      <w:r w:rsidRPr="001E0AC7">
        <w:rPr>
          <w:rFonts w:cs="Times New Roman"/>
          <w:sz w:val="24"/>
          <w:szCs w:val="24"/>
        </w:rPr>
        <w:t xml:space="preserve">In 2015 the Telecom Regulatory Authority of India (TRAI) formed a Net Neutrality Committee </w:t>
      </w:r>
    </w:p>
    <w:p w:rsidR="006A351A" w:rsidRPr="001E0AC7" w:rsidRDefault="006A351A" w:rsidP="006A351A">
      <w:pPr>
        <w:tabs>
          <w:tab w:val="left" w:pos="1276"/>
          <w:tab w:val="left" w:pos="1418"/>
        </w:tabs>
        <w:spacing w:after="0" w:line="240" w:lineRule="auto"/>
        <w:ind w:firstLine="709"/>
        <w:rPr>
          <w:rFonts w:cs="Times New Roman"/>
          <w:sz w:val="24"/>
          <w:szCs w:val="24"/>
        </w:rPr>
      </w:pPr>
      <w:r w:rsidRPr="001E0AC7">
        <w:rPr>
          <w:rFonts w:cs="Times New Roman"/>
          <w:sz w:val="24"/>
          <w:szCs w:val="24"/>
        </w:rPr>
        <w:t>In March 2015 TRAI issued the official consultation paper on developed Regulatory Framework for OTT services. This consultation paper was discussed by Indian Internet users.</w:t>
      </w:r>
    </w:p>
    <w:p w:rsidR="006A351A" w:rsidRPr="001E0AC7" w:rsidRDefault="006A351A" w:rsidP="006A351A">
      <w:pPr>
        <w:tabs>
          <w:tab w:val="left" w:pos="1276"/>
          <w:tab w:val="left" w:pos="1418"/>
        </w:tabs>
        <w:spacing w:after="0" w:line="240" w:lineRule="auto"/>
        <w:ind w:firstLine="709"/>
        <w:rPr>
          <w:rFonts w:cs="Times New Roman"/>
          <w:sz w:val="24"/>
          <w:szCs w:val="24"/>
        </w:rPr>
      </w:pPr>
      <w:r w:rsidRPr="001E0AC7">
        <w:rPr>
          <w:rFonts w:cs="Times New Roman"/>
          <w:sz w:val="24"/>
          <w:szCs w:val="24"/>
        </w:rPr>
        <w:t>On 8 February 2016 TRAI decided to prevent telecom service providers from offering differential pricing plans based on content, thereby establishing Net Neutrality in India.</w:t>
      </w:r>
    </w:p>
    <w:p w:rsidR="006A351A" w:rsidRPr="001E0AC7" w:rsidRDefault="006A351A" w:rsidP="006A351A">
      <w:pPr>
        <w:tabs>
          <w:tab w:val="left" w:pos="1276"/>
          <w:tab w:val="left" w:pos="1418"/>
        </w:tabs>
        <w:spacing w:after="0" w:line="240" w:lineRule="auto"/>
        <w:ind w:firstLine="709"/>
        <w:rPr>
          <w:rFonts w:cs="Times New Roman"/>
          <w:sz w:val="24"/>
          <w:szCs w:val="24"/>
        </w:rPr>
      </w:pPr>
      <w:r w:rsidRPr="001E0AC7">
        <w:rPr>
          <w:rFonts w:cs="Times New Roman"/>
          <w:sz w:val="24"/>
          <w:szCs w:val="24"/>
        </w:rPr>
        <w:t xml:space="preserve">In May 2016 a study on interaction between the incumbent network providers and OTT providers was released. The operators were forbidden by TRAI to provide communication services to end-users free of charge in accordance with "Prohibition of Discriminatory Tariffs for Data Services Regulations". This was justified by Net Neutrality Framework, which prohibited differential prices for data services that would restrict access for the end users. </w:t>
      </w:r>
    </w:p>
    <w:p w:rsidR="006A351A" w:rsidRPr="001E0AC7" w:rsidRDefault="006A351A" w:rsidP="006A351A">
      <w:pPr>
        <w:tabs>
          <w:tab w:val="left" w:pos="1276"/>
          <w:tab w:val="left" w:pos="1418"/>
        </w:tabs>
        <w:spacing w:after="0" w:line="240" w:lineRule="auto"/>
        <w:ind w:firstLine="709"/>
        <w:rPr>
          <w:rFonts w:cs="Times New Roman"/>
          <w:sz w:val="24"/>
          <w:szCs w:val="24"/>
        </w:rPr>
      </w:pPr>
    </w:p>
    <w:p w:rsidR="006A351A" w:rsidRPr="001E0AC7" w:rsidRDefault="006A351A" w:rsidP="006A351A">
      <w:pPr>
        <w:tabs>
          <w:tab w:val="left" w:pos="1276"/>
          <w:tab w:val="left" w:pos="1418"/>
        </w:tabs>
        <w:spacing w:after="0" w:line="240" w:lineRule="auto"/>
        <w:ind w:firstLine="709"/>
        <w:jc w:val="both"/>
        <w:rPr>
          <w:rFonts w:cs="Times New Roman"/>
          <w:b/>
          <w:sz w:val="24"/>
          <w:szCs w:val="24"/>
        </w:rPr>
      </w:pPr>
      <w:r w:rsidRPr="001E0AC7">
        <w:rPr>
          <w:rFonts w:cs="Times New Roman"/>
          <w:b/>
          <w:sz w:val="24"/>
          <w:szCs w:val="24"/>
        </w:rPr>
        <w:t xml:space="preserve">6. REPUBLIC OF SOUTH AFRICA </w:t>
      </w:r>
    </w:p>
    <w:p w:rsidR="006A351A" w:rsidRPr="001E0AC7" w:rsidRDefault="006A351A" w:rsidP="006A351A">
      <w:pPr>
        <w:autoSpaceDE w:val="0"/>
        <w:autoSpaceDN w:val="0"/>
        <w:adjustRightInd w:val="0"/>
        <w:spacing w:after="0" w:line="240" w:lineRule="auto"/>
        <w:ind w:firstLine="709"/>
        <w:jc w:val="both"/>
        <w:rPr>
          <w:rFonts w:cs="Times New Roman"/>
          <w:sz w:val="24"/>
          <w:szCs w:val="24"/>
        </w:rPr>
      </w:pPr>
      <w:r w:rsidRPr="001E0AC7">
        <w:rPr>
          <w:rFonts w:cs="Times New Roman"/>
          <w:sz w:val="24"/>
          <w:szCs w:val="24"/>
        </w:rPr>
        <w:t xml:space="preserve">In an effort to create equal conditions for all operators, currently traditional South African telecom operators are seeking regulatory intervention from the government of the country, since OTT services </w:t>
      </w:r>
      <w:r w:rsidRPr="001E0AC7">
        <w:rPr>
          <w:rFonts w:cs="Times New Roman"/>
          <w:sz w:val="24"/>
          <w:szCs w:val="24"/>
          <w:lang w:val="en-GB"/>
        </w:rPr>
        <w:t>in South Africa are not licensed, do not have tax obligations, and do not provide security for the national infrastructure. South Africa's main operators (Vodacom and MTN), as well as a small operator (Telkom Mobile), lead a jointly public campaign for the government to address a number of issues pertaining to OTT services.</w:t>
      </w:r>
    </w:p>
    <w:p w:rsidR="006A351A" w:rsidRPr="001E0AC7" w:rsidRDefault="006A351A" w:rsidP="006A351A">
      <w:pPr>
        <w:autoSpaceDE w:val="0"/>
        <w:autoSpaceDN w:val="0"/>
        <w:adjustRightInd w:val="0"/>
        <w:spacing w:after="0" w:line="240" w:lineRule="auto"/>
        <w:rPr>
          <w:rFonts w:cs="Times New Roman"/>
          <w:sz w:val="24"/>
          <w:szCs w:val="24"/>
        </w:rPr>
      </w:pPr>
    </w:p>
    <w:p w:rsidR="006A351A" w:rsidRDefault="006A351A" w:rsidP="006A351A">
      <w:pPr>
        <w:tabs>
          <w:tab w:val="left" w:pos="1276"/>
          <w:tab w:val="left" w:pos="1418"/>
        </w:tabs>
        <w:spacing w:after="0" w:line="240" w:lineRule="auto"/>
        <w:ind w:firstLine="709"/>
        <w:rPr>
          <w:rFonts w:cs="Times New Roman"/>
          <w:sz w:val="24"/>
          <w:szCs w:val="24"/>
        </w:rPr>
      </w:pPr>
      <w:r w:rsidRPr="001E0AC7">
        <w:rPr>
          <w:rFonts w:cs="Times New Roman"/>
          <w:sz w:val="24"/>
          <w:szCs w:val="24"/>
        </w:rPr>
        <w:t>A number of African operators have preferred to use OTT services to protect and increase their market share. Such operators offer consumers to use data transfer services for free, or through combining dedicated data streams for social media services, or by using the Free Basics app provided by Internet.org.</w:t>
      </w:r>
      <w:bookmarkStart w:id="1" w:name="_GoBack"/>
      <w:bookmarkEnd w:id="1"/>
    </w:p>
    <w:sectPr w:rsidR="006A351A" w:rsidSect="00AE49D2">
      <w:headerReference w:type="defaul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642E" w:rsidRDefault="00EC642E" w:rsidP="00AE49D2">
      <w:pPr>
        <w:spacing w:after="0" w:line="240" w:lineRule="auto"/>
      </w:pPr>
      <w:r>
        <w:separator/>
      </w:r>
    </w:p>
  </w:endnote>
  <w:endnote w:type="continuationSeparator" w:id="0">
    <w:p w:rsidR="00EC642E" w:rsidRDefault="00EC642E" w:rsidP="00AE49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642E" w:rsidRDefault="00EC642E" w:rsidP="00AE49D2">
      <w:pPr>
        <w:spacing w:after="0" w:line="240" w:lineRule="auto"/>
      </w:pPr>
      <w:r>
        <w:separator/>
      </w:r>
    </w:p>
  </w:footnote>
  <w:footnote w:type="continuationSeparator" w:id="0">
    <w:p w:rsidR="00EC642E" w:rsidRDefault="00EC642E" w:rsidP="00AE49D2">
      <w:pPr>
        <w:spacing w:after="0" w:line="240" w:lineRule="auto"/>
      </w:pPr>
      <w:r>
        <w:continuationSeparator/>
      </w:r>
    </w:p>
  </w:footnote>
  <w:footnote w:id="1">
    <w:p w:rsidR="002C1A1F" w:rsidRPr="007B05CD" w:rsidRDefault="002C1A1F">
      <w:pPr>
        <w:pStyle w:val="FootnoteText"/>
        <w:rPr>
          <w:lang w:val="ru-RU"/>
        </w:rPr>
      </w:pPr>
      <w:r>
        <w:rPr>
          <w:rStyle w:val="FootnoteReference"/>
        </w:rPr>
        <w:footnoteRef/>
      </w:r>
      <w:r>
        <w:t xml:space="preserve"> </w:t>
      </w:r>
      <w:hyperlink r:id="rId1" w:history="1">
        <w:r w:rsidRPr="00227321">
          <w:rPr>
            <w:rStyle w:val="Hyperlink"/>
          </w:rPr>
          <w:t>http://www.kremlin.ru/acts/bank/42199</w:t>
        </w:r>
      </w:hyperlink>
      <w:r>
        <w:rPr>
          <w:lang w:val="ru-RU"/>
        </w:rPr>
        <w:t xml:space="preserve"> </w:t>
      </w:r>
    </w:p>
  </w:footnote>
  <w:footnote w:id="2">
    <w:p w:rsidR="002C1A1F" w:rsidRPr="00F320DB" w:rsidRDefault="002C1A1F">
      <w:pPr>
        <w:pStyle w:val="FootnoteText"/>
      </w:pPr>
      <w:r>
        <w:rPr>
          <w:rStyle w:val="FootnoteReference"/>
        </w:rPr>
        <w:footnoteRef/>
      </w:r>
      <w:r>
        <w:t xml:space="preserve"> Over-the-Top players: market dynamics and policy challenges // </w:t>
      </w:r>
      <w:hyperlink r:id="rId2" w:history="1">
        <w:r w:rsidRPr="00E84539">
          <w:rPr>
            <w:rStyle w:val="Hyperlink"/>
          </w:rPr>
          <w:t>http://www.europarl.europa.eu/RegData/etudes/STUD/2015/569979/IPOL_STU(2015)569979_EN.pdf</w:t>
        </w:r>
      </w:hyperlink>
    </w:p>
    <w:p w:rsidR="002C1A1F" w:rsidRPr="00F320DB" w:rsidRDefault="002C1A1F">
      <w:pPr>
        <w:pStyle w:val="FootnoteText"/>
      </w:pPr>
    </w:p>
  </w:footnote>
  <w:footnote w:id="3">
    <w:p w:rsidR="002C1A1F" w:rsidRPr="00724C2F" w:rsidRDefault="002C1A1F">
      <w:pPr>
        <w:pStyle w:val="FootnoteText"/>
      </w:pPr>
      <w:r>
        <w:rPr>
          <w:rStyle w:val="FootnoteReference"/>
        </w:rPr>
        <w:footnoteRef/>
      </w:r>
      <w:r>
        <w:t xml:space="preserve"> </w:t>
      </w:r>
      <w:hyperlink r:id="rId3" w:history="1">
        <w:r w:rsidRPr="00E84539">
          <w:rPr>
            <w:rStyle w:val="Hyperlink"/>
          </w:rPr>
          <w:t>http://eur-lex.europa.eu/legal-content/EN/TXT/?uri=CELEX:02002L0021-20091219</w:t>
        </w:r>
      </w:hyperlink>
    </w:p>
    <w:p w:rsidR="002C1A1F" w:rsidRPr="00724C2F" w:rsidRDefault="002C1A1F">
      <w:pPr>
        <w:pStyle w:val="FootnoteText"/>
      </w:pPr>
    </w:p>
  </w:footnote>
  <w:footnote w:id="4">
    <w:p w:rsidR="00CF4D65" w:rsidRPr="00724C2F" w:rsidRDefault="00CF4D65" w:rsidP="00CF4D65">
      <w:pPr>
        <w:pStyle w:val="FootnoteText"/>
      </w:pPr>
      <w:r>
        <w:rPr>
          <w:rStyle w:val="FootnoteReference"/>
        </w:rPr>
        <w:footnoteRef/>
      </w:r>
      <w:r>
        <w:t xml:space="preserve"> </w:t>
      </w:r>
      <w:hyperlink r:id="rId4" w:history="1">
        <w:r w:rsidRPr="00E84539">
          <w:rPr>
            <w:rStyle w:val="Hyperlink"/>
          </w:rPr>
          <w:t>https://eur-lex.europa.eu/legal-content/EN/TXT/?uri=LEGISSUM:l24164</w:t>
        </w:r>
      </w:hyperlink>
      <w:r w:rsidRPr="00724C2F">
        <w:t xml:space="preserve"> </w:t>
      </w:r>
    </w:p>
  </w:footnote>
  <w:footnote w:id="5">
    <w:p w:rsidR="00CF4D65" w:rsidRPr="00724C2F" w:rsidRDefault="00CF4D65" w:rsidP="00CF4D65">
      <w:pPr>
        <w:pStyle w:val="FootnoteText"/>
      </w:pPr>
      <w:r>
        <w:rPr>
          <w:rStyle w:val="FootnoteReference"/>
        </w:rPr>
        <w:footnoteRef/>
      </w:r>
      <w:r>
        <w:t xml:space="preserve"> </w:t>
      </w:r>
      <w:hyperlink r:id="rId5" w:history="1">
        <w:r w:rsidRPr="00E84539">
          <w:rPr>
            <w:rStyle w:val="Hyperlink"/>
          </w:rPr>
          <w:t>https://eur-lex.europa.eu/legal-content/EN/ALL/?uri=CELEX:32002L0019</w:t>
        </w:r>
      </w:hyperlink>
      <w:r w:rsidRPr="00724C2F">
        <w:t xml:space="preserve"> </w:t>
      </w:r>
    </w:p>
  </w:footnote>
  <w:footnote w:id="6">
    <w:p w:rsidR="00CF4D65" w:rsidRPr="00724C2F" w:rsidRDefault="00CF4D65" w:rsidP="00CF4D65">
      <w:pPr>
        <w:pStyle w:val="FootnoteText"/>
      </w:pPr>
      <w:r>
        <w:rPr>
          <w:rStyle w:val="FootnoteReference"/>
        </w:rPr>
        <w:footnoteRef/>
      </w:r>
      <w:r>
        <w:t xml:space="preserve"> </w:t>
      </w:r>
      <w:r w:rsidRPr="00002322">
        <w:t>https</w:t>
      </w:r>
      <w:r w:rsidRPr="00152A3A">
        <w:t>://</w:t>
      </w:r>
      <w:r w:rsidRPr="00002322">
        <w:t>eur</w:t>
      </w:r>
      <w:r w:rsidRPr="00152A3A">
        <w:t>-</w:t>
      </w:r>
      <w:r w:rsidRPr="00002322">
        <w:t>lex</w:t>
      </w:r>
      <w:r w:rsidRPr="00152A3A">
        <w:t>.</w:t>
      </w:r>
      <w:r w:rsidRPr="00002322">
        <w:t>europa</w:t>
      </w:r>
      <w:r w:rsidRPr="00152A3A">
        <w:t>.</w:t>
      </w:r>
      <w:r w:rsidRPr="00002322">
        <w:t>eu</w:t>
      </w:r>
      <w:r w:rsidRPr="00152A3A">
        <w:t>/</w:t>
      </w:r>
      <w:r w:rsidRPr="00002322">
        <w:t>legal</w:t>
      </w:r>
      <w:r w:rsidRPr="00152A3A">
        <w:t>-</w:t>
      </w:r>
      <w:r w:rsidRPr="00002322">
        <w:t>content</w:t>
      </w:r>
      <w:r w:rsidRPr="00152A3A">
        <w:t>/</w:t>
      </w:r>
      <w:r w:rsidRPr="00002322">
        <w:t>EN</w:t>
      </w:r>
      <w:r w:rsidRPr="00152A3A">
        <w:t>/</w:t>
      </w:r>
      <w:r w:rsidRPr="00002322">
        <w:t>TXT</w:t>
      </w:r>
      <w:r w:rsidRPr="00152A3A">
        <w:t>/?</w:t>
      </w:r>
      <w:r w:rsidRPr="00002322">
        <w:t>qid</w:t>
      </w:r>
      <w:r w:rsidRPr="00152A3A">
        <w:t>=1545309184652&amp;</w:t>
      </w:r>
      <w:r w:rsidRPr="00002322">
        <w:t>uri</w:t>
      </w:r>
      <w:r w:rsidRPr="00152A3A">
        <w:t>=</w:t>
      </w:r>
      <w:r w:rsidRPr="00002322">
        <w:t>CELEX</w:t>
      </w:r>
      <w:r w:rsidRPr="00152A3A">
        <w:t>:32002</w:t>
      </w:r>
      <w:r w:rsidRPr="00002322">
        <w:t>L</w:t>
      </w:r>
      <w:r w:rsidRPr="00152A3A">
        <w:t>0022</w:t>
      </w:r>
    </w:p>
  </w:footnote>
  <w:footnote w:id="7">
    <w:p w:rsidR="00CF4D65" w:rsidRPr="005407A0" w:rsidRDefault="00CF4D65" w:rsidP="00CF4D65">
      <w:pPr>
        <w:pStyle w:val="FootnoteText"/>
      </w:pPr>
      <w:r>
        <w:rPr>
          <w:rStyle w:val="FootnoteReference"/>
        </w:rPr>
        <w:footnoteRef/>
      </w:r>
      <w:r>
        <w:t xml:space="preserve"> </w:t>
      </w:r>
      <w:r w:rsidRPr="005407A0">
        <w:t>http://eur-lex.europa.eu/legal-content/EN/TXT/?uri=CELEX:52017PC0010</w:t>
      </w:r>
    </w:p>
  </w:footnote>
  <w:footnote w:id="8">
    <w:p w:rsidR="00CF4D65" w:rsidRPr="005407A0" w:rsidRDefault="00CF4D65" w:rsidP="00CF4D65">
      <w:pPr>
        <w:pStyle w:val="FootnoteText"/>
      </w:pPr>
      <w:r>
        <w:rPr>
          <w:rStyle w:val="FootnoteReference"/>
        </w:rPr>
        <w:footnoteRef/>
      </w:r>
      <w:r>
        <w:t xml:space="preserve"> http</w:t>
      </w:r>
      <w:r w:rsidRPr="00152A3A">
        <w:t>://</w:t>
      </w:r>
      <w:r>
        <w:t>eur</w:t>
      </w:r>
      <w:r w:rsidRPr="00152A3A">
        <w:t>-</w:t>
      </w:r>
      <w:r>
        <w:t>lex</w:t>
      </w:r>
      <w:r w:rsidRPr="00152A3A">
        <w:t>.</w:t>
      </w:r>
      <w:r>
        <w:t>europa</w:t>
      </w:r>
      <w:r w:rsidRPr="00152A3A">
        <w:t>.</w:t>
      </w:r>
      <w:r>
        <w:t>eu</w:t>
      </w:r>
      <w:r w:rsidRPr="00152A3A">
        <w:t>/</w:t>
      </w:r>
      <w:r>
        <w:t>legal</w:t>
      </w:r>
      <w:r w:rsidRPr="00152A3A">
        <w:t>-</w:t>
      </w:r>
      <w:r>
        <w:t>content</w:t>
      </w:r>
      <w:r w:rsidRPr="00152A3A">
        <w:t>/</w:t>
      </w:r>
      <w:r>
        <w:t>EN</w:t>
      </w:r>
      <w:r w:rsidRPr="00152A3A">
        <w:t>/</w:t>
      </w:r>
      <w:r>
        <w:t>TXT</w:t>
      </w:r>
      <w:r w:rsidRPr="00152A3A">
        <w:t>/?</w:t>
      </w:r>
      <w:r>
        <w:t>uri</w:t>
      </w:r>
      <w:r w:rsidRPr="00152A3A">
        <w:t>=</w:t>
      </w:r>
      <w:r>
        <w:t>CELEX</w:t>
      </w:r>
      <w:r w:rsidRPr="00152A3A">
        <w:t>:52017</w:t>
      </w:r>
      <w:r>
        <w:t>PC</w:t>
      </w:r>
      <w:r w:rsidRPr="00152A3A">
        <w:t>0010</w:t>
      </w:r>
    </w:p>
  </w:footnote>
  <w:footnote w:id="9">
    <w:p w:rsidR="00CF4D65" w:rsidRPr="005407A0" w:rsidRDefault="00CF4D65" w:rsidP="00CF4D65">
      <w:pPr>
        <w:pStyle w:val="FootnoteText"/>
      </w:pPr>
      <w:r>
        <w:rPr>
          <w:rStyle w:val="FootnoteReference"/>
        </w:rPr>
        <w:footnoteRef/>
      </w:r>
      <w:r>
        <w:t xml:space="preserve"> </w:t>
      </w:r>
      <w:hyperlink r:id="rId6" w:history="1">
        <w:r w:rsidRPr="00E84539">
          <w:rPr>
            <w:rStyle w:val="Hyperlink"/>
          </w:rPr>
          <w:t>https://eur-lex.europa.eu/legal-content/EN/TXT/?uri=LEGISSUM:si0015</w:t>
        </w:r>
      </w:hyperlink>
    </w:p>
  </w:footnote>
  <w:footnote w:id="10">
    <w:p w:rsidR="00CF4D65" w:rsidRPr="005407A0" w:rsidRDefault="00CF4D65" w:rsidP="00CF4D65">
      <w:pPr>
        <w:pStyle w:val="FootnoteText"/>
      </w:pPr>
      <w:r>
        <w:rPr>
          <w:rStyle w:val="FootnoteReference"/>
        </w:rPr>
        <w:footnoteRef/>
      </w:r>
      <w:r>
        <w:t xml:space="preserve"> </w:t>
      </w:r>
      <w:hyperlink r:id="rId7" w:history="1">
        <w:r w:rsidRPr="00E84539">
          <w:rPr>
            <w:rStyle w:val="Hyperlink"/>
          </w:rPr>
          <w:t>https://eur-lex.europa.eu/legal-content/EN/ALL/?uri=celex:32017R0920</w:t>
        </w:r>
      </w:hyperlink>
      <w:r w:rsidRPr="005407A0">
        <w:t xml:space="preserve"> </w:t>
      </w:r>
    </w:p>
  </w:footnote>
  <w:footnote w:id="11">
    <w:p w:rsidR="00CF4D65" w:rsidRPr="005407A0" w:rsidRDefault="00CF4D65" w:rsidP="00CF4D65">
      <w:pPr>
        <w:pStyle w:val="FootnoteText"/>
      </w:pPr>
      <w:r>
        <w:rPr>
          <w:rStyle w:val="FootnoteReference"/>
        </w:rPr>
        <w:footnoteRef/>
      </w:r>
      <w:r>
        <w:t xml:space="preserve"> </w:t>
      </w:r>
      <w:hyperlink r:id="rId8" w:history="1">
        <w:r w:rsidRPr="00E84539">
          <w:rPr>
            <w:rStyle w:val="Hyperlink"/>
          </w:rPr>
          <w:t>https://eur-lex.europa.eu/legal-content/EN/ALL/?uri=celex:32017R0920</w:t>
        </w:r>
      </w:hyperlink>
      <w:r w:rsidRPr="005407A0">
        <w:t xml:space="preserve"> </w:t>
      </w:r>
    </w:p>
  </w:footnote>
  <w:footnote w:id="12">
    <w:p w:rsidR="00CF4D65" w:rsidRPr="005407A0" w:rsidRDefault="00CF4D65" w:rsidP="00CF4D65">
      <w:pPr>
        <w:pStyle w:val="FootnoteText"/>
      </w:pPr>
      <w:r>
        <w:rPr>
          <w:rStyle w:val="FootnoteReference"/>
        </w:rPr>
        <w:footnoteRef/>
      </w:r>
      <w:r w:rsidRPr="005407A0">
        <w:t xml:space="preserve"> </w:t>
      </w:r>
      <w:hyperlink r:id="rId9" w:history="1">
        <w:r w:rsidRPr="00E84539">
          <w:rPr>
            <w:rStyle w:val="Hyperlink"/>
          </w:rPr>
          <w:t>http://eur-lex.europa.eu/legal-content/EN/ALL/?uri=CELEX:32010L0013</w:t>
        </w:r>
      </w:hyperlink>
      <w:r w:rsidRPr="005407A0">
        <w:t xml:space="preserve"> </w:t>
      </w:r>
      <w:r>
        <w:t xml:space="preserve"> </w:t>
      </w:r>
    </w:p>
  </w:footnote>
  <w:footnote w:id="13">
    <w:p w:rsidR="00B426E4" w:rsidRPr="003438ED" w:rsidRDefault="00B426E4" w:rsidP="00B426E4">
      <w:pPr>
        <w:pStyle w:val="FootnoteText"/>
      </w:pPr>
      <w:r>
        <w:rPr>
          <w:rStyle w:val="FootnoteReference"/>
        </w:rPr>
        <w:footnoteRef/>
      </w:r>
      <w:r>
        <w:t xml:space="preserve"> The rise of OTT players – what is the appropriate regulatory response? </w:t>
      </w:r>
      <w:proofErr w:type="spellStart"/>
      <w:r>
        <w:t>Detecon</w:t>
      </w:r>
      <w:proofErr w:type="spellEnd"/>
      <w:r>
        <w:t xml:space="preserve"> Consulting // </w:t>
      </w:r>
      <w:hyperlink r:id="rId10" w:history="1">
        <w:r w:rsidRPr="00E84539">
          <w:rPr>
            <w:rStyle w:val="Hyperlink"/>
          </w:rPr>
          <w:t>https://www.detecon.com/sites/default/files/Paper_OTT_Player.pdf</w:t>
        </w:r>
      </w:hyperlink>
      <w:r w:rsidRPr="003438ED">
        <w:t xml:space="preserve"> </w:t>
      </w:r>
    </w:p>
  </w:footnote>
  <w:footnote w:id="14">
    <w:p w:rsidR="00B1410A" w:rsidRDefault="00B1410A" w:rsidP="00B1410A">
      <w:pPr>
        <w:pStyle w:val="FootnoteText"/>
      </w:pPr>
      <w:r>
        <w:rPr>
          <w:rStyle w:val="FootnoteReference"/>
        </w:rPr>
        <w:footnoteRef/>
      </w:r>
      <w:r>
        <w:t xml:space="preserve"> </w:t>
      </w:r>
      <w:hyperlink r:id="rId11" w:history="1">
        <w:r>
          <w:rPr>
            <w:rStyle w:val="Hyperlink"/>
          </w:rPr>
          <w:t>http://ec.europa.eu/justice/data-protection/reform/index_en.htm</w:t>
        </w:r>
      </w:hyperlink>
      <w:r>
        <w:t xml:space="preserve"> </w:t>
      </w:r>
    </w:p>
  </w:footnote>
  <w:footnote w:id="15">
    <w:p w:rsidR="00B1410A" w:rsidRDefault="00B1410A" w:rsidP="00B1410A">
      <w:pPr>
        <w:pStyle w:val="FootnoteText"/>
      </w:pPr>
      <w:r>
        <w:rPr>
          <w:rStyle w:val="FootnoteReference"/>
        </w:rPr>
        <w:footnoteRef/>
      </w:r>
      <w:r>
        <w:t xml:space="preserve"> </w:t>
      </w:r>
      <w:hyperlink r:id="rId12" w:history="1">
        <w:r>
          <w:rPr>
            <w:rStyle w:val="Hyperlink"/>
          </w:rPr>
          <w:t>http://eur-lex.europa.eu/legal-content/EN/TXT/?uri=uriserv:OJ.L_.2016.119.01.0001.01.ENG</w:t>
        </w:r>
      </w:hyperlink>
      <w:r>
        <w:rPr>
          <w:rStyle w:val="Hyperlink"/>
        </w:rPr>
        <w:t xml:space="preserve"> </w:t>
      </w:r>
    </w:p>
  </w:footnote>
  <w:footnote w:id="16">
    <w:p w:rsidR="00B1410A" w:rsidRDefault="00B1410A" w:rsidP="00B1410A">
      <w:pPr>
        <w:pStyle w:val="FootnoteText"/>
      </w:pPr>
      <w:r>
        <w:rPr>
          <w:rStyle w:val="FootnoteReference"/>
        </w:rPr>
        <w:footnoteRef/>
      </w:r>
      <w:r>
        <w:t xml:space="preserve"> </w:t>
      </w:r>
      <w:r>
        <w:rPr>
          <w:lang w:val="en-GB"/>
        </w:rPr>
        <w:t xml:space="preserve">Principal characteristic is that EU regulations once approved become directly enforceable over the </w:t>
      </w:r>
      <w:r>
        <w:t xml:space="preserve">whole </w:t>
      </w:r>
      <w:r>
        <w:rPr>
          <w:lang w:val="en-GB"/>
        </w:rPr>
        <w:t>territory of EU Member States</w:t>
      </w:r>
      <w:r>
        <w:t>, while directives are introduced through national legislation of each European state.</w:t>
      </w:r>
    </w:p>
  </w:footnote>
  <w:footnote w:id="17">
    <w:p w:rsidR="00B1410A" w:rsidRDefault="00B1410A" w:rsidP="00B1410A">
      <w:pPr>
        <w:pStyle w:val="FootnoteText"/>
      </w:pPr>
      <w:r>
        <w:rPr>
          <w:rStyle w:val="FootnoteReference"/>
        </w:rPr>
        <w:footnoteRef/>
      </w:r>
      <w:r>
        <w:t xml:space="preserve"> </w:t>
      </w:r>
      <w:hyperlink r:id="rId13" w:history="1">
        <w:r>
          <w:rPr>
            <w:rStyle w:val="Hyperlink"/>
          </w:rPr>
          <w:t>http://eur-lex.europa.eu/legal-content/EN/TXT/?uri=celex:32016L0680</w:t>
        </w:r>
      </w:hyperlink>
      <w:r>
        <w:t xml:space="preserve"> </w:t>
      </w:r>
    </w:p>
  </w:footnote>
  <w:footnote w:id="18">
    <w:p w:rsidR="00B1410A" w:rsidRDefault="00B1410A" w:rsidP="00B1410A">
      <w:pPr>
        <w:pStyle w:val="FootnoteText"/>
      </w:pPr>
      <w:r>
        <w:rPr>
          <w:rStyle w:val="FootnoteReference"/>
        </w:rPr>
        <w:footnoteRef/>
      </w:r>
      <w:r>
        <w:t xml:space="preserve"> </w:t>
      </w:r>
      <w:hyperlink r:id="rId14" w:history="1">
        <w:r>
          <w:rPr>
            <w:rStyle w:val="Hyperlink"/>
          </w:rPr>
          <w:t>http://eur-lex.europa.eu/legal-content/EN/TXT/?uri=CELEX:32008F0977</w:t>
        </w:r>
      </w:hyperlink>
      <w:r>
        <w:t xml:space="preserve"> </w:t>
      </w:r>
    </w:p>
  </w:footnote>
  <w:footnote w:id="19">
    <w:p w:rsidR="00B1410A" w:rsidRDefault="00B1410A" w:rsidP="00B1410A">
      <w:pPr>
        <w:pStyle w:val="FootnoteText"/>
      </w:pPr>
      <w:r>
        <w:rPr>
          <w:rStyle w:val="FootnoteReference"/>
        </w:rPr>
        <w:footnoteRef/>
      </w:r>
      <w:r>
        <w:t xml:space="preserve"> </w:t>
      </w:r>
      <w:hyperlink r:id="rId15" w:history="1">
        <w:r>
          <w:rPr>
            <w:rStyle w:val="Hyperlink"/>
          </w:rPr>
          <w:t>http://eur-lex.europa.eu/legal-content/EN/TXT/?uri=CELEX:31995L0046</w:t>
        </w:r>
      </w:hyperlink>
      <w:r>
        <w:t xml:space="preserve"> </w:t>
      </w:r>
    </w:p>
  </w:footnote>
  <w:footnote w:id="20">
    <w:p w:rsidR="00B1410A" w:rsidRDefault="00B1410A" w:rsidP="00B1410A">
      <w:pPr>
        <w:pStyle w:val="FootnoteText"/>
      </w:pPr>
      <w:r>
        <w:rPr>
          <w:rStyle w:val="FootnoteReference"/>
        </w:rPr>
        <w:footnoteRef/>
      </w:r>
      <w:r>
        <w:t xml:space="preserve"> </w:t>
      </w:r>
      <w:hyperlink r:id="rId16" w:history="1">
        <w:r>
          <w:rPr>
            <w:rStyle w:val="Hyperlink"/>
          </w:rPr>
          <w:t>http://eur-lex.europa.eu/legal-content/EN/TXT/?uri=CELEX:32000L0031</w:t>
        </w:r>
      </w:hyperlink>
      <w:r>
        <w:t xml:space="preserve"> </w:t>
      </w:r>
    </w:p>
  </w:footnote>
  <w:footnote w:id="21">
    <w:p w:rsidR="00B1410A" w:rsidRDefault="00B1410A" w:rsidP="00B1410A">
      <w:pPr>
        <w:pStyle w:val="FootnoteText"/>
      </w:pPr>
      <w:r>
        <w:rPr>
          <w:rStyle w:val="FootnoteReference"/>
        </w:rPr>
        <w:footnoteRef/>
      </w:r>
      <w:r>
        <w:t xml:space="preserve"> </w:t>
      </w:r>
      <w:hyperlink r:id="rId17" w:history="1">
        <w:r>
          <w:rPr>
            <w:rStyle w:val="Hyperlink"/>
          </w:rPr>
          <w:t>http://eur-lex.europa.eu/legal-content/EN/TXT/?uri=LEGISSUM:l24223</w:t>
        </w:r>
      </w:hyperlink>
      <w:r>
        <w:t xml:space="preserve"> </w:t>
      </w:r>
    </w:p>
  </w:footnote>
  <w:footnote w:id="22">
    <w:p w:rsidR="006A351A" w:rsidRDefault="006A351A" w:rsidP="006A351A">
      <w:pPr>
        <w:pStyle w:val="FootnoteText"/>
      </w:pPr>
      <w:r>
        <w:rPr>
          <w:rStyle w:val="FootnoteReference"/>
        </w:rPr>
        <w:footnoteRef/>
      </w:r>
      <w:r>
        <w:t xml:space="preserve"> EU Commission and United States agree on new framework for transatlantic data flows: EU-US Privacy Shield // </w:t>
      </w:r>
      <w:hyperlink r:id="rId18" w:history="1">
        <w:r>
          <w:rPr>
            <w:rStyle w:val="Hyperlink"/>
          </w:rPr>
          <w:t>http://europa.eu/rapid/press-release_IP-16-216_en.htm</w:t>
        </w:r>
      </w:hyperlink>
      <w:r>
        <w:t xml:space="preserve"> </w:t>
      </w:r>
    </w:p>
  </w:footnote>
  <w:footnote w:id="23">
    <w:p w:rsidR="006A351A" w:rsidRDefault="006A351A" w:rsidP="006A351A">
      <w:pPr>
        <w:pStyle w:val="FootnoteText"/>
      </w:pPr>
      <w:r>
        <w:rPr>
          <w:rStyle w:val="FootnoteReference"/>
        </w:rPr>
        <w:footnoteRef/>
      </w:r>
      <w:r>
        <w:t xml:space="preserve"> </w:t>
      </w:r>
      <w:hyperlink r:id="rId19" w:history="1">
        <w:r>
          <w:rPr>
            <w:rStyle w:val="Hyperlink"/>
          </w:rPr>
          <w:t>https://apps.fcc.gov/edocs_public/attachmatch/FCC-13-99A1.pdf</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19348024"/>
      <w:docPartObj>
        <w:docPartGallery w:val="Page Numbers (Top of Page)"/>
        <w:docPartUnique/>
      </w:docPartObj>
    </w:sdtPr>
    <w:sdtEndPr>
      <w:rPr>
        <w:noProof/>
      </w:rPr>
    </w:sdtEndPr>
    <w:sdtContent>
      <w:p w:rsidR="002C1A1F" w:rsidRDefault="002C1A1F" w:rsidP="00AE49D2">
        <w:pPr>
          <w:pStyle w:val="Header"/>
          <w:jc w:val="center"/>
        </w:pPr>
        <w:r>
          <w:fldChar w:fldCharType="begin"/>
        </w:r>
        <w:r>
          <w:instrText xml:space="preserve"> PAGE   \* MERGEFORMAT </w:instrText>
        </w:r>
        <w:r>
          <w:fldChar w:fldCharType="separate"/>
        </w:r>
        <w:r w:rsidR="00AF29A8">
          <w:rPr>
            <w:noProof/>
          </w:rPr>
          <w:t>12</w:t>
        </w:r>
        <w:r>
          <w:rPr>
            <w:noProof/>
          </w:rPr>
          <w:fldChar w:fldCharType="end"/>
        </w:r>
      </w:p>
    </w:sdtContent>
  </w:sdt>
  <w:p w:rsidR="002C1A1F" w:rsidRDefault="002C1A1F" w:rsidP="00AE49D2">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C6244C"/>
    <w:multiLevelType w:val="hybridMultilevel"/>
    <w:tmpl w:val="63763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4275D08"/>
    <w:multiLevelType w:val="hybridMultilevel"/>
    <w:tmpl w:val="056A2B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46351A4"/>
    <w:multiLevelType w:val="hybridMultilevel"/>
    <w:tmpl w:val="69A0BB94"/>
    <w:lvl w:ilvl="0" w:tplc="0419000F">
      <w:start w:val="1"/>
      <w:numFmt w:val="decimal"/>
      <w:lvlText w:val="%1."/>
      <w:lvlJc w:val="left"/>
      <w:pPr>
        <w:ind w:left="2291" w:hanging="144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541022A"/>
    <w:multiLevelType w:val="hybridMultilevel"/>
    <w:tmpl w:val="056A2B54"/>
    <w:lvl w:ilvl="0" w:tplc="0419000F">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540927DC"/>
    <w:multiLevelType w:val="hybridMultilevel"/>
    <w:tmpl w:val="B7E2F120"/>
    <w:lvl w:ilvl="0" w:tplc="04190019">
      <w:start w:val="1"/>
      <w:numFmt w:val="lowerLetter"/>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5" w15:restartNumberingAfterBreak="0">
    <w:nsid w:val="5E08279B"/>
    <w:multiLevelType w:val="hybridMultilevel"/>
    <w:tmpl w:val="4FC23CC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1"/>
  </w:num>
  <w:num w:numId="3">
    <w:abstractNumId w:val="5"/>
  </w:num>
  <w:num w:numId="4">
    <w:abstractNumId w:val="2"/>
  </w:num>
  <w:num w:numId="5">
    <w:abstractNumId w:val="3"/>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F8C"/>
    <w:rsid w:val="000013ED"/>
    <w:rsid w:val="00011118"/>
    <w:rsid w:val="00011C06"/>
    <w:rsid w:val="000152F4"/>
    <w:rsid w:val="000231F2"/>
    <w:rsid w:val="00032FC7"/>
    <w:rsid w:val="00036CAE"/>
    <w:rsid w:val="000411DB"/>
    <w:rsid w:val="000452E7"/>
    <w:rsid w:val="00045A8A"/>
    <w:rsid w:val="00057269"/>
    <w:rsid w:val="00060770"/>
    <w:rsid w:val="00061757"/>
    <w:rsid w:val="000626FE"/>
    <w:rsid w:val="00071A7A"/>
    <w:rsid w:val="0007303E"/>
    <w:rsid w:val="0007482E"/>
    <w:rsid w:val="00075E97"/>
    <w:rsid w:val="0008097E"/>
    <w:rsid w:val="00085EBA"/>
    <w:rsid w:val="00086966"/>
    <w:rsid w:val="00094762"/>
    <w:rsid w:val="00094DDD"/>
    <w:rsid w:val="000B1094"/>
    <w:rsid w:val="000B645A"/>
    <w:rsid w:val="000C609A"/>
    <w:rsid w:val="000D08C1"/>
    <w:rsid w:val="000D0EDE"/>
    <w:rsid w:val="000D2EF0"/>
    <w:rsid w:val="000D3CCB"/>
    <w:rsid w:val="000D46DB"/>
    <w:rsid w:val="000D7686"/>
    <w:rsid w:val="000E70FA"/>
    <w:rsid w:val="000F0913"/>
    <w:rsid w:val="000F2CDA"/>
    <w:rsid w:val="00100E21"/>
    <w:rsid w:val="00103B4D"/>
    <w:rsid w:val="00103DFC"/>
    <w:rsid w:val="00104A6D"/>
    <w:rsid w:val="00115D28"/>
    <w:rsid w:val="00120C6F"/>
    <w:rsid w:val="001245D4"/>
    <w:rsid w:val="001521A4"/>
    <w:rsid w:val="00162710"/>
    <w:rsid w:val="001663E6"/>
    <w:rsid w:val="00167429"/>
    <w:rsid w:val="00173861"/>
    <w:rsid w:val="001818EB"/>
    <w:rsid w:val="00183EDF"/>
    <w:rsid w:val="001A1017"/>
    <w:rsid w:val="001A1307"/>
    <w:rsid w:val="001A1C2A"/>
    <w:rsid w:val="001B1C7C"/>
    <w:rsid w:val="001B1D61"/>
    <w:rsid w:val="001C415B"/>
    <w:rsid w:val="001C4596"/>
    <w:rsid w:val="001D0F45"/>
    <w:rsid w:val="001E0AC7"/>
    <w:rsid w:val="001E64E5"/>
    <w:rsid w:val="001F5165"/>
    <w:rsid w:val="001F73EA"/>
    <w:rsid w:val="00206ABB"/>
    <w:rsid w:val="0020797F"/>
    <w:rsid w:val="0021313A"/>
    <w:rsid w:val="00223406"/>
    <w:rsid w:val="002248DA"/>
    <w:rsid w:val="00232994"/>
    <w:rsid w:val="0023393C"/>
    <w:rsid w:val="00235269"/>
    <w:rsid w:val="00242315"/>
    <w:rsid w:val="00252059"/>
    <w:rsid w:val="002537DB"/>
    <w:rsid w:val="00261BB4"/>
    <w:rsid w:val="00267692"/>
    <w:rsid w:val="002908C7"/>
    <w:rsid w:val="002A3528"/>
    <w:rsid w:val="002A3DE9"/>
    <w:rsid w:val="002A420E"/>
    <w:rsid w:val="002A6570"/>
    <w:rsid w:val="002B0C49"/>
    <w:rsid w:val="002C1A1F"/>
    <w:rsid w:val="002D46E6"/>
    <w:rsid w:val="002D5F46"/>
    <w:rsid w:val="002D749E"/>
    <w:rsid w:val="002E1270"/>
    <w:rsid w:val="002F1E81"/>
    <w:rsid w:val="002F5A6C"/>
    <w:rsid w:val="003127C4"/>
    <w:rsid w:val="00323E7E"/>
    <w:rsid w:val="00330331"/>
    <w:rsid w:val="003438ED"/>
    <w:rsid w:val="00345FF1"/>
    <w:rsid w:val="0034762D"/>
    <w:rsid w:val="003605DA"/>
    <w:rsid w:val="003829C0"/>
    <w:rsid w:val="00386A09"/>
    <w:rsid w:val="003877CD"/>
    <w:rsid w:val="00395EA2"/>
    <w:rsid w:val="003962DE"/>
    <w:rsid w:val="003A2D65"/>
    <w:rsid w:val="003A3922"/>
    <w:rsid w:val="003A680E"/>
    <w:rsid w:val="003B0626"/>
    <w:rsid w:val="003B21DB"/>
    <w:rsid w:val="003B44D5"/>
    <w:rsid w:val="003B7292"/>
    <w:rsid w:val="003C31C3"/>
    <w:rsid w:val="003C3B0B"/>
    <w:rsid w:val="003E4B66"/>
    <w:rsid w:val="003E7E59"/>
    <w:rsid w:val="003F6824"/>
    <w:rsid w:val="004069DD"/>
    <w:rsid w:val="00411ABC"/>
    <w:rsid w:val="00422687"/>
    <w:rsid w:val="00422F33"/>
    <w:rsid w:val="00435B70"/>
    <w:rsid w:val="00436D02"/>
    <w:rsid w:val="00441084"/>
    <w:rsid w:val="004471D2"/>
    <w:rsid w:val="00447DA2"/>
    <w:rsid w:val="0045551B"/>
    <w:rsid w:val="0047728D"/>
    <w:rsid w:val="004817AD"/>
    <w:rsid w:val="00482905"/>
    <w:rsid w:val="00484A7A"/>
    <w:rsid w:val="004959C1"/>
    <w:rsid w:val="0049731B"/>
    <w:rsid w:val="004A2E39"/>
    <w:rsid w:val="004A44D9"/>
    <w:rsid w:val="004A4FCF"/>
    <w:rsid w:val="004B1F75"/>
    <w:rsid w:val="004B623B"/>
    <w:rsid w:val="004C42EE"/>
    <w:rsid w:val="004D6D35"/>
    <w:rsid w:val="004E2D68"/>
    <w:rsid w:val="004E3D01"/>
    <w:rsid w:val="004E4C17"/>
    <w:rsid w:val="004F04C0"/>
    <w:rsid w:val="004F76C8"/>
    <w:rsid w:val="00502794"/>
    <w:rsid w:val="00504DEF"/>
    <w:rsid w:val="0051162E"/>
    <w:rsid w:val="005158F2"/>
    <w:rsid w:val="00524A49"/>
    <w:rsid w:val="00532627"/>
    <w:rsid w:val="005332E3"/>
    <w:rsid w:val="0053429F"/>
    <w:rsid w:val="005407A0"/>
    <w:rsid w:val="00541457"/>
    <w:rsid w:val="005519B5"/>
    <w:rsid w:val="00557343"/>
    <w:rsid w:val="00563836"/>
    <w:rsid w:val="0056494B"/>
    <w:rsid w:val="00574C72"/>
    <w:rsid w:val="0057591A"/>
    <w:rsid w:val="00582E9C"/>
    <w:rsid w:val="00592B91"/>
    <w:rsid w:val="005A1882"/>
    <w:rsid w:val="005B20FC"/>
    <w:rsid w:val="005D3399"/>
    <w:rsid w:val="005D52C7"/>
    <w:rsid w:val="005E021B"/>
    <w:rsid w:val="005E0CAF"/>
    <w:rsid w:val="005E7B24"/>
    <w:rsid w:val="005F38FF"/>
    <w:rsid w:val="005F4D98"/>
    <w:rsid w:val="005F5CC8"/>
    <w:rsid w:val="0060155E"/>
    <w:rsid w:val="00601989"/>
    <w:rsid w:val="00616A5D"/>
    <w:rsid w:val="0062498F"/>
    <w:rsid w:val="00630A8E"/>
    <w:rsid w:val="006336FF"/>
    <w:rsid w:val="0063474D"/>
    <w:rsid w:val="00642948"/>
    <w:rsid w:val="00643A33"/>
    <w:rsid w:val="00650BCD"/>
    <w:rsid w:val="00657BE4"/>
    <w:rsid w:val="00661638"/>
    <w:rsid w:val="00661E58"/>
    <w:rsid w:val="006701A6"/>
    <w:rsid w:val="006867E9"/>
    <w:rsid w:val="00691A98"/>
    <w:rsid w:val="006A351A"/>
    <w:rsid w:val="006B2DA0"/>
    <w:rsid w:val="006C7ED6"/>
    <w:rsid w:val="006D363D"/>
    <w:rsid w:val="006E19B1"/>
    <w:rsid w:val="006E7464"/>
    <w:rsid w:val="006F107C"/>
    <w:rsid w:val="006F798C"/>
    <w:rsid w:val="007047DD"/>
    <w:rsid w:val="00704995"/>
    <w:rsid w:val="007057E0"/>
    <w:rsid w:val="007066B5"/>
    <w:rsid w:val="00715043"/>
    <w:rsid w:val="00724528"/>
    <w:rsid w:val="00724C2F"/>
    <w:rsid w:val="007256D1"/>
    <w:rsid w:val="00736619"/>
    <w:rsid w:val="0074212C"/>
    <w:rsid w:val="00743D2D"/>
    <w:rsid w:val="007455A1"/>
    <w:rsid w:val="00745CA2"/>
    <w:rsid w:val="007545EA"/>
    <w:rsid w:val="00774495"/>
    <w:rsid w:val="00775E69"/>
    <w:rsid w:val="00776055"/>
    <w:rsid w:val="00790A52"/>
    <w:rsid w:val="007946E2"/>
    <w:rsid w:val="007976B0"/>
    <w:rsid w:val="00797A23"/>
    <w:rsid w:val="00797F00"/>
    <w:rsid w:val="00797FE4"/>
    <w:rsid w:val="007A61D0"/>
    <w:rsid w:val="007B05CD"/>
    <w:rsid w:val="007B74B9"/>
    <w:rsid w:val="007D10FC"/>
    <w:rsid w:val="007D6C3C"/>
    <w:rsid w:val="007E5917"/>
    <w:rsid w:val="007E6583"/>
    <w:rsid w:val="007F6261"/>
    <w:rsid w:val="007F655E"/>
    <w:rsid w:val="007F6E7E"/>
    <w:rsid w:val="008005ED"/>
    <w:rsid w:val="00805CF8"/>
    <w:rsid w:val="00812C9A"/>
    <w:rsid w:val="00830F09"/>
    <w:rsid w:val="0083312D"/>
    <w:rsid w:val="00834719"/>
    <w:rsid w:val="00846C69"/>
    <w:rsid w:val="008710E9"/>
    <w:rsid w:val="00873290"/>
    <w:rsid w:val="00875897"/>
    <w:rsid w:val="00887AC4"/>
    <w:rsid w:val="008A2F06"/>
    <w:rsid w:val="008B451C"/>
    <w:rsid w:val="008C34AA"/>
    <w:rsid w:val="008C6094"/>
    <w:rsid w:val="008C7175"/>
    <w:rsid w:val="008D00D5"/>
    <w:rsid w:val="008E710C"/>
    <w:rsid w:val="008F19D4"/>
    <w:rsid w:val="00910F5F"/>
    <w:rsid w:val="00921733"/>
    <w:rsid w:val="0092347A"/>
    <w:rsid w:val="00930041"/>
    <w:rsid w:val="00950A91"/>
    <w:rsid w:val="00951871"/>
    <w:rsid w:val="009568D2"/>
    <w:rsid w:val="00957852"/>
    <w:rsid w:val="00960084"/>
    <w:rsid w:val="00961F10"/>
    <w:rsid w:val="009648EC"/>
    <w:rsid w:val="009670DD"/>
    <w:rsid w:val="00974D76"/>
    <w:rsid w:val="00977E5E"/>
    <w:rsid w:val="00977FA6"/>
    <w:rsid w:val="00984909"/>
    <w:rsid w:val="00984F0B"/>
    <w:rsid w:val="0098786C"/>
    <w:rsid w:val="00987B18"/>
    <w:rsid w:val="00987B41"/>
    <w:rsid w:val="00987DC9"/>
    <w:rsid w:val="00993143"/>
    <w:rsid w:val="009A7020"/>
    <w:rsid w:val="009B1FCE"/>
    <w:rsid w:val="009B4BF8"/>
    <w:rsid w:val="009C6A51"/>
    <w:rsid w:val="009D23B8"/>
    <w:rsid w:val="009E03D7"/>
    <w:rsid w:val="009E24D7"/>
    <w:rsid w:val="009F630D"/>
    <w:rsid w:val="009F6F72"/>
    <w:rsid w:val="009F7A85"/>
    <w:rsid w:val="00A337B1"/>
    <w:rsid w:val="00A34A22"/>
    <w:rsid w:val="00A37148"/>
    <w:rsid w:val="00A4064F"/>
    <w:rsid w:val="00A43A71"/>
    <w:rsid w:val="00A571F8"/>
    <w:rsid w:val="00A60F0F"/>
    <w:rsid w:val="00A6706C"/>
    <w:rsid w:val="00A71555"/>
    <w:rsid w:val="00A72182"/>
    <w:rsid w:val="00A87F43"/>
    <w:rsid w:val="00AA2AFF"/>
    <w:rsid w:val="00AB2AC2"/>
    <w:rsid w:val="00AC1354"/>
    <w:rsid w:val="00AC38E0"/>
    <w:rsid w:val="00AE16C1"/>
    <w:rsid w:val="00AE49D2"/>
    <w:rsid w:val="00AE50D2"/>
    <w:rsid w:val="00AF29A8"/>
    <w:rsid w:val="00B134A5"/>
    <w:rsid w:val="00B1410A"/>
    <w:rsid w:val="00B21B62"/>
    <w:rsid w:val="00B26F2C"/>
    <w:rsid w:val="00B27735"/>
    <w:rsid w:val="00B3437F"/>
    <w:rsid w:val="00B426E4"/>
    <w:rsid w:val="00B4616F"/>
    <w:rsid w:val="00B57A78"/>
    <w:rsid w:val="00B62D26"/>
    <w:rsid w:val="00B632DD"/>
    <w:rsid w:val="00B6464F"/>
    <w:rsid w:val="00B64D52"/>
    <w:rsid w:val="00B70F2D"/>
    <w:rsid w:val="00B722B6"/>
    <w:rsid w:val="00B9295E"/>
    <w:rsid w:val="00B9327F"/>
    <w:rsid w:val="00BA7313"/>
    <w:rsid w:val="00BB5915"/>
    <w:rsid w:val="00BB7EA8"/>
    <w:rsid w:val="00BC1984"/>
    <w:rsid w:val="00BC544D"/>
    <w:rsid w:val="00BD1F29"/>
    <w:rsid w:val="00BD1FCB"/>
    <w:rsid w:val="00BF05A9"/>
    <w:rsid w:val="00BF1E88"/>
    <w:rsid w:val="00BF23AE"/>
    <w:rsid w:val="00BF5A27"/>
    <w:rsid w:val="00C03577"/>
    <w:rsid w:val="00C049C4"/>
    <w:rsid w:val="00C14CC1"/>
    <w:rsid w:val="00C23B67"/>
    <w:rsid w:val="00C24ADE"/>
    <w:rsid w:val="00C31440"/>
    <w:rsid w:val="00C42B14"/>
    <w:rsid w:val="00C42D76"/>
    <w:rsid w:val="00C43B7A"/>
    <w:rsid w:val="00C46C4E"/>
    <w:rsid w:val="00C500AA"/>
    <w:rsid w:val="00C55BAE"/>
    <w:rsid w:val="00C64AA5"/>
    <w:rsid w:val="00CA33A9"/>
    <w:rsid w:val="00CA7203"/>
    <w:rsid w:val="00CB26CA"/>
    <w:rsid w:val="00CD3479"/>
    <w:rsid w:val="00CD7AD7"/>
    <w:rsid w:val="00CE5D18"/>
    <w:rsid w:val="00CF4D65"/>
    <w:rsid w:val="00D21265"/>
    <w:rsid w:val="00D23333"/>
    <w:rsid w:val="00D301DE"/>
    <w:rsid w:val="00D3172F"/>
    <w:rsid w:val="00D32211"/>
    <w:rsid w:val="00D42A87"/>
    <w:rsid w:val="00D46EF1"/>
    <w:rsid w:val="00D47752"/>
    <w:rsid w:val="00D47A06"/>
    <w:rsid w:val="00D5246F"/>
    <w:rsid w:val="00D57BBA"/>
    <w:rsid w:val="00D62EB3"/>
    <w:rsid w:val="00D80964"/>
    <w:rsid w:val="00D87C95"/>
    <w:rsid w:val="00DB6E3F"/>
    <w:rsid w:val="00DC16EF"/>
    <w:rsid w:val="00DC1CE5"/>
    <w:rsid w:val="00DC5474"/>
    <w:rsid w:val="00DC7259"/>
    <w:rsid w:val="00DD2B76"/>
    <w:rsid w:val="00DE1B04"/>
    <w:rsid w:val="00DE3F36"/>
    <w:rsid w:val="00E3028D"/>
    <w:rsid w:val="00E34356"/>
    <w:rsid w:val="00E36455"/>
    <w:rsid w:val="00E40F8C"/>
    <w:rsid w:val="00E44F5A"/>
    <w:rsid w:val="00E45F32"/>
    <w:rsid w:val="00E5450C"/>
    <w:rsid w:val="00E6159D"/>
    <w:rsid w:val="00E63C38"/>
    <w:rsid w:val="00E671AE"/>
    <w:rsid w:val="00E72B47"/>
    <w:rsid w:val="00E74572"/>
    <w:rsid w:val="00E769AC"/>
    <w:rsid w:val="00E811F2"/>
    <w:rsid w:val="00E84726"/>
    <w:rsid w:val="00E97431"/>
    <w:rsid w:val="00E97749"/>
    <w:rsid w:val="00EA4032"/>
    <w:rsid w:val="00EA7C20"/>
    <w:rsid w:val="00EB0404"/>
    <w:rsid w:val="00EB20D3"/>
    <w:rsid w:val="00EB2CAA"/>
    <w:rsid w:val="00EB5B49"/>
    <w:rsid w:val="00EB61BC"/>
    <w:rsid w:val="00EB6352"/>
    <w:rsid w:val="00EC09C2"/>
    <w:rsid w:val="00EC4BF4"/>
    <w:rsid w:val="00EC5587"/>
    <w:rsid w:val="00EC642E"/>
    <w:rsid w:val="00EC64BE"/>
    <w:rsid w:val="00ED1B9F"/>
    <w:rsid w:val="00EE741E"/>
    <w:rsid w:val="00EF3808"/>
    <w:rsid w:val="00EF5B4C"/>
    <w:rsid w:val="00EF64F1"/>
    <w:rsid w:val="00EF6FA6"/>
    <w:rsid w:val="00F02E83"/>
    <w:rsid w:val="00F16B78"/>
    <w:rsid w:val="00F20475"/>
    <w:rsid w:val="00F320DB"/>
    <w:rsid w:val="00F3290C"/>
    <w:rsid w:val="00F43C6B"/>
    <w:rsid w:val="00F53D27"/>
    <w:rsid w:val="00F7111A"/>
    <w:rsid w:val="00F71560"/>
    <w:rsid w:val="00F74098"/>
    <w:rsid w:val="00F832F6"/>
    <w:rsid w:val="00F87121"/>
    <w:rsid w:val="00F9313F"/>
    <w:rsid w:val="00F96B77"/>
    <w:rsid w:val="00F976AE"/>
    <w:rsid w:val="00FA20D9"/>
    <w:rsid w:val="00FB477D"/>
    <w:rsid w:val="00FB5204"/>
    <w:rsid w:val="00FB6E60"/>
    <w:rsid w:val="00FE48EF"/>
    <w:rsid w:val="00FE55C8"/>
    <w:rsid w:val="00FF235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8F311B79-2980-4249-A389-93AAFA8F0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0F8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0F8C"/>
    <w:pPr>
      <w:ind w:left="720"/>
      <w:contextualSpacing/>
    </w:pPr>
  </w:style>
  <w:style w:type="paragraph" w:customStyle="1" w:styleId="Source">
    <w:name w:val="Source"/>
    <w:basedOn w:val="Normal"/>
    <w:next w:val="Title1"/>
    <w:autoRedefine/>
    <w:rsid w:val="00AF29A8"/>
    <w:pPr>
      <w:tabs>
        <w:tab w:val="left" w:pos="567"/>
        <w:tab w:val="left" w:pos="1134"/>
        <w:tab w:val="left" w:pos="1701"/>
        <w:tab w:val="left" w:pos="2268"/>
        <w:tab w:val="left" w:pos="2835"/>
      </w:tabs>
      <w:overflowPunct w:val="0"/>
      <w:autoSpaceDE w:val="0"/>
      <w:autoSpaceDN w:val="0"/>
      <w:adjustRightInd w:val="0"/>
      <w:spacing w:before="840" w:after="0" w:line="240" w:lineRule="auto"/>
      <w:jc w:val="center"/>
      <w:textAlignment w:val="baseline"/>
    </w:pPr>
    <w:rPr>
      <w:rFonts w:ascii="Calibri" w:eastAsia="Times New Roman" w:hAnsi="Calibri" w:cs="Times New Roman Bold"/>
      <w:b/>
      <w:sz w:val="28"/>
      <w:szCs w:val="20"/>
    </w:rPr>
  </w:style>
  <w:style w:type="paragraph" w:customStyle="1" w:styleId="Title1">
    <w:name w:val="Title 1"/>
    <w:basedOn w:val="Source"/>
    <w:next w:val="Normal"/>
    <w:rsid w:val="005F38FF"/>
    <w:pPr>
      <w:spacing w:before="240"/>
    </w:pPr>
    <w:rPr>
      <w:b w:val="0"/>
      <w:caps/>
    </w:rPr>
  </w:style>
  <w:style w:type="paragraph" w:styleId="Header">
    <w:name w:val="header"/>
    <w:basedOn w:val="Normal"/>
    <w:link w:val="HeaderChar"/>
    <w:uiPriority w:val="99"/>
    <w:unhideWhenUsed/>
    <w:rsid w:val="00AE49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49D2"/>
  </w:style>
  <w:style w:type="paragraph" w:styleId="Footer">
    <w:name w:val="footer"/>
    <w:basedOn w:val="Normal"/>
    <w:link w:val="FooterChar"/>
    <w:uiPriority w:val="99"/>
    <w:unhideWhenUsed/>
    <w:rsid w:val="00AE49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49D2"/>
  </w:style>
  <w:style w:type="paragraph" w:styleId="BalloonText">
    <w:name w:val="Balloon Text"/>
    <w:basedOn w:val="Normal"/>
    <w:link w:val="BalloonTextChar"/>
    <w:uiPriority w:val="99"/>
    <w:semiHidden/>
    <w:unhideWhenUsed/>
    <w:rsid w:val="00B722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22B6"/>
    <w:rPr>
      <w:rFonts w:ascii="Tahoma" w:hAnsi="Tahoma" w:cs="Tahoma"/>
      <w:sz w:val="16"/>
      <w:szCs w:val="16"/>
    </w:rPr>
  </w:style>
  <w:style w:type="paragraph" w:styleId="FootnoteText">
    <w:name w:val="footnote text"/>
    <w:basedOn w:val="Normal"/>
    <w:link w:val="FootnoteTextChar"/>
    <w:uiPriority w:val="99"/>
    <w:semiHidden/>
    <w:unhideWhenUsed/>
    <w:rsid w:val="00F320D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320DB"/>
    <w:rPr>
      <w:sz w:val="20"/>
      <w:szCs w:val="20"/>
    </w:rPr>
  </w:style>
  <w:style w:type="character" w:styleId="FootnoteReference">
    <w:name w:val="footnote reference"/>
    <w:basedOn w:val="DefaultParagraphFont"/>
    <w:uiPriority w:val="99"/>
    <w:semiHidden/>
    <w:unhideWhenUsed/>
    <w:rsid w:val="00F320DB"/>
    <w:rPr>
      <w:vertAlign w:val="superscript"/>
    </w:rPr>
  </w:style>
  <w:style w:type="character" w:styleId="Hyperlink">
    <w:name w:val="Hyperlink"/>
    <w:basedOn w:val="DefaultParagraphFont"/>
    <w:uiPriority w:val="99"/>
    <w:unhideWhenUsed/>
    <w:rsid w:val="00F320DB"/>
    <w:rPr>
      <w:color w:val="0000FF" w:themeColor="hyperlink"/>
      <w:u w:val="single"/>
    </w:rPr>
  </w:style>
  <w:style w:type="paragraph" w:customStyle="1" w:styleId="Body">
    <w:name w:val="Body"/>
    <w:rsid w:val="004A44D9"/>
    <w:pPr>
      <w:pBdr>
        <w:top w:val="nil"/>
        <w:left w:val="nil"/>
        <w:bottom w:val="nil"/>
        <w:right w:val="nil"/>
        <w:between w:val="nil"/>
        <w:bar w:val="nil"/>
      </w:pBdr>
      <w:tabs>
        <w:tab w:val="left" w:pos="567"/>
        <w:tab w:val="left" w:pos="1134"/>
        <w:tab w:val="left" w:pos="1701"/>
        <w:tab w:val="left" w:pos="2268"/>
        <w:tab w:val="left" w:pos="2835"/>
      </w:tabs>
      <w:spacing w:before="120" w:after="0" w:line="240" w:lineRule="auto"/>
    </w:pPr>
    <w:rPr>
      <w:rFonts w:ascii="Calibri" w:eastAsia="Calibri" w:hAnsi="Calibri" w:cs="Calibri"/>
      <w:color w:val="000000"/>
      <w:sz w:val="24"/>
      <w:szCs w:val="24"/>
      <w:u w:color="000000"/>
      <w:bdr w:val="nil"/>
    </w:rPr>
  </w:style>
  <w:style w:type="character" w:customStyle="1" w:styleId="ms-rtefontsize-2">
    <w:name w:val="ms-rtefontsize-2"/>
    <w:basedOn w:val="DefaultParagraphFont"/>
    <w:rsid w:val="004A44D9"/>
  </w:style>
  <w:style w:type="paragraph" w:customStyle="1" w:styleId="Call">
    <w:name w:val="Call"/>
    <w:next w:val="Body"/>
    <w:rsid w:val="00CA7203"/>
    <w:pPr>
      <w:keepNext/>
      <w:keepLines/>
      <w:pBdr>
        <w:top w:val="nil"/>
        <w:left w:val="nil"/>
        <w:bottom w:val="nil"/>
        <w:right w:val="nil"/>
        <w:between w:val="nil"/>
        <w:bar w:val="nil"/>
      </w:pBdr>
      <w:tabs>
        <w:tab w:val="left" w:pos="567"/>
      </w:tabs>
      <w:spacing w:before="160" w:after="0" w:line="240" w:lineRule="auto"/>
      <w:ind w:left="567"/>
    </w:pPr>
    <w:rPr>
      <w:rFonts w:ascii="Calibri" w:eastAsia="Calibri" w:hAnsi="Calibri" w:cs="Calibri"/>
      <w:i/>
      <w:iCs/>
      <w:color w:val="000000"/>
      <w:sz w:val="24"/>
      <w:szCs w:val="24"/>
      <w:u w:color="000000"/>
      <w:bdr w:val="nil"/>
    </w:rPr>
  </w:style>
  <w:style w:type="paragraph" w:customStyle="1" w:styleId="ResNo">
    <w:name w:val="Res_No"/>
    <w:next w:val="Normal"/>
    <w:rsid w:val="00103B4D"/>
    <w:pPr>
      <w:pBdr>
        <w:top w:val="nil"/>
        <w:left w:val="nil"/>
        <w:bottom w:val="nil"/>
        <w:right w:val="nil"/>
        <w:between w:val="nil"/>
        <w:bar w:val="nil"/>
      </w:pBdr>
      <w:tabs>
        <w:tab w:val="left" w:pos="567"/>
        <w:tab w:val="left" w:pos="1134"/>
        <w:tab w:val="left" w:pos="1701"/>
        <w:tab w:val="left" w:pos="2268"/>
        <w:tab w:val="left" w:pos="2835"/>
      </w:tabs>
      <w:spacing w:before="720" w:after="0" w:line="240" w:lineRule="auto"/>
      <w:jc w:val="center"/>
    </w:pPr>
    <w:rPr>
      <w:rFonts w:ascii="Calibri" w:eastAsia="Calibri" w:hAnsi="Calibri" w:cs="Calibri"/>
      <w:caps/>
      <w:color w:val="000000"/>
      <w:sz w:val="28"/>
      <w:szCs w:val="28"/>
      <w:u w:color="000000"/>
      <w:bdr w:val="nil"/>
    </w:rPr>
  </w:style>
  <w:style w:type="paragraph" w:customStyle="1" w:styleId="Restitle">
    <w:name w:val="Res_title"/>
    <w:next w:val="Body"/>
    <w:rsid w:val="00103B4D"/>
    <w:pPr>
      <w:pBdr>
        <w:top w:val="nil"/>
        <w:left w:val="nil"/>
        <w:bottom w:val="nil"/>
        <w:right w:val="nil"/>
        <w:between w:val="nil"/>
        <w:bar w:val="nil"/>
      </w:pBdr>
      <w:tabs>
        <w:tab w:val="left" w:pos="567"/>
        <w:tab w:val="left" w:pos="1134"/>
        <w:tab w:val="left" w:pos="1701"/>
        <w:tab w:val="left" w:pos="2268"/>
        <w:tab w:val="left" w:pos="2835"/>
      </w:tabs>
      <w:spacing w:before="240" w:after="240" w:line="240" w:lineRule="auto"/>
      <w:jc w:val="center"/>
    </w:pPr>
    <w:rPr>
      <w:rFonts w:ascii="Calibri" w:eastAsia="Calibri" w:hAnsi="Calibri" w:cs="Calibri"/>
      <w:b/>
      <w:bCs/>
      <w:color w:val="000000"/>
      <w:sz w:val="28"/>
      <w:szCs w:val="28"/>
      <w:u w:color="000000"/>
      <w:bdr w:val="nil"/>
    </w:rPr>
  </w:style>
  <w:style w:type="paragraph" w:styleId="NormalWeb">
    <w:name w:val="Normal (Web)"/>
    <w:basedOn w:val="Normal"/>
    <w:uiPriority w:val="99"/>
    <w:rsid w:val="00103B4D"/>
    <w:pPr>
      <w:spacing w:before="45" w:after="120" w:line="240" w:lineRule="auto"/>
    </w:pPr>
    <w:rPr>
      <w:rFonts w:ascii="Times New Roman" w:eastAsia="SimSun" w:hAnsi="Times New Roman" w:cs="Times New Roman"/>
      <w:sz w:val="24"/>
      <w:szCs w:val="24"/>
      <w:lang w:eastAsia="zh-CN"/>
    </w:rPr>
  </w:style>
  <w:style w:type="character" w:styleId="FollowedHyperlink">
    <w:name w:val="FollowedHyperlink"/>
    <w:basedOn w:val="DefaultParagraphFont"/>
    <w:uiPriority w:val="99"/>
    <w:semiHidden/>
    <w:unhideWhenUsed/>
    <w:rsid w:val="0007303E"/>
    <w:rPr>
      <w:color w:val="800080" w:themeColor="followedHyperlink"/>
      <w:u w:val="single"/>
    </w:rPr>
  </w:style>
  <w:style w:type="numbering" w:customStyle="1" w:styleId="1">
    <w:name w:val="Нет списка1"/>
    <w:next w:val="NoList"/>
    <w:uiPriority w:val="99"/>
    <w:semiHidden/>
    <w:unhideWhenUsed/>
    <w:rsid w:val="00B426E4"/>
  </w:style>
  <w:style w:type="character" w:customStyle="1" w:styleId="tlid-translation">
    <w:name w:val="tlid-translation"/>
    <w:basedOn w:val="DefaultParagraphFont"/>
    <w:rsid w:val="00C23B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8371940">
      <w:bodyDiv w:val="1"/>
      <w:marLeft w:val="0"/>
      <w:marRight w:val="0"/>
      <w:marTop w:val="0"/>
      <w:marBottom w:val="0"/>
      <w:divBdr>
        <w:top w:val="none" w:sz="0" w:space="0" w:color="auto"/>
        <w:left w:val="none" w:sz="0" w:space="0" w:color="auto"/>
        <w:bottom w:val="none" w:sz="0" w:space="0" w:color="auto"/>
        <w:right w:val="none" w:sz="0" w:space="0" w:color="auto"/>
      </w:divBdr>
      <w:divsChild>
        <w:div w:id="2034263081">
          <w:marLeft w:val="0"/>
          <w:marRight w:val="0"/>
          <w:marTop w:val="0"/>
          <w:marBottom w:val="0"/>
          <w:divBdr>
            <w:top w:val="none" w:sz="0" w:space="0" w:color="auto"/>
            <w:left w:val="none" w:sz="0" w:space="0" w:color="auto"/>
            <w:bottom w:val="none" w:sz="0" w:space="0" w:color="auto"/>
            <w:right w:val="none" w:sz="0" w:space="0" w:color="auto"/>
          </w:divBdr>
        </w:div>
        <w:div w:id="522860234">
          <w:marLeft w:val="0"/>
          <w:marRight w:val="0"/>
          <w:marTop w:val="0"/>
          <w:marBottom w:val="0"/>
          <w:divBdr>
            <w:top w:val="none" w:sz="0" w:space="0" w:color="auto"/>
            <w:left w:val="none" w:sz="0" w:space="0" w:color="auto"/>
            <w:bottom w:val="none" w:sz="0" w:space="0" w:color="auto"/>
            <w:right w:val="none" w:sz="0" w:space="0" w:color="auto"/>
          </w:divBdr>
        </w:div>
        <w:div w:id="1926719318">
          <w:marLeft w:val="0"/>
          <w:marRight w:val="0"/>
          <w:marTop w:val="0"/>
          <w:marBottom w:val="0"/>
          <w:divBdr>
            <w:top w:val="none" w:sz="0" w:space="0" w:color="auto"/>
            <w:left w:val="none" w:sz="0" w:space="0" w:color="auto"/>
            <w:bottom w:val="none" w:sz="0" w:space="0" w:color="auto"/>
            <w:right w:val="none" w:sz="0" w:space="0" w:color="auto"/>
          </w:divBdr>
        </w:div>
        <w:div w:id="1746685572">
          <w:marLeft w:val="0"/>
          <w:marRight w:val="0"/>
          <w:marTop w:val="0"/>
          <w:marBottom w:val="0"/>
          <w:divBdr>
            <w:top w:val="none" w:sz="0" w:space="0" w:color="auto"/>
            <w:left w:val="none" w:sz="0" w:space="0" w:color="auto"/>
            <w:bottom w:val="none" w:sz="0" w:space="0" w:color="auto"/>
            <w:right w:val="none" w:sz="0" w:space="0" w:color="auto"/>
          </w:divBdr>
        </w:div>
        <w:div w:id="1124808997">
          <w:marLeft w:val="0"/>
          <w:marRight w:val="0"/>
          <w:marTop w:val="0"/>
          <w:marBottom w:val="0"/>
          <w:divBdr>
            <w:top w:val="none" w:sz="0" w:space="0" w:color="auto"/>
            <w:left w:val="none" w:sz="0" w:space="0" w:color="auto"/>
            <w:bottom w:val="none" w:sz="0" w:space="0" w:color="auto"/>
            <w:right w:val="none" w:sz="0" w:space="0" w:color="auto"/>
          </w:divBdr>
        </w:div>
        <w:div w:id="1738165553">
          <w:marLeft w:val="0"/>
          <w:marRight w:val="0"/>
          <w:marTop w:val="0"/>
          <w:marBottom w:val="0"/>
          <w:divBdr>
            <w:top w:val="none" w:sz="0" w:space="0" w:color="auto"/>
            <w:left w:val="none" w:sz="0" w:space="0" w:color="auto"/>
            <w:bottom w:val="none" w:sz="0" w:space="0" w:color="auto"/>
            <w:right w:val="none" w:sz="0" w:space="0" w:color="auto"/>
          </w:divBdr>
        </w:div>
        <w:div w:id="2114471136">
          <w:marLeft w:val="0"/>
          <w:marRight w:val="0"/>
          <w:marTop w:val="0"/>
          <w:marBottom w:val="0"/>
          <w:divBdr>
            <w:top w:val="none" w:sz="0" w:space="0" w:color="auto"/>
            <w:left w:val="none" w:sz="0" w:space="0" w:color="auto"/>
            <w:bottom w:val="none" w:sz="0" w:space="0" w:color="auto"/>
            <w:right w:val="none" w:sz="0" w:space="0" w:color="auto"/>
          </w:divBdr>
        </w:div>
        <w:div w:id="1701272836">
          <w:marLeft w:val="0"/>
          <w:marRight w:val="0"/>
          <w:marTop w:val="0"/>
          <w:marBottom w:val="0"/>
          <w:divBdr>
            <w:top w:val="none" w:sz="0" w:space="0" w:color="auto"/>
            <w:left w:val="none" w:sz="0" w:space="0" w:color="auto"/>
            <w:bottom w:val="none" w:sz="0" w:space="0" w:color="auto"/>
            <w:right w:val="none" w:sz="0" w:space="0" w:color="auto"/>
          </w:divBdr>
        </w:div>
      </w:divsChild>
    </w:div>
    <w:div w:id="683019231">
      <w:bodyDiv w:val="1"/>
      <w:marLeft w:val="0"/>
      <w:marRight w:val="0"/>
      <w:marTop w:val="0"/>
      <w:marBottom w:val="0"/>
      <w:divBdr>
        <w:top w:val="none" w:sz="0" w:space="0" w:color="auto"/>
        <w:left w:val="none" w:sz="0" w:space="0" w:color="auto"/>
        <w:bottom w:val="none" w:sz="0" w:space="0" w:color="auto"/>
        <w:right w:val="none" w:sz="0" w:space="0" w:color="auto"/>
      </w:divBdr>
      <w:divsChild>
        <w:div w:id="1682509843">
          <w:marLeft w:val="0"/>
          <w:marRight w:val="0"/>
          <w:marTop w:val="0"/>
          <w:marBottom w:val="0"/>
          <w:divBdr>
            <w:top w:val="none" w:sz="0" w:space="0" w:color="auto"/>
            <w:left w:val="none" w:sz="0" w:space="0" w:color="auto"/>
            <w:bottom w:val="none" w:sz="0" w:space="0" w:color="auto"/>
            <w:right w:val="none" w:sz="0" w:space="0" w:color="auto"/>
          </w:divBdr>
        </w:div>
      </w:divsChild>
    </w:div>
    <w:div w:id="733623296">
      <w:bodyDiv w:val="1"/>
      <w:marLeft w:val="0"/>
      <w:marRight w:val="0"/>
      <w:marTop w:val="0"/>
      <w:marBottom w:val="0"/>
      <w:divBdr>
        <w:top w:val="none" w:sz="0" w:space="0" w:color="auto"/>
        <w:left w:val="none" w:sz="0" w:space="0" w:color="auto"/>
        <w:bottom w:val="none" w:sz="0" w:space="0" w:color="auto"/>
        <w:right w:val="none" w:sz="0" w:space="0" w:color="auto"/>
      </w:divBdr>
    </w:div>
    <w:div w:id="1253246598">
      <w:bodyDiv w:val="1"/>
      <w:marLeft w:val="0"/>
      <w:marRight w:val="0"/>
      <w:marTop w:val="0"/>
      <w:marBottom w:val="0"/>
      <w:divBdr>
        <w:top w:val="none" w:sz="0" w:space="0" w:color="auto"/>
        <w:left w:val="none" w:sz="0" w:space="0" w:color="auto"/>
        <w:bottom w:val="none" w:sz="0" w:space="0" w:color="auto"/>
        <w:right w:val="none" w:sz="0" w:space="0" w:color="auto"/>
      </w:divBdr>
    </w:div>
    <w:div w:id="2123453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s://eur-lex.europa.eu/legal-content/EN/ALL/?uri=celex:32017R0920" TargetMode="External"/><Relationship Id="rId13" Type="http://schemas.openxmlformats.org/officeDocument/2006/relationships/hyperlink" Target="http://eur-lex.europa.eu/legal-content/EN/TXT/?uri=celex:32016L0680" TargetMode="External"/><Relationship Id="rId18" Type="http://schemas.openxmlformats.org/officeDocument/2006/relationships/hyperlink" Target="http://europa.eu/rapid/press-release_IP-16-216_en.htm" TargetMode="External"/><Relationship Id="rId3" Type="http://schemas.openxmlformats.org/officeDocument/2006/relationships/hyperlink" Target="http://eur-lex.europa.eu/legal-content/EN/TXT/?uri=CELEX:02002L0021-20091219" TargetMode="External"/><Relationship Id="rId7" Type="http://schemas.openxmlformats.org/officeDocument/2006/relationships/hyperlink" Target="https://eur-lex.europa.eu/legal-content/EN/ALL/?uri=celex:32017R0920" TargetMode="External"/><Relationship Id="rId12" Type="http://schemas.openxmlformats.org/officeDocument/2006/relationships/hyperlink" Target="http://eur-lex.europa.eu/legal-content/EN/TXT/?uri=uriserv:OJ.L_.2016.119.01.0001.01.ENG" TargetMode="External"/><Relationship Id="rId17" Type="http://schemas.openxmlformats.org/officeDocument/2006/relationships/hyperlink" Target="http://eur-lex.europa.eu/legal-content/EN/TXT/?uri=LEGISSUM:l24223" TargetMode="External"/><Relationship Id="rId2" Type="http://schemas.openxmlformats.org/officeDocument/2006/relationships/hyperlink" Target="http://www.europarl.europa.eu/RegData/etudes/STUD/2015/569979/IPOL_STU(2015)569979_EN.pdf" TargetMode="External"/><Relationship Id="rId16" Type="http://schemas.openxmlformats.org/officeDocument/2006/relationships/hyperlink" Target="http://eur-lex.europa.eu/legal-content/EN/TXT/?uri=CELEX:32000L0031" TargetMode="External"/><Relationship Id="rId1" Type="http://schemas.openxmlformats.org/officeDocument/2006/relationships/hyperlink" Target="http://www.kremlin.ru/acts/bank/42199" TargetMode="External"/><Relationship Id="rId6" Type="http://schemas.openxmlformats.org/officeDocument/2006/relationships/hyperlink" Target="https://eur-lex.europa.eu/legal-content/EN/TXT/?uri=LEGISSUM:si0015" TargetMode="External"/><Relationship Id="rId11" Type="http://schemas.openxmlformats.org/officeDocument/2006/relationships/hyperlink" Target="http://ec.europa.eu/justice/data-protection/reform/index_en.htm" TargetMode="External"/><Relationship Id="rId5" Type="http://schemas.openxmlformats.org/officeDocument/2006/relationships/hyperlink" Target="https://eur-lex.europa.eu/legal-content/EN/ALL/?uri=CELEX:32002L0019" TargetMode="External"/><Relationship Id="rId15" Type="http://schemas.openxmlformats.org/officeDocument/2006/relationships/hyperlink" Target="http://eur-lex.europa.eu/legal-content/EN/TXT/?uri=CELEX:31995L0046" TargetMode="External"/><Relationship Id="rId10" Type="http://schemas.openxmlformats.org/officeDocument/2006/relationships/hyperlink" Target="https://www.detecon.com/sites/default/files/Paper_OTT_Player.pdf" TargetMode="External"/><Relationship Id="rId19" Type="http://schemas.openxmlformats.org/officeDocument/2006/relationships/hyperlink" Target="https://apps.fcc.gov/edocs_public/attachmatch/FCC-13-99A1.pdf" TargetMode="External"/><Relationship Id="rId4" Type="http://schemas.openxmlformats.org/officeDocument/2006/relationships/hyperlink" Target="https://eur-lex.europa.eu/legal-content/EN/TXT/?uri=LEGISSUM:l24164" TargetMode="External"/><Relationship Id="rId9" Type="http://schemas.openxmlformats.org/officeDocument/2006/relationships/hyperlink" Target="http://eur-lex.europa.eu/legal-content/EN/ALL/?uri=CELEX:32010L0013" TargetMode="External"/><Relationship Id="rId14" Type="http://schemas.openxmlformats.org/officeDocument/2006/relationships/hyperlink" Target="http://eur-lex.europa.eu/legal-content/EN/TXT/?uri=CELEX:32008F097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5EB7BA-C4F2-4C33-BC29-6CCB1FD5AD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4999</Words>
  <Characters>28495</Characters>
  <Application>Microsoft Office Word</Application>
  <DocSecurity>0</DocSecurity>
  <Lines>237</Lines>
  <Paragraphs>66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U S Department of State</Company>
  <LinksUpToDate>false</LinksUpToDate>
  <CharactersWithSpaces>33428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МНВ</dc:creator>
  <cp:lastModifiedBy>Janin</cp:lastModifiedBy>
  <cp:revision>3</cp:revision>
  <dcterms:created xsi:type="dcterms:W3CDTF">2019-01-17T14:06:00Z</dcterms:created>
  <dcterms:modified xsi:type="dcterms:W3CDTF">2019-01-17T14:07:00Z</dcterms:modified>
</cp:coreProperties>
</file>