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923A1B" w14:paraId="6E1681AE" w14:textId="77777777" w:rsidTr="002238C4">
        <w:trPr>
          <w:cantSplit/>
          <w:trHeight w:val="851"/>
        </w:trPr>
        <w:tc>
          <w:tcPr>
            <w:tcW w:w="6345" w:type="dxa"/>
            <w:vAlign w:val="center"/>
          </w:tcPr>
          <w:p w14:paraId="29D32417" w14:textId="776FD240" w:rsidR="00923A1B" w:rsidRPr="00162658" w:rsidRDefault="00162658" w:rsidP="00162658">
            <w:pPr>
              <w:shd w:val="solid" w:color="FFFFFF" w:fill="FFFFFF"/>
              <w:spacing w:before="120"/>
              <w:rPr>
                <w:rFonts w:cs="Times"/>
                <w:b/>
                <w:lang w:val="fr-CH"/>
              </w:rPr>
            </w:pPr>
            <w:r w:rsidRPr="00162658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 des télécommunications internationales (EG</w:t>
            </w:r>
            <w:r w:rsidRPr="00162658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RTI)</w:t>
            </w:r>
          </w:p>
        </w:tc>
        <w:tc>
          <w:tcPr>
            <w:tcW w:w="3492" w:type="dxa"/>
          </w:tcPr>
          <w:p w14:paraId="241C55DB" w14:textId="785EB79F" w:rsidR="00923A1B" w:rsidRDefault="00B36E39" w:rsidP="00162658">
            <w:pPr>
              <w:pStyle w:val="dnum"/>
              <w:framePr w:hSpace="0" w:wrap="auto" w:vAnchor="margin" w:hAnchor="text" w:yAlign="inline"/>
              <w:spacing w:before="12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14:paraId="42C1BC8B" w14:textId="77777777" w:rsidTr="00923A1B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14:paraId="7079E938" w14:textId="277427E4" w:rsidR="00923A1B" w:rsidRPr="00162658" w:rsidRDefault="00162658" w:rsidP="000854C6">
            <w:pPr>
              <w:shd w:val="solid" w:color="FFFFFF" w:fill="FFFFFF"/>
              <w:rPr>
                <w:rFonts w:cs="Times"/>
                <w:b/>
                <w:sz w:val="24"/>
                <w:szCs w:val="24"/>
              </w:rPr>
            </w:pPr>
            <w:r w:rsidRPr="00162658">
              <w:rPr>
                <w:b/>
                <w:bCs/>
                <w:sz w:val="24"/>
                <w:szCs w:val="24"/>
              </w:rPr>
              <w:t xml:space="preserve">Première </w:t>
            </w:r>
            <w:proofErr w:type="spellStart"/>
            <w:r w:rsidRPr="00162658">
              <w:rPr>
                <w:b/>
                <w:bCs/>
                <w:sz w:val="24"/>
                <w:szCs w:val="24"/>
              </w:rPr>
              <w:t>réunion</w:t>
            </w:r>
            <w:proofErr w:type="spellEnd"/>
            <w:r w:rsidRPr="00162658">
              <w:rPr>
                <w:b/>
                <w:bCs/>
                <w:sz w:val="24"/>
                <w:szCs w:val="24"/>
              </w:rPr>
              <w:t xml:space="preserve"> – Genève, 16-17 </w:t>
            </w:r>
            <w:proofErr w:type="spellStart"/>
            <w:r w:rsidRPr="00162658">
              <w:rPr>
                <w:b/>
                <w:bCs/>
                <w:sz w:val="24"/>
                <w:szCs w:val="24"/>
              </w:rPr>
              <w:t>septembre</w:t>
            </w:r>
            <w:proofErr w:type="spellEnd"/>
            <w:r w:rsidRPr="00162658">
              <w:rPr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14:paraId="0FF4F0AC" w14:textId="77777777" w:rsidR="00923A1B" w:rsidRDefault="00923A1B" w:rsidP="0025471D">
            <w:pPr>
              <w:pStyle w:val="dnum"/>
              <w:framePr w:hSpace="0" w:wrap="auto" w:vAnchor="margin" w:hAnchor="text" w:yAlign="inline"/>
              <w:rPr>
                <w:rFonts w:ascii="Verdana" w:hAnsi="Verdana"/>
              </w:rPr>
            </w:pPr>
          </w:p>
        </w:tc>
      </w:tr>
      <w:tr w:rsidR="00923A1B" w:rsidRPr="00F5094D" w14:paraId="406D6FB1" w14:textId="77777777" w:rsidTr="00923A1B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14:paraId="1D6AF3F8" w14:textId="77777777" w:rsidR="00923A1B" w:rsidRDefault="00923A1B" w:rsidP="00162658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2B1E31E9" w14:textId="77777777" w:rsidR="00923A1B" w:rsidRPr="00F5094D" w:rsidRDefault="00923A1B" w:rsidP="00162658">
            <w:pPr>
              <w:tabs>
                <w:tab w:val="left" w:pos="851"/>
              </w:tabs>
              <w:spacing w:after="0" w:line="240" w:lineRule="auto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C03DBE" w14:paraId="1BBCA794" w14:textId="77777777" w:rsidTr="00923A1B">
        <w:trPr>
          <w:cantSplit/>
          <w:trHeight w:val="138"/>
        </w:trPr>
        <w:tc>
          <w:tcPr>
            <w:tcW w:w="6345" w:type="dxa"/>
          </w:tcPr>
          <w:p w14:paraId="4162AE0B" w14:textId="31302F2B" w:rsidR="00923A1B" w:rsidRPr="002238C4" w:rsidRDefault="00923A1B" w:rsidP="0016265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492" w:type="dxa"/>
          </w:tcPr>
          <w:p w14:paraId="01BBC68C" w14:textId="5022D617" w:rsidR="00923A1B" w:rsidRPr="00162658" w:rsidRDefault="00923A1B" w:rsidP="0016265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162658">
              <w:rPr>
                <w:rFonts w:cstheme="minorHAnsi"/>
                <w:b/>
                <w:bCs/>
                <w:sz w:val="24"/>
                <w:szCs w:val="24"/>
                <w:lang w:val="es-ES"/>
              </w:rPr>
              <w:t>Document</w:t>
            </w:r>
            <w:proofErr w:type="spellEnd"/>
            <w:r w:rsidRPr="00162658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0854C6" w:rsidRPr="00162658">
              <w:rPr>
                <w:rFonts w:cstheme="minorHAnsi"/>
                <w:b/>
                <w:bCs/>
                <w:sz w:val="24"/>
                <w:szCs w:val="24"/>
                <w:lang w:val="es-ES"/>
              </w:rPr>
              <w:t>EG-ITRs</w:t>
            </w:r>
            <w:r w:rsidR="00162658">
              <w:rPr>
                <w:rFonts w:cstheme="minorHAnsi"/>
                <w:b/>
                <w:bCs/>
                <w:sz w:val="24"/>
                <w:szCs w:val="24"/>
                <w:lang w:val="es-ES"/>
              </w:rPr>
              <w:t>-1</w:t>
            </w:r>
            <w:r w:rsidR="000854C6" w:rsidRPr="00162658">
              <w:rPr>
                <w:rFonts w:cstheme="minorHAnsi"/>
                <w:b/>
                <w:bCs/>
                <w:sz w:val="24"/>
                <w:szCs w:val="24"/>
                <w:lang w:val="es-ES"/>
              </w:rPr>
              <w:t>\</w:t>
            </w:r>
            <w:r w:rsidR="00162658">
              <w:rPr>
                <w:rFonts w:cstheme="minorHAnsi"/>
                <w:b/>
                <w:bCs/>
                <w:sz w:val="24"/>
                <w:szCs w:val="24"/>
                <w:lang w:val="es-ES"/>
              </w:rPr>
              <w:t>11-F</w:t>
            </w:r>
          </w:p>
        </w:tc>
      </w:tr>
      <w:tr w:rsidR="00923A1B" w:rsidRPr="003737DE" w14:paraId="100AEFFF" w14:textId="77777777" w:rsidTr="00923A1B">
        <w:trPr>
          <w:cantSplit/>
          <w:trHeight w:val="138"/>
        </w:trPr>
        <w:tc>
          <w:tcPr>
            <w:tcW w:w="6345" w:type="dxa"/>
          </w:tcPr>
          <w:p w14:paraId="2F758D85" w14:textId="77777777" w:rsidR="00923A1B" w:rsidRDefault="00923A1B" w:rsidP="00162658">
            <w:pPr>
              <w:shd w:val="solid" w:color="FFFFFF" w:fill="FFFFFF"/>
              <w:spacing w:after="0" w:line="240" w:lineRule="auto"/>
              <w:ind w:right="284"/>
              <w:rPr>
                <w:lang w:val="es-ES"/>
              </w:rPr>
            </w:pPr>
          </w:p>
        </w:tc>
        <w:tc>
          <w:tcPr>
            <w:tcW w:w="3492" w:type="dxa"/>
          </w:tcPr>
          <w:p w14:paraId="4BC2ED00" w14:textId="28AB7152" w:rsidR="00923A1B" w:rsidRPr="00162658" w:rsidRDefault="00162658" w:rsidP="00162658">
            <w:pPr>
              <w:tabs>
                <w:tab w:val="left" w:pos="851"/>
              </w:tabs>
              <w:spacing w:after="0" w:line="240" w:lineRule="auto"/>
              <w:ind w:right="28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septembre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3A1B" w:rsidRPr="00162658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</w:tr>
      <w:tr w:rsidR="00923A1B" w:rsidRPr="003737DE" w14:paraId="71FD0A17" w14:textId="77777777" w:rsidTr="00923A1B">
        <w:trPr>
          <w:cantSplit/>
          <w:trHeight w:val="138"/>
        </w:trPr>
        <w:tc>
          <w:tcPr>
            <w:tcW w:w="6345" w:type="dxa"/>
          </w:tcPr>
          <w:p w14:paraId="0EA5B8B2" w14:textId="77777777" w:rsidR="00923A1B" w:rsidRDefault="00923A1B" w:rsidP="00162658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492" w:type="dxa"/>
          </w:tcPr>
          <w:p w14:paraId="06AB3AD7" w14:textId="504328FE" w:rsidR="00923A1B" w:rsidRPr="00162658" w:rsidRDefault="00162658" w:rsidP="00162658">
            <w:pPr>
              <w:tabs>
                <w:tab w:val="left" w:pos="851"/>
              </w:tabs>
              <w:spacing w:after="0" w:line="240" w:lineRule="auto"/>
              <w:ind w:right="284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français</w:t>
            </w:r>
            <w:proofErr w:type="spellEnd"/>
          </w:p>
        </w:tc>
      </w:tr>
      <w:tr w:rsidR="000854C6" w:rsidRPr="003737DE" w14:paraId="2CF60B2A" w14:textId="77777777" w:rsidTr="005515F6">
        <w:trPr>
          <w:cantSplit/>
          <w:trHeight w:val="138"/>
        </w:trPr>
        <w:tc>
          <w:tcPr>
            <w:tcW w:w="9837" w:type="dxa"/>
            <w:gridSpan w:val="2"/>
          </w:tcPr>
          <w:p w14:paraId="2B7E725C" w14:textId="68DDF293" w:rsidR="000854C6" w:rsidRDefault="005515F6" w:rsidP="00162658">
            <w:pPr>
              <w:pStyle w:val="Source"/>
            </w:pPr>
            <w:r>
              <w:t>C</w:t>
            </w:r>
            <w:r w:rsidR="00162658">
              <w:t>ôte d’Ivoire</w:t>
            </w:r>
          </w:p>
        </w:tc>
      </w:tr>
      <w:tr w:rsidR="000854C6" w:rsidRPr="006308D6" w14:paraId="27824CBA" w14:textId="77777777" w:rsidTr="005515F6">
        <w:trPr>
          <w:cantSplit/>
          <w:trHeight w:val="138"/>
        </w:trPr>
        <w:tc>
          <w:tcPr>
            <w:tcW w:w="9837" w:type="dxa"/>
            <w:gridSpan w:val="2"/>
          </w:tcPr>
          <w:p w14:paraId="11774442" w14:textId="6B3A45E8" w:rsidR="000854C6" w:rsidRPr="00162658" w:rsidRDefault="00747740" w:rsidP="000854C6">
            <w:pPr>
              <w:pStyle w:val="Title1"/>
              <w:rPr>
                <w:lang w:val="fr-CH"/>
              </w:rPr>
            </w:pPr>
            <w:r w:rsidRPr="00162658">
              <w:rPr>
                <w:lang w:val="fr-CH"/>
              </w:rPr>
              <w:t xml:space="preserve">ProPOSITION DE </w:t>
            </w:r>
            <w:r w:rsidR="005515F6" w:rsidRPr="00162658">
              <w:rPr>
                <w:lang w:val="fr-CH"/>
              </w:rPr>
              <w:t>Programme de travai</w:t>
            </w:r>
            <w:r w:rsidR="00162658">
              <w:rPr>
                <w:lang w:val="fr-CH"/>
              </w:rPr>
              <w:t>L</w:t>
            </w:r>
          </w:p>
        </w:tc>
      </w:tr>
    </w:tbl>
    <w:p w14:paraId="39A580AB" w14:textId="44F2DAF0" w:rsidR="005515F6" w:rsidRPr="00162658" w:rsidRDefault="005515F6" w:rsidP="00162658">
      <w:pPr>
        <w:spacing w:before="240"/>
        <w:jc w:val="both"/>
        <w:rPr>
          <w:sz w:val="24"/>
          <w:szCs w:val="24"/>
          <w:lang w:val="fr-CH"/>
        </w:rPr>
      </w:pPr>
      <w:r w:rsidRPr="00162658">
        <w:rPr>
          <w:sz w:val="24"/>
          <w:szCs w:val="24"/>
          <w:lang w:val="fr-CH"/>
        </w:rPr>
        <w:t xml:space="preserve">Le </w:t>
      </w:r>
      <w:r w:rsidR="00162658" w:rsidRPr="00162658">
        <w:rPr>
          <w:sz w:val="24"/>
          <w:szCs w:val="24"/>
          <w:lang w:val="fr-CH"/>
        </w:rPr>
        <w:t>C</w:t>
      </w:r>
      <w:r w:rsidRPr="00162658">
        <w:rPr>
          <w:sz w:val="24"/>
          <w:szCs w:val="24"/>
          <w:lang w:val="fr-CH"/>
        </w:rPr>
        <w:t xml:space="preserve">onseil de l’UIT en sa session de 2019 a modifié la </w:t>
      </w:r>
      <w:r w:rsidR="00162658" w:rsidRPr="00162658">
        <w:rPr>
          <w:sz w:val="24"/>
          <w:szCs w:val="24"/>
          <w:lang w:val="fr-CH"/>
        </w:rPr>
        <w:t>R</w:t>
      </w:r>
      <w:r w:rsidRPr="00162658">
        <w:rPr>
          <w:sz w:val="24"/>
          <w:szCs w:val="24"/>
          <w:lang w:val="fr-CH"/>
        </w:rPr>
        <w:t xml:space="preserve">ésolution 1379 qui en son annexe fixe le mandat du </w:t>
      </w:r>
      <w:r w:rsidR="00162658" w:rsidRPr="00162658">
        <w:rPr>
          <w:sz w:val="24"/>
          <w:szCs w:val="24"/>
          <w:lang w:val="fr-CH"/>
        </w:rPr>
        <w:t>G</w:t>
      </w:r>
      <w:r w:rsidRPr="00162658">
        <w:rPr>
          <w:sz w:val="24"/>
          <w:szCs w:val="24"/>
          <w:lang w:val="fr-CH"/>
        </w:rPr>
        <w:t>roupe d’expert sur le RTI.</w:t>
      </w:r>
    </w:p>
    <w:p w14:paraId="30CA9605" w14:textId="0BF6DF0E" w:rsidR="003D188C" w:rsidRPr="00162658" w:rsidRDefault="003D188C" w:rsidP="005515F6">
      <w:pPr>
        <w:jc w:val="both"/>
        <w:rPr>
          <w:sz w:val="24"/>
          <w:szCs w:val="24"/>
          <w:lang w:val="fr-CH"/>
        </w:rPr>
      </w:pPr>
      <w:r w:rsidRPr="00162658">
        <w:rPr>
          <w:sz w:val="24"/>
          <w:szCs w:val="24"/>
          <w:lang w:val="fr-CH"/>
        </w:rPr>
        <w:t xml:space="preserve">Ce mandat demande à ce que l’accent soit mis sur la version 2012 du RTI et de </w:t>
      </w:r>
      <w:r w:rsidR="00B77212" w:rsidRPr="00162658">
        <w:rPr>
          <w:sz w:val="24"/>
          <w:szCs w:val="24"/>
          <w:lang w:val="fr-CH"/>
        </w:rPr>
        <w:t>procéder</w:t>
      </w:r>
      <w:r w:rsidRPr="00162658">
        <w:rPr>
          <w:sz w:val="24"/>
          <w:szCs w:val="24"/>
          <w:lang w:val="fr-CH"/>
        </w:rPr>
        <w:t xml:space="preserve"> à un examen de chacune de ses dispositions en tenant compte des nouvelles tendances des télécommunications/TIC ainsi que des problèmes qui se posent dans l’environnement international des télécommunications/TIC.</w:t>
      </w:r>
    </w:p>
    <w:p w14:paraId="686EF712" w14:textId="65CA620B" w:rsidR="003D188C" w:rsidRPr="00162658" w:rsidRDefault="003D188C" w:rsidP="005515F6">
      <w:pPr>
        <w:jc w:val="both"/>
        <w:rPr>
          <w:sz w:val="24"/>
          <w:szCs w:val="24"/>
          <w:lang w:val="fr-CH"/>
        </w:rPr>
      </w:pPr>
      <w:r w:rsidRPr="00162658">
        <w:rPr>
          <w:sz w:val="24"/>
          <w:szCs w:val="24"/>
          <w:lang w:val="fr-CH"/>
        </w:rPr>
        <w:t>Pour pro</w:t>
      </w:r>
      <w:r w:rsidR="00B77212" w:rsidRPr="00162658">
        <w:rPr>
          <w:sz w:val="24"/>
          <w:szCs w:val="24"/>
          <w:lang w:val="fr-CH"/>
        </w:rPr>
        <w:t xml:space="preserve">céder </w:t>
      </w:r>
      <w:r w:rsidR="00667AF1" w:rsidRPr="00162658">
        <w:rPr>
          <w:sz w:val="24"/>
          <w:szCs w:val="24"/>
          <w:lang w:val="fr-CH"/>
        </w:rPr>
        <w:t xml:space="preserve">de manière efficace </w:t>
      </w:r>
      <w:r w:rsidR="00B77212" w:rsidRPr="00162658">
        <w:rPr>
          <w:sz w:val="24"/>
          <w:szCs w:val="24"/>
          <w:lang w:val="fr-CH"/>
        </w:rPr>
        <w:t>à cette revue du RTI 2012, nous proposons le plan de travail suivant :</w:t>
      </w: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665"/>
        <w:gridCol w:w="3827"/>
        <w:gridCol w:w="1559"/>
        <w:gridCol w:w="1559"/>
      </w:tblGrid>
      <w:tr w:rsidR="00FF696D" w:rsidRPr="00533DBC" w14:paraId="508DCF48" w14:textId="77777777" w:rsidTr="00162658">
        <w:trPr>
          <w:trHeight w:val="898"/>
        </w:trPr>
        <w:tc>
          <w:tcPr>
            <w:tcW w:w="426" w:type="dxa"/>
            <w:vAlign w:val="center"/>
          </w:tcPr>
          <w:p w14:paraId="522718FD" w14:textId="77777777" w:rsidR="00FF696D" w:rsidRPr="00533DBC" w:rsidRDefault="00FF696D" w:rsidP="00162658">
            <w:pPr>
              <w:pStyle w:val="Tablehead"/>
              <w:spacing w:before="0" w:after="0" w:line="240" w:lineRule="auto"/>
              <w:rPr>
                <w:lang w:val="fr-CH"/>
              </w:rPr>
            </w:pPr>
          </w:p>
        </w:tc>
        <w:tc>
          <w:tcPr>
            <w:tcW w:w="2665" w:type="dxa"/>
            <w:vAlign w:val="center"/>
          </w:tcPr>
          <w:p w14:paraId="40F67AB3" w14:textId="7F6C7084" w:rsidR="00FF696D" w:rsidRPr="00533DBC" w:rsidRDefault="00FF696D" w:rsidP="00162658">
            <w:pPr>
              <w:pStyle w:val="Tablehead"/>
              <w:spacing w:before="0" w:after="0" w:line="240" w:lineRule="auto"/>
              <w:rPr>
                <w:lang w:val="fr-CH"/>
              </w:rPr>
            </w:pPr>
            <w:r>
              <w:rPr>
                <w:lang w:val="fr-CH"/>
              </w:rPr>
              <w:t>Objectifs</w:t>
            </w:r>
          </w:p>
        </w:tc>
        <w:tc>
          <w:tcPr>
            <w:tcW w:w="3827" w:type="dxa"/>
            <w:vAlign w:val="center"/>
          </w:tcPr>
          <w:p w14:paraId="3D2A21B5" w14:textId="5048F129" w:rsidR="00FF696D" w:rsidRPr="00533DBC" w:rsidRDefault="00FF696D" w:rsidP="00162658">
            <w:pPr>
              <w:pStyle w:val="Tablehead"/>
              <w:spacing w:before="0" w:after="0" w:line="240" w:lineRule="auto"/>
              <w:rPr>
                <w:lang w:val="fr-CH"/>
              </w:rPr>
            </w:pPr>
            <w:r>
              <w:rPr>
                <w:lang w:val="fr-CH"/>
              </w:rPr>
              <w:t>Activités</w:t>
            </w:r>
          </w:p>
        </w:tc>
        <w:tc>
          <w:tcPr>
            <w:tcW w:w="1559" w:type="dxa"/>
            <w:vAlign w:val="center"/>
          </w:tcPr>
          <w:p w14:paraId="4ACE083B" w14:textId="1C352070" w:rsidR="00FF696D" w:rsidRPr="00533DBC" w:rsidRDefault="00FF696D" w:rsidP="00162658">
            <w:pPr>
              <w:pStyle w:val="Tablehead"/>
              <w:spacing w:before="0" w:after="0" w:line="240" w:lineRule="auto"/>
              <w:rPr>
                <w:lang w:val="fr-CH"/>
              </w:rPr>
            </w:pPr>
            <w:r w:rsidRPr="00533DBC">
              <w:rPr>
                <w:lang w:val="fr-CH"/>
              </w:rPr>
              <w:t>Résultat attendu</w:t>
            </w:r>
          </w:p>
        </w:tc>
        <w:tc>
          <w:tcPr>
            <w:tcW w:w="1559" w:type="dxa"/>
            <w:vAlign w:val="center"/>
          </w:tcPr>
          <w:p w14:paraId="7CBF4382" w14:textId="642FAF90" w:rsidR="00FF696D" w:rsidRPr="00533DBC" w:rsidRDefault="006B630F" w:rsidP="00162658">
            <w:pPr>
              <w:pStyle w:val="Tablehead"/>
              <w:spacing w:before="0" w:after="0" w:line="240" w:lineRule="auto"/>
              <w:rPr>
                <w:lang w:val="fr-CH"/>
              </w:rPr>
            </w:pPr>
            <w:r>
              <w:rPr>
                <w:lang w:val="fr-CH"/>
              </w:rPr>
              <w:t>Durée</w:t>
            </w:r>
          </w:p>
        </w:tc>
      </w:tr>
      <w:tr w:rsidR="00FF696D" w:rsidRPr="00533DBC" w14:paraId="475EF799" w14:textId="77777777" w:rsidTr="006B630F">
        <w:trPr>
          <w:trHeight w:val="1429"/>
        </w:trPr>
        <w:tc>
          <w:tcPr>
            <w:tcW w:w="426" w:type="dxa"/>
            <w:vAlign w:val="center"/>
          </w:tcPr>
          <w:p w14:paraId="41A3C599" w14:textId="54A914F8" w:rsidR="00FF696D" w:rsidRPr="00533DBC" w:rsidRDefault="00FF696D" w:rsidP="00B77212">
            <w:pPr>
              <w:spacing w:after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t>1</w:t>
            </w:r>
          </w:p>
        </w:tc>
        <w:tc>
          <w:tcPr>
            <w:tcW w:w="2665" w:type="dxa"/>
            <w:vAlign w:val="center"/>
          </w:tcPr>
          <w:p w14:paraId="42E06529" w14:textId="4422DE32" w:rsidR="00FF696D" w:rsidRDefault="00FF696D" w:rsidP="00FF696D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Identifier les nouvelles tendances des télécommunications/TIC</w:t>
            </w:r>
          </w:p>
        </w:tc>
        <w:tc>
          <w:tcPr>
            <w:tcW w:w="3827" w:type="dxa"/>
            <w:vMerge w:val="restart"/>
          </w:tcPr>
          <w:p w14:paraId="7E10AC44" w14:textId="45267A00" w:rsidR="00FF696D" w:rsidRDefault="00FF696D" w:rsidP="00FF696D">
            <w:pPr>
              <w:pStyle w:val="Tabletext"/>
              <w:numPr>
                <w:ilvl w:val="0"/>
                <w:numId w:val="22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Identificat</w:t>
            </w:r>
            <w:r w:rsidR="00667AF1">
              <w:rPr>
                <w:lang w:val="fr-CH"/>
              </w:rPr>
              <w:t>ion des thématiques en matière de télécommunications/TIC</w:t>
            </w:r>
          </w:p>
          <w:p w14:paraId="65EE6565" w14:textId="4C9FD6F3" w:rsidR="00FF696D" w:rsidRDefault="00FF696D" w:rsidP="00162658">
            <w:pPr>
              <w:pStyle w:val="Tabletext"/>
              <w:numPr>
                <w:ilvl w:val="0"/>
                <w:numId w:val="22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="00162658">
              <w:rPr>
                <w:lang w:val="fr-CH"/>
              </w:rPr>
              <w:t>é</w:t>
            </w:r>
            <w:r>
              <w:rPr>
                <w:lang w:val="fr-CH"/>
              </w:rPr>
              <w:t>termination des tendance</w:t>
            </w:r>
            <w:r w:rsidR="00162658">
              <w:rPr>
                <w:lang w:val="fr-CH"/>
              </w:rPr>
              <w:t>s</w:t>
            </w:r>
            <w:r>
              <w:rPr>
                <w:lang w:val="fr-CH"/>
              </w:rPr>
              <w:t xml:space="preserve"> par thématique</w:t>
            </w:r>
          </w:p>
          <w:p w14:paraId="286047C3" w14:textId="63AEDD1D" w:rsidR="00FF696D" w:rsidRDefault="00FF696D" w:rsidP="00FF696D">
            <w:pPr>
              <w:pStyle w:val="Tabletext"/>
              <w:numPr>
                <w:ilvl w:val="0"/>
                <w:numId w:val="22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Analyse de l’impact de chaque tendance sur l’environnement international des télécommunications  </w:t>
            </w:r>
          </w:p>
        </w:tc>
        <w:tc>
          <w:tcPr>
            <w:tcW w:w="1559" w:type="dxa"/>
            <w:vMerge w:val="restart"/>
            <w:vAlign w:val="center"/>
          </w:tcPr>
          <w:p w14:paraId="3595A2EC" w14:textId="20202CDF" w:rsidR="00FF696D" w:rsidRDefault="00FF696D" w:rsidP="00B77212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Rapport provisoire</w:t>
            </w:r>
            <w:r w:rsidR="00667AF1">
              <w:rPr>
                <w:lang w:val="fr-CH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0B54982F" w14:textId="146AB9ED" w:rsidR="00FF696D" w:rsidRDefault="00FF696D" w:rsidP="00B77212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2</w:t>
            </w:r>
            <w:r w:rsidRPr="00251C37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session</w:t>
            </w:r>
            <w:r w:rsidR="00747740">
              <w:rPr>
                <w:lang w:val="fr-CH"/>
              </w:rPr>
              <w:t xml:space="preserve"> EG-ITR</w:t>
            </w:r>
          </w:p>
        </w:tc>
      </w:tr>
      <w:tr w:rsidR="00FF696D" w:rsidRPr="00533DBC" w14:paraId="5AAE6F39" w14:textId="77777777" w:rsidTr="006B630F">
        <w:trPr>
          <w:trHeight w:val="1429"/>
        </w:trPr>
        <w:tc>
          <w:tcPr>
            <w:tcW w:w="426" w:type="dxa"/>
            <w:vAlign w:val="center"/>
          </w:tcPr>
          <w:p w14:paraId="3904C3D0" w14:textId="60AD9F6B" w:rsidR="00FF696D" w:rsidRPr="00533DBC" w:rsidRDefault="00FF696D" w:rsidP="00B77212">
            <w:pPr>
              <w:spacing w:after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t>2</w:t>
            </w:r>
          </w:p>
        </w:tc>
        <w:tc>
          <w:tcPr>
            <w:tcW w:w="2665" w:type="dxa"/>
            <w:vAlign w:val="center"/>
          </w:tcPr>
          <w:p w14:paraId="06D8E506" w14:textId="3944BF2E" w:rsidR="00FF696D" w:rsidRPr="00533DBC" w:rsidRDefault="00FF696D" w:rsidP="00162658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bookmarkStart w:id="0" w:name="lt_pId138"/>
            <w:r>
              <w:rPr>
                <w:lang w:val="fr-CH"/>
              </w:rPr>
              <w:t xml:space="preserve">Identifier les problèmes posés dans l’environnement international des télécommunications par les nouvelles tendances </w:t>
            </w:r>
            <w:bookmarkEnd w:id="0"/>
            <w:r>
              <w:rPr>
                <w:lang w:val="fr-CH"/>
              </w:rPr>
              <w:t>des télécommunications/TIC</w:t>
            </w:r>
          </w:p>
        </w:tc>
        <w:tc>
          <w:tcPr>
            <w:tcW w:w="3827" w:type="dxa"/>
            <w:vMerge/>
          </w:tcPr>
          <w:p w14:paraId="75C8744A" w14:textId="77777777" w:rsidR="00FF696D" w:rsidRPr="00533DBC" w:rsidRDefault="00FF696D" w:rsidP="00B77212">
            <w:pPr>
              <w:pStyle w:val="Tabletext"/>
              <w:spacing w:before="120" w:after="120"/>
              <w:jc w:val="center"/>
              <w:rPr>
                <w:lang w:val="fr-CH"/>
              </w:rPr>
            </w:pPr>
          </w:p>
        </w:tc>
        <w:tc>
          <w:tcPr>
            <w:tcW w:w="1559" w:type="dxa"/>
            <w:vMerge/>
            <w:vAlign w:val="center"/>
          </w:tcPr>
          <w:p w14:paraId="49D6BE38" w14:textId="10ADC76E" w:rsidR="00FF696D" w:rsidRPr="00533DBC" w:rsidRDefault="00FF696D" w:rsidP="00B77212">
            <w:pPr>
              <w:pStyle w:val="Tabletext"/>
              <w:spacing w:before="120" w:after="120"/>
              <w:jc w:val="center"/>
              <w:rPr>
                <w:lang w:val="fr-CH"/>
              </w:rPr>
            </w:pPr>
          </w:p>
        </w:tc>
        <w:tc>
          <w:tcPr>
            <w:tcW w:w="1559" w:type="dxa"/>
            <w:vAlign w:val="center"/>
          </w:tcPr>
          <w:p w14:paraId="5CC708EE" w14:textId="5D6B68C0" w:rsidR="00FF696D" w:rsidRPr="00533DBC" w:rsidRDefault="00FF696D" w:rsidP="00B77212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2</w:t>
            </w:r>
            <w:r w:rsidRPr="005C1A82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session</w:t>
            </w:r>
            <w:r w:rsidR="00747740">
              <w:rPr>
                <w:lang w:val="fr-CH"/>
              </w:rPr>
              <w:t xml:space="preserve"> EG-ITR</w:t>
            </w:r>
          </w:p>
        </w:tc>
      </w:tr>
      <w:tr w:rsidR="00FF696D" w:rsidRPr="006308D6" w14:paraId="1F0471CB" w14:textId="77777777" w:rsidTr="006B630F">
        <w:trPr>
          <w:trHeight w:val="600"/>
        </w:trPr>
        <w:tc>
          <w:tcPr>
            <w:tcW w:w="426" w:type="dxa"/>
            <w:vAlign w:val="center"/>
          </w:tcPr>
          <w:p w14:paraId="70EDB299" w14:textId="24BD9D26" w:rsidR="00FF696D" w:rsidRPr="00533DBC" w:rsidRDefault="00FF696D" w:rsidP="00B77212">
            <w:pPr>
              <w:spacing w:after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3</w:t>
            </w:r>
          </w:p>
        </w:tc>
        <w:tc>
          <w:tcPr>
            <w:tcW w:w="2665" w:type="dxa"/>
            <w:vAlign w:val="center"/>
          </w:tcPr>
          <w:p w14:paraId="69E99011" w14:textId="508C3FA3" w:rsidR="00FF696D" w:rsidRPr="00533DBC" w:rsidRDefault="00FF696D" w:rsidP="00FF696D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Examiner le RTI </w:t>
            </w:r>
            <w:r w:rsidRPr="00533DBC">
              <w:rPr>
                <w:lang w:val="fr-CH"/>
              </w:rPr>
              <w:t>2012</w:t>
            </w:r>
          </w:p>
        </w:tc>
        <w:tc>
          <w:tcPr>
            <w:tcW w:w="3827" w:type="dxa"/>
          </w:tcPr>
          <w:p w14:paraId="19A667D4" w14:textId="3C46B4B8" w:rsidR="00FF696D" w:rsidRDefault="00FF696D" w:rsidP="00FF696D">
            <w:pPr>
              <w:pStyle w:val="Tabletext"/>
              <w:numPr>
                <w:ilvl w:val="0"/>
                <w:numId w:val="23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Analyse article par article</w:t>
            </w:r>
            <w:r w:rsidR="00747740">
              <w:rPr>
                <w:lang w:val="fr-CH"/>
              </w:rPr>
              <w:t xml:space="preserve"> du RTI 2012</w:t>
            </w:r>
            <w:r>
              <w:rPr>
                <w:lang w:val="fr-CH"/>
              </w:rPr>
              <w:t xml:space="preserve"> </w:t>
            </w:r>
          </w:p>
          <w:p w14:paraId="02062BE8" w14:textId="54EFC38A" w:rsidR="00FF696D" w:rsidRDefault="00FF696D" w:rsidP="00FF696D">
            <w:pPr>
              <w:pStyle w:val="Tabletext"/>
              <w:numPr>
                <w:ilvl w:val="0"/>
                <w:numId w:val="23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Analyse </w:t>
            </w:r>
            <w:r w:rsidR="00747740">
              <w:rPr>
                <w:lang w:val="fr-CH"/>
              </w:rPr>
              <w:t>« </w:t>
            </w:r>
            <w:r>
              <w:rPr>
                <w:lang w:val="fr-CH"/>
              </w:rPr>
              <w:t>force</w:t>
            </w:r>
            <w:r w:rsidR="00747740">
              <w:rPr>
                <w:lang w:val="fr-CH"/>
              </w:rPr>
              <w:t>,</w:t>
            </w:r>
            <w:r>
              <w:rPr>
                <w:lang w:val="fr-CH"/>
              </w:rPr>
              <w:t xml:space="preserve"> faiblesse</w:t>
            </w:r>
            <w:r w:rsidR="00747740">
              <w:rPr>
                <w:lang w:val="fr-CH"/>
              </w:rPr>
              <w:t>,</w:t>
            </w:r>
            <w:r>
              <w:rPr>
                <w:lang w:val="fr-CH"/>
              </w:rPr>
              <w:t xml:space="preserve"> opportunité</w:t>
            </w:r>
            <w:r w:rsidR="00747740">
              <w:rPr>
                <w:lang w:val="fr-CH"/>
              </w:rPr>
              <w:t>,</w:t>
            </w:r>
            <w:r>
              <w:rPr>
                <w:lang w:val="fr-CH"/>
              </w:rPr>
              <w:t xml:space="preserve"> menace</w:t>
            </w:r>
            <w:r w:rsidR="00747740">
              <w:rPr>
                <w:lang w:val="fr-CH"/>
              </w:rPr>
              <w:t> »</w:t>
            </w:r>
            <w:r>
              <w:rPr>
                <w:lang w:val="fr-CH"/>
              </w:rPr>
              <w:t xml:space="preserve"> de chaque article</w:t>
            </w:r>
            <w:r w:rsidR="00747740">
              <w:rPr>
                <w:lang w:val="fr-CH"/>
              </w:rPr>
              <w:t xml:space="preserve"> du RTI 2012</w:t>
            </w:r>
          </w:p>
          <w:p w14:paraId="66AB7915" w14:textId="0D2D5D7A" w:rsidR="00FF696D" w:rsidRDefault="00FF696D" w:rsidP="00FF696D">
            <w:pPr>
              <w:pStyle w:val="Tabletext"/>
              <w:numPr>
                <w:ilvl w:val="0"/>
                <w:numId w:val="23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Examen de l’applicabilité de chaque article</w:t>
            </w:r>
            <w:r w:rsidR="00747740">
              <w:rPr>
                <w:lang w:val="fr-CH"/>
              </w:rPr>
              <w:t xml:space="preserve"> du RTI 2012</w:t>
            </w:r>
          </w:p>
          <w:p w14:paraId="09A373C8" w14:textId="59756F46" w:rsidR="00FF696D" w:rsidRDefault="00FF696D" w:rsidP="00162658">
            <w:pPr>
              <w:pStyle w:val="Tabletext"/>
              <w:numPr>
                <w:ilvl w:val="0"/>
                <w:numId w:val="23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Exame</w:t>
            </w:r>
            <w:r w:rsidR="00162658">
              <w:rPr>
                <w:lang w:val="fr-CH"/>
              </w:rPr>
              <w:t>n</w:t>
            </w:r>
            <w:r>
              <w:rPr>
                <w:lang w:val="fr-CH"/>
              </w:rPr>
              <w:t xml:space="preserve"> de l’adaptabilité de chaque article </w:t>
            </w:r>
            <w:r w:rsidR="00747740">
              <w:rPr>
                <w:lang w:val="fr-CH"/>
              </w:rPr>
              <w:t xml:space="preserve">du RTI 2012 </w:t>
            </w:r>
            <w:r>
              <w:rPr>
                <w:lang w:val="fr-CH"/>
              </w:rPr>
              <w:t>à l’environnement international des télécommuncations/TIC</w:t>
            </w:r>
          </w:p>
        </w:tc>
        <w:tc>
          <w:tcPr>
            <w:tcW w:w="1559" w:type="dxa"/>
            <w:vAlign w:val="center"/>
          </w:tcPr>
          <w:p w14:paraId="4048B903" w14:textId="6A95B75C" w:rsidR="00FF696D" w:rsidRPr="00533DBC" w:rsidRDefault="00FF696D" w:rsidP="006308D6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Rapport provisoire</w:t>
            </w:r>
            <w:r w:rsidR="00667AF1">
              <w:rPr>
                <w:lang w:val="fr-CH"/>
              </w:rPr>
              <w:t xml:space="preserve"> </w:t>
            </w:r>
            <w:r w:rsidR="006308D6">
              <w:rPr>
                <w:lang w:val="fr-CH"/>
              </w:rPr>
              <w:t>2</w:t>
            </w: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14:paraId="1948F5A5" w14:textId="22EA8F49" w:rsidR="00FF696D" w:rsidRPr="00533DBC" w:rsidRDefault="00FF696D" w:rsidP="00162658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3</w:t>
            </w:r>
            <w:r w:rsidRPr="00B77212">
              <w:rPr>
                <w:vertAlign w:val="superscript"/>
                <w:lang w:val="fr-CH"/>
              </w:rPr>
              <w:t>ème</w:t>
            </w:r>
            <w:r w:rsidR="00747740">
              <w:rPr>
                <w:lang w:val="fr-CH"/>
              </w:rPr>
              <w:t xml:space="preserve"> </w:t>
            </w:r>
            <w:r>
              <w:rPr>
                <w:lang w:val="fr-CH"/>
              </w:rPr>
              <w:t>et 4</w:t>
            </w:r>
            <w:r w:rsidRPr="00251C37">
              <w:rPr>
                <w:vertAlign w:val="superscript"/>
                <w:lang w:val="fr-CH"/>
              </w:rPr>
              <w:t>ème</w:t>
            </w:r>
            <w:r w:rsidR="00747740">
              <w:rPr>
                <w:vertAlign w:val="superscript"/>
                <w:lang w:val="fr-CH"/>
              </w:rPr>
              <w:t xml:space="preserve"> </w:t>
            </w:r>
            <w:r>
              <w:rPr>
                <w:lang w:val="fr-CH"/>
              </w:rPr>
              <w:t>session</w:t>
            </w:r>
            <w:r w:rsidR="00162658">
              <w:rPr>
                <w:lang w:val="fr-CH"/>
              </w:rPr>
              <w:t>s</w:t>
            </w:r>
            <w:r w:rsidR="00162658">
              <w:rPr>
                <w:lang w:val="fr-CH"/>
              </w:rPr>
              <w:br/>
            </w:r>
            <w:r w:rsidR="00747740">
              <w:rPr>
                <w:lang w:val="fr-CH"/>
              </w:rPr>
              <w:t>EG-ITR</w:t>
            </w:r>
          </w:p>
        </w:tc>
      </w:tr>
      <w:tr w:rsidR="00FF696D" w:rsidRPr="00533DBC" w14:paraId="11359EA7" w14:textId="77777777" w:rsidTr="006B630F">
        <w:trPr>
          <w:trHeight w:val="600"/>
        </w:trPr>
        <w:tc>
          <w:tcPr>
            <w:tcW w:w="426" w:type="dxa"/>
            <w:vAlign w:val="center"/>
          </w:tcPr>
          <w:p w14:paraId="088E2ABA" w14:textId="77777777" w:rsidR="00FF696D" w:rsidRPr="00533DBC" w:rsidRDefault="00FF696D" w:rsidP="00B77212">
            <w:pPr>
              <w:spacing w:after="120"/>
              <w:rPr>
                <w:b/>
                <w:lang w:val="fr-CH"/>
              </w:rPr>
            </w:pPr>
            <w:r w:rsidRPr="00533DBC">
              <w:rPr>
                <w:b/>
                <w:lang w:val="fr-CH"/>
              </w:rPr>
              <w:t>4</w:t>
            </w:r>
          </w:p>
        </w:tc>
        <w:tc>
          <w:tcPr>
            <w:tcW w:w="2665" w:type="dxa"/>
            <w:vAlign w:val="center"/>
          </w:tcPr>
          <w:p w14:paraId="5109DAF7" w14:textId="1BADB037" w:rsidR="00FF696D" w:rsidRPr="00533DBC" w:rsidRDefault="00162658" w:rsidP="00B77212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Pré</w:t>
            </w:r>
            <w:r w:rsidR="00FF696D">
              <w:rPr>
                <w:lang w:val="fr-CH"/>
              </w:rPr>
              <w:t>parer le r</w:t>
            </w:r>
            <w:r w:rsidR="00FF696D" w:rsidRPr="00533DBC">
              <w:rPr>
                <w:lang w:val="fr-CH"/>
              </w:rPr>
              <w:t>apport final</w:t>
            </w:r>
          </w:p>
        </w:tc>
        <w:tc>
          <w:tcPr>
            <w:tcW w:w="3827" w:type="dxa"/>
          </w:tcPr>
          <w:p w14:paraId="51D0EEBB" w14:textId="71C59333" w:rsidR="00FF696D" w:rsidRDefault="00162658" w:rsidP="00667AF1">
            <w:pPr>
              <w:pStyle w:val="Tabletext"/>
              <w:numPr>
                <w:ilvl w:val="0"/>
                <w:numId w:val="24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Faire la synthè</w:t>
            </w:r>
            <w:r w:rsidR="00667AF1">
              <w:rPr>
                <w:lang w:val="fr-CH"/>
              </w:rPr>
              <w:t>s</w:t>
            </w:r>
            <w:r w:rsidR="00747740">
              <w:rPr>
                <w:lang w:val="fr-CH"/>
              </w:rPr>
              <w:t>e</w:t>
            </w:r>
            <w:r w:rsidR="00667AF1">
              <w:rPr>
                <w:lang w:val="fr-CH"/>
              </w:rPr>
              <w:t xml:space="preserve"> des rapports provisoire</w:t>
            </w:r>
            <w:r w:rsidR="00747740">
              <w:rPr>
                <w:lang w:val="fr-CH"/>
              </w:rPr>
              <w:t>s</w:t>
            </w:r>
            <w:r w:rsidR="00667AF1">
              <w:rPr>
                <w:lang w:val="fr-CH"/>
              </w:rPr>
              <w:t xml:space="preserve"> 1 et 2</w:t>
            </w:r>
          </w:p>
          <w:p w14:paraId="58BE57E0" w14:textId="1885429D" w:rsidR="00667AF1" w:rsidRPr="00533DBC" w:rsidRDefault="00667AF1" w:rsidP="00667AF1">
            <w:pPr>
              <w:pStyle w:val="Tabletext"/>
              <w:numPr>
                <w:ilvl w:val="0"/>
                <w:numId w:val="24"/>
              </w:num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Formuler les recommandations</w:t>
            </w:r>
          </w:p>
        </w:tc>
        <w:tc>
          <w:tcPr>
            <w:tcW w:w="1559" w:type="dxa"/>
            <w:vAlign w:val="center"/>
          </w:tcPr>
          <w:p w14:paraId="022214D2" w14:textId="5E9D6F29" w:rsidR="00FF696D" w:rsidRPr="00533DBC" w:rsidRDefault="00FF696D" w:rsidP="00B77212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 w:rsidRPr="00533DBC">
              <w:rPr>
                <w:lang w:val="fr-CH"/>
              </w:rPr>
              <w:t>Rapport final</w:t>
            </w:r>
          </w:p>
        </w:tc>
        <w:tc>
          <w:tcPr>
            <w:tcW w:w="1559" w:type="dxa"/>
            <w:vAlign w:val="center"/>
          </w:tcPr>
          <w:p w14:paraId="474084DB" w14:textId="77777777" w:rsidR="00FF696D" w:rsidRPr="00533DBC" w:rsidRDefault="00FF696D" w:rsidP="00B77212">
            <w:pPr>
              <w:pStyle w:val="Tabletext"/>
              <w:spacing w:before="120" w:after="120"/>
              <w:jc w:val="center"/>
              <w:rPr>
                <w:lang w:val="fr-CH"/>
              </w:rPr>
            </w:pPr>
            <w:r w:rsidRPr="00533DBC">
              <w:rPr>
                <w:lang w:val="fr-CH"/>
              </w:rPr>
              <w:t>À confirmer</w:t>
            </w:r>
          </w:p>
        </w:tc>
      </w:tr>
    </w:tbl>
    <w:p w14:paraId="32C2CF32" w14:textId="57635373" w:rsidR="00B77212" w:rsidRPr="00162658" w:rsidRDefault="00B77212" w:rsidP="005515F6">
      <w:pPr>
        <w:jc w:val="both"/>
        <w:rPr>
          <w:rFonts w:cstheme="minorHAnsi"/>
          <w:sz w:val="24"/>
          <w:szCs w:val="24"/>
        </w:rPr>
      </w:pPr>
    </w:p>
    <w:p w14:paraId="4C286F4A" w14:textId="19FC5DBD" w:rsidR="005515F6" w:rsidRPr="00162658" w:rsidRDefault="00667AF1" w:rsidP="007A5EB2">
      <w:pPr>
        <w:jc w:val="both"/>
        <w:rPr>
          <w:rFonts w:cstheme="minorHAnsi"/>
          <w:sz w:val="24"/>
          <w:szCs w:val="24"/>
          <w:lang w:val="fr-CH"/>
        </w:rPr>
      </w:pPr>
      <w:r w:rsidRPr="00162658">
        <w:rPr>
          <w:rFonts w:cstheme="minorHAnsi"/>
          <w:sz w:val="24"/>
          <w:szCs w:val="24"/>
          <w:lang w:val="fr-CH"/>
        </w:rPr>
        <w:t>Pour faciliter l’identification des nouvelles tendances des télécommunications/TIC, le groupe d’experts devra demander au Directeur du TSB de fournir pour sa 2</w:t>
      </w:r>
      <w:r w:rsidRPr="00162658">
        <w:rPr>
          <w:rFonts w:cstheme="minorHAnsi"/>
          <w:sz w:val="24"/>
          <w:szCs w:val="24"/>
          <w:vertAlign w:val="superscript"/>
          <w:lang w:val="fr-CH"/>
        </w:rPr>
        <w:t>ème</w:t>
      </w:r>
      <w:r w:rsidRPr="00162658">
        <w:rPr>
          <w:rFonts w:cstheme="minorHAnsi"/>
          <w:sz w:val="24"/>
          <w:szCs w:val="24"/>
          <w:lang w:val="fr-CH"/>
        </w:rPr>
        <w:t xml:space="preserve"> session un rapport sur les nouvelles tendances en tenant compte des thématiques suivantes</w:t>
      </w:r>
      <w:r w:rsidR="007A5EB2" w:rsidRPr="00162658">
        <w:rPr>
          <w:rFonts w:cstheme="minorHAnsi"/>
          <w:sz w:val="24"/>
          <w:szCs w:val="24"/>
          <w:lang w:val="fr-CH"/>
        </w:rPr>
        <w:t xml:space="preserve"> notamment</w:t>
      </w:r>
      <w:r w:rsidRPr="00162658">
        <w:rPr>
          <w:rFonts w:cstheme="minorHAnsi"/>
          <w:sz w:val="24"/>
          <w:szCs w:val="24"/>
          <w:lang w:val="fr-CH"/>
        </w:rPr>
        <w:t> :</w:t>
      </w:r>
    </w:p>
    <w:p w14:paraId="46424C43" w14:textId="3CFFF8E7" w:rsidR="005515F6" w:rsidRPr="00162658" w:rsidRDefault="005515F6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162658">
        <w:rPr>
          <w:rFonts w:cstheme="minorHAnsi"/>
          <w:sz w:val="24"/>
          <w:szCs w:val="24"/>
        </w:rPr>
        <w:t>Ressources</w:t>
      </w:r>
      <w:proofErr w:type="spellEnd"/>
      <w:r w:rsidRPr="00162658">
        <w:rPr>
          <w:rFonts w:cstheme="minorHAnsi"/>
          <w:sz w:val="24"/>
          <w:szCs w:val="24"/>
        </w:rPr>
        <w:t xml:space="preserve"> </w:t>
      </w:r>
      <w:proofErr w:type="spellStart"/>
      <w:r w:rsidRPr="00162658">
        <w:rPr>
          <w:rFonts w:cstheme="minorHAnsi"/>
          <w:sz w:val="24"/>
          <w:szCs w:val="24"/>
        </w:rPr>
        <w:t>internationales</w:t>
      </w:r>
      <w:proofErr w:type="spellEnd"/>
      <w:r w:rsidRPr="00162658">
        <w:rPr>
          <w:rFonts w:cstheme="minorHAnsi"/>
          <w:sz w:val="24"/>
          <w:szCs w:val="24"/>
        </w:rPr>
        <w:t xml:space="preserve"> de </w:t>
      </w:r>
      <w:proofErr w:type="spellStart"/>
      <w:r w:rsidRPr="00162658">
        <w:rPr>
          <w:rFonts w:cstheme="minorHAnsi"/>
          <w:sz w:val="24"/>
          <w:szCs w:val="24"/>
        </w:rPr>
        <w:t>numérotage</w:t>
      </w:r>
      <w:proofErr w:type="spellEnd"/>
      <w:r w:rsidR="007A5EB2" w:rsidRPr="00162658">
        <w:rPr>
          <w:rFonts w:cstheme="minorHAnsi"/>
          <w:sz w:val="24"/>
          <w:szCs w:val="24"/>
        </w:rPr>
        <w:t> ;</w:t>
      </w:r>
    </w:p>
    <w:p w14:paraId="78749322" w14:textId="640BDEA3" w:rsidR="005515F6" w:rsidRPr="00162658" w:rsidRDefault="007A5EB2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162658">
        <w:rPr>
          <w:rFonts w:cstheme="minorHAnsi"/>
          <w:sz w:val="24"/>
          <w:szCs w:val="24"/>
        </w:rPr>
        <w:t>Fraude internationale ;</w:t>
      </w:r>
    </w:p>
    <w:p w14:paraId="2B3D75AA" w14:textId="766B94F0" w:rsidR="005515F6" w:rsidRPr="00162658" w:rsidRDefault="005515F6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162658">
        <w:rPr>
          <w:rFonts w:cstheme="minorHAnsi"/>
          <w:sz w:val="24"/>
          <w:szCs w:val="24"/>
        </w:rPr>
        <w:t>Connectivité internationale</w:t>
      </w:r>
      <w:r w:rsidR="007A5EB2" w:rsidRPr="00162658">
        <w:rPr>
          <w:rFonts w:cstheme="minorHAnsi"/>
          <w:sz w:val="24"/>
          <w:szCs w:val="24"/>
        </w:rPr>
        <w:t> ;</w:t>
      </w:r>
    </w:p>
    <w:p w14:paraId="6FD7CD67" w14:textId="13E0365A" w:rsidR="005515F6" w:rsidRPr="00162658" w:rsidRDefault="005515F6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162658">
        <w:rPr>
          <w:rFonts w:cstheme="minorHAnsi"/>
          <w:sz w:val="24"/>
          <w:szCs w:val="24"/>
        </w:rPr>
        <w:t>Sécurité</w:t>
      </w:r>
      <w:r w:rsidR="007A5EB2" w:rsidRPr="00162658">
        <w:rPr>
          <w:rFonts w:cstheme="minorHAnsi"/>
          <w:sz w:val="24"/>
          <w:szCs w:val="24"/>
        </w:rPr>
        <w:t> ;</w:t>
      </w:r>
      <w:r w:rsidRPr="00162658">
        <w:rPr>
          <w:rFonts w:cstheme="minorHAnsi"/>
          <w:sz w:val="24"/>
          <w:szCs w:val="24"/>
        </w:rPr>
        <w:t xml:space="preserve"> </w:t>
      </w:r>
    </w:p>
    <w:p w14:paraId="44EFCFAB" w14:textId="1B9796BB" w:rsidR="005515F6" w:rsidRPr="00162658" w:rsidRDefault="005515F6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162658">
        <w:rPr>
          <w:rFonts w:cstheme="minorHAnsi"/>
          <w:sz w:val="24"/>
          <w:szCs w:val="24"/>
        </w:rPr>
        <w:t>Télécommunication</w:t>
      </w:r>
      <w:r w:rsidR="007A5EB2" w:rsidRPr="00162658">
        <w:rPr>
          <w:rFonts w:cstheme="minorHAnsi"/>
          <w:sz w:val="24"/>
          <w:szCs w:val="24"/>
        </w:rPr>
        <w:t>s</w:t>
      </w:r>
      <w:r w:rsidRPr="00162658">
        <w:rPr>
          <w:rFonts w:cstheme="minorHAnsi"/>
          <w:sz w:val="24"/>
          <w:szCs w:val="24"/>
        </w:rPr>
        <w:t xml:space="preserve"> d’urgence</w:t>
      </w:r>
      <w:r w:rsidR="007A5EB2" w:rsidRPr="00162658">
        <w:rPr>
          <w:rFonts w:cstheme="minorHAnsi"/>
          <w:sz w:val="24"/>
          <w:szCs w:val="24"/>
        </w:rPr>
        <w:t> ;</w:t>
      </w:r>
    </w:p>
    <w:p w14:paraId="3EFEB8A6" w14:textId="05ACDFF4" w:rsidR="005515F6" w:rsidRPr="00162658" w:rsidRDefault="005515F6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  <w:lang w:val="fr-CH"/>
        </w:rPr>
      </w:pPr>
      <w:r w:rsidRPr="00162658">
        <w:rPr>
          <w:rFonts w:cstheme="minorHAnsi"/>
          <w:sz w:val="24"/>
          <w:szCs w:val="24"/>
          <w:lang w:val="fr-CH"/>
        </w:rPr>
        <w:t>Tarification des services de télécommunications internationales et la taxation</w:t>
      </w:r>
      <w:r w:rsidR="007A5EB2" w:rsidRPr="00162658">
        <w:rPr>
          <w:rFonts w:cstheme="minorHAnsi"/>
          <w:sz w:val="24"/>
          <w:szCs w:val="24"/>
          <w:lang w:val="fr-CH"/>
        </w:rPr>
        <w:t> ;</w:t>
      </w:r>
    </w:p>
    <w:p w14:paraId="4CFE96DD" w14:textId="5DC87961" w:rsidR="005515F6" w:rsidRPr="00162658" w:rsidRDefault="005515F6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  <w:lang w:val="fr-CH"/>
        </w:rPr>
      </w:pPr>
      <w:r w:rsidRPr="00162658">
        <w:rPr>
          <w:rFonts w:cstheme="minorHAnsi"/>
          <w:sz w:val="24"/>
          <w:szCs w:val="24"/>
          <w:lang w:val="fr-CH"/>
        </w:rPr>
        <w:t xml:space="preserve">Réseaux </w:t>
      </w:r>
      <w:r w:rsidR="007A5EB2" w:rsidRPr="00162658">
        <w:rPr>
          <w:rFonts w:cstheme="minorHAnsi"/>
          <w:sz w:val="24"/>
          <w:szCs w:val="24"/>
          <w:lang w:val="fr-CH"/>
        </w:rPr>
        <w:t>futurs</w:t>
      </w:r>
      <w:r w:rsidRPr="00162658">
        <w:rPr>
          <w:rFonts w:cstheme="minorHAnsi"/>
          <w:sz w:val="24"/>
          <w:szCs w:val="24"/>
          <w:lang w:val="fr-CH"/>
        </w:rPr>
        <w:t xml:space="preserve"> et service</w:t>
      </w:r>
      <w:r w:rsidR="007A5EB2" w:rsidRPr="00162658">
        <w:rPr>
          <w:rFonts w:cstheme="minorHAnsi"/>
          <w:sz w:val="24"/>
          <w:szCs w:val="24"/>
          <w:lang w:val="fr-CH"/>
        </w:rPr>
        <w:t>s</w:t>
      </w:r>
      <w:r w:rsidRPr="00162658">
        <w:rPr>
          <w:rFonts w:cstheme="minorHAnsi"/>
          <w:sz w:val="24"/>
          <w:szCs w:val="24"/>
          <w:lang w:val="fr-CH"/>
        </w:rPr>
        <w:t xml:space="preserve"> de tél</w:t>
      </w:r>
      <w:r w:rsidR="007A5EB2" w:rsidRPr="00162658">
        <w:rPr>
          <w:rFonts w:cstheme="minorHAnsi"/>
          <w:sz w:val="24"/>
          <w:szCs w:val="24"/>
          <w:lang w:val="fr-CH"/>
        </w:rPr>
        <w:t>écommunications internationales ;</w:t>
      </w:r>
    </w:p>
    <w:p w14:paraId="5DEE7EF7" w14:textId="51B8F1AA" w:rsidR="005515F6" w:rsidRPr="00162658" w:rsidRDefault="005515F6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  <w:lang w:val="fr-CH"/>
        </w:rPr>
      </w:pPr>
      <w:r w:rsidRPr="00162658">
        <w:rPr>
          <w:rFonts w:cstheme="minorHAnsi"/>
          <w:sz w:val="24"/>
          <w:szCs w:val="24"/>
          <w:lang w:val="fr-CH"/>
        </w:rPr>
        <w:t>L’accès à Internet et OTT</w:t>
      </w:r>
      <w:r w:rsidR="007A5EB2" w:rsidRPr="00162658">
        <w:rPr>
          <w:rFonts w:cstheme="minorHAnsi"/>
          <w:sz w:val="24"/>
          <w:szCs w:val="24"/>
          <w:lang w:val="fr-CH"/>
        </w:rPr>
        <w:t> ;</w:t>
      </w:r>
    </w:p>
    <w:p w14:paraId="2189AC0A" w14:textId="17CDDE95" w:rsidR="005515F6" w:rsidRPr="00162658" w:rsidRDefault="007A5EB2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162658">
        <w:rPr>
          <w:rFonts w:cstheme="minorHAnsi"/>
          <w:sz w:val="24"/>
          <w:szCs w:val="24"/>
        </w:rPr>
        <w:t>Accessibilité</w:t>
      </w:r>
      <w:proofErr w:type="spellEnd"/>
      <w:r w:rsidRPr="00162658">
        <w:rPr>
          <w:rFonts w:cstheme="minorHAnsi"/>
          <w:sz w:val="24"/>
          <w:szCs w:val="24"/>
        </w:rPr>
        <w:t> ;</w:t>
      </w:r>
    </w:p>
    <w:p w14:paraId="3999BB19" w14:textId="4FE0A849" w:rsidR="005515F6" w:rsidRPr="00162658" w:rsidRDefault="005515F6" w:rsidP="007A5EB2">
      <w:pPr>
        <w:pStyle w:val="ListParagraph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162658">
        <w:rPr>
          <w:rFonts w:cstheme="minorHAnsi"/>
          <w:sz w:val="24"/>
          <w:szCs w:val="24"/>
        </w:rPr>
        <w:t xml:space="preserve">TIC </w:t>
      </w:r>
      <w:proofErr w:type="gramStart"/>
      <w:r w:rsidRPr="00162658">
        <w:rPr>
          <w:rFonts w:cstheme="minorHAnsi"/>
          <w:sz w:val="24"/>
          <w:szCs w:val="24"/>
        </w:rPr>
        <w:t>et</w:t>
      </w:r>
      <w:proofErr w:type="gramEnd"/>
      <w:r w:rsidRPr="00162658">
        <w:rPr>
          <w:rFonts w:cstheme="minorHAnsi"/>
          <w:sz w:val="24"/>
          <w:szCs w:val="24"/>
        </w:rPr>
        <w:t xml:space="preserve"> changement climatiques</w:t>
      </w:r>
      <w:r w:rsidR="007A5EB2" w:rsidRPr="00162658">
        <w:rPr>
          <w:rFonts w:cstheme="minorHAnsi"/>
          <w:sz w:val="24"/>
          <w:szCs w:val="24"/>
        </w:rPr>
        <w:t>.</w:t>
      </w:r>
    </w:p>
    <w:p w14:paraId="049AE32F" w14:textId="146F2485" w:rsidR="000854C6" w:rsidRDefault="000854C6" w:rsidP="005515F6">
      <w:pPr>
        <w:jc w:val="both"/>
      </w:pPr>
    </w:p>
    <w:p w14:paraId="67EB18E0" w14:textId="35F49F95" w:rsidR="00AB2815" w:rsidRPr="004A29FF" w:rsidRDefault="00AB2815" w:rsidP="00AB2815">
      <w:pPr>
        <w:spacing w:before="840"/>
        <w:jc w:val="center"/>
      </w:pPr>
      <w:r w:rsidRPr="004A29FF">
        <w:t>____________________</w:t>
      </w:r>
    </w:p>
    <w:sectPr w:rsidR="00AB2815" w:rsidRPr="004A29FF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1A13B" w14:textId="77777777" w:rsidR="006B630F" w:rsidRDefault="006B630F">
      <w:r>
        <w:separator/>
      </w:r>
    </w:p>
  </w:endnote>
  <w:endnote w:type="continuationSeparator" w:id="0">
    <w:p w14:paraId="0D84DD90" w14:textId="77777777" w:rsidR="006B630F" w:rsidRDefault="006B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3082" w14:textId="2DFA02DA" w:rsidR="006B630F" w:rsidRDefault="006B630F" w:rsidP="002238C4">
    <w:pPr>
      <w:spacing w:after="120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51867" w14:textId="77777777" w:rsidR="006B630F" w:rsidRDefault="006B630F">
      <w:r>
        <w:t>____________________</w:t>
      </w:r>
    </w:p>
  </w:footnote>
  <w:footnote w:type="continuationSeparator" w:id="0">
    <w:p w14:paraId="146931B1" w14:textId="77777777" w:rsidR="006B630F" w:rsidRDefault="006B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970D" w14:textId="5D1D9705" w:rsidR="006B630F" w:rsidRDefault="006B630F" w:rsidP="00162658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6308D6">
      <w:rPr>
        <w:noProof/>
      </w:rPr>
      <w:t>2</w:t>
    </w:r>
    <w:r>
      <w:rPr>
        <w:noProof/>
      </w:rPr>
      <w:fldChar w:fldCharType="end"/>
    </w:r>
    <w:r>
      <w:rPr>
        <w:noProof/>
      </w:rPr>
      <w:br/>
      <w:t>EG-ITRs\</w:t>
    </w:r>
    <w:r w:rsidR="00162658">
      <w:rPr>
        <w:noProof/>
      </w:rPr>
      <w:t>11</w:t>
    </w:r>
    <w:r>
      <w:rPr>
        <w:noProof/>
      </w:rPr>
      <w:t>-</w:t>
    </w:r>
    <w:r w:rsidR="00162658">
      <w:rPr>
        <w:noProof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42BF5"/>
    <w:multiLevelType w:val="hybridMultilevel"/>
    <w:tmpl w:val="21CCF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22416"/>
    <w:multiLevelType w:val="hybridMultilevel"/>
    <w:tmpl w:val="1C88D1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31A08"/>
    <w:multiLevelType w:val="hybridMultilevel"/>
    <w:tmpl w:val="A9BC16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B02585A"/>
    <w:multiLevelType w:val="hybridMultilevel"/>
    <w:tmpl w:val="9A6809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196998"/>
    <w:multiLevelType w:val="hybridMultilevel"/>
    <w:tmpl w:val="5134AB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7"/>
  </w:num>
  <w:num w:numId="5">
    <w:abstractNumId w:val="24"/>
  </w:num>
  <w:num w:numId="6">
    <w:abstractNumId w:val="13"/>
  </w:num>
  <w:num w:numId="7">
    <w:abstractNumId w:val="22"/>
  </w:num>
  <w:num w:numId="8">
    <w:abstractNumId w:val="19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6"/>
  </w:num>
  <w:num w:numId="22">
    <w:abstractNumId w:val="20"/>
  </w:num>
  <w:num w:numId="23">
    <w:abstractNumId w:val="23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D75B2"/>
    <w:rsid w:val="001121F5"/>
    <w:rsid w:val="00140CE1"/>
    <w:rsid w:val="00143690"/>
    <w:rsid w:val="00144165"/>
    <w:rsid w:val="0016020C"/>
    <w:rsid w:val="00162658"/>
    <w:rsid w:val="00171F42"/>
    <w:rsid w:val="0017539C"/>
    <w:rsid w:val="00175AC2"/>
    <w:rsid w:val="0017609F"/>
    <w:rsid w:val="00195328"/>
    <w:rsid w:val="001C628E"/>
    <w:rsid w:val="001E0F7B"/>
    <w:rsid w:val="001F4FF7"/>
    <w:rsid w:val="002119FD"/>
    <w:rsid w:val="002130E0"/>
    <w:rsid w:val="00221C8F"/>
    <w:rsid w:val="002238C4"/>
    <w:rsid w:val="00251C37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646"/>
    <w:rsid w:val="002B1870"/>
    <w:rsid w:val="002B1F58"/>
    <w:rsid w:val="002C1C7A"/>
    <w:rsid w:val="002C5285"/>
    <w:rsid w:val="002D1E7F"/>
    <w:rsid w:val="002D494F"/>
    <w:rsid w:val="0030160F"/>
    <w:rsid w:val="0030195C"/>
    <w:rsid w:val="0032195E"/>
    <w:rsid w:val="00322D0D"/>
    <w:rsid w:val="00326D48"/>
    <w:rsid w:val="0033276E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188C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A673C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515F6"/>
    <w:rsid w:val="00560EB9"/>
    <w:rsid w:val="00564FBC"/>
    <w:rsid w:val="0057569B"/>
    <w:rsid w:val="00582442"/>
    <w:rsid w:val="0058499C"/>
    <w:rsid w:val="005A3B8A"/>
    <w:rsid w:val="005B4351"/>
    <w:rsid w:val="005C1A82"/>
    <w:rsid w:val="005C37A0"/>
    <w:rsid w:val="005D32DC"/>
    <w:rsid w:val="005D6131"/>
    <w:rsid w:val="005F2D25"/>
    <w:rsid w:val="005F40A4"/>
    <w:rsid w:val="00605347"/>
    <w:rsid w:val="006308D6"/>
    <w:rsid w:val="006535F1"/>
    <w:rsid w:val="0065557D"/>
    <w:rsid w:val="00662984"/>
    <w:rsid w:val="00667AF1"/>
    <w:rsid w:val="006716BB"/>
    <w:rsid w:val="006771E7"/>
    <w:rsid w:val="006B630F"/>
    <w:rsid w:val="006B6DCC"/>
    <w:rsid w:val="006B7318"/>
    <w:rsid w:val="006D3B24"/>
    <w:rsid w:val="006D3B29"/>
    <w:rsid w:val="00733B71"/>
    <w:rsid w:val="00741793"/>
    <w:rsid w:val="00747740"/>
    <w:rsid w:val="0075051B"/>
    <w:rsid w:val="00763E73"/>
    <w:rsid w:val="00782C0B"/>
    <w:rsid w:val="00790142"/>
    <w:rsid w:val="007901DA"/>
    <w:rsid w:val="00794D34"/>
    <w:rsid w:val="007A34B1"/>
    <w:rsid w:val="007A5EB2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B4A6A"/>
    <w:rsid w:val="008C7E27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74802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B2815"/>
    <w:rsid w:val="00AB393C"/>
    <w:rsid w:val="00AC393D"/>
    <w:rsid w:val="00AF6E49"/>
    <w:rsid w:val="00B04A67"/>
    <w:rsid w:val="00B0583C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77212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608E"/>
    <w:rsid w:val="00D65041"/>
    <w:rsid w:val="00D9148E"/>
    <w:rsid w:val="00D945E6"/>
    <w:rsid w:val="00DA51F3"/>
    <w:rsid w:val="00DE2B20"/>
    <w:rsid w:val="00DF0F5D"/>
    <w:rsid w:val="00E00F7D"/>
    <w:rsid w:val="00E10E80"/>
    <w:rsid w:val="00E124F0"/>
    <w:rsid w:val="00E378C5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856EC"/>
    <w:rsid w:val="00F94A63"/>
    <w:rsid w:val="00F96CA1"/>
    <w:rsid w:val="00FB7596"/>
    <w:rsid w:val="00FC08D9"/>
    <w:rsid w:val="00FD60B3"/>
    <w:rsid w:val="00FE1048"/>
    <w:rsid w:val="00FE4077"/>
    <w:rsid w:val="00FE77D2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79E142"/>
  <w15:docId w15:val="{CA44B95E-E95A-47E2-B55D-EFCF3A29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D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308D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08D6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uiPriority w:val="99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25471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f33a761d0977584808d69aa2fcb1e3f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7bfef7ca1e367f5bb2d62984669dbb2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B736-356C-4BED-8811-AD6E31395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FD361-57E9-4D14-9E91-2CAEBE4DDBF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aea1ea-72e4-4374-b05e-72e2f16fb7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B09600-7C5D-48C6-B5B8-46E9CC57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CE8EA-E3CA-4F9E-B281-7DEE096A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2469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5</cp:revision>
  <cp:lastPrinted>2000-07-18T13:30:00Z</cp:lastPrinted>
  <dcterms:created xsi:type="dcterms:W3CDTF">2019-09-03T06:26:00Z</dcterms:created>
  <dcterms:modified xsi:type="dcterms:W3CDTF">2019-09-03T07:03:00Z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