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40" w:firstRow="0" w:lastRow="1" w:firstColumn="0" w:lastColumn="0" w:noHBand="0" w:noVBand="0"/>
      </w:tblPr>
      <w:tblGrid>
        <w:gridCol w:w="6911"/>
        <w:gridCol w:w="3120"/>
      </w:tblGrid>
      <w:tr w:rsidR="00700D1F" w14:paraId="6CBE80B0" w14:textId="77777777" w:rsidTr="00AC341C">
        <w:trPr>
          <w:cantSplit/>
        </w:trPr>
        <w:tc>
          <w:tcPr>
            <w:tcW w:w="6911" w:type="dxa"/>
          </w:tcPr>
          <w:p w14:paraId="6A30299E" w14:textId="77777777" w:rsidR="00700D1F" w:rsidRPr="0034098D" w:rsidRDefault="008F2D3A" w:rsidP="00402C3A">
            <w:pPr>
              <w:spacing w:before="360" w:after="48"/>
              <w:rPr>
                <w:position w:val="6"/>
                <w:sz w:val="32"/>
                <w:szCs w:val="32"/>
                <w:lang w:eastAsia="zh-CN"/>
              </w:rPr>
            </w:pPr>
            <w:r w:rsidRPr="0034098D">
              <w:rPr>
                <w:b/>
                <w:bCs/>
                <w:sz w:val="32"/>
                <w:szCs w:val="32"/>
                <w:lang w:val="en-US" w:eastAsia="zh-CN"/>
              </w:rPr>
              <w:t>《国际电信规则》专家组（</w:t>
            </w:r>
            <w:r w:rsidRPr="0034098D">
              <w:rPr>
                <w:b/>
                <w:bCs/>
                <w:sz w:val="32"/>
                <w:szCs w:val="32"/>
                <w:lang w:val="en-US" w:eastAsia="zh-CN"/>
              </w:rPr>
              <w:t>EG</w:t>
            </w:r>
            <w:r w:rsidRPr="0034098D">
              <w:rPr>
                <w:b/>
                <w:bCs/>
                <w:sz w:val="32"/>
                <w:szCs w:val="32"/>
                <w:lang w:val="en-US" w:eastAsia="zh-CN"/>
              </w:rPr>
              <w:noBreakHyphen/>
              <w:t>ITR</w:t>
            </w:r>
            <w:r w:rsidR="00402C3A" w:rsidRPr="0034098D">
              <w:rPr>
                <w:b/>
                <w:bCs/>
                <w:sz w:val="32"/>
                <w:szCs w:val="32"/>
                <w:lang w:val="en-US" w:eastAsia="zh-CN"/>
              </w:rPr>
              <w:t>s</w:t>
            </w:r>
            <w:r w:rsidRPr="0034098D">
              <w:rPr>
                <w:b/>
                <w:bCs/>
                <w:sz w:val="32"/>
                <w:szCs w:val="32"/>
                <w:lang w:val="en-US" w:eastAsia="zh-CN"/>
              </w:rPr>
              <w:t>）</w:t>
            </w:r>
          </w:p>
        </w:tc>
        <w:tc>
          <w:tcPr>
            <w:tcW w:w="3120" w:type="dxa"/>
          </w:tcPr>
          <w:p w14:paraId="54B988B6" w14:textId="5DC68FF1" w:rsidR="00700D1F" w:rsidRDefault="00A14786" w:rsidP="00864589">
            <w:pPr>
              <w:spacing w:before="0"/>
              <w:jc w:val="right"/>
            </w:pPr>
            <w:bookmarkStart w:id="0" w:name="ditulogo"/>
            <w:bookmarkEnd w:id="0"/>
            <w:r>
              <w:rPr>
                <w:noProof/>
                <w:lang w:eastAsia="zh-CN"/>
              </w:rPr>
              <w:drawing>
                <wp:inline distT="0" distB="0" distL="0" distR="0" wp14:anchorId="258CEC6A" wp14:editId="2A566C83">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1B24C797" w14:textId="77777777" w:rsidTr="00AC341C">
        <w:trPr>
          <w:cantSplit/>
        </w:trPr>
        <w:tc>
          <w:tcPr>
            <w:tcW w:w="6911" w:type="dxa"/>
            <w:tcBorders>
              <w:bottom w:val="single" w:sz="12" w:space="0" w:color="auto"/>
            </w:tcBorders>
          </w:tcPr>
          <w:p w14:paraId="635BC038" w14:textId="03ECBF84" w:rsidR="00700D1F" w:rsidRPr="00617BE4" w:rsidRDefault="008F2D3A" w:rsidP="00001B77">
            <w:pPr>
              <w:spacing w:before="0" w:after="48"/>
              <w:rPr>
                <w:b/>
                <w:smallCaps/>
                <w:szCs w:val="24"/>
                <w:lang w:eastAsia="zh-CN"/>
              </w:rPr>
            </w:pPr>
            <w:r>
              <w:rPr>
                <w:rFonts w:hint="eastAsia"/>
                <w:b/>
                <w:smallCaps/>
                <w:szCs w:val="24"/>
                <w:lang w:eastAsia="zh-CN"/>
              </w:rPr>
              <w:t>第</w:t>
            </w:r>
            <w:r>
              <w:rPr>
                <w:b/>
                <w:smallCaps/>
                <w:szCs w:val="24"/>
                <w:lang w:eastAsia="zh-CN"/>
              </w:rPr>
              <w:t>一</w:t>
            </w:r>
            <w:r>
              <w:rPr>
                <w:rFonts w:hint="eastAsia"/>
                <w:b/>
                <w:smallCaps/>
                <w:szCs w:val="24"/>
                <w:lang w:eastAsia="zh-CN"/>
              </w:rPr>
              <w:t>次</w:t>
            </w:r>
            <w:r>
              <w:rPr>
                <w:b/>
                <w:smallCaps/>
                <w:szCs w:val="24"/>
                <w:lang w:eastAsia="zh-CN"/>
              </w:rPr>
              <w:t>会议</w:t>
            </w:r>
            <w:r>
              <w:rPr>
                <w:rFonts w:hint="eastAsia"/>
                <w:b/>
                <w:smallCaps/>
                <w:szCs w:val="24"/>
                <w:lang w:eastAsia="zh-CN"/>
              </w:rPr>
              <w:t xml:space="preserve"> </w:t>
            </w:r>
            <w:r w:rsidRPr="008F2D3A">
              <w:rPr>
                <w:b/>
                <w:smallCaps/>
                <w:szCs w:val="24"/>
                <w:lang w:eastAsia="zh-CN"/>
              </w:rPr>
              <w:t>–</w:t>
            </w:r>
            <w:r>
              <w:rPr>
                <w:b/>
                <w:smallCaps/>
                <w:szCs w:val="24"/>
                <w:lang w:eastAsia="zh-CN"/>
              </w:rPr>
              <w:t xml:space="preserve"> 201</w:t>
            </w:r>
            <w:r w:rsidR="00757322">
              <w:rPr>
                <w:b/>
                <w:smallCaps/>
                <w:szCs w:val="24"/>
                <w:lang w:eastAsia="zh-CN"/>
              </w:rPr>
              <w:t>9</w:t>
            </w:r>
            <w:r>
              <w:rPr>
                <w:b/>
                <w:smallCaps/>
                <w:szCs w:val="24"/>
                <w:lang w:eastAsia="zh-CN"/>
              </w:rPr>
              <w:t>年</w:t>
            </w:r>
            <w:r w:rsidR="00757322">
              <w:rPr>
                <w:b/>
                <w:smallCaps/>
                <w:szCs w:val="24"/>
                <w:lang w:eastAsia="zh-CN"/>
              </w:rPr>
              <w:t>9</w:t>
            </w:r>
            <w:r>
              <w:rPr>
                <w:b/>
                <w:smallCaps/>
                <w:szCs w:val="24"/>
                <w:lang w:eastAsia="zh-CN"/>
              </w:rPr>
              <w:t>月</w:t>
            </w:r>
            <w:r w:rsidR="00757322">
              <w:rPr>
                <w:b/>
                <w:smallCaps/>
                <w:szCs w:val="24"/>
                <w:lang w:eastAsia="zh-CN"/>
              </w:rPr>
              <w:t>16</w:t>
            </w:r>
            <w:r>
              <w:rPr>
                <w:b/>
                <w:smallCaps/>
                <w:szCs w:val="24"/>
                <w:lang w:eastAsia="zh-CN"/>
              </w:rPr>
              <w:t>-1</w:t>
            </w:r>
            <w:r w:rsidR="00757322">
              <w:rPr>
                <w:b/>
                <w:smallCaps/>
                <w:szCs w:val="24"/>
                <w:lang w:eastAsia="zh-CN"/>
              </w:rPr>
              <w:t>7</w:t>
            </w:r>
            <w:r>
              <w:rPr>
                <w:b/>
                <w:smallCaps/>
                <w:szCs w:val="24"/>
                <w:lang w:eastAsia="zh-CN"/>
              </w:rPr>
              <w:t>日，日内瓦</w:t>
            </w:r>
          </w:p>
        </w:tc>
        <w:tc>
          <w:tcPr>
            <w:tcW w:w="3120" w:type="dxa"/>
            <w:tcBorders>
              <w:bottom w:val="single" w:sz="12" w:space="0" w:color="auto"/>
            </w:tcBorders>
          </w:tcPr>
          <w:p w14:paraId="51EA0DEB" w14:textId="77777777" w:rsidR="00700D1F" w:rsidRPr="00617BE4" w:rsidRDefault="00700D1F" w:rsidP="00001B77">
            <w:pPr>
              <w:spacing w:before="0"/>
              <w:rPr>
                <w:rFonts w:ascii="Verdana" w:hAnsi="Verdana"/>
                <w:szCs w:val="24"/>
                <w:lang w:eastAsia="zh-CN"/>
              </w:rPr>
            </w:pPr>
          </w:p>
        </w:tc>
      </w:tr>
      <w:tr w:rsidR="00700D1F" w:rsidRPr="00617BE4" w14:paraId="5AF267B5" w14:textId="77777777" w:rsidTr="00AC341C">
        <w:trPr>
          <w:cantSplit/>
        </w:trPr>
        <w:tc>
          <w:tcPr>
            <w:tcW w:w="6911" w:type="dxa"/>
            <w:tcBorders>
              <w:top w:val="single" w:sz="12" w:space="0" w:color="auto"/>
            </w:tcBorders>
          </w:tcPr>
          <w:p w14:paraId="6D09AFD0" w14:textId="77777777" w:rsidR="00700D1F" w:rsidRPr="00617BE4" w:rsidRDefault="00700D1F" w:rsidP="00001B77">
            <w:pPr>
              <w:spacing w:before="0" w:after="48"/>
              <w:rPr>
                <w:b/>
                <w:smallCaps/>
                <w:szCs w:val="24"/>
                <w:lang w:eastAsia="zh-CN"/>
              </w:rPr>
            </w:pPr>
          </w:p>
        </w:tc>
        <w:tc>
          <w:tcPr>
            <w:tcW w:w="3120" w:type="dxa"/>
            <w:tcBorders>
              <w:top w:val="single" w:sz="12" w:space="0" w:color="auto"/>
            </w:tcBorders>
          </w:tcPr>
          <w:p w14:paraId="27AAB51A" w14:textId="77777777" w:rsidR="00700D1F" w:rsidRPr="00617BE4" w:rsidRDefault="00700D1F" w:rsidP="00001B77">
            <w:pPr>
              <w:spacing w:before="0"/>
              <w:rPr>
                <w:rFonts w:ascii="Verdana" w:hAnsi="Verdana"/>
                <w:szCs w:val="24"/>
                <w:lang w:eastAsia="zh-CN"/>
              </w:rPr>
            </w:pPr>
          </w:p>
        </w:tc>
      </w:tr>
      <w:tr w:rsidR="00700D1F" w14:paraId="7F870284" w14:textId="77777777" w:rsidTr="00AC341C">
        <w:trPr>
          <w:cantSplit/>
          <w:trHeight w:val="23"/>
        </w:trPr>
        <w:tc>
          <w:tcPr>
            <w:tcW w:w="6911" w:type="dxa"/>
            <w:vMerge w:val="restart"/>
          </w:tcPr>
          <w:p w14:paraId="20816C9D"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20307F0E" w14:textId="25CC2240" w:rsidR="00700D1F" w:rsidRPr="00700D1F" w:rsidRDefault="00700D1F" w:rsidP="004B1B7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8F2D3A">
              <w:rPr>
                <w:rFonts w:eastAsia="Calibri" w:cs="Calibri"/>
                <w:b/>
                <w:color w:val="000000"/>
                <w:szCs w:val="24"/>
                <w:lang w:val="de-CH"/>
              </w:rPr>
              <w:t>E</w:t>
            </w:r>
            <w:r w:rsidR="008F2D3A" w:rsidRPr="005476DB">
              <w:rPr>
                <w:rFonts w:eastAsia="Calibri" w:cs="Calibri"/>
                <w:b/>
                <w:color w:val="000000"/>
                <w:szCs w:val="24"/>
                <w:lang w:val="de-CH"/>
              </w:rPr>
              <w:t>G-I</w:t>
            </w:r>
            <w:r w:rsidR="008F2D3A">
              <w:rPr>
                <w:rFonts w:eastAsia="Calibri" w:cs="Calibri"/>
                <w:b/>
                <w:color w:val="000000"/>
                <w:szCs w:val="24"/>
                <w:lang w:val="de-CH"/>
              </w:rPr>
              <w:t>TRs</w:t>
            </w:r>
            <w:r w:rsidR="008F2D3A" w:rsidRPr="005476DB">
              <w:rPr>
                <w:rFonts w:eastAsia="Calibri" w:cs="Calibri"/>
                <w:b/>
                <w:color w:val="000000"/>
                <w:szCs w:val="24"/>
                <w:lang w:val="de-CH"/>
              </w:rPr>
              <w:t xml:space="preserve"> </w:t>
            </w:r>
            <w:r w:rsidR="008F2D3A">
              <w:rPr>
                <w:rFonts w:eastAsia="Calibri" w:cs="Calibri"/>
                <w:b/>
                <w:color w:val="000000"/>
                <w:szCs w:val="24"/>
                <w:lang w:val="de-CH"/>
              </w:rPr>
              <w:t>1</w:t>
            </w:r>
            <w:r w:rsidR="008F2D3A" w:rsidRPr="005476DB">
              <w:rPr>
                <w:rFonts w:eastAsia="Calibri" w:cs="Calibri"/>
                <w:b/>
                <w:color w:val="000000"/>
                <w:szCs w:val="24"/>
                <w:lang w:val="de-CH"/>
              </w:rPr>
              <w:t>/</w:t>
            </w:r>
            <w:r w:rsidR="00757322">
              <w:rPr>
                <w:rFonts w:eastAsia="Calibri" w:cs="Calibri"/>
                <w:b/>
                <w:color w:val="000000"/>
                <w:szCs w:val="24"/>
                <w:lang w:val="de-CH"/>
              </w:rPr>
              <w:t>5</w:t>
            </w:r>
            <w:r w:rsidR="008F2D3A">
              <w:rPr>
                <w:rFonts w:eastAsia="Calibri" w:cs="Calibri"/>
                <w:b/>
                <w:color w:val="000000"/>
                <w:szCs w:val="24"/>
                <w:lang w:val="de-CH"/>
              </w:rPr>
              <w:t>-C</w:t>
            </w:r>
          </w:p>
        </w:tc>
      </w:tr>
      <w:bookmarkEnd w:id="1"/>
      <w:tr w:rsidR="00700D1F" w14:paraId="35168CA9" w14:textId="77777777" w:rsidTr="00AC341C">
        <w:trPr>
          <w:cantSplit/>
          <w:trHeight w:val="23"/>
        </w:trPr>
        <w:tc>
          <w:tcPr>
            <w:tcW w:w="6911" w:type="dxa"/>
            <w:vMerge/>
          </w:tcPr>
          <w:p w14:paraId="79787843" w14:textId="77777777" w:rsidR="00700D1F" w:rsidRDefault="00700D1F" w:rsidP="00001B77">
            <w:pPr>
              <w:tabs>
                <w:tab w:val="left" w:pos="851"/>
              </w:tabs>
              <w:rPr>
                <w:b/>
                <w:lang w:eastAsia="zh-CN"/>
              </w:rPr>
            </w:pPr>
          </w:p>
        </w:tc>
        <w:tc>
          <w:tcPr>
            <w:tcW w:w="3120" w:type="dxa"/>
          </w:tcPr>
          <w:p w14:paraId="1DAA9B5A" w14:textId="72642CFD" w:rsidR="00700D1F" w:rsidRPr="00FC5386" w:rsidRDefault="00700D1F" w:rsidP="004B1B7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757322">
              <w:rPr>
                <w:b/>
                <w:bCs/>
                <w:szCs w:val="24"/>
                <w:lang w:eastAsia="zh-CN"/>
              </w:rPr>
              <w:t>9</w:t>
            </w:r>
            <w:r w:rsidRPr="00FC5386">
              <w:rPr>
                <w:rFonts w:hint="eastAsia"/>
                <w:b/>
                <w:bCs/>
                <w:szCs w:val="24"/>
                <w:lang w:eastAsia="zh-CN"/>
              </w:rPr>
              <w:t>年</w:t>
            </w:r>
            <w:r w:rsidR="00757322">
              <w:rPr>
                <w:rFonts w:asciiTheme="minorHAnsi" w:hAnsiTheme="minorHAnsi" w:cstheme="minorHAnsi"/>
                <w:b/>
                <w:bCs/>
                <w:szCs w:val="24"/>
                <w:lang w:eastAsia="zh-CN"/>
              </w:rPr>
              <w:t>8</w:t>
            </w:r>
            <w:r w:rsidRPr="00FC5386">
              <w:rPr>
                <w:rFonts w:hint="eastAsia"/>
                <w:b/>
                <w:bCs/>
                <w:szCs w:val="24"/>
                <w:lang w:eastAsia="zh-CN"/>
              </w:rPr>
              <w:t>月</w:t>
            </w:r>
            <w:r w:rsidR="00757322">
              <w:rPr>
                <w:b/>
                <w:bCs/>
                <w:szCs w:val="24"/>
                <w:lang w:val="en-US" w:eastAsia="zh-CN"/>
              </w:rPr>
              <w:t>28</w:t>
            </w:r>
            <w:r w:rsidRPr="00FC5386">
              <w:rPr>
                <w:rFonts w:hint="eastAsia"/>
                <w:b/>
                <w:bCs/>
                <w:szCs w:val="24"/>
                <w:lang w:eastAsia="zh-CN"/>
              </w:rPr>
              <w:t>日</w:t>
            </w:r>
          </w:p>
        </w:tc>
      </w:tr>
      <w:tr w:rsidR="00700D1F" w14:paraId="25E47BF6" w14:textId="77777777" w:rsidTr="00AC341C">
        <w:trPr>
          <w:cantSplit/>
          <w:trHeight w:val="23"/>
        </w:trPr>
        <w:tc>
          <w:tcPr>
            <w:tcW w:w="6911" w:type="dxa"/>
            <w:vMerge/>
          </w:tcPr>
          <w:p w14:paraId="3D1EF561" w14:textId="77777777" w:rsidR="00700D1F" w:rsidRDefault="00700D1F" w:rsidP="00001B77">
            <w:pPr>
              <w:tabs>
                <w:tab w:val="left" w:pos="851"/>
              </w:tabs>
              <w:rPr>
                <w:b/>
                <w:lang w:eastAsia="zh-CN"/>
              </w:rPr>
            </w:pPr>
          </w:p>
        </w:tc>
        <w:tc>
          <w:tcPr>
            <w:tcW w:w="3120" w:type="dxa"/>
          </w:tcPr>
          <w:p w14:paraId="67B856B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r w:rsidR="002C5DB0" w14:paraId="0C630BE7" w14:textId="77777777" w:rsidTr="00B24F46">
        <w:trPr>
          <w:cantSplit/>
          <w:trHeight w:val="23"/>
        </w:trPr>
        <w:tc>
          <w:tcPr>
            <w:tcW w:w="10031" w:type="dxa"/>
            <w:gridSpan w:val="2"/>
          </w:tcPr>
          <w:p w14:paraId="4974440A" w14:textId="6A6D6AA9" w:rsidR="002C5DB0" w:rsidRPr="0092392D" w:rsidRDefault="00757322" w:rsidP="002C5DB0">
            <w:pPr>
              <w:pStyle w:val="Source"/>
            </w:pPr>
            <w:r>
              <w:rPr>
                <w:rFonts w:hint="eastAsia"/>
                <w:szCs w:val="28"/>
                <w:lang w:val="en-US" w:eastAsia="zh-CN"/>
              </w:rPr>
              <w:t>加拿大和</w:t>
            </w:r>
            <w:r w:rsidR="002C5DB0">
              <w:rPr>
                <w:rFonts w:hint="eastAsia"/>
                <w:szCs w:val="28"/>
                <w:lang w:val="en-US" w:eastAsia="zh-CN"/>
              </w:rPr>
              <w:t>美国</w:t>
            </w:r>
          </w:p>
        </w:tc>
      </w:tr>
      <w:tr w:rsidR="002C5DB0" w14:paraId="0F0CC62D" w14:textId="77777777" w:rsidTr="00B24F46">
        <w:trPr>
          <w:cantSplit/>
          <w:trHeight w:val="23"/>
        </w:trPr>
        <w:tc>
          <w:tcPr>
            <w:tcW w:w="10031" w:type="dxa"/>
            <w:gridSpan w:val="2"/>
          </w:tcPr>
          <w:p w14:paraId="4ECC4F58" w14:textId="72693C0A" w:rsidR="002C5DB0" w:rsidRPr="0092392D" w:rsidRDefault="002C5DB0" w:rsidP="00E82D37">
            <w:pPr>
              <w:pStyle w:val="Title1"/>
              <w:spacing w:after="360"/>
              <w:rPr>
                <w:lang w:eastAsia="zh-CN"/>
              </w:rPr>
            </w:pPr>
            <w:r>
              <w:rPr>
                <w:rFonts w:hint="eastAsia"/>
                <w:szCs w:val="28"/>
                <w:lang w:eastAsia="zh-CN"/>
              </w:rPr>
              <w:t>有关</w:t>
            </w:r>
            <w:r w:rsidR="00757322">
              <w:rPr>
                <w:rFonts w:hint="eastAsia"/>
                <w:szCs w:val="28"/>
                <w:lang w:eastAsia="zh-CN"/>
              </w:rPr>
              <w:t>全面</w:t>
            </w:r>
            <w:r>
              <w:rPr>
                <w:rFonts w:hint="eastAsia"/>
                <w:szCs w:val="28"/>
                <w:lang w:eastAsia="zh-CN"/>
              </w:rPr>
              <w:t>审议</w:t>
            </w:r>
            <w:r w:rsidRPr="008F2D3A">
              <w:rPr>
                <w:rFonts w:hint="eastAsia"/>
                <w:szCs w:val="28"/>
                <w:lang w:eastAsia="zh-CN"/>
              </w:rPr>
              <w:t>《国际电信规则》</w:t>
            </w:r>
            <w:r>
              <w:rPr>
                <w:rFonts w:hint="eastAsia"/>
                <w:szCs w:val="28"/>
                <w:lang w:eastAsia="zh-CN"/>
              </w:rPr>
              <w:t>的</w:t>
            </w:r>
            <w:r w:rsidR="00757322">
              <w:rPr>
                <w:rFonts w:hint="eastAsia"/>
                <w:szCs w:val="28"/>
                <w:lang w:eastAsia="zh-CN"/>
              </w:rPr>
              <w:t>看法</w:t>
            </w:r>
          </w:p>
        </w:tc>
      </w:tr>
    </w:tbl>
    <w:p w14:paraId="500C52BC" w14:textId="77777777" w:rsidR="00F13349" w:rsidRPr="00A14786" w:rsidRDefault="00F13349" w:rsidP="00E82D37">
      <w:pPr>
        <w:pStyle w:val="Headingb"/>
        <w:spacing w:before="120" w:after="160"/>
        <w:rPr>
          <w:rFonts w:cs="Calibri"/>
          <w:lang w:eastAsia="zh-CN"/>
        </w:rPr>
      </w:pPr>
      <w:bookmarkStart w:id="2" w:name="lt_pId007"/>
      <w:r w:rsidRPr="00A14786">
        <w:rPr>
          <w:rFonts w:cs="Calibri" w:hint="eastAsia"/>
          <w:lang w:val="en-US" w:eastAsia="zh-CN"/>
        </w:rPr>
        <w:t>引言</w:t>
      </w:r>
      <w:bookmarkEnd w:id="2"/>
    </w:p>
    <w:p w14:paraId="10F4974F" w14:textId="0EF17B06" w:rsidR="00177089" w:rsidRPr="00A14786" w:rsidRDefault="00230E2C" w:rsidP="00DF0B83">
      <w:pPr>
        <w:pStyle w:val="Normal1"/>
        <w:tabs>
          <w:tab w:val="left" w:pos="1418"/>
        </w:tabs>
        <w:spacing w:before="160"/>
        <w:ind w:firstLineChars="200" w:firstLine="480"/>
        <w:rPr>
          <w:rFonts w:eastAsia="SimSun"/>
          <w:lang w:eastAsia="zh-CN"/>
        </w:rPr>
      </w:pPr>
      <w:bookmarkStart w:id="3" w:name="lt_pId008"/>
      <w:r w:rsidRPr="00A14786">
        <w:rPr>
          <w:rFonts w:eastAsia="SimSun" w:hint="eastAsia"/>
          <w:lang w:eastAsia="zh-CN"/>
        </w:rPr>
        <w:t>加拿大和美国很高兴参与</w:t>
      </w:r>
      <w:r w:rsidRPr="00A14786">
        <w:rPr>
          <w:rFonts w:eastAsia="SimSun"/>
          <w:lang w:val="en-US" w:eastAsia="zh-CN"/>
        </w:rPr>
        <w:t>《国际电信规则》专家组（</w:t>
      </w:r>
      <w:r w:rsidRPr="00A14786">
        <w:rPr>
          <w:rFonts w:eastAsia="SimSun"/>
          <w:lang w:val="en-US" w:eastAsia="zh-CN"/>
        </w:rPr>
        <w:t>EG</w:t>
      </w:r>
      <w:r w:rsidRPr="00A14786">
        <w:rPr>
          <w:rFonts w:eastAsia="SimSun"/>
          <w:lang w:val="en-US" w:eastAsia="zh-CN"/>
        </w:rPr>
        <w:noBreakHyphen/>
        <w:t>ITRs</w:t>
      </w:r>
      <w:r w:rsidRPr="00A14786">
        <w:rPr>
          <w:rFonts w:eastAsia="SimSun"/>
          <w:lang w:val="en-US" w:eastAsia="zh-CN"/>
        </w:rPr>
        <w:t>）</w:t>
      </w:r>
      <w:r w:rsidRPr="00A14786">
        <w:rPr>
          <w:rFonts w:eastAsia="SimSun" w:hint="eastAsia"/>
          <w:lang w:val="en-US" w:eastAsia="zh-CN"/>
        </w:rPr>
        <w:t>的《国际电信规则》（</w:t>
      </w:r>
      <w:r w:rsidRPr="00A14786">
        <w:rPr>
          <w:rFonts w:eastAsia="SimSun" w:hint="eastAsia"/>
          <w:lang w:val="en-US" w:eastAsia="zh-CN"/>
        </w:rPr>
        <w:t>ITR</w:t>
      </w:r>
      <w:r w:rsidRPr="00A14786">
        <w:rPr>
          <w:rFonts w:eastAsia="SimSun" w:hint="eastAsia"/>
          <w:lang w:val="en-US" w:eastAsia="zh-CN"/>
        </w:rPr>
        <w:t>）审议工作。</w:t>
      </w:r>
      <w:bookmarkStart w:id="4" w:name="lt_pId009"/>
      <w:bookmarkEnd w:id="3"/>
      <w:r w:rsidRPr="00A14786">
        <w:rPr>
          <w:rFonts w:eastAsia="SimSun" w:hint="eastAsia"/>
          <w:lang w:eastAsia="zh-CN"/>
        </w:rPr>
        <w:t>根据</w:t>
      </w:r>
      <w:r w:rsidRPr="00A14786">
        <w:rPr>
          <w:rFonts w:eastAsia="SimSun"/>
          <w:lang w:eastAsia="zh-CN"/>
        </w:rPr>
        <w:t>EG-ITRs</w:t>
      </w:r>
      <w:r w:rsidRPr="00A14786">
        <w:rPr>
          <w:rFonts w:eastAsia="SimSun" w:hint="eastAsia"/>
          <w:lang w:eastAsia="zh-CN"/>
        </w:rPr>
        <w:t>的职责范围</w:t>
      </w:r>
      <w:r w:rsidRPr="00A14786">
        <w:rPr>
          <w:rStyle w:val="FootnoteReference"/>
          <w:rFonts w:eastAsia="SimSun"/>
          <w:sz w:val="16"/>
          <w:szCs w:val="16"/>
        </w:rPr>
        <w:footnoteReference w:id="1"/>
      </w:r>
      <w:r w:rsidRPr="00A14786">
        <w:rPr>
          <w:rFonts w:eastAsia="SimSun" w:hint="eastAsia"/>
          <w:lang w:eastAsia="zh-CN"/>
        </w:rPr>
        <w:t>，我们特就对于逐款审议《国际电信规则》至关重要的问题发表意见</w:t>
      </w:r>
      <w:proofErr w:type="gramStart"/>
      <w:r w:rsidRPr="00A14786">
        <w:rPr>
          <w:rFonts w:eastAsia="SimSun" w:hint="eastAsia"/>
          <w:lang w:eastAsia="zh-CN"/>
        </w:rPr>
        <w:t>：</w:t>
      </w:r>
      <w:r w:rsidRPr="00A14786">
        <w:rPr>
          <w:rFonts w:eastAsia="SimSun"/>
          <w:lang w:eastAsia="zh-CN"/>
        </w:rPr>
        <w:t>(</w:t>
      </w:r>
      <w:proofErr w:type="gramEnd"/>
      <w:r w:rsidRPr="00A14786">
        <w:rPr>
          <w:rFonts w:eastAsia="SimSun"/>
          <w:lang w:eastAsia="zh-CN"/>
        </w:rPr>
        <w:t>1)</w:t>
      </w:r>
      <w:r w:rsidR="00A14786">
        <w:rPr>
          <w:rFonts w:eastAsia="SimSun"/>
          <w:lang w:eastAsia="zh-CN"/>
        </w:rPr>
        <w:t xml:space="preserve"> </w:t>
      </w:r>
      <w:r w:rsidRPr="00A14786">
        <w:rPr>
          <w:rFonts w:eastAsia="SimSun" w:hint="eastAsia"/>
          <w:lang w:eastAsia="zh-CN"/>
        </w:rPr>
        <w:t>2012</w:t>
      </w:r>
      <w:r w:rsidRPr="00A14786">
        <w:rPr>
          <w:rFonts w:eastAsia="SimSun" w:hint="eastAsia"/>
          <w:lang w:eastAsia="zh-CN"/>
        </w:rPr>
        <w:t>年版《国际电信规则》在促进发展和提供国际电信</w:t>
      </w:r>
      <w:r w:rsidRPr="00A14786">
        <w:rPr>
          <w:rFonts w:eastAsia="SimSun" w:hint="eastAsia"/>
          <w:lang w:eastAsia="zh-CN"/>
        </w:rPr>
        <w:t>/</w:t>
      </w:r>
      <w:r w:rsidRPr="00A14786">
        <w:rPr>
          <w:rFonts w:eastAsia="SimSun"/>
          <w:lang w:eastAsia="zh-CN"/>
        </w:rPr>
        <w:t>ICT</w:t>
      </w:r>
      <w:r w:rsidR="009C2EB3" w:rsidRPr="00A14786">
        <w:rPr>
          <w:rFonts w:eastAsia="SimSun" w:hint="eastAsia"/>
          <w:lang w:eastAsia="zh-CN"/>
        </w:rPr>
        <w:t>业务</w:t>
      </w:r>
      <w:r w:rsidR="00177089" w:rsidRPr="00A14786">
        <w:rPr>
          <w:rFonts w:eastAsia="SimSun" w:hint="eastAsia"/>
          <w:lang w:eastAsia="zh-CN"/>
        </w:rPr>
        <w:t>和网络</w:t>
      </w:r>
      <w:r w:rsidR="002D7B26" w:rsidRPr="00A14786">
        <w:rPr>
          <w:rFonts w:eastAsia="SimSun" w:hint="eastAsia"/>
          <w:lang w:eastAsia="zh-CN"/>
        </w:rPr>
        <w:t>方面</w:t>
      </w:r>
      <w:r w:rsidRPr="00A14786">
        <w:rPr>
          <w:rFonts w:eastAsia="SimSun" w:hint="eastAsia"/>
          <w:lang w:eastAsia="zh-CN"/>
        </w:rPr>
        <w:t>的适用性问题；</w:t>
      </w:r>
      <w:r w:rsidRPr="00A14786">
        <w:rPr>
          <w:rFonts w:eastAsia="SimSun"/>
          <w:lang w:eastAsia="zh-CN"/>
        </w:rPr>
        <w:t>(2)</w:t>
      </w:r>
      <w:r w:rsidR="00177089" w:rsidRPr="00A14786">
        <w:rPr>
          <w:rFonts w:eastAsia="SimSun" w:hint="eastAsia"/>
          <w:lang w:eastAsia="zh-CN"/>
        </w:rPr>
        <w:t>《国际电信规则》条款在适应电信</w:t>
      </w:r>
      <w:r w:rsidR="00177089" w:rsidRPr="00A14786">
        <w:rPr>
          <w:rFonts w:eastAsia="SimSun" w:hint="eastAsia"/>
          <w:lang w:eastAsia="zh-CN"/>
        </w:rPr>
        <w:t>/I</w:t>
      </w:r>
      <w:r w:rsidR="00177089" w:rsidRPr="00A14786">
        <w:rPr>
          <w:rFonts w:eastAsia="SimSun"/>
          <w:lang w:eastAsia="zh-CN"/>
        </w:rPr>
        <w:t>CT</w:t>
      </w:r>
      <w:r w:rsidR="00177089" w:rsidRPr="00A14786">
        <w:rPr>
          <w:rFonts w:eastAsia="SimSun" w:hint="eastAsia"/>
          <w:lang w:eastAsia="zh-CN"/>
        </w:rPr>
        <w:t>的新趋势和国际电信</w:t>
      </w:r>
      <w:r w:rsidR="00177089" w:rsidRPr="00A14786">
        <w:rPr>
          <w:rFonts w:eastAsia="SimSun" w:hint="eastAsia"/>
          <w:lang w:eastAsia="zh-CN"/>
        </w:rPr>
        <w:t>/I</w:t>
      </w:r>
      <w:r w:rsidR="00177089" w:rsidRPr="00A14786">
        <w:rPr>
          <w:rFonts w:eastAsia="SimSun"/>
          <w:lang w:eastAsia="zh-CN"/>
        </w:rPr>
        <w:t>CT</w:t>
      </w:r>
      <w:r w:rsidR="00177089" w:rsidRPr="00A14786">
        <w:rPr>
          <w:rFonts w:eastAsia="SimSun" w:hint="eastAsia"/>
          <w:lang w:eastAsia="zh-CN"/>
        </w:rPr>
        <w:t>环境中新出现的问题方面的灵活性或缺乏灵活性问题。</w:t>
      </w:r>
    </w:p>
    <w:bookmarkEnd w:id="4"/>
    <w:p w14:paraId="2FA0A590" w14:textId="1DDB4EC1" w:rsidR="00F13349" w:rsidRPr="00A14786" w:rsidRDefault="002D7B26" w:rsidP="00E82D37">
      <w:pPr>
        <w:pStyle w:val="Headingb"/>
        <w:spacing w:after="160"/>
        <w:rPr>
          <w:rFonts w:cs="Calibri"/>
          <w:lang w:eastAsia="zh-CN"/>
        </w:rPr>
      </w:pPr>
      <w:r w:rsidRPr="00A14786">
        <w:rPr>
          <w:rFonts w:cs="Calibri" w:hint="eastAsia"/>
          <w:lang w:val="en-US" w:eastAsia="zh-CN"/>
        </w:rPr>
        <w:t>讨论</w:t>
      </w:r>
    </w:p>
    <w:p w14:paraId="7943DD00" w14:textId="2E55CBF9" w:rsidR="00E622A2" w:rsidRPr="00A14786" w:rsidRDefault="002D7B26" w:rsidP="00A14786">
      <w:pPr>
        <w:tabs>
          <w:tab w:val="clear" w:pos="794"/>
          <w:tab w:val="clear" w:pos="1191"/>
          <w:tab w:val="clear" w:pos="1588"/>
          <w:tab w:val="clear" w:pos="1985"/>
        </w:tabs>
        <w:overflowPunct/>
        <w:autoSpaceDE/>
        <w:autoSpaceDN/>
        <w:adjustRightInd/>
        <w:spacing w:before="0" w:after="160" w:line="259" w:lineRule="auto"/>
        <w:ind w:firstLineChars="200" w:firstLine="482"/>
        <w:textAlignment w:val="auto"/>
        <w:rPr>
          <w:rFonts w:cs="Calibri"/>
          <w:szCs w:val="24"/>
          <w:lang w:eastAsia="zh-CN"/>
        </w:rPr>
      </w:pPr>
      <w:bookmarkStart w:id="6" w:name="lt_pId011"/>
      <w:r w:rsidRPr="00A14786">
        <w:rPr>
          <w:rFonts w:cs="Calibri" w:hint="eastAsia"/>
          <w:b/>
          <w:bCs/>
          <w:szCs w:val="24"/>
          <w:lang w:eastAsia="zh-CN"/>
        </w:rPr>
        <w:t>“</w:t>
      </w:r>
      <w:r w:rsidRPr="00A14786">
        <w:rPr>
          <w:rFonts w:cs="Calibri" w:hint="eastAsia"/>
          <w:b/>
          <w:bCs/>
          <w:szCs w:val="24"/>
          <w:lang w:eastAsia="zh-CN"/>
        </w:rPr>
        <w:t>2012</w:t>
      </w:r>
      <w:r w:rsidRPr="00A14786">
        <w:rPr>
          <w:rFonts w:cs="Calibri" w:hint="eastAsia"/>
          <w:b/>
          <w:bCs/>
          <w:szCs w:val="24"/>
          <w:lang w:eastAsia="zh-CN"/>
        </w:rPr>
        <w:t>年版《国际电信规则》在促进发展和提供国际电信</w:t>
      </w:r>
      <w:r w:rsidRPr="00A14786">
        <w:rPr>
          <w:rFonts w:cs="Calibri" w:hint="eastAsia"/>
          <w:b/>
          <w:bCs/>
          <w:szCs w:val="24"/>
          <w:lang w:eastAsia="zh-CN"/>
        </w:rPr>
        <w:t>/</w:t>
      </w:r>
      <w:r w:rsidRPr="00A14786">
        <w:rPr>
          <w:rFonts w:cs="Calibri"/>
          <w:b/>
          <w:bCs/>
          <w:szCs w:val="24"/>
          <w:lang w:eastAsia="zh-CN"/>
        </w:rPr>
        <w:t>ICT</w:t>
      </w:r>
      <w:r w:rsidR="009C2EB3" w:rsidRPr="00A14786">
        <w:rPr>
          <w:rFonts w:cs="Calibri" w:hint="eastAsia"/>
          <w:b/>
          <w:bCs/>
          <w:szCs w:val="24"/>
          <w:lang w:eastAsia="zh-CN"/>
        </w:rPr>
        <w:t>业务</w:t>
      </w:r>
      <w:r w:rsidRPr="00A14786">
        <w:rPr>
          <w:rFonts w:cs="Calibri" w:hint="eastAsia"/>
          <w:b/>
          <w:bCs/>
          <w:szCs w:val="24"/>
          <w:lang w:eastAsia="zh-CN"/>
        </w:rPr>
        <w:t>和网络方面的适用性”</w:t>
      </w:r>
      <w:r w:rsidR="00774ACD" w:rsidRPr="00A14786">
        <w:rPr>
          <w:rFonts w:cs="Calibri" w:hint="eastAsia"/>
          <w:b/>
          <w:bCs/>
          <w:szCs w:val="24"/>
          <w:lang w:eastAsia="zh-CN"/>
        </w:rPr>
        <w:t>问题</w:t>
      </w:r>
      <w:r w:rsidRPr="00A14786">
        <w:rPr>
          <w:rFonts w:cs="Calibri" w:hint="eastAsia"/>
          <w:b/>
          <w:bCs/>
          <w:szCs w:val="24"/>
          <w:lang w:eastAsia="zh-CN"/>
        </w:rPr>
        <w:t>：</w:t>
      </w:r>
      <w:r w:rsidRPr="00A14786">
        <w:rPr>
          <w:rFonts w:cs="Calibri" w:hint="eastAsia"/>
          <w:szCs w:val="24"/>
          <w:lang w:eastAsia="zh-CN"/>
        </w:rPr>
        <w:t>加拿大和美国仍然认为，《国际电信规则》不再适用或</w:t>
      </w:r>
      <w:r w:rsidR="0064210F" w:rsidRPr="00A14786">
        <w:rPr>
          <w:rFonts w:cs="Calibri" w:hint="eastAsia"/>
          <w:szCs w:val="24"/>
          <w:lang w:eastAsia="zh-CN"/>
        </w:rPr>
        <w:t>不再</w:t>
      </w:r>
      <w:r w:rsidRPr="00A14786">
        <w:rPr>
          <w:rFonts w:cs="Calibri" w:hint="eastAsia"/>
          <w:szCs w:val="24"/>
          <w:lang w:eastAsia="zh-CN"/>
        </w:rPr>
        <w:t>与大多数国际通信流量相关。</w:t>
      </w:r>
      <w:bookmarkStart w:id="7" w:name="lt_pId013"/>
      <w:bookmarkEnd w:id="6"/>
      <w:r w:rsidR="009C2EB3" w:rsidRPr="00A14786">
        <w:rPr>
          <w:rFonts w:cs="Calibri" w:hint="eastAsia"/>
          <w:szCs w:val="24"/>
          <w:lang w:eastAsia="zh-CN"/>
        </w:rPr>
        <w:t>在垄断时代，《国际电信规则》对于提供并运营国际电信业务</w:t>
      </w:r>
      <w:r w:rsidR="0064210F" w:rsidRPr="00A14786">
        <w:rPr>
          <w:rFonts w:cs="Calibri" w:hint="eastAsia"/>
          <w:szCs w:val="24"/>
          <w:lang w:eastAsia="zh-CN"/>
        </w:rPr>
        <w:t>是</w:t>
      </w:r>
      <w:r w:rsidR="009C2EB3" w:rsidRPr="00A14786">
        <w:rPr>
          <w:rFonts w:cs="Calibri" w:hint="eastAsia"/>
          <w:szCs w:val="24"/>
          <w:lang w:eastAsia="zh-CN"/>
        </w:rPr>
        <w:t>至关重要</w:t>
      </w:r>
      <w:r w:rsidR="0064210F" w:rsidRPr="00A14786">
        <w:rPr>
          <w:rFonts w:cs="Calibri" w:hint="eastAsia"/>
          <w:szCs w:val="24"/>
          <w:lang w:eastAsia="zh-CN"/>
        </w:rPr>
        <w:t>的</w:t>
      </w:r>
      <w:r w:rsidR="009C2EB3" w:rsidRPr="00A14786">
        <w:rPr>
          <w:rFonts w:cs="Calibri" w:hint="eastAsia"/>
          <w:szCs w:val="24"/>
          <w:lang w:eastAsia="zh-CN"/>
        </w:rPr>
        <w:t>。</w:t>
      </w:r>
      <w:bookmarkEnd w:id="7"/>
      <w:r w:rsidR="009C2EB3" w:rsidRPr="00A14786">
        <w:rPr>
          <w:rFonts w:cs="Calibri" w:hint="eastAsia"/>
          <w:szCs w:val="24"/>
          <w:lang w:eastAsia="zh-CN"/>
        </w:rPr>
        <w:t>然而</w:t>
      </w:r>
      <w:bookmarkStart w:id="8" w:name="lt_pId015"/>
      <w:r w:rsidR="009C2EB3" w:rsidRPr="00A14786">
        <w:rPr>
          <w:rFonts w:cs="Calibri" w:hint="eastAsia"/>
          <w:szCs w:val="24"/>
          <w:lang w:eastAsia="zh-CN"/>
        </w:rPr>
        <w:t>，在多数国家，这种垄断环境已不复存在，应对垄断对国际电信业务影响问题的条约也就失去了存在的意义。</w:t>
      </w:r>
      <w:bookmarkStart w:id="9" w:name="lt_pId016"/>
      <w:bookmarkEnd w:id="8"/>
    </w:p>
    <w:p w14:paraId="716D4F42" w14:textId="6D789675" w:rsidR="009D4956" w:rsidRPr="00A14786" w:rsidRDefault="009C2EB3" w:rsidP="00A14786">
      <w:pPr>
        <w:tabs>
          <w:tab w:val="clear" w:pos="794"/>
          <w:tab w:val="clear" w:pos="1191"/>
          <w:tab w:val="clear" w:pos="1588"/>
          <w:tab w:val="clear" w:pos="1985"/>
        </w:tabs>
        <w:overflowPunct/>
        <w:autoSpaceDE/>
        <w:autoSpaceDN/>
        <w:adjustRightInd/>
        <w:spacing w:before="0" w:after="160" w:line="259" w:lineRule="auto"/>
        <w:ind w:firstLineChars="200" w:firstLine="480"/>
        <w:textAlignment w:val="auto"/>
        <w:rPr>
          <w:rFonts w:cs="Calibri"/>
          <w:lang w:eastAsia="zh-CN"/>
        </w:rPr>
      </w:pPr>
      <w:r w:rsidRPr="00A14786">
        <w:rPr>
          <w:rFonts w:cs="Calibri" w:hint="eastAsia"/>
          <w:szCs w:val="24"/>
          <w:lang w:eastAsia="zh-CN"/>
        </w:rPr>
        <w:t>在过去三十年中，电信</w:t>
      </w:r>
      <w:r w:rsidRPr="00A14786">
        <w:rPr>
          <w:rFonts w:cs="Calibri"/>
          <w:szCs w:val="24"/>
          <w:lang w:eastAsia="zh-CN"/>
        </w:rPr>
        <w:t>/ICT</w:t>
      </w:r>
      <w:bookmarkEnd w:id="9"/>
      <w:r w:rsidRPr="00A14786">
        <w:rPr>
          <w:rFonts w:cs="Calibri" w:hint="eastAsia"/>
          <w:szCs w:val="24"/>
          <w:lang w:eastAsia="zh-CN"/>
        </w:rPr>
        <w:t>行业发生了翻天覆地的变化。《国际电信规则》规管的主要焦点</w:t>
      </w:r>
      <w:r w:rsidR="00A14786">
        <w:rPr>
          <w:rFonts w:cs="Calibri"/>
          <w:szCs w:val="24"/>
          <w:lang w:eastAsia="zh-CN"/>
        </w:rPr>
        <w:t xml:space="preserve"> </w:t>
      </w:r>
      <w:r w:rsidR="00A14786" w:rsidRPr="00A14786">
        <w:rPr>
          <w:rFonts w:cs="Calibri"/>
          <w:szCs w:val="24"/>
          <w:lang w:eastAsia="zh-CN"/>
        </w:rPr>
        <w:t>–</w:t>
      </w:r>
      <w:r w:rsidR="00A14786">
        <w:rPr>
          <w:rFonts w:cs="Calibri"/>
          <w:szCs w:val="24"/>
          <w:lang w:eastAsia="zh-CN"/>
        </w:rPr>
        <w:t xml:space="preserve"> </w:t>
      </w:r>
      <w:r w:rsidRPr="00A14786">
        <w:rPr>
          <w:rFonts w:cs="Calibri" w:hint="eastAsia"/>
          <w:szCs w:val="24"/>
          <w:lang w:eastAsia="zh-CN"/>
        </w:rPr>
        <w:t>固定电话业务和国际语音业务</w:t>
      </w:r>
      <w:r w:rsidR="00A14786">
        <w:rPr>
          <w:rFonts w:cs="Calibri"/>
          <w:szCs w:val="24"/>
          <w:lang w:eastAsia="zh-CN"/>
        </w:rPr>
        <w:t xml:space="preserve"> </w:t>
      </w:r>
      <w:r w:rsidR="00A14786" w:rsidRPr="00A14786">
        <w:rPr>
          <w:rFonts w:cs="Calibri"/>
          <w:szCs w:val="24"/>
          <w:lang w:eastAsia="zh-CN"/>
        </w:rPr>
        <w:t>–</w:t>
      </w:r>
      <w:r w:rsidR="00A14786">
        <w:rPr>
          <w:rFonts w:cs="Calibri"/>
          <w:szCs w:val="24"/>
          <w:lang w:eastAsia="zh-CN"/>
        </w:rPr>
        <w:t xml:space="preserve"> </w:t>
      </w:r>
      <w:r w:rsidRPr="00A14786">
        <w:rPr>
          <w:rFonts w:cs="Calibri" w:hint="eastAsia"/>
          <w:szCs w:val="24"/>
          <w:lang w:eastAsia="zh-CN"/>
        </w:rPr>
        <w:lastRenderedPageBreak/>
        <w:t>已让位于蜂窝移动电话的订购和使用。例如，</w:t>
      </w:r>
      <w:r w:rsidRPr="00A14786">
        <w:rPr>
          <w:rFonts w:cs="Calibri" w:hint="eastAsia"/>
          <w:szCs w:val="24"/>
          <w:lang w:eastAsia="zh-CN"/>
        </w:rPr>
        <w:t>2010</w:t>
      </w:r>
      <w:r w:rsidRPr="00A14786">
        <w:rPr>
          <w:rFonts w:cs="Calibri" w:hint="eastAsia"/>
          <w:szCs w:val="24"/>
          <w:lang w:eastAsia="zh-CN"/>
        </w:rPr>
        <w:t>年至</w:t>
      </w:r>
      <w:r w:rsidRPr="00A14786">
        <w:rPr>
          <w:rFonts w:cs="Calibri" w:hint="eastAsia"/>
          <w:szCs w:val="24"/>
          <w:lang w:eastAsia="zh-CN"/>
        </w:rPr>
        <w:t>2016</w:t>
      </w:r>
      <w:r w:rsidRPr="00A14786">
        <w:rPr>
          <w:rFonts w:cs="Calibri" w:hint="eastAsia"/>
          <w:szCs w:val="24"/>
          <w:lang w:eastAsia="zh-CN"/>
        </w:rPr>
        <w:t>年间，固定电话用户和国际语音流量分别下降了</w:t>
      </w:r>
      <w:r w:rsidRPr="00A14786">
        <w:rPr>
          <w:rFonts w:cs="Calibri" w:hint="eastAsia"/>
          <w:szCs w:val="24"/>
          <w:lang w:eastAsia="zh-CN"/>
        </w:rPr>
        <w:t>4.4%</w:t>
      </w:r>
      <w:r w:rsidRPr="00A14786">
        <w:rPr>
          <w:rFonts w:cs="Calibri" w:hint="eastAsia"/>
          <w:szCs w:val="24"/>
          <w:lang w:eastAsia="zh-CN"/>
        </w:rPr>
        <w:t>和</w:t>
      </w:r>
      <w:r w:rsidRPr="00A14786">
        <w:rPr>
          <w:rFonts w:cs="Calibri" w:hint="eastAsia"/>
          <w:szCs w:val="24"/>
          <w:lang w:eastAsia="zh-CN"/>
        </w:rPr>
        <w:t>3.6%</w:t>
      </w:r>
      <w:r w:rsidRPr="00A14786">
        <w:rPr>
          <w:rFonts w:cs="Calibri" w:hint="eastAsia"/>
          <w:szCs w:val="24"/>
          <w:lang w:eastAsia="zh-CN"/>
        </w:rPr>
        <w:t>。同时，</w:t>
      </w:r>
      <w:r w:rsidR="00E622A2" w:rsidRPr="00A14786">
        <w:rPr>
          <w:rFonts w:cs="Calibri" w:hint="eastAsia"/>
          <w:szCs w:val="24"/>
          <w:lang w:eastAsia="zh-CN"/>
        </w:rPr>
        <w:t>移动电话</w:t>
      </w:r>
      <w:r w:rsidRPr="00A14786">
        <w:rPr>
          <w:rFonts w:cs="Calibri" w:hint="eastAsia"/>
          <w:szCs w:val="24"/>
          <w:lang w:eastAsia="zh-CN"/>
        </w:rPr>
        <w:t>用户和国内</w:t>
      </w:r>
      <w:r w:rsidR="00E622A2" w:rsidRPr="00A14786">
        <w:rPr>
          <w:rFonts w:cs="Calibri" w:hint="eastAsia"/>
          <w:szCs w:val="24"/>
          <w:lang w:eastAsia="zh-CN"/>
        </w:rPr>
        <w:t>移动</w:t>
      </w:r>
      <w:r w:rsidRPr="00A14786">
        <w:rPr>
          <w:rFonts w:cs="Calibri" w:hint="eastAsia"/>
          <w:szCs w:val="24"/>
          <w:lang w:eastAsia="zh-CN"/>
        </w:rPr>
        <w:t>流量分别增长了</w:t>
      </w:r>
      <w:r w:rsidRPr="00A14786">
        <w:rPr>
          <w:rFonts w:cs="Calibri" w:hint="eastAsia"/>
          <w:szCs w:val="24"/>
          <w:lang w:eastAsia="zh-CN"/>
        </w:rPr>
        <w:t>4.8%</w:t>
      </w:r>
      <w:r w:rsidRPr="00A14786">
        <w:rPr>
          <w:rFonts w:cs="Calibri" w:hint="eastAsia"/>
          <w:szCs w:val="24"/>
          <w:lang w:eastAsia="zh-CN"/>
        </w:rPr>
        <w:t>和</w:t>
      </w:r>
      <w:r w:rsidRPr="00A14786">
        <w:rPr>
          <w:rFonts w:cs="Calibri" w:hint="eastAsia"/>
          <w:szCs w:val="24"/>
          <w:lang w:eastAsia="zh-CN"/>
        </w:rPr>
        <w:t>3%</w:t>
      </w:r>
      <w:r w:rsidRPr="00A14786">
        <w:rPr>
          <w:rFonts w:cs="Calibri" w:hint="eastAsia"/>
          <w:szCs w:val="24"/>
          <w:lang w:eastAsia="zh-CN"/>
        </w:rPr>
        <w:t>。</w:t>
      </w:r>
      <w:r w:rsidR="00A14786">
        <w:rPr>
          <w:rStyle w:val="FootnoteReference"/>
          <w:rFonts w:cs="Calibri"/>
          <w:szCs w:val="24"/>
          <w:lang w:eastAsia="zh-CN"/>
        </w:rPr>
        <w:footnoteReference w:id="2"/>
      </w:r>
      <w:r w:rsidRPr="00A14786">
        <w:rPr>
          <w:rFonts w:cs="Calibri" w:hint="eastAsia"/>
          <w:szCs w:val="24"/>
          <w:lang w:eastAsia="zh-CN"/>
        </w:rPr>
        <w:t>移动电话在全球拥有</w:t>
      </w:r>
      <w:r w:rsidRPr="00A14786">
        <w:rPr>
          <w:rFonts w:cs="Calibri" w:hint="eastAsia"/>
          <w:szCs w:val="24"/>
          <w:lang w:eastAsia="zh-CN"/>
        </w:rPr>
        <w:t>74</w:t>
      </w:r>
      <w:r w:rsidRPr="00A14786">
        <w:rPr>
          <w:rFonts w:cs="Calibri" w:hint="eastAsia"/>
          <w:szCs w:val="24"/>
          <w:lang w:eastAsia="zh-CN"/>
        </w:rPr>
        <w:t>亿用户，远远超过了世界人口和固定电话用户。移动通信的强劲增长，加上竞争激烈的市场环境，鼓励了新的用途、应用和创新，促进了应用和数字经济的出现。根据最近的一份报告，</w:t>
      </w:r>
      <w:r w:rsidRPr="00A14786">
        <w:rPr>
          <w:rFonts w:cs="Calibri" w:hint="eastAsia"/>
          <w:szCs w:val="24"/>
          <w:lang w:eastAsia="zh-CN"/>
        </w:rPr>
        <w:t>5G</w:t>
      </w:r>
      <w:r w:rsidRPr="00A14786">
        <w:rPr>
          <w:rFonts w:cs="Calibri" w:hint="eastAsia"/>
          <w:szCs w:val="24"/>
          <w:lang w:eastAsia="zh-CN"/>
        </w:rPr>
        <w:t>移动技术预计将在未来十五年为全球经济增加</w:t>
      </w:r>
      <w:r w:rsidRPr="00A14786">
        <w:rPr>
          <w:rFonts w:cs="Calibri" w:hint="eastAsia"/>
          <w:szCs w:val="24"/>
          <w:lang w:eastAsia="zh-CN"/>
        </w:rPr>
        <w:t>2.2</w:t>
      </w:r>
      <w:r w:rsidRPr="00A14786">
        <w:rPr>
          <w:rFonts w:cs="Calibri" w:hint="eastAsia"/>
          <w:szCs w:val="24"/>
          <w:lang w:eastAsia="zh-CN"/>
        </w:rPr>
        <w:t>万亿美元。</w:t>
      </w:r>
      <w:r w:rsidR="00A14786">
        <w:rPr>
          <w:rStyle w:val="FootnoteReference"/>
          <w:rFonts w:cs="Calibri"/>
          <w:szCs w:val="24"/>
          <w:lang w:eastAsia="zh-CN"/>
        </w:rPr>
        <w:footnoteReference w:id="3"/>
      </w:r>
    </w:p>
    <w:p w14:paraId="06FF14E4" w14:textId="241F5F5D" w:rsidR="00E622A2" w:rsidRPr="00A14786" w:rsidRDefault="009D4956" w:rsidP="00E82D37">
      <w:pPr>
        <w:tabs>
          <w:tab w:val="clear" w:pos="794"/>
          <w:tab w:val="clear" w:pos="1191"/>
          <w:tab w:val="clear" w:pos="1588"/>
          <w:tab w:val="clear" w:pos="1985"/>
        </w:tabs>
        <w:overflowPunct/>
        <w:autoSpaceDE/>
        <w:autoSpaceDN/>
        <w:adjustRightInd/>
        <w:spacing w:before="0" w:after="160" w:line="259" w:lineRule="auto"/>
        <w:ind w:firstLineChars="200" w:firstLine="480"/>
        <w:textAlignment w:val="auto"/>
        <w:rPr>
          <w:rFonts w:cs="Calibri"/>
          <w:szCs w:val="24"/>
          <w:lang w:eastAsia="zh-CN"/>
        </w:rPr>
      </w:pPr>
      <w:r w:rsidRPr="00A14786">
        <w:rPr>
          <w:rFonts w:cs="Calibri" w:hint="eastAsia"/>
          <w:szCs w:val="24"/>
          <w:lang w:eastAsia="zh-CN"/>
        </w:rPr>
        <w:t>据国际电联称，电信</w:t>
      </w:r>
      <w:r w:rsidRPr="00A14786">
        <w:rPr>
          <w:rFonts w:cs="Calibri" w:hint="eastAsia"/>
          <w:szCs w:val="24"/>
          <w:lang w:eastAsia="zh-CN"/>
        </w:rPr>
        <w:t>/I</w:t>
      </w:r>
      <w:r w:rsidRPr="00A14786">
        <w:rPr>
          <w:rFonts w:cs="Calibri"/>
          <w:szCs w:val="24"/>
          <w:lang w:eastAsia="zh-CN"/>
        </w:rPr>
        <w:t>CT</w:t>
      </w:r>
      <w:r w:rsidRPr="00A14786">
        <w:rPr>
          <w:rFonts w:cs="Calibri" w:hint="eastAsia"/>
          <w:szCs w:val="24"/>
          <w:lang w:eastAsia="zh-CN"/>
        </w:rPr>
        <w:t>行业的持续变革将导致</w:t>
      </w:r>
      <w:r w:rsidRPr="00A14786">
        <w:rPr>
          <w:rFonts w:cs="Calibri" w:hint="eastAsia"/>
          <w:szCs w:val="24"/>
          <w:lang w:eastAsia="zh-CN"/>
        </w:rPr>
        <w:t>I</w:t>
      </w:r>
      <w:r w:rsidRPr="00A14786">
        <w:rPr>
          <w:rFonts w:cs="Calibri"/>
          <w:szCs w:val="24"/>
          <w:lang w:eastAsia="zh-CN"/>
        </w:rPr>
        <w:t>CT</w:t>
      </w:r>
      <w:r w:rsidRPr="00A14786">
        <w:rPr>
          <w:rFonts w:cs="Calibri" w:hint="eastAsia"/>
          <w:szCs w:val="24"/>
          <w:lang w:eastAsia="zh-CN"/>
        </w:rPr>
        <w:t>部门完全融入数字经济，削弱电信</w:t>
      </w:r>
      <w:r w:rsidRPr="00A14786">
        <w:rPr>
          <w:rFonts w:cs="Calibri" w:hint="eastAsia"/>
          <w:szCs w:val="24"/>
          <w:lang w:eastAsia="zh-CN"/>
        </w:rPr>
        <w:t>/I</w:t>
      </w:r>
      <w:r w:rsidRPr="00A14786">
        <w:rPr>
          <w:rFonts w:cs="Calibri"/>
          <w:szCs w:val="24"/>
          <w:lang w:eastAsia="zh-CN"/>
        </w:rPr>
        <w:t>CT</w:t>
      </w:r>
      <w:r w:rsidRPr="00A14786">
        <w:rPr>
          <w:rFonts w:cs="Calibri" w:hint="eastAsia"/>
          <w:szCs w:val="24"/>
          <w:lang w:eastAsia="zh-CN"/>
        </w:rPr>
        <w:t>作为一个</w:t>
      </w:r>
      <w:r w:rsidR="005D0DBC" w:rsidRPr="00A14786">
        <w:rPr>
          <w:rFonts w:cs="Calibri" w:hint="eastAsia"/>
          <w:szCs w:val="24"/>
          <w:lang w:eastAsia="zh-CN"/>
        </w:rPr>
        <w:t>单独</w:t>
      </w:r>
      <w:r w:rsidRPr="00A14786">
        <w:rPr>
          <w:rFonts w:cs="Calibri" w:hint="eastAsia"/>
          <w:szCs w:val="24"/>
          <w:lang w:eastAsia="zh-CN"/>
        </w:rPr>
        <w:t>经济部门的特征。</w:t>
      </w:r>
      <w:r w:rsidRPr="00A14786">
        <w:rPr>
          <w:rFonts w:cs="Calibri"/>
          <w:szCs w:val="24"/>
          <w:vertAlign w:val="superscript"/>
          <w:lang w:eastAsia="zh-CN"/>
        </w:rPr>
        <w:footnoteReference w:id="4"/>
      </w:r>
      <w:r w:rsidRPr="00A14786">
        <w:rPr>
          <w:rFonts w:cs="Calibri" w:hint="eastAsia"/>
          <w:szCs w:val="24"/>
          <w:lang w:eastAsia="zh-CN"/>
        </w:rPr>
        <w:t>因此，目前不清楚像《国际电信规则》这样的行业特定法律文书是否能够而且应该发挥怎样的作用来解决当前和未来的问题。</w:t>
      </w:r>
    </w:p>
    <w:p w14:paraId="1CBB2F74" w14:textId="55236867" w:rsidR="00DD011C" w:rsidRPr="00E82D37" w:rsidRDefault="00DD011C" w:rsidP="00E82D37">
      <w:pPr>
        <w:tabs>
          <w:tab w:val="clear" w:pos="794"/>
          <w:tab w:val="clear" w:pos="1191"/>
          <w:tab w:val="clear" w:pos="1588"/>
          <w:tab w:val="clear" w:pos="1985"/>
        </w:tabs>
        <w:overflowPunct/>
        <w:autoSpaceDE/>
        <w:autoSpaceDN/>
        <w:adjustRightInd/>
        <w:spacing w:before="0" w:after="160" w:line="259" w:lineRule="auto"/>
        <w:ind w:firstLineChars="200" w:firstLine="482"/>
        <w:textAlignment w:val="auto"/>
        <w:rPr>
          <w:rFonts w:cs="Calibri"/>
          <w:szCs w:val="24"/>
          <w:lang w:eastAsia="zh-CN"/>
        </w:rPr>
      </w:pPr>
      <w:r w:rsidRPr="00E82D37">
        <w:rPr>
          <w:rFonts w:cs="Calibri" w:hint="eastAsia"/>
          <w:b/>
          <w:bCs/>
          <w:szCs w:val="24"/>
          <w:lang w:eastAsia="zh-CN"/>
        </w:rPr>
        <w:t>“</w:t>
      </w:r>
      <w:r w:rsidR="00774ACD" w:rsidRPr="00E82D37">
        <w:rPr>
          <w:rFonts w:cs="Calibri" w:hint="eastAsia"/>
          <w:b/>
          <w:bCs/>
          <w:szCs w:val="24"/>
          <w:lang w:eastAsia="zh-CN"/>
        </w:rPr>
        <w:t>《国际电信规则》</w:t>
      </w:r>
      <w:r w:rsidRPr="00E82D37">
        <w:rPr>
          <w:rFonts w:cs="Calibri" w:hint="eastAsia"/>
          <w:b/>
          <w:bCs/>
          <w:szCs w:val="24"/>
          <w:lang w:eastAsia="zh-CN"/>
        </w:rPr>
        <w:t>条款的灵活性或缺乏灵活性”</w:t>
      </w:r>
      <w:r w:rsidR="00774ACD" w:rsidRPr="00E82D37">
        <w:rPr>
          <w:rFonts w:cs="Calibri" w:hint="eastAsia"/>
          <w:b/>
          <w:bCs/>
          <w:szCs w:val="24"/>
          <w:lang w:eastAsia="zh-CN"/>
        </w:rPr>
        <w:t>问题</w:t>
      </w:r>
      <w:r w:rsidR="00774ACD" w:rsidRPr="00E82D37">
        <w:rPr>
          <w:rFonts w:cs="Calibri" w:hint="eastAsia"/>
          <w:szCs w:val="24"/>
          <w:lang w:eastAsia="zh-CN"/>
        </w:rPr>
        <w:t>：</w:t>
      </w:r>
      <w:r w:rsidRPr="00E82D37">
        <w:rPr>
          <w:rFonts w:cs="Calibri" w:hint="eastAsia"/>
          <w:szCs w:val="24"/>
          <w:lang w:eastAsia="zh-CN"/>
        </w:rPr>
        <w:t>这一</w:t>
      </w:r>
      <w:r w:rsidR="00875393" w:rsidRPr="00E82D37">
        <w:rPr>
          <w:rFonts w:cs="Calibri" w:hint="eastAsia"/>
          <w:szCs w:val="24"/>
          <w:lang w:eastAsia="zh-CN"/>
        </w:rPr>
        <w:t>研究方向</w:t>
      </w:r>
      <w:r w:rsidR="005C1E5D" w:rsidRPr="00E82D37">
        <w:rPr>
          <w:rFonts w:cs="Calibri" w:hint="eastAsia"/>
          <w:szCs w:val="24"/>
          <w:lang w:eastAsia="zh-CN"/>
        </w:rPr>
        <w:t>凸显</w:t>
      </w:r>
      <w:r w:rsidRPr="00E82D37">
        <w:rPr>
          <w:rFonts w:cs="Calibri" w:hint="eastAsia"/>
          <w:szCs w:val="24"/>
          <w:lang w:eastAsia="zh-CN"/>
        </w:rPr>
        <w:t>使用条约文书试图监管竞争</w:t>
      </w:r>
      <w:r w:rsidR="00C41954" w:rsidRPr="00E82D37">
        <w:rPr>
          <w:rFonts w:cs="Calibri" w:hint="eastAsia"/>
          <w:szCs w:val="24"/>
          <w:lang w:eastAsia="zh-CN"/>
        </w:rPr>
        <w:t>激烈</w:t>
      </w:r>
      <w:r w:rsidRPr="00E82D37">
        <w:rPr>
          <w:rFonts w:cs="Calibri" w:hint="eastAsia"/>
          <w:szCs w:val="24"/>
          <w:lang w:eastAsia="zh-CN"/>
        </w:rPr>
        <w:t>和动态</w:t>
      </w:r>
      <w:r w:rsidR="005C1E5D" w:rsidRPr="00E82D37">
        <w:rPr>
          <w:rFonts w:cs="Calibri" w:hint="eastAsia"/>
          <w:szCs w:val="24"/>
          <w:lang w:eastAsia="zh-CN"/>
        </w:rPr>
        <w:t>变化</w:t>
      </w:r>
      <w:r w:rsidRPr="00E82D37">
        <w:rPr>
          <w:rFonts w:cs="Calibri" w:hint="eastAsia"/>
          <w:szCs w:val="24"/>
          <w:lang w:eastAsia="zh-CN"/>
        </w:rPr>
        <w:t>市场</w:t>
      </w:r>
      <w:r w:rsidR="005C1E5D" w:rsidRPr="00E82D37">
        <w:rPr>
          <w:rFonts w:cs="Calibri" w:hint="eastAsia"/>
          <w:szCs w:val="24"/>
          <w:lang w:eastAsia="zh-CN"/>
        </w:rPr>
        <w:t>带来</w:t>
      </w:r>
      <w:r w:rsidRPr="00E82D37">
        <w:rPr>
          <w:rFonts w:cs="Calibri" w:hint="eastAsia"/>
          <w:szCs w:val="24"/>
          <w:lang w:eastAsia="zh-CN"/>
        </w:rPr>
        <w:t>的基本问题之一。与电信有关的条约规定必须足够灵活，</w:t>
      </w:r>
      <w:r w:rsidR="005C1E5D" w:rsidRPr="00E82D37">
        <w:rPr>
          <w:rFonts w:cs="Calibri" w:hint="eastAsia"/>
          <w:szCs w:val="24"/>
          <w:lang w:eastAsia="zh-CN"/>
        </w:rPr>
        <w:t>以适应</w:t>
      </w:r>
      <w:r w:rsidRPr="00E82D37">
        <w:rPr>
          <w:rFonts w:cs="Calibri" w:hint="eastAsia"/>
          <w:szCs w:val="24"/>
          <w:lang w:eastAsia="zh-CN"/>
        </w:rPr>
        <w:t>市场的不断变化。旨在解决市场特定方面</w:t>
      </w:r>
      <w:r w:rsidR="005C1E5D" w:rsidRPr="00E82D37">
        <w:rPr>
          <w:rFonts w:cs="Calibri" w:hint="eastAsia"/>
          <w:szCs w:val="24"/>
          <w:lang w:eastAsia="zh-CN"/>
        </w:rPr>
        <w:t>问题</w:t>
      </w:r>
      <w:r w:rsidRPr="00E82D37">
        <w:rPr>
          <w:rFonts w:cs="Calibri" w:hint="eastAsia"/>
          <w:szCs w:val="24"/>
          <w:lang w:eastAsia="zh-CN"/>
        </w:rPr>
        <w:t>的条约条款将不断面临过时</w:t>
      </w:r>
      <w:r w:rsidR="005C1E5D" w:rsidRPr="00E82D37">
        <w:rPr>
          <w:rFonts w:cs="Calibri" w:hint="eastAsia"/>
          <w:szCs w:val="24"/>
          <w:lang w:eastAsia="zh-CN"/>
        </w:rPr>
        <w:t>和淘汰</w:t>
      </w:r>
      <w:r w:rsidRPr="00E82D37">
        <w:rPr>
          <w:rFonts w:cs="Calibri" w:hint="eastAsia"/>
          <w:szCs w:val="24"/>
          <w:lang w:eastAsia="zh-CN"/>
        </w:rPr>
        <w:t>。</w:t>
      </w:r>
    </w:p>
    <w:p w14:paraId="2B60248B" w14:textId="175718B8" w:rsidR="00E622A2" w:rsidRPr="00A14786" w:rsidRDefault="00DD011C" w:rsidP="00E82D37">
      <w:pPr>
        <w:tabs>
          <w:tab w:val="clear" w:pos="794"/>
          <w:tab w:val="clear" w:pos="1191"/>
          <w:tab w:val="clear" w:pos="1588"/>
          <w:tab w:val="clear" w:pos="1985"/>
        </w:tabs>
        <w:overflowPunct/>
        <w:autoSpaceDE/>
        <w:autoSpaceDN/>
        <w:adjustRightInd/>
        <w:spacing w:before="0" w:after="160" w:line="259" w:lineRule="auto"/>
        <w:ind w:firstLineChars="200" w:firstLine="480"/>
        <w:textAlignment w:val="auto"/>
        <w:rPr>
          <w:rFonts w:cs="Calibri"/>
          <w:sz w:val="22"/>
          <w:szCs w:val="22"/>
          <w:lang w:eastAsia="zh-CN"/>
        </w:rPr>
      </w:pPr>
      <w:r w:rsidRPr="00E82D37">
        <w:rPr>
          <w:rFonts w:cs="Calibri" w:hint="eastAsia"/>
          <w:szCs w:val="24"/>
          <w:lang w:eastAsia="zh-CN"/>
        </w:rPr>
        <w:t>这种根本</w:t>
      </w:r>
      <w:r w:rsidR="005C1E5D" w:rsidRPr="00E82D37">
        <w:rPr>
          <w:rFonts w:cs="Calibri" w:hint="eastAsia"/>
          <w:szCs w:val="24"/>
          <w:lang w:eastAsia="zh-CN"/>
        </w:rPr>
        <w:t>性</w:t>
      </w:r>
      <w:r w:rsidRPr="00E82D37">
        <w:rPr>
          <w:rFonts w:cs="Calibri" w:hint="eastAsia"/>
          <w:szCs w:val="24"/>
          <w:lang w:eastAsia="zh-CN"/>
        </w:rPr>
        <w:t>的紧张关系</w:t>
      </w:r>
      <w:r w:rsidR="005C1E5D" w:rsidRPr="00E82D37">
        <w:rPr>
          <w:rFonts w:cs="Calibri" w:hint="eastAsia"/>
          <w:szCs w:val="24"/>
          <w:lang w:eastAsia="zh-CN"/>
        </w:rPr>
        <w:t>反映在</w:t>
      </w:r>
      <w:r w:rsidRPr="00E82D37">
        <w:rPr>
          <w:rFonts w:cs="Calibri" w:hint="eastAsia"/>
          <w:szCs w:val="24"/>
          <w:lang w:eastAsia="zh-CN"/>
        </w:rPr>
        <w:t>在</w:t>
      </w:r>
      <w:r w:rsidRPr="00E82D37">
        <w:rPr>
          <w:rFonts w:cs="Calibri" w:hint="eastAsia"/>
          <w:szCs w:val="24"/>
          <w:lang w:eastAsia="zh-CN"/>
        </w:rPr>
        <w:t>2012</w:t>
      </w:r>
      <w:r w:rsidRPr="00E82D37">
        <w:rPr>
          <w:rFonts w:cs="Calibri" w:hint="eastAsia"/>
          <w:szCs w:val="24"/>
          <w:lang w:eastAsia="zh-CN"/>
        </w:rPr>
        <w:t>年</w:t>
      </w:r>
      <w:r w:rsidR="005C1E5D" w:rsidRPr="00E82D37">
        <w:rPr>
          <w:rFonts w:cs="Calibri" w:hint="eastAsia"/>
          <w:szCs w:val="24"/>
          <w:lang w:eastAsia="zh-CN"/>
        </w:rPr>
        <w:t>版《国际电信规则》</w:t>
      </w:r>
      <w:r w:rsidRPr="00E82D37">
        <w:rPr>
          <w:rFonts w:cs="Calibri" w:hint="eastAsia"/>
          <w:szCs w:val="24"/>
          <w:lang w:eastAsia="zh-CN"/>
        </w:rPr>
        <w:t>的</w:t>
      </w:r>
      <w:r w:rsidR="005C1E5D" w:rsidRPr="00E82D37">
        <w:rPr>
          <w:rFonts w:cs="Calibri" w:hint="eastAsia"/>
          <w:szCs w:val="24"/>
          <w:lang w:eastAsia="zh-CN"/>
        </w:rPr>
        <w:t>诸多</w:t>
      </w:r>
      <w:r w:rsidRPr="00E82D37">
        <w:rPr>
          <w:rFonts w:cs="Calibri" w:hint="eastAsia"/>
          <w:szCs w:val="24"/>
          <w:lang w:eastAsia="zh-CN"/>
        </w:rPr>
        <w:t>条款中。例如，关于收费和</w:t>
      </w:r>
      <w:r w:rsidR="005C1E5D" w:rsidRPr="00E82D37">
        <w:rPr>
          <w:rFonts w:cs="Calibri" w:hint="eastAsia"/>
          <w:szCs w:val="24"/>
          <w:lang w:eastAsia="zh-CN"/>
        </w:rPr>
        <w:t>结算</w:t>
      </w:r>
      <w:r w:rsidRPr="00E82D37">
        <w:rPr>
          <w:rFonts w:cs="Calibri" w:hint="eastAsia"/>
          <w:szCs w:val="24"/>
          <w:lang w:eastAsia="zh-CN"/>
        </w:rPr>
        <w:t>的第</w:t>
      </w:r>
      <w:r w:rsidRPr="00E82D37">
        <w:rPr>
          <w:rFonts w:cs="Calibri" w:hint="eastAsia"/>
          <w:szCs w:val="24"/>
          <w:lang w:eastAsia="zh-CN"/>
        </w:rPr>
        <w:t>8</w:t>
      </w:r>
      <w:r w:rsidRPr="00E82D37">
        <w:rPr>
          <w:rFonts w:cs="Calibri" w:hint="eastAsia"/>
          <w:szCs w:val="24"/>
          <w:lang w:eastAsia="zh-CN"/>
        </w:rPr>
        <w:t>条和附录</w:t>
      </w:r>
      <w:r w:rsidRPr="00E82D37">
        <w:rPr>
          <w:rFonts w:cs="Calibri" w:hint="eastAsia"/>
          <w:szCs w:val="24"/>
          <w:lang w:eastAsia="zh-CN"/>
        </w:rPr>
        <w:t>1</w:t>
      </w:r>
      <w:r w:rsidRPr="00E82D37">
        <w:rPr>
          <w:rFonts w:cs="Calibri" w:hint="eastAsia"/>
          <w:szCs w:val="24"/>
          <w:lang w:eastAsia="zh-CN"/>
        </w:rPr>
        <w:t>包括</w:t>
      </w:r>
      <w:r w:rsidR="005C1E5D" w:rsidRPr="00E82D37">
        <w:rPr>
          <w:rFonts w:cs="Calibri" w:hint="eastAsia"/>
          <w:szCs w:val="24"/>
          <w:lang w:eastAsia="zh-CN"/>
        </w:rPr>
        <w:t>若</w:t>
      </w:r>
      <w:r w:rsidR="005C1E5D" w:rsidRPr="00E82D37">
        <w:rPr>
          <w:rFonts w:cs="Calibri" w:hint="eastAsia"/>
          <w:szCs w:val="24"/>
          <w:lang w:eastAsia="zh-CN"/>
        </w:rPr>
        <w:lastRenderedPageBreak/>
        <w:t>干规管</w:t>
      </w:r>
      <w:r w:rsidRPr="00E82D37">
        <w:rPr>
          <w:rFonts w:cs="Calibri" w:hint="eastAsia"/>
          <w:szCs w:val="24"/>
          <w:lang w:eastAsia="zh-CN"/>
        </w:rPr>
        <w:t>成员国之间</w:t>
      </w:r>
      <w:r w:rsidR="005C1E5D" w:rsidRPr="00E82D37">
        <w:rPr>
          <w:rFonts w:cs="Calibri" w:hint="eastAsia"/>
          <w:szCs w:val="24"/>
          <w:lang w:eastAsia="zh-CN"/>
        </w:rPr>
        <w:t>确立结算</w:t>
      </w:r>
      <w:r w:rsidRPr="00E82D37">
        <w:rPr>
          <w:rFonts w:cs="Calibri" w:hint="eastAsia"/>
          <w:szCs w:val="24"/>
          <w:lang w:eastAsia="zh-CN"/>
        </w:rPr>
        <w:t>费率的详细</w:t>
      </w:r>
      <w:r w:rsidR="005C1E5D" w:rsidRPr="00E82D37">
        <w:rPr>
          <w:rFonts w:cs="Calibri" w:hint="eastAsia"/>
          <w:szCs w:val="24"/>
          <w:lang w:eastAsia="zh-CN"/>
        </w:rPr>
        <w:t>条款</w:t>
      </w:r>
      <w:r w:rsidRPr="00E82D37">
        <w:rPr>
          <w:rFonts w:cs="Calibri" w:hint="eastAsia"/>
          <w:szCs w:val="24"/>
          <w:lang w:eastAsia="zh-CN"/>
        </w:rPr>
        <w:t>，但</w:t>
      </w:r>
      <w:r w:rsidR="00D27445" w:rsidRPr="00E82D37">
        <w:rPr>
          <w:rFonts w:cs="Calibri" w:hint="eastAsia"/>
          <w:szCs w:val="24"/>
          <w:lang w:eastAsia="zh-CN"/>
        </w:rPr>
        <w:t>现今</w:t>
      </w:r>
      <w:r w:rsidRPr="00E82D37">
        <w:rPr>
          <w:rFonts w:cs="Calibri" w:hint="eastAsia"/>
          <w:szCs w:val="24"/>
          <w:lang w:eastAsia="zh-CN"/>
        </w:rPr>
        <w:t>绝大多数流量不再</w:t>
      </w:r>
      <w:r w:rsidR="00D27445" w:rsidRPr="00E82D37">
        <w:rPr>
          <w:rFonts w:cs="Calibri" w:hint="eastAsia"/>
          <w:szCs w:val="24"/>
          <w:lang w:eastAsia="zh-CN"/>
        </w:rPr>
        <w:t>按照</w:t>
      </w:r>
      <w:r w:rsidRPr="00E82D37">
        <w:rPr>
          <w:rFonts w:cs="Calibri" w:hint="eastAsia"/>
          <w:szCs w:val="24"/>
          <w:lang w:eastAsia="zh-CN"/>
        </w:rPr>
        <w:t>这种</w:t>
      </w:r>
      <w:r w:rsidR="00D27445" w:rsidRPr="00E82D37">
        <w:rPr>
          <w:rFonts w:cs="Calibri" w:hint="eastAsia"/>
          <w:szCs w:val="24"/>
          <w:lang w:eastAsia="zh-CN"/>
        </w:rPr>
        <w:t>结算</w:t>
      </w:r>
      <w:r w:rsidRPr="00E82D37">
        <w:rPr>
          <w:rFonts w:cs="Calibri" w:hint="eastAsia"/>
          <w:szCs w:val="24"/>
          <w:lang w:eastAsia="zh-CN"/>
        </w:rPr>
        <w:t>费率制度进行交换。因此，第</w:t>
      </w:r>
      <w:r w:rsidRPr="00E82D37">
        <w:rPr>
          <w:rFonts w:cs="Calibri" w:hint="eastAsia"/>
          <w:szCs w:val="24"/>
          <w:lang w:eastAsia="zh-CN"/>
        </w:rPr>
        <w:t>8</w:t>
      </w:r>
      <w:r w:rsidRPr="00E82D37">
        <w:rPr>
          <w:rFonts w:cs="Calibri" w:hint="eastAsia"/>
          <w:szCs w:val="24"/>
          <w:lang w:eastAsia="zh-CN"/>
        </w:rPr>
        <w:t>条和附录</w:t>
      </w:r>
      <w:r w:rsidRPr="00E82D37">
        <w:rPr>
          <w:rFonts w:cs="Calibri" w:hint="eastAsia"/>
          <w:szCs w:val="24"/>
          <w:lang w:eastAsia="zh-CN"/>
        </w:rPr>
        <w:t>1</w:t>
      </w:r>
      <w:r w:rsidRPr="00E82D37">
        <w:rPr>
          <w:rFonts w:cs="Calibri" w:hint="eastAsia"/>
          <w:szCs w:val="24"/>
          <w:lang w:eastAsia="zh-CN"/>
        </w:rPr>
        <w:t>在很大程度上与当前的国际电信环境无关。试图</w:t>
      </w:r>
      <w:r w:rsidR="00D27445" w:rsidRPr="00E82D37">
        <w:rPr>
          <w:rFonts w:cs="Calibri" w:hint="eastAsia"/>
          <w:szCs w:val="24"/>
          <w:lang w:eastAsia="zh-CN"/>
        </w:rPr>
        <w:t>应用结算</w:t>
      </w:r>
      <w:r w:rsidRPr="00E82D37">
        <w:rPr>
          <w:rFonts w:cs="Calibri" w:hint="eastAsia"/>
          <w:szCs w:val="24"/>
          <w:lang w:eastAsia="zh-CN"/>
        </w:rPr>
        <w:t>费率规定，甚至将其修订以适用于当前基于市场的安排，将会</w:t>
      </w:r>
      <w:r w:rsidR="00D27445" w:rsidRPr="00E82D37">
        <w:rPr>
          <w:rFonts w:cs="Calibri" w:hint="eastAsia"/>
          <w:szCs w:val="24"/>
          <w:lang w:eastAsia="zh-CN"/>
        </w:rPr>
        <w:t>使</w:t>
      </w:r>
      <w:r w:rsidRPr="00E82D37">
        <w:rPr>
          <w:rFonts w:cs="Calibri" w:hint="eastAsia"/>
          <w:szCs w:val="24"/>
          <w:lang w:eastAsia="zh-CN"/>
        </w:rPr>
        <w:t>国际电信流量流动</w:t>
      </w:r>
      <w:r w:rsidR="00D27445" w:rsidRPr="00E82D37">
        <w:rPr>
          <w:rFonts w:cs="Calibri" w:hint="eastAsia"/>
          <w:szCs w:val="24"/>
          <w:lang w:eastAsia="zh-CN"/>
        </w:rPr>
        <w:t>不畅</w:t>
      </w:r>
      <w:r w:rsidRPr="00E82D37">
        <w:rPr>
          <w:rFonts w:cs="Calibri" w:hint="eastAsia"/>
          <w:szCs w:val="24"/>
          <w:lang w:eastAsia="zh-CN"/>
        </w:rPr>
        <w:t>，并阻碍</w:t>
      </w:r>
      <w:r w:rsidR="00D27445" w:rsidRPr="00E82D37">
        <w:rPr>
          <w:rFonts w:cs="Calibri" w:hint="eastAsia"/>
          <w:szCs w:val="24"/>
          <w:lang w:eastAsia="zh-CN"/>
        </w:rPr>
        <w:t>能够改善服务并降低消费者价格的</w:t>
      </w:r>
      <w:r w:rsidRPr="00E82D37">
        <w:rPr>
          <w:rFonts w:cs="Calibri" w:hint="eastAsia"/>
          <w:szCs w:val="24"/>
          <w:lang w:eastAsia="zh-CN"/>
        </w:rPr>
        <w:t>市场和技术创新。</w:t>
      </w:r>
    </w:p>
    <w:p w14:paraId="2266C556" w14:textId="4EF8E44B" w:rsidR="00E622A2" w:rsidRPr="00A14786" w:rsidRDefault="00E540D9" w:rsidP="00E82D37">
      <w:pPr>
        <w:pStyle w:val="Headingb"/>
        <w:spacing w:after="160"/>
        <w:rPr>
          <w:rFonts w:cs="Calibri"/>
          <w:b w:val="0"/>
          <w:sz w:val="28"/>
          <w:szCs w:val="28"/>
          <w:lang w:eastAsia="zh-CN"/>
        </w:rPr>
      </w:pPr>
      <w:r w:rsidRPr="00E82D37">
        <w:rPr>
          <w:rFonts w:cs="Calibri" w:hint="eastAsia"/>
          <w:lang w:val="en-US" w:eastAsia="zh-CN"/>
        </w:rPr>
        <w:t>总结</w:t>
      </w:r>
    </w:p>
    <w:p w14:paraId="66F1147B" w14:textId="77777777" w:rsidR="00E82D37" w:rsidRDefault="00DD011C" w:rsidP="00E82D37">
      <w:pPr>
        <w:pStyle w:val="Reasons"/>
        <w:ind w:firstLineChars="200" w:firstLine="480"/>
      </w:pPr>
      <w:r w:rsidRPr="00A14786">
        <w:rPr>
          <w:rFonts w:cs="Calibri" w:hint="eastAsia"/>
          <w:szCs w:val="24"/>
          <w:lang w:eastAsia="zh-CN"/>
        </w:rPr>
        <w:t>鉴于通信市场</w:t>
      </w:r>
      <w:r w:rsidR="00E540D9" w:rsidRPr="00A14786">
        <w:rPr>
          <w:rFonts w:cs="Calibri" w:hint="eastAsia"/>
          <w:szCs w:val="24"/>
          <w:lang w:eastAsia="zh-CN"/>
        </w:rPr>
        <w:t>灵活多变</w:t>
      </w:r>
      <w:r w:rsidRPr="00A14786">
        <w:rPr>
          <w:rFonts w:cs="Calibri" w:hint="eastAsia"/>
          <w:szCs w:val="24"/>
          <w:lang w:eastAsia="zh-CN"/>
        </w:rPr>
        <w:t>、</w:t>
      </w:r>
      <w:r w:rsidR="00502CA9" w:rsidRPr="00A14786">
        <w:rPr>
          <w:rFonts w:cs="Calibri" w:hint="eastAsia"/>
          <w:szCs w:val="24"/>
          <w:lang w:eastAsia="zh-CN"/>
        </w:rPr>
        <w:t>充满</w:t>
      </w:r>
      <w:r w:rsidRPr="00A14786">
        <w:rPr>
          <w:rFonts w:cs="Calibri" w:hint="eastAsia"/>
          <w:szCs w:val="24"/>
          <w:lang w:eastAsia="zh-CN"/>
        </w:rPr>
        <w:t>竞争</w:t>
      </w:r>
      <w:r w:rsidR="00502CA9" w:rsidRPr="00A14786">
        <w:rPr>
          <w:rFonts w:cs="Calibri" w:hint="eastAsia"/>
          <w:szCs w:val="24"/>
          <w:lang w:eastAsia="zh-CN"/>
        </w:rPr>
        <w:t>且</w:t>
      </w:r>
      <w:r w:rsidRPr="00A14786">
        <w:rPr>
          <w:rFonts w:cs="Calibri" w:hint="eastAsia"/>
          <w:szCs w:val="24"/>
          <w:lang w:eastAsia="zh-CN"/>
        </w:rPr>
        <w:t>电信</w:t>
      </w:r>
      <w:r w:rsidRPr="00A14786">
        <w:rPr>
          <w:rFonts w:cs="Calibri" w:hint="eastAsia"/>
          <w:szCs w:val="24"/>
          <w:lang w:eastAsia="zh-CN"/>
        </w:rPr>
        <w:t>/</w:t>
      </w:r>
      <w:r w:rsidR="00502CA9" w:rsidRPr="00A14786">
        <w:rPr>
          <w:rFonts w:cs="Calibri" w:hint="eastAsia"/>
          <w:szCs w:val="24"/>
          <w:lang w:eastAsia="zh-CN"/>
        </w:rPr>
        <w:t>I</w:t>
      </w:r>
      <w:r w:rsidR="00502CA9" w:rsidRPr="00A14786">
        <w:rPr>
          <w:rFonts w:cs="Calibri"/>
          <w:szCs w:val="24"/>
          <w:lang w:eastAsia="zh-CN"/>
        </w:rPr>
        <w:t>CT</w:t>
      </w:r>
      <w:r w:rsidR="00502CA9" w:rsidRPr="00A14786">
        <w:rPr>
          <w:rFonts w:cs="Calibri" w:hint="eastAsia"/>
          <w:szCs w:val="24"/>
          <w:lang w:eastAsia="zh-CN"/>
        </w:rPr>
        <w:t>行业在</w:t>
      </w:r>
      <w:r w:rsidRPr="00A14786">
        <w:rPr>
          <w:rFonts w:cs="Calibri" w:hint="eastAsia"/>
          <w:szCs w:val="24"/>
          <w:lang w:eastAsia="zh-CN"/>
        </w:rPr>
        <w:t>日益融入更广泛的数字经济</w:t>
      </w:r>
      <w:r w:rsidR="00502CA9" w:rsidRPr="00A14786">
        <w:rPr>
          <w:rFonts w:cs="Calibri" w:hint="eastAsia"/>
          <w:szCs w:val="24"/>
          <w:lang w:eastAsia="zh-CN"/>
        </w:rPr>
        <w:t>之中</w:t>
      </w:r>
      <w:r w:rsidRPr="00A14786">
        <w:rPr>
          <w:rFonts w:cs="Calibri" w:hint="eastAsia"/>
          <w:szCs w:val="24"/>
          <w:lang w:eastAsia="zh-CN"/>
        </w:rPr>
        <w:t>，</w:t>
      </w:r>
      <w:r w:rsidR="00502CA9" w:rsidRPr="00A14786">
        <w:rPr>
          <w:rFonts w:cs="Calibri" w:hint="eastAsia"/>
          <w:szCs w:val="24"/>
          <w:lang w:eastAsia="zh-CN"/>
        </w:rPr>
        <w:t>因此目前</w:t>
      </w:r>
      <w:r w:rsidRPr="00A14786">
        <w:rPr>
          <w:rFonts w:cs="Calibri" w:hint="eastAsia"/>
          <w:szCs w:val="24"/>
          <w:lang w:eastAsia="zh-CN"/>
        </w:rPr>
        <w:t>不清楚像</w:t>
      </w:r>
      <w:r w:rsidR="00502CA9" w:rsidRPr="00A14786">
        <w:rPr>
          <w:rFonts w:cs="Calibri" w:hint="eastAsia"/>
          <w:szCs w:val="24"/>
          <w:lang w:eastAsia="zh-CN"/>
        </w:rPr>
        <w:t>《</w:t>
      </w:r>
      <w:r w:rsidRPr="00A14786">
        <w:rPr>
          <w:rFonts w:cs="Calibri" w:hint="eastAsia"/>
          <w:szCs w:val="24"/>
          <w:lang w:eastAsia="zh-CN"/>
        </w:rPr>
        <w:t>国际电信</w:t>
      </w:r>
      <w:r w:rsidR="00502CA9" w:rsidRPr="00A14786">
        <w:rPr>
          <w:rFonts w:cs="Calibri" w:hint="eastAsia"/>
          <w:szCs w:val="24"/>
          <w:lang w:eastAsia="zh-CN"/>
        </w:rPr>
        <w:t>规则》</w:t>
      </w:r>
      <w:r w:rsidRPr="00A14786">
        <w:rPr>
          <w:rFonts w:cs="Calibri" w:hint="eastAsia"/>
          <w:szCs w:val="24"/>
          <w:lang w:eastAsia="zh-CN"/>
        </w:rPr>
        <w:t>这样不灵活的条约文书如何能够在促进国际电信市场</w:t>
      </w:r>
      <w:r w:rsidR="00502CA9" w:rsidRPr="00A14786">
        <w:rPr>
          <w:rFonts w:cs="Calibri" w:hint="eastAsia"/>
          <w:szCs w:val="24"/>
          <w:lang w:eastAsia="zh-CN"/>
        </w:rPr>
        <w:t>的</w:t>
      </w:r>
      <w:r w:rsidRPr="00A14786">
        <w:rPr>
          <w:rFonts w:cs="Calibri" w:hint="eastAsia"/>
          <w:szCs w:val="24"/>
          <w:lang w:eastAsia="zh-CN"/>
        </w:rPr>
        <w:t>未来增长和繁荣方面发挥积极作用</w:t>
      </w:r>
      <w:r w:rsidR="00502CA9" w:rsidRPr="00A14786">
        <w:rPr>
          <w:rFonts w:cs="Calibri" w:hint="eastAsia"/>
          <w:szCs w:val="24"/>
          <w:lang w:eastAsia="zh-CN"/>
        </w:rPr>
        <w:t>。</w:t>
      </w:r>
    </w:p>
    <w:p w14:paraId="7615FD28" w14:textId="58655DE1" w:rsidR="002C5DB0" w:rsidRPr="00E82D37" w:rsidRDefault="00E82D37" w:rsidP="00E82D37">
      <w:pPr>
        <w:jc w:val="center"/>
      </w:pPr>
      <w:r>
        <w:t>______________</w:t>
      </w:r>
    </w:p>
    <w:sectPr w:rsidR="002C5DB0" w:rsidRPr="00E82D37"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EEF08" w14:textId="77777777" w:rsidR="00F53E3D" w:rsidRDefault="00F53E3D">
      <w:r>
        <w:separator/>
      </w:r>
    </w:p>
  </w:endnote>
  <w:endnote w:type="continuationSeparator" w:id="0">
    <w:p w14:paraId="0DFB4FAE" w14:textId="77777777" w:rsidR="00F53E3D" w:rsidRDefault="00F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C0D4" w14:textId="0F1E0D9D" w:rsidR="00F53E3D" w:rsidRPr="00FB0F87" w:rsidRDefault="00FB0F87" w:rsidP="00E82D37">
    <w:pPr>
      <w:pStyle w:val="Footer"/>
      <w:rPr>
        <w:color w:val="BFBFBF" w:themeColor="background1" w:themeShade="BF"/>
      </w:rPr>
    </w:pPr>
    <w:r w:rsidRPr="00FB0F87">
      <w:rPr>
        <w:color w:val="BFBFBF" w:themeColor="background1" w:themeShade="BF"/>
      </w:rPr>
      <w:fldChar w:fldCharType="begin"/>
    </w:r>
    <w:r w:rsidRPr="00FB0F87">
      <w:rPr>
        <w:color w:val="BFBFBF" w:themeColor="background1" w:themeShade="BF"/>
      </w:rPr>
      <w:instrText xml:space="preserve"> FILENAME \p  \* MERGEFORMAT </w:instrText>
    </w:r>
    <w:r w:rsidRPr="00FB0F87">
      <w:rPr>
        <w:color w:val="BFBFBF" w:themeColor="background1" w:themeShade="BF"/>
      </w:rPr>
      <w:fldChar w:fldCharType="separate"/>
    </w:r>
    <w:r w:rsidR="0034098D" w:rsidRPr="00FB0F87">
      <w:rPr>
        <w:color w:val="BFBFBF" w:themeColor="background1" w:themeShade="BF"/>
      </w:rPr>
      <w:t>P:\CHI\SG\CONSEIL\EG-ITR\EG-ITR-1\000\005C.docx</w:t>
    </w:r>
    <w:r w:rsidRPr="00FB0F87">
      <w:rPr>
        <w:color w:val="BFBFBF" w:themeColor="background1" w:themeShade="BF"/>
      </w:rPr>
      <w:fldChar w:fldCharType="end"/>
    </w:r>
    <w:r w:rsidR="00E82D37" w:rsidRPr="00FB0F87">
      <w:rPr>
        <w:color w:val="BFBFBF" w:themeColor="background1" w:themeShade="BF"/>
      </w:rPr>
      <w:t xml:space="preserve"> (460078)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8A11" w14:textId="52832B87" w:rsidR="002C5DB0" w:rsidRPr="00E82D37" w:rsidRDefault="002C5DB0" w:rsidP="00E82D37">
    <w:pPr>
      <w:spacing w:after="120"/>
      <w:jc w:val="center"/>
      <w:rPr>
        <w:sz w:val="22"/>
        <w:szCs w:val="22"/>
      </w:rPr>
    </w:pPr>
    <w:r w:rsidRPr="00E82D37">
      <w:rPr>
        <w:sz w:val="22"/>
        <w:szCs w:val="22"/>
      </w:rPr>
      <w:t xml:space="preserve">• </w:t>
    </w:r>
    <w:hyperlink r:id="rId1" w:history="1">
      <w:r w:rsidRPr="00E82D37">
        <w:rPr>
          <w:rStyle w:val="Hyperlink"/>
          <w:sz w:val="22"/>
          <w:szCs w:val="22"/>
        </w:rPr>
        <w:t>http://www.itu.int/council</w:t>
      </w:r>
    </w:hyperlink>
    <w:r w:rsidRPr="00E82D37">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6CB81" w14:textId="77777777" w:rsidR="00F53E3D" w:rsidRDefault="00F53E3D">
      <w:r>
        <w:t>____________________</w:t>
      </w:r>
    </w:p>
  </w:footnote>
  <w:footnote w:type="continuationSeparator" w:id="0">
    <w:p w14:paraId="59162D93" w14:textId="77777777" w:rsidR="00F53E3D" w:rsidRDefault="00F53E3D">
      <w:r>
        <w:continuationSeparator/>
      </w:r>
    </w:p>
  </w:footnote>
  <w:footnote w:id="1">
    <w:p w14:paraId="004830AE" w14:textId="6829331B" w:rsidR="00230E2C" w:rsidRDefault="00230E2C" w:rsidP="00E608A4">
      <w:pPr>
        <w:pStyle w:val="FootnoteText"/>
        <w:rPr>
          <w:b/>
          <w:color w:val="800000"/>
          <w:sz w:val="22"/>
          <w:lang w:val="en-US" w:eastAsia="zh-CN"/>
        </w:rPr>
      </w:pPr>
      <w:r>
        <w:rPr>
          <w:rStyle w:val="FootnoteReference"/>
          <w:rFonts w:asciiTheme="minorHAnsi" w:hAnsiTheme="minorHAnsi"/>
        </w:rPr>
        <w:footnoteRef/>
      </w:r>
      <w:r>
        <w:rPr>
          <w:rFonts w:asciiTheme="minorHAnsi" w:hAnsiTheme="minorHAnsi"/>
          <w:lang w:eastAsia="zh-CN"/>
        </w:rPr>
        <w:t xml:space="preserve"> </w:t>
      </w:r>
      <w:bookmarkStart w:id="5" w:name="lt_pId039"/>
      <w:r>
        <w:rPr>
          <w:rFonts w:asciiTheme="minorHAnsi" w:hAnsiTheme="minorHAnsi" w:hint="eastAsia"/>
          <w:lang w:eastAsia="zh-CN"/>
        </w:rPr>
        <w:t>参见理事会第</w:t>
      </w:r>
      <w:r>
        <w:rPr>
          <w:rFonts w:asciiTheme="minorHAnsi" w:hAnsiTheme="minorHAnsi" w:hint="eastAsia"/>
          <w:lang w:eastAsia="zh-CN"/>
        </w:rPr>
        <w:t>1379</w:t>
      </w:r>
      <w:r>
        <w:rPr>
          <w:rFonts w:asciiTheme="minorHAnsi" w:hAnsiTheme="minorHAnsi" w:hint="eastAsia"/>
          <w:lang w:eastAsia="zh-CN"/>
        </w:rPr>
        <w:t>号决议</w:t>
      </w:r>
      <w:r w:rsidR="00894A58">
        <w:rPr>
          <w:rFonts w:asciiTheme="minorHAnsi" w:hAnsiTheme="minorHAnsi" w:hint="eastAsia"/>
          <w:lang w:eastAsia="zh-CN"/>
        </w:rPr>
        <w:t>（</w:t>
      </w:r>
      <w:r w:rsidR="00894A58">
        <w:rPr>
          <w:rFonts w:asciiTheme="minorHAnsi" w:hAnsiTheme="minorHAnsi" w:hint="eastAsia"/>
          <w:lang w:eastAsia="zh-CN"/>
        </w:rPr>
        <w:t>2019</w:t>
      </w:r>
      <w:r w:rsidR="00894A58">
        <w:rPr>
          <w:rFonts w:asciiTheme="minorHAnsi" w:hAnsiTheme="minorHAnsi" w:hint="eastAsia"/>
          <w:lang w:eastAsia="zh-CN"/>
        </w:rPr>
        <w:t>年修订）</w:t>
      </w:r>
      <w:r>
        <w:rPr>
          <w:rFonts w:asciiTheme="minorHAnsi" w:hAnsiTheme="minorHAnsi" w:hint="eastAsia"/>
          <w:lang w:eastAsia="zh-CN"/>
        </w:rPr>
        <w:t>，</w:t>
      </w:r>
      <w:r>
        <w:rPr>
          <w:rFonts w:asciiTheme="minorHAnsi" w:hAnsiTheme="minorHAnsi" w:hint="eastAsia"/>
          <w:lang w:eastAsia="zh-CN"/>
        </w:rPr>
        <w:t>C1</w:t>
      </w:r>
      <w:r w:rsidR="00894A58">
        <w:rPr>
          <w:rFonts w:asciiTheme="minorHAnsi" w:hAnsiTheme="minorHAnsi" w:hint="eastAsia"/>
          <w:lang w:eastAsia="zh-CN"/>
        </w:rPr>
        <w:t>9</w:t>
      </w:r>
      <w:r>
        <w:rPr>
          <w:rFonts w:asciiTheme="minorHAnsi" w:hAnsiTheme="minorHAnsi" w:hint="eastAsia"/>
          <w:lang w:eastAsia="zh-CN"/>
        </w:rPr>
        <w:t>/1</w:t>
      </w:r>
      <w:r w:rsidR="00894A58">
        <w:rPr>
          <w:rFonts w:asciiTheme="minorHAnsi" w:hAnsiTheme="minorHAnsi" w:hint="eastAsia"/>
          <w:lang w:eastAsia="zh-CN"/>
        </w:rPr>
        <w:t>39</w:t>
      </w:r>
      <w:r>
        <w:rPr>
          <w:rFonts w:asciiTheme="minorHAnsi" w:hAnsiTheme="minorHAnsi" w:hint="eastAsia"/>
          <w:lang w:eastAsia="zh-CN"/>
        </w:rPr>
        <w:t>号文件（</w:t>
      </w:r>
      <w:r>
        <w:rPr>
          <w:rFonts w:asciiTheme="minorHAnsi" w:hAnsiTheme="minorHAnsi" w:hint="eastAsia"/>
          <w:lang w:eastAsia="zh-CN"/>
        </w:rPr>
        <w:t>201</w:t>
      </w:r>
      <w:r w:rsidR="00894A58">
        <w:rPr>
          <w:rFonts w:asciiTheme="minorHAnsi" w:hAnsiTheme="minorHAnsi" w:hint="eastAsia"/>
          <w:lang w:eastAsia="zh-CN"/>
        </w:rPr>
        <w:t>9</w:t>
      </w:r>
      <w:r>
        <w:rPr>
          <w:rFonts w:asciiTheme="minorHAnsi" w:hAnsiTheme="minorHAnsi" w:hint="eastAsia"/>
          <w:lang w:eastAsia="zh-CN"/>
        </w:rPr>
        <w:t>年</w:t>
      </w:r>
      <w:r>
        <w:rPr>
          <w:rFonts w:asciiTheme="minorHAnsi" w:hAnsiTheme="minorHAnsi" w:hint="eastAsia"/>
          <w:lang w:eastAsia="zh-CN"/>
        </w:rPr>
        <w:t>6</w:t>
      </w:r>
      <w:r>
        <w:rPr>
          <w:rFonts w:asciiTheme="minorHAnsi" w:hAnsiTheme="minorHAnsi" w:hint="eastAsia"/>
          <w:lang w:eastAsia="zh-CN"/>
        </w:rPr>
        <w:t>月</w:t>
      </w:r>
      <w:r w:rsidR="00894A58">
        <w:rPr>
          <w:rFonts w:asciiTheme="minorHAnsi" w:hAnsiTheme="minorHAnsi" w:hint="eastAsia"/>
          <w:lang w:eastAsia="zh-CN"/>
        </w:rPr>
        <w:t>20</w:t>
      </w:r>
      <w:r>
        <w:rPr>
          <w:rFonts w:asciiTheme="minorHAnsi" w:hAnsiTheme="minorHAnsi" w:hint="eastAsia"/>
          <w:lang w:eastAsia="zh-CN"/>
        </w:rPr>
        <w:t>日）附件</w:t>
      </w:r>
      <w:r>
        <w:rPr>
          <w:rFonts w:asciiTheme="minorHAnsi" w:hAnsiTheme="minorHAnsi" w:hint="eastAsia"/>
          <w:lang w:eastAsia="zh-CN"/>
        </w:rPr>
        <w:t>1</w:t>
      </w:r>
      <w:r>
        <w:rPr>
          <w:rFonts w:asciiTheme="minorHAnsi" w:hAnsiTheme="minorHAnsi" w:hint="eastAsia"/>
          <w:lang w:eastAsia="zh-CN"/>
        </w:rPr>
        <w:t>。</w:t>
      </w:r>
      <w:bookmarkEnd w:id="5"/>
    </w:p>
  </w:footnote>
  <w:footnote w:id="2">
    <w:p w14:paraId="61FD9D63" w14:textId="3D4C4E0B" w:rsidR="00A14786" w:rsidRPr="00A14786" w:rsidRDefault="00A14786">
      <w:pPr>
        <w:pStyle w:val="FootnoteText"/>
        <w:rPr>
          <w:lang w:eastAsia="zh-CN"/>
        </w:rPr>
      </w:pPr>
      <w:r>
        <w:rPr>
          <w:rStyle w:val="FootnoteReference"/>
        </w:rPr>
        <w:footnoteRef/>
      </w:r>
      <w:r>
        <w:rPr>
          <w:lang w:eastAsia="zh-CN"/>
        </w:rPr>
        <w:t xml:space="preserve"> </w:t>
      </w:r>
      <w:r w:rsidRPr="00E622A2">
        <w:rPr>
          <w:rFonts w:hint="eastAsia"/>
          <w:lang w:eastAsia="zh-CN"/>
        </w:rPr>
        <w:t>《信息通信技术数据小手册》</w:t>
      </w:r>
      <w:r>
        <w:rPr>
          <w:rFonts w:hint="eastAsia"/>
          <w:lang w:eastAsia="zh-CN"/>
        </w:rPr>
        <w:t>、</w:t>
      </w:r>
      <w:r w:rsidRPr="00E622A2">
        <w:rPr>
          <w:rFonts w:hint="eastAsia"/>
          <w:lang w:eastAsia="zh-CN"/>
        </w:rPr>
        <w:t>世界银行和国际电联，</w:t>
      </w:r>
      <w:r w:rsidRPr="00E622A2">
        <w:rPr>
          <w:rFonts w:hint="eastAsia"/>
          <w:lang w:eastAsia="zh-CN"/>
        </w:rPr>
        <w:t>2018</w:t>
      </w:r>
      <w:r w:rsidRPr="00E622A2">
        <w:rPr>
          <w:rFonts w:hint="eastAsia"/>
          <w:lang w:eastAsia="zh-CN"/>
        </w:rPr>
        <w:t>年。据《远程地理》报道，自大萧条以来，</w:t>
      </w:r>
      <w:r w:rsidRPr="00E622A2">
        <w:rPr>
          <w:rFonts w:hint="eastAsia"/>
          <w:lang w:eastAsia="zh-CN"/>
        </w:rPr>
        <w:t>2015</w:t>
      </w:r>
      <w:r w:rsidRPr="00E622A2">
        <w:rPr>
          <w:rFonts w:hint="eastAsia"/>
          <w:lang w:eastAsia="zh-CN"/>
        </w:rPr>
        <w:t>年国际语音流量首次下降。</w:t>
      </w:r>
      <w:r>
        <w:rPr>
          <w:rFonts w:hint="eastAsia"/>
          <w:lang w:eastAsia="zh-CN"/>
        </w:rPr>
        <w:t>见</w:t>
      </w:r>
      <w:r>
        <w:rPr>
          <w:lang w:eastAsia="zh-CN"/>
        </w:rPr>
        <w:t xml:space="preserve"> </w:t>
      </w:r>
      <w:hyperlink r:id="rId1" w:history="1">
        <w:r w:rsidRPr="006A6F16">
          <w:rPr>
            <w:rStyle w:val="Hyperlink"/>
            <w:lang w:eastAsia="zh-CN"/>
          </w:rPr>
          <w:t>https://blog.telegeography.com/voice-traffics-slump-continued-in-a-big-way-last-year</w:t>
        </w:r>
      </w:hyperlink>
      <w:r>
        <w:rPr>
          <w:rFonts w:hint="eastAsia"/>
          <w:lang w:eastAsia="zh-CN"/>
        </w:rPr>
        <w:t>。</w:t>
      </w:r>
    </w:p>
  </w:footnote>
  <w:footnote w:id="3">
    <w:p w14:paraId="463108BB" w14:textId="1918348A" w:rsidR="00A14786" w:rsidRPr="00A14786" w:rsidRDefault="00A14786">
      <w:pPr>
        <w:pStyle w:val="FootnoteText"/>
        <w:rPr>
          <w:lang w:eastAsia="zh-CN"/>
        </w:rPr>
      </w:pPr>
      <w:r>
        <w:rPr>
          <w:rStyle w:val="FootnoteReference"/>
        </w:rPr>
        <w:footnoteRef/>
      </w:r>
      <w:r>
        <w:rPr>
          <w:lang w:eastAsia="zh-CN"/>
        </w:rPr>
        <w:t xml:space="preserve"> </w:t>
      </w:r>
      <w:r>
        <w:rPr>
          <w:rFonts w:hint="eastAsia"/>
          <w:lang w:eastAsia="zh-CN"/>
        </w:rPr>
        <w:t>GSM</w:t>
      </w:r>
      <w:r>
        <w:rPr>
          <w:rFonts w:hint="eastAsia"/>
          <w:lang w:eastAsia="zh-CN"/>
        </w:rPr>
        <w:t>协会（</w:t>
      </w:r>
      <w:r>
        <w:rPr>
          <w:lang w:eastAsia="zh-CN"/>
        </w:rPr>
        <w:t>GSMA</w:t>
      </w:r>
      <w:r>
        <w:rPr>
          <w:rFonts w:hint="eastAsia"/>
          <w:lang w:eastAsia="zh-CN"/>
        </w:rPr>
        <w:t>），</w:t>
      </w:r>
      <w:r>
        <w:rPr>
          <w:lang w:eastAsia="zh-CN"/>
        </w:rPr>
        <w:t>2019</w:t>
      </w:r>
      <w:r>
        <w:rPr>
          <w:rFonts w:hint="eastAsia"/>
          <w:lang w:eastAsia="zh-CN"/>
        </w:rPr>
        <w:t>年移动经济；下列网站提供：</w:t>
      </w:r>
      <w:hyperlink r:id="rId2" w:history="1">
        <w:r w:rsidR="00E82D37" w:rsidRPr="005875C6">
          <w:rPr>
            <w:rStyle w:val="Hyperlink"/>
            <w:lang w:eastAsia="zh-CN"/>
          </w:rPr>
          <w:t>https://www.gsmaintelligence.com/research/?file=b9a6e6202ee1d5f787cfebb95d3639c5&amp;download</w:t>
        </w:r>
      </w:hyperlink>
      <w:r>
        <w:rPr>
          <w:rStyle w:val="Hyperlink"/>
          <w:rFonts w:hint="eastAsia"/>
          <w:lang w:eastAsia="zh-CN"/>
        </w:rPr>
        <w:t>。</w:t>
      </w:r>
    </w:p>
  </w:footnote>
  <w:footnote w:id="4">
    <w:p w14:paraId="283C3E57" w14:textId="2F38786C" w:rsidR="009D4956" w:rsidRDefault="009D4956" w:rsidP="009D4956">
      <w:pPr>
        <w:pStyle w:val="FootnoteText"/>
        <w:rPr>
          <w:lang w:eastAsia="zh-CN"/>
        </w:rPr>
      </w:pPr>
      <w:r>
        <w:rPr>
          <w:rStyle w:val="FootnoteReference"/>
        </w:rPr>
        <w:footnoteRef/>
      </w:r>
      <w:r>
        <w:rPr>
          <w:lang w:eastAsia="zh-CN"/>
        </w:rPr>
        <w:t xml:space="preserve"> </w:t>
      </w:r>
      <w:r w:rsidR="00DD011C">
        <w:rPr>
          <w:rFonts w:hint="eastAsia"/>
          <w:lang w:eastAsia="zh-CN"/>
        </w:rPr>
        <w:t>国际电联《</w:t>
      </w:r>
      <w:r w:rsidR="00DD011C">
        <w:rPr>
          <w:rFonts w:hint="eastAsia"/>
          <w:lang w:eastAsia="zh-CN"/>
        </w:rPr>
        <w:t>2018</w:t>
      </w:r>
      <w:r w:rsidR="00DD011C">
        <w:rPr>
          <w:rFonts w:hint="eastAsia"/>
          <w:lang w:eastAsia="zh-CN"/>
        </w:rPr>
        <w:t>年衡量信息社会报告》</w:t>
      </w:r>
      <w:bookmarkStart w:id="10" w:name="_GoBack"/>
      <w:bookmarkEnd w:id="10"/>
      <w:r w:rsidR="005E242A">
        <w:rPr>
          <w:rFonts w:hint="eastAsia"/>
          <w:lang w:eastAsia="zh-CN"/>
        </w:rPr>
        <w:t>第</w:t>
      </w:r>
      <w:r>
        <w:rPr>
          <w:lang w:eastAsia="zh-CN"/>
        </w:rPr>
        <w:t xml:space="preserve"> 1 </w:t>
      </w:r>
      <w:r w:rsidR="005E242A">
        <w:rPr>
          <w:rFonts w:hint="eastAsia"/>
          <w:lang w:eastAsia="zh-CN"/>
        </w:rPr>
        <w:t>卷第</w:t>
      </w:r>
      <w:r w:rsidR="005E242A">
        <w:rPr>
          <w:rFonts w:hint="eastAsia"/>
          <w:lang w:eastAsia="zh-CN"/>
        </w:rPr>
        <w:t xml:space="preserve"> </w:t>
      </w:r>
      <w:r>
        <w:rPr>
          <w:lang w:eastAsia="zh-CN"/>
        </w:rPr>
        <w:t>91</w:t>
      </w:r>
      <w:r w:rsidR="005E242A">
        <w:rPr>
          <w:rFonts w:hint="eastAsia"/>
          <w:lang w:eastAsia="zh-CN"/>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64DB" w14:textId="3408D133" w:rsidR="002C5DB0" w:rsidRDefault="002C5DB0" w:rsidP="002C5DB0">
    <w:pPr>
      <w:pStyle w:val="Header"/>
      <w:rPr>
        <w:noProof/>
      </w:rPr>
    </w:pPr>
    <w:r>
      <w:fldChar w:fldCharType="begin"/>
    </w:r>
    <w:r>
      <w:instrText>PAGE</w:instrText>
    </w:r>
    <w:r>
      <w:fldChar w:fldCharType="separate"/>
    </w:r>
    <w:r w:rsidR="00FB0F87">
      <w:rPr>
        <w:noProof/>
      </w:rPr>
      <w:t>2</w:t>
    </w:r>
    <w:r>
      <w:rPr>
        <w:noProof/>
      </w:rPr>
      <w:fldChar w:fldCharType="end"/>
    </w:r>
  </w:p>
  <w:p w14:paraId="514E4DFE" w14:textId="7175E18D" w:rsidR="00E82D37" w:rsidRDefault="00E82D37" w:rsidP="002C5DB0">
    <w:pPr>
      <w:pStyle w:val="Header"/>
    </w:pPr>
    <w:r w:rsidRPr="00E82D37">
      <w:rPr>
        <w:lang w:val="en-GB"/>
      </w:rPr>
      <w:t>EG-ITRs\5-</w:t>
    </w:r>
    <w:r>
      <w:rPr>
        <w:lang w:val="en-GB"/>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4436F1"/>
    <w:multiLevelType w:val="multilevel"/>
    <w:tmpl w:val="B49A2D4C"/>
    <w:lvl w:ilvl="0">
      <w:start w:val="1"/>
      <w:numFmt w:val="decimal"/>
      <w:lvlText w:val="%1."/>
      <w:lvlJc w:val="left"/>
      <w:pPr>
        <w:ind w:left="810" w:hanging="360"/>
      </w:pPr>
      <w:rPr>
        <w:b/>
      </w:rPr>
    </w:lvl>
    <w:lvl w:ilvl="1">
      <w:start w:val="1"/>
      <w:numFmt w:val="decimal"/>
      <w:isLgl/>
      <w:lvlText w:val="%1.%2"/>
      <w:lvlJc w:val="left"/>
      <w:pPr>
        <w:ind w:left="930" w:hanging="360"/>
      </w:pPr>
    </w:lvl>
    <w:lvl w:ilvl="2">
      <w:start w:val="1"/>
      <w:numFmt w:val="decimal"/>
      <w:isLgl/>
      <w:lvlText w:val="%1.%2.%3"/>
      <w:lvlJc w:val="left"/>
      <w:pPr>
        <w:ind w:left="1500"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480" w:hanging="144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A"/>
    <w:rsid w:val="00001B77"/>
    <w:rsid w:val="0000517A"/>
    <w:rsid w:val="00031E72"/>
    <w:rsid w:val="000404D2"/>
    <w:rsid w:val="000770A5"/>
    <w:rsid w:val="000853C0"/>
    <w:rsid w:val="000A1C21"/>
    <w:rsid w:val="000D15EA"/>
    <w:rsid w:val="00100D84"/>
    <w:rsid w:val="00124C9D"/>
    <w:rsid w:val="00157773"/>
    <w:rsid w:val="00177089"/>
    <w:rsid w:val="0018251A"/>
    <w:rsid w:val="00190272"/>
    <w:rsid w:val="00193244"/>
    <w:rsid w:val="00195C6C"/>
    <w:rsid w:val="00195FED"/>
    <w:rsid w:val="001A4BD6"/>
    <w:rsid w:val="001D5A18"/>
    <w:rsid w:val="00230E2C"/>
    <w:rsid w:val="00280EB8"/>
    <w:rsid w:val="002A6670"/>
    <w:rsid w:val="002C5DB0"/>
    <w:rsid w:val="002D7B26"/>
    <w:rsid w:val="00303502"/>
    <w:rsid w:val="00325C25"/>
    <w:rsid w:val="0034098D"/>
    <w:rsid w:val="00372C8F"/>
    <w:rsid w:val="00380ECE"/>
    <w:rsid w:val="00393DDF"/>
    <w:rsid w:val="00397F55"/>
    <w:rsid w:val="003B4454"/>
    <w:rsid w:val="003C21A6"/>
    <w:rsid w:val="003C2E37"/>
    <w:rsid w:val="003F1415"/>
    <w:rsid w:val="0040144C"/>
    <w:rsid w:val="00402C3A"/>
    <w:rsid w:val="00403EB7"/>
    <w:rsid w:val="00430BF0"/>
    <w:rsid w:val="004672E6"/>
    <w:rsid w:val="00474ED1"/>
    <w:rsid w:val="00493085"/>
    <w:rsid w:val="004A36EC"/>
    <w:rsid w:val="004B1B75"/>
    <w:rsid w:val="004C349B"/>
    <w:rsid w:val="004D163F"/>
    <w:rsid w:val="004E4BFF"/>
    <w:rsid w:val="004F2598"/>
    <w:rsid w:val="00502CA9"/>
    <w:rsid w:val="005403F7"/>
    <w:rsid w:val="00540632"/>
    <w:rsid w:val="005414E0"/>
    <w:rsid w:val="00541CF4"/>
    <w:rsid w:val="005451E8"/>
    <w:rsid w:val="005507F2"/>
    <w:rsid w:val="005759CC"/>
    <w:rsid w:val="005A72E1"/>
    <w:rsid w:val="005C1E5D"/>
    <w:rsid w:val="005C6632"/>
    <w:rsid w:val="005D0DBC"/>
    <w:rsid w:val="005D1C9E"/>
    <w:rsid w:val="005E242A"/>
    <w:rsid w:val="0064210F"/>
    <w:rsid w:val="00654257"/>
    <w:rsid w:val="0065435A"/>
    <w:rsid w:val="00667D1B"/>
    <w:rsid w:val="006A2DD3"/>
    <w:rsid w:val="006A5AF8"/>
    <w:rsid w:val="006A63F7"/>
    <w:rsid w:val="006C36CD"/>
    <w:rsid w:val="006C72E9"/>
    <w:rsid w:val="00700D1F"/>
    <w:rsid w:val="007205CB"/>
    <w:rsid w:val="00722690"/>
    <w:rsid w:val="00726073"/>
    <w:rsid w:val="00734FE8"/>
    <w:rsid w:val="007360CE"/>
    <w:rsid w:val="00757322"/>
    <w:rsid w:val="00772315"/>
    <w:rsid w:val="00774ACD"/>
    <w:rsid w:val="00775157"/>
    <w:rsid w:val="007813AE"/>
    <w:rsid w:val="00792B15"/>
    <w:rsid w:val="007A37DB"/>
    <w:rsid w:val="007D0BF5"/>
    <w:rsid w:val="007E189D"/>
    <w:rsid w:val="00802A22"/>
    <w:rsid w:val="00811259"/>
    <w:rsid w:val="00813AA2"/>
    <w:rsid w:val="008173A3"/>
    <w:rsid w:val="0086059C"/>
    <w:rsid w:val="00864589"/>
    <w:rsid w:val="00875393"/>
    <w:rsid w:val="00881B5D"/>
    <w:rsid w:val="00890AFB"/>
    <w:rsid w:val="00890FC4"/>
    <w:rsid w:val="00894A58"/>
    <w:rsid w:val="00895905"/>
    <w:rsid w:val="008F2D3A"/>
    <w:rsid w:val="009164A9"/>
    <w:rsid w:val="009258CB"/>
    <w:rsid w:val="0093362E"/>
    <w:rsid w:val="00944563"/>
    <w:rsid w:val="00953160"/>
    <w:rsid w:val="009625D8"/>
    <w:rsid w:val="0098459B"/>
    <w:rsid w:val="00997185"/>
    <w:rsid w:val="009C2458"/>
    <w:rsid w:val="009C2EB3"/>
    <w:rsid w:val="009C4A7B"/>
    <w:rsid w:val="009C6123"/>
    <w:rsid w:val="009C65CD"/>
    <w:rsid w:val="009D4956"/>
    <w:rsid w:val="009D4B04"/>
    <w:rsid w:val="009F1E3E"/>
    <w:rsid w:val="00A1213C"/>
    <w:rsid w:val="00A14786"/>
    <w:rsid w:val="00A272FF"/>
    <w:rsid w:val="00A5354B"/>
    <w:rsid w:val="00AB42C1"/>
    <w:rsid w:val="00AC341C"/>
    <w:rsid w:val="00AC516F"/>
    <w:rsid w:val="00AE2926"/>
    <w:rsid w:val="00B0184B"/>
    <w:rsid w:val="00B01BE6"/>
    <w:rsid w:val="00B035CD"/>
    <w:rsid w:val="00B0769D"/>
    <w:rsid w:val="00B217F8"/>
    <w:rsid w:val="00B332EA"/>
    <w:rsid w:val="00B40A53"/>
    <w:rsid w:val="00B45365"/>
    <w:rsid w:val="00B46A65"/>
    <w:rsid w:val="00B52838"/>
    <w:rsid w:val="00B60184"/>
    <w:rsid w:val="00B62D20"/>
    <w:rsid w:val="00B81E75"/>
    <w:rsid w:val="00BD12F4"/>
    <w:rsid w:val="00BD1A5A"/>
    <w:rsid w:val="00BD7A9B"/>
    <w:rsid w:val="00BD7BE1"/>
    <w:rsid w:val="00BF416B"/>
    <w:rsid w:val="00BF6246"/>
    <w:rsid w:val="00C41954"/>
    <w:rsid w:val="00C64E4E"/>
    <w:rsid w:val="00C66E64"/>
    <w:rsid w:val="00C761A0"/>
    <w:rsid w:val="00C85F7E"/>
    <w:rsid w:val="00C91A3C"/>
    <w:rsid w:val="00CD47F0"/>
    <w:rsid w:val="00CD5566"/>
    <w:rsid w:val="00CD64D7"/>
    <w:rsid w:val="00CE6F22"/>
    <w:rsid w:val="00CF41F6"/>
    <w:rsid w:val="00CF7D3E"/>
    <w:rsid w:val="00D02B4E"/>
    <w:rsid w:val="00D27445"/>
    <w:rsid w:val="00D319A0"/>
    <w:rsid w:val="00D36817"/>
    <w:rsid w:val="00D5666C"/>
    <w:rsid w:val="00D61EE8"/>
    <w:rsid w:val="00D666BC"/>
    <w:rsid w:val="00D83542"/>
    <w:rsid w:val="00D92F45"/>
    <w:rsid w:val="00D94637"/>
    <w:rsid w:val="00D9725C"/>
    <w:rsid w:val="00DA7006"/>
    <w:rsid w:val="00DC6427"/>
    <w:rsid w:val="00DD011C"/>
    <w:rsid w:val="00DD66A1"/>
    <w:rsid w:val="00DE196D"/>
    <w:rsid w:val="00DF0B83"/>
    <w:rsid w:val="00DF6B49"/>
    <w:rsid w:val="00E05257"/>
    <w:rsid w:val="00E067C5"/>
    <w:rsid w:val="00E265BF"/>
    <w:rsid w:val="00E346BD"/>
    <w:rsid w:val="00E378D8"/>
    <w:rsid w:val="00E43A12"/>
    <w:rsid w:val="00E540D9"/>
    <w:rsid w:val="00E608A4"/>
    <w:rsid w:val="00E622A2"/>
    <w:rsid w:val="00E67C67"/>
    <w:rsid w:val="00E77476"/>
    <w:rsid w:val="00E8228B"/>
    <w:rsid w:val="00E82D37"/>
    <w:rsid w:val="00E87453"/>
    <w:rsid w:val="00EE5706"/>
    <w:rsid w:val="00EF1B7F"/>
    <w:rsid w:val="00EF373D"/>
    <w:rsid w:val="00F11595"/>
    <w:rsid w:val="00F13349"/>
    <w:rsid w:val="00F13BC9"/>
    <w:rsid w:val="00F357B2"/>
    <w:rsid w:val="00F36556"/>
    <w:rsid w:val="00F53E3D"/>
    <w:rsid w:val="00F705DF"/>
    <w:rsid w:val="00F70622"/>
    <w:rsid w:val="00F85624"/>
    <w:rsid w:val="00F87C05"/>
    <w:rsid w:val="00F93191"/>
    <w:rsid w:val="00F93A17"/>
    <w:rsid w:val="00FA2AF6"/>
    <w:rsid w:val="00FB073D"/>
    <w:rsid w:val="00FB0F87"/>
    <w:rsid w:val="00FB771F"/>
    <w:rsid w:val="00FC5386"/>
    <w:rsid w:val="00FD1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83287B"/>
  <w15:docId w15:val="{979976B8-899B-4927-AC16-1711FBA8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F13349"/>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UnresolvedMention">
    <w:name w:val="Unresolved Mention"/>
    <w:basedOn w:val="DefaultParagraphFont"/>
    <w:uiPriority w:val="99"/>
    <w:semiHidden/>
    <w:unhideWhenUsed/>
    <w:rsid w:val="00E8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4114006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maintelligence.com/research/?file=b9a6e6202ee1d5f787cfebb95d3639c5&amp;download" TargetMode="External"/><Relationship Id="rId1" Type="http://schemas.openxmlformats.org/officeDocument/2006/relationships/hyperlink" Target="https://blog.telegeography.com/voice-traffics-slump-continued-in-a-big-way-la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54EED-9D25-4BD0-9678-D6AC0827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163</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Canada and the USA</dc:title>
  <dc:subject>EG-ITRs</dc:subject>
  <dc:creator>Brouard, Ricarda</dc:creator>
  <cp:keywords>EG-ITRs</cp:keywords>
  <dc:description/>
  <cp:lastModifiedBy>Brouard, Ricarda</cp:lastModifiedBy>
  <cp:revision>2</cp:revision>
  <cp:lastPrinted>2015-02-24T13:23:00Z</cp:lastPrinted>
  <dcterms:created xsi:type="dcterms:W3CDTF">2019-08-30T14:25:00Z</dcterms:created>
  <dcterms:modified xsi:type="dcterms:W3CDTF">2019-08-30T14:25:00Z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