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33C9D" w14:textId="77777777" w:rsidR="00B915C1" w:rsidRPr="00DB32E2" w:rsidRDefault="00B915C1" w:rsidP="002C7D52">
      <w:pPr>
        <w:contextualSpacing/>
        <w:rPr>
          <w:rFonts w:cstheme="majorBidi"/>
          <w:bCs/>
          <w:color w:val="000000"/>
          <w:lang w:val="en-US"/>
        </w:rPr>
      </w:pPr>
    </w:p>
    <w:tbl>
      <w:tblPr>
        <w:tblpPr w:leftFromText="181" w:rightFromText="181" w:horzAnchor="margin" w:tblpY="-674"/>
        <w:tblW w:w="10463" w:type="dxa"/>
        <w:tblLayout w:type="fixed"/>
        <w:tblLook w:val="0000" w:firstRow="0" w:lastRow="0" w:firstColumn="0" w:lastColumn="0" w:noHBand="0" w:noVBand="0"/>
      </w:tblPr>
      <w:tblGrid>
        <w:gridCol w:w="6184"/>
        <w:gridCol w:w="4279"/>
      </w:tblGrid>
      <w:tr w:rsidR="005F153A" w:rsidRPr="00DB32E2" w14:paraId="6C3FC2C0" w14:textId="77777777" w:rsidTr="00170B22">
        <w:trPr>
          <w:cantSplit/>
          <w:trHeight w:val="978"/>
        </w:trPr>
        <w:tc>
          <w:tcPr>
            <w:tcW w:w="6184" w:type="dxa"/>
            <w:vAlign w:val="center"/>
          </w:tcPr>
          <w:p w14:paraId="47793BDC" w14:textId="77777777" w:rsidR="005F153A" w:rsidRPr="00DB32E2" w:rsidRDefault="000F2E67" w:rsidP="00CA20F2">
            <w:pPr>
              <w:rPr>
                <w:b/>
                <w:position w:val="6"/>
                <w:sz w:val="26"/>
                <w:szCs w:val="26"/>
                <w:lang w:val="en-US"/>
              </w:rPr>
            </w:pPr>
            <w:bookmarkStart w:id="0" w:name="dc06"/>
            <w:bookmarkEnd w:id="0"/>
            <w:r w:rsidRPr="00DB32E2">
              <w:rPr>
                <w:b/>
                <w:position w:val="6"/>
                <w:sz w:val="30"/>
                <w:szCs w:val="30"/>
                <w:lang w:val="en-US"/>
              </w:rPr>
              <w:t>Council Working Group on</w:t>
            </w:r>
            <w:r w:rsidR="005B02E4" w:rsidRPr="00DB32E2">
              <w:rPr>
                <w:b/>
                <w:position w:val="6"/>
                <w:sz w:val="30"/>
                <w:szCs w:val="30"/>
                <w:lang w:val="en-US"/>
              </w:rPr>
              <w:t xml:space="preserve"> </w:t>
            </w:r>
            <w:r w:rsidR="00994E08" w:rsidRPr="00DB32E2">
              <w:rPr>
                <w:b/>
                <w:position w:val="6"/>
                <w:sz w:val="30"/>
                <w:szCs w:val="30"/>
                <w:lang w:val="en-US"/>
              </w:rPr>
              <w:t>WSIS</w:t>
            </w:r>
            <w:r w:rsidR="007D5130" w:rsidRPr="00DB32E2">
              <w:rPr>
                <w:b/>
                <w:position w:val="6"/>
                <w:sz w:val="30"/>
                <w:szCs w:val="30"/>
                <w:lang w:val="en-US"/>
              </w:rPr>
              <w:t>&amp;</w:t>
            </w:r>
            <w:r w:rsidR="0036762C" w:rsidRPr="00DB32E2">
              <w:rPr>
                <w:b/>
                <w:position w:val="6"/>
                <w:sz w:val="30"/>
                <w:szCs w:val="30"/>
                <w:lang w:val="en-US"/>
              </w:rPr>
              <w:t>SDG</w:t>
            </w:r>
            <w:r w:rsidR="00994E08" w:rsidRPr="00DB32E2">
              <w:rPr>
                <w:b/>
                <w:position w:val="6"/>
                <w:sz w:val="30"/>
                <w:szCs w:val="30"/>
                <w:lang w:val="en-US"/>
              </w:rPr>
              <w:br/>
            </w:r>
            <w:r w:rsidR="00994E08" w:rsidRPr="00DB32E2">
              <w:rPr>
                <w:rFonts w:cstheme="minorHAnsi"/>
                <w:b/>
                <w:sz w:val="24"/>
                <w:szCs w:val="24"/>
                <w:lang w:val="en-US"/>
              </w:rPr>
              <w:t>3</w:t>
            </w:r>
            <w:r w:rsidR="00CA20F2" w:rsidRPr="00DB32E2">
              <w:rPr>
                <w:rFonts w:cstheme="minorHAnsi"/>
                <w:b/>
                <w:sz w:val="24"/>
                <w:szCs w:val="24"/>
                <w:lang w:val="en-US"/>
              </w:rPr>
              <w:t>4th</w:t>
            </w:r>
            <w:r w:rsidR="001B506B" w:rsidRPr="00DB32E2">
              <w:rPr>
                <w:rFonts w:cstheme="minorHAnsi"/>
                <w:b/>
                <w:sz w:val="24"/>
                <w:szCs w:val="24"/>
                <w:lang w:val="en-US"/>
              </w:rPr>
              <w:t xml:space="preserve"> meeting </w:t>
            </w:r>
            <w:r w:rsidR="001B506B" w:rsidRPr="00DB32E2">
              <w:rPr>
                <w:rFonts w:eastAsia="Calibri" w:cstheme="minorHAnsi"/>
                <w:b/>
                <w:color w:val="000000"/>
                <w:sz w:val="24"/>
                <w:szCs w:val="24"/>
                <w:lang w:val="en-US"/>
              </w:rPr>
              <w:t>–</w:t>
            </w:r>
            <w:r w:rsidR="005F153A" w:rsidRPr="00DB32E2">
              <w:rPr>
                <w:rFonts w:cstheme="minorHAnsi"/>
                <w:b/>
                <w:sz w:val="24"/>
                <w:szCs w:val="24"/>
                <w:lang w:val="en-US"/>
              </w:rPr>
              <w:t xml:space="preserve"> Geneva, </w:t>
            </w:r>
            <w:r w:rsidR="00CA20F2" w:rsidRPr="00DB32E2">
              <w:rPr>
                <w:rFonts w:cstheme="minorHAnsi"/>
                <w:b/>
                <w:sz w:val="24"/>
                <w:szCs w:val="24"/>
                <w:lang w:val="en-US"/>
              </w:rPr>
              <w:t>25 September</w:t>
            </w:r>
            <w:r w:rsidR="00DE6AB7" w:rsidRPr="00DB32E2">
              <w:rPr>
                <w:rFonts w:cstheme="minorHAnsi"/>
                <w:b/>
                <w:sz w:val="24"/>
                <w:szCs w:val="24"/>
                <w:lang w:val="en-US"/>
              </w:rPr>
              <w:t xml:space="preserve"> 201</w:t>
            </w:r>
            <w:r w:rsidR="0036762C" w:rsidRPr="00DB32E2">
              <w:rPr>
                <w:rFonts w:cstheme="minorHAnsi"/>
                <w:b/>
                <w:sz w:val="24"/>
                <w:szCs w:val="24"/>
                <w:lang w:val="en-US"/>
              </w:rPr>
              <w:t>9</w:t>
            </w:r>
          </w:p>
        </w:tc>
        <w:tc>
          <w:tcPr>
            <w:tcW w:w="4279" w:type="dxa"/>
          </w:tcPr>
          <w:p w14:paraId="10FA4543" w14:textId="77777777" w:rsidR="005F153A" w:rsidRPr="00DB32E2" w:rsidRDefault="00CA20F2" w:rsidP="00CA20F2">
            <w:pPr>
              <w:spacing w:before="120" w:line="240" w:lineRule="atLeast"/>
              <w:rPr>
                <w:lang w:val="en-US"/>
              </w:rPr>
            </w:pPr>
            <w:bookmarkStart w:id="1" w:name="ditulogo"/>
            <w:bookmarkEnd w:id="1"/>
            <w:r w:rsidRPr="00DB32E2">
              <w:rPr>
                <w:noProof/>
              </w:rPr>
              <w:drawing>
                <wp:inline distT="0" distB="0" distL="0" distR="0" wp14:anchorId="23211F50" wp14:editId="48BAFB08">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DB32E2" w14:paraId="7C46FCE7" w14:textId="77777777" w:rsidTr="00170B22">
        <w:trPr>
          <w:cantSplit/>
          <w:trHeight w:val="185"/>
        </w:trPr>
        <w:tc>
          <w:tcPr>
            <w:tcW w:w="6184" w:type="dxa"/>
            <w:tcBorders>
              <w:top w:val="single" w:sz="12" w:space="0" w:color="auto"/>
            </w:tcBorders>
          </w:tcPr>
          <w:p w14:paraId="651F2E6B" w14:textId="77777777" w:rsidR="005F153A" w:rsidRPr="00DB32E2" w:rsidRDefault="005F153A" w:rsidP="00CA20F2">
            <w:pPr>
              <w:snapToGrid w:val="0"/>
              <w:spacing w:after="0" w:line="240" w:lineRule="auto"/>
              <w:rPr>
                <w:b/>
                <w:smallCaps/>
                <w:lang w:val="en-US"/>
              </w:rPr>
            </w:pPr>
          </w:p>
        </w:tc>
        <w:tc>
          <w:tcPr>
            <w:tcW w:w="4279" w:type="dxa"/>
            <w:tcBorders>
              <w:top w:val="single" w:sz="12" w:space="0" w:color="auto"/>
            </w:tcBorders>
          </w:tcPr>
          <w:p w14:paraId="7844A3A6" w14:textId="77777777" w:rsidR="005F153A" w:rsidRPr="00DB32E2" w:rsidRDefault="005F153A" w:rsidP="00CA20F2">
            <w:pPr>
              <w:snapToGrid w:val="0"/>
              <w:spacing w:after="0" w:line="240" w:lineRule="auto"/>
              <w:ind w:left="209"/>
              <w:rPr>
                <w:rFonts w:ascii="Verdana" w:hAnsi="Verdana"/>
                <w:lang w:val="en-US"/>
              </w:rPr>
            </w:pPr>
          </w:p>
        </w:tc>
      </w:tr>
      <w:tr w:rsidR="005F153A" w:rsidRPr="0001628B" w14:paraId="3343E907" w14:textId="77777777" w:rsidTr="00170B22">
        <w:trPr>
          <w:cantSplit/>
          <w:trHeight w:val="15"/>
        </w:trPr>
        <w:tc>
          <w:tcPr>
            <w:tcW w:w="6184" w:type="dxa"/>
            <w:vMerge w:val="restart"/>
          </w:tcPr>
          <w:p w14:paraId="4A6135CF" w14:textId="77777777" w:rsidR="005F153A" w:rsidRPr="00DB32E2" w:rsidRDefault="005F153A" w:rsidP="00CA20F2">
            <w:pPr>
              <w:snapToGrid w:val="0"/>
              <w:spacing w:after="0" w:line="240" w:lineRule="auto"/>
              <w:rPr>
                <w:b/>
                <w:lang w:val="en-US"/>
              </w:rPr>
            </w:pPr>
            <w:bookmarkStart w:id="2" w:name="dmeeting" w:colFirst="0" w:colLast="0"/>
            <w:bookmarkStart w:id="3" w:name="dnum" w:colFirst="1" w:colLast="1"/>
          </w:p>
        </w:tc>
        <w:tc>
          <w:tcPr>
            <w:tcW w:w="4279" w:type="dxa"/>
          </w:tcPr>
          <w:p w14:paraId="0E5A24D6" w14:textId="77777777" w:rsidR="005F153A" w:rsidRPr="002E71CC" w:rsidRDefault="005F153A" w:rsidP="00CA20F2">
            <w:pPr>
              <w:snapToGrid w:val="0"/>
              <w:spacing w:after="0" w:line="240" w:lineRule="auto"/>
              <w:ind w:left="57"/>
              <w:rPr>
                <w:rFonts w:cstheme="minorHAnsi"/>
                <w:b/>
                <w:spacing w:val="-4"/>
                <w:sz w:val="24"/>
                <w:szCs w:val="24"/>
                <w:lang w:val="fr-FR"/>
              </w:rPr>
            </w:pPr>
            <w:r w:rsidRPr="002E71CC">
              <w:rPr>
                <w:rFonts w:cstheme="minorHAnsi"/>
                <w:b/>
                <w:spacing w:val="-4"/>
                <w:sz w:val="24"/>
                <w:szCs w:val="24"/>
                <w:lang w:val="fr-FR"/>
              </w:rPr>
              <w:t xml:space="preserve">Document </w:t>
            </w:r>
            <w:r w:rsidR="00F45331" w:rsidRPr="002E71CC">
              <w:rPr>
                <w:rFonts w:cstheme="minorHAnsi"/>
                <w:b/>
                <w:spacing w:val="-4"/>
                <w:sz w:val="24"/>
                <w:szCs w:val="24"/>
                <w:lang w:val="fr-FR"/>
              </w:rPr>
              <w:t>C</w:t>
            </w:r>
            <w:r w:rsidRPr="002E71CC">
              <w:rPr>
                <w:rFonts w:cstheme="minorHAnsi"/>
                <w:b/>
                <w:spacing w:val="-4"/>
                <w:sz w:val="24"/>
                <w:szCs w:val="24"/>
                <w:lang w:val="fr-FR"/>
              </w:rPr>
              <w:t>WG-</w:t>
            </w:r>
            <w:r w:rsidR="0036762C" w:rsidRPr="002E71CC">
              <w:rPr>
                <w:rFonts w:cstheme="minorHAnsi"/>
                <w:b/>
                <w:spacing w:val="-4"/>
                <w:sz w:val="24"/>
                <w:szCs w:val="24"/>
                <w:lang w:val="fr-FR"/>
              </w:rPr>
              <w:t>WSIS&amp;SDG-</w:t>
            </w:r>
            <w:r w:rsidR="00994E08" w:rsidRPr="002E71CC">
              <w:rPr>
                <w:rFonts w:cstheme="minorHAnsi"/>
                <w:b/>
                <w:spacing w:val="-4"/>
                <w:sz w:val="24"/>
                <w:szCs w:val="24"/>
                <w:lang w:val="fr-FR"/>
              </w:rPr>
              <w:t>3</w:t>
            </w:r>
            <w:r w:rsidR="00CA20F2" w:rsidRPr="002E71CC">
              <w:rPr>
                <w:rFonts w:cstheme="minorHAnsi"/>
                <w:b/>
                <w:spacing w:val="-4"/>
                <w:sz w:val="24"/>
                <w:szCs w:val="24"/>
                <w:lang w:val="fr-FR"/>
              </w:rPr>
              <w:t>4</w:t>
            </w:r>
            <w:r w:rsidRPr="002E71CC">
              <w:rPr>
                <w:rFonts w:cstheme="minorHAnsi"/>
                <w:b/>
                <w:spacing w:val="-4"/>
                <w:sz w:val="24"/>
                <w:szCs w:val="24"/>
                <w:lang w:val="fr-FR"/>
              </w:rPr>
              <w:t>/</w:t>
            </w:r>
            <w:r w:rsidR="00262497" w:rsidRPr="002E71CC">
              <w:rPr>
                <w:rFonts w:cstheme="minorHAnsi"/>
                <w:b/>
                <w:spacing w:val="-4"/>
                <w:sz w:val="24"/>
                <w:szCs w:val="24"/>
                <w:lang w:val="fr-FR"/>
              </w:rPr>
              <w:t>012</w:t>
            </w:r>
            <w:r w:rsidR="006B460D" w:rsidRPr="002E71CC">
              <w:rPr>
                <w:rFonts w:cstheme="minorHAnsi"/>
                <w:b/>
                <w:spacing w:val="-4"/>
                <w:sz w:val="24"/>
                <w:szCs w:val="24"/>
                <w:lang w:val="fr-FR"/>
              </w:rPr>
              <w:t>-E</w:t>
            </w:r>
          </w:p>
        </w:tc>
      </w:tr>
      <w:tr w:rsidR="005F153A" w:rsidRPr="00DB32E2" w14:paraId="3942547A" w14:textId="77777777" w:rsidTr="00170B22">
        <w:trPr>
          <w:cantSplit/>
          <w:trHeight w:val="15"/>
        </w:trPr>
        <w:tc>
          <w:tcPr>
            <w:tcW w:w="6184" w:type="dxa"/>
            <w:vMerge/>
          </w:tcPr>
          <w:p w14:paraId="4F4F8FBA" w14:textId="77777777" w:rsidR="005F153A" w:rsidRPr="002E71CC" w:rsidRDefault="005F153A" w:rsidP="00CA20F2">
            <w:pPr>
              <w:snapToGrid w:val="0"/>
              <w:spacing w:after="0" w:line="240" w:lineRule="auto"/>
              <w:rPr>
                <w:b/>
                <w:lang w:val="fr-FR"/>
              </w:rPr>
            </w:pPr>
            <w:bookmarkStart w:id="4" w:name="ddate" w:colFirst="1" w:colLast="1"/>
            <w:bookmarkEnd w:id="2"/>
            <w:bookmarkEnd w:id="3"/>
          </w:p>
        </w:tc>
        <w:tc>
          <w:tcPr>
            <w:tcW w:w="4279" w:type="dxa"/>
          </w:tcPr>
          <w:p w14:paraId="40888F83" w14:textId="4EF4B40D" w:rsidR="0001628B" w:rsidRDefault="00FC34F7" w:rsidP="00CA20F2">
            <w:pPr>
              <w:snapToGrid w:val="0"/>
              <w:spacing w:after="0" w:line="240" w:lineRule="auto"/>
              <w:ind w:left="57"/>
              <w:rPr>
                <w:rFonts w:cstheme="minorHAnsi"/>
                <w:b/>
                <w:sz w:val="24"/>
                <w:szCs w:val="24"/>
                <w:lang w:val="en-US"/>
              </w:rPr>
            </w:pPr>
            <w:r>
              <w:rPr>
                <w:rFonts w:cstheme="minorHAnsi"/>
                <w:b/>
                <w:sz w:val="24"/>
                <w:szCs w:val="24"/>
                <w:lang w:val="en-US"/>
              </w:rPr>
              <w:t>Revision</w:t>
            </w:r>
            <w:r w:rsidR="0001628B">
              <w:rPr>
                <w:rFonts w:cstheme="minorHAnsi"/>
                <w:b/>
                <w:sz w:val="24"/>
                <w:szCs w:val="24"/>
                <w:lang w:val="en-US"/>
              </w:rPr>
              <w:t xml:space="preserve"> 1</w:t>
            </w:r>
          </w:p>
          <w:p w14:paraId="3A49B8C6" w14:textId="2C4DD246" w:rsidR="005F153A" w:rsidRPr="00DB32E2" w:rsidRDefault="00293B33" w:rsidP="00CA20F2">
            <w:pPr>
              <w:snapToGrid w:val="0"/>
              <w:spacing w:after="0" w:line="240" w:lineRule="auto"/>
              <w:ind w:left="57"/>
              <w:rPr>
                <w:rFonts w:cstheme="minorHAnsi"/>
                <w:b/>
                <w:sz w:val="24"/>
                <w:szCs w:val="24"/>
                <w:lang w:val="en-US"/>
              </w:rPr>
            </w:pPr>
            <w:r>
              <w:rPr>
                <w:rFonts w:cstheme="minorHAnsi"/>
                <w:b/>
                <w:sz w:val="24"/>
                <w:szCs w:val="24"/>
                <w:lang w:val="en-US"/>
              </w:rPr>
              <w:t>20 August</w:t>
            </w:r>
            <w:r w:rsidR="00262497" w:rsidRPr="00DB32E2">
              <w:rPr>
                <w:rFonts w:cstheme="minorHAnsi"/>
                <w:b/>
                <w:sz w:val="24"/>
                <w:szCs w:val="24"/>
                <w:lang w:val="en-US"/>
              </w:rPr>
              <w:t xml:space="preserve"> 2019</w:t>
            </w:r>
          </w:p>
        </w:tc>
      </w:tr>
      <w:tr w:rsidR="005F153A" w:rsidRPr="00DB32E2" w14:paraId="3A231F4E" w14:textId="77777777" w:rsidTr="00170B22">
        <w:trPr>
          <w:cantSplit/>
          <w:trHeight w:val="54"/>
        </w:trPr>
        <w:tc>
          <w:tcPr>
            <w:tcW w:w="6184" w:type="dxa"/>
            <w:vMerge/>
          </w:tcPr>
          <w:p w14:paraId="40AFB046" w14:textId="77777777" w:rsidR="005F153A" w:rsidRPr="00DB32E2" w:rsidRDefault="005F153A" w:rsidP="00CA20F2">
            <w:pPr>
              <w:snapToGrid w:val="0"/>
              <w:spacing w:after="0" w:line="240" w:lineRule="auto"/>
              <w:rPr>
                <w:b/>
                <w:lang w:val="en-US"/>
              </w:rPr>
            </w:pPr>
            <w:bookmarkStart w:id="5" w:name="dorlang" w:colFirst="1" w:colLast="1"/>
            <w:bookmarkEnd w:id="4"/>
          </w:p>
        </w:tc>
        <w:tc>
          <w:tcPr>
            <w:tcW w:w="4279" w:type="dxa"/>
          </w:tcPr>
          <w:p w14:paraId="2F0A531C" w14:textId="77777777" w:rsidR="005F153A" w:rsidRPr="00DB32E2" w:rsidRDefault="005F153A" w:rsidP="00CA20F2">
            <w:pPr>
              <w:snapToGrid w:val="0"/>
              <w:spacing w:after="0" w:line="240" w:lineRule="auto"/>
              <w:ind w:left="57"/>
              <w:rPr>
                <w:rFonts w:cstheme="minorHAnsi"/>
                <w:b/>
                <w:sz w:val="24"/>
                <w:szCs w:val="24"/>
                <w:lang w:val="en-US"/>
              </w:rPr>
            </w:pPr>
            <w:r w:rsidRPr="00DB32E2">
              <w:rPr>
                <w:rFonts w:cstheme="minorHAnsi"/>
                <w:b/>
                <w:sz w:val="24"/>
                <w:szCs w:val="24"/>
                <w:lang w:val="en-US"/>
              </w:rPr>
              <w:t>English only</w:t>
            </w:r>
          </w:p>
        </w:tc>
      </w:tr>
      <w:tr w:rsidR="0036762C" w:rsidRPr="00DB32E2" w14:paraId="4C0707FC" w14:textId="77777777" w:rsidTr="00170B22">
        <w:trPr>
          <w:cantSplit/>
          <w:trHeight w:val="54"/>
        </w:trPr>
        <w:tc>
          <w:tcPr>
            <w:tcW w:w="10463" w:type="dxa"/>
            <w:gridSpan w:val="2"/>
          </w:tcPr>
          <w:p w14:paraId="7074CDC6" w14:textId="77777777" w:rsidR="007D5130" w:rsidRPr="00DB32E2" w:rsidRDefault="007D5130" w:rsidP="002C7D52">
            <w:pPr>
              <w:spacing w:after="240"/>
              <w:rPr>
                <w:b/>
                <w:lang w:val="en-US"/>
              </w:rPr>
            </w:pPr>
          </w:p>
        </w:tc>
      </w:tr>
    </w:tbl>
    <w:bookmarkEnd w:id="5"/>
    <w:p w14:paraId="44CA2D7B" w14:textId="77777777" w:rsidR="002C7D52" w:rsidRPr="00DB32E2" w:rsidRDefault="002C7D52" w:rsidP="00170B22">
      <w:pPr>
        <w:pStyle w:val="Source"/>
        <w:rPr>
          <w:lang w:val="en-US"/>
        </w:rPr>
      </w:pPr>
      <w:r w:rsidRPr="00DB32E2">
        <w:rPr>
          <w:lang w:val="en-US"/>
        </w:rPr>
        <w:t>Updated Roadmap for ITU’s activities to help achieve the 2030 Agenda for Sustainable Development</w:t>
      </w:r>
    </w:p>
    <w:p w14:paraId="1B3FA6D8" w14:textId="77777777" w:rsidR="00240315" w:rsidRPr="00DB32E2" w:rsidRDefault="00240315" w:rsidP="00170B22">
      <w:pPr>
        <w:pStyle w:val="Title1"/>
        <w:rPr>
          <w:lang w:val="en-US"/>
        </w:rPr>
      </w:pPr>
    </w:p>
    <w:p w14:paraId="73F07A2B" w14:textId="385C2C19" w:rsidR="002C7D52" w:rsidRPr="00DB32E2" w:rsidRDefault="002C7D52" w:rsidP="002C7D52">
      <w:pPr>
        <w:pStyle w:val="Call"/>
        <w:numPr>
          <w:ilvl w:val="0"/>
          <w:numId w:val="9"/>
        </w:numPr>
        <w:jc w:val="both"/>
        <w:rPr>
          <w:rFonts w:ascii="Calibri" w:eastAsia="Times New Roman" w:hAnsi="Calibri" w:cs="Times New Roman"/>
          <w:i w:val="0"/>
          <w:sz w:val="24"/>
          <w:szCs w:val="24"/>
          <w:lang w:val="en-US"/>
        </w:rPr>
      </w:pPr>
      <w:bookmarkStart w:id="6" w:name="_Toc424563282"/>
      <w:r w:rsidRPr="00DB32E2">
        <w:rPr>
          <w:rFonts w:ascii="Calibri" w:eastAsia="Times New Roman" w:hAnsi="Calibri" w:cs="Times New Roman"/>
          <w:i w:val="0"/>
          <w:sz w:val="24"/>
          <w:szCs w:val="24"/>
          <w:lang w:val="en-US"/>
        </w:rPr>
        <w:t>In line with Resolution 1332 (Modified 201</w:t>
      </w:r>
      <w:r w:rsidR="002E71CC">
        <w:rPr>
          <w:rFonts w:ascii="Calibri" w:eastAsia="Times New Roman" w:hAnsi="Calibri" w:cs="Times New Roman"/>
          <w:i w:val="0"/>
          <w:sz w:val="24"/>
          <w:szCs w:val="24"/>
          <w:lang w:val="en-US"/>
        </w:rPr>
        <w:t>9)</w:t>
      </w:r>
      <w:r w:rsidRPr="00DB32E2">
        <w:rPr>
          <w:rFonts w:ascii="Calibri" w:eastAsia="Times New Roman" w:hAnsi="Calibri" w:cs="Times New Roman"/>
          <w:i w:val="0"/>
          <w:sz w:val="24"/>
          <w:szCs w:val="24"/>
          <w:lang w:val="en-US"/>
        </w:rPr>
        <w:t>, and taking into account the overall mandate of ITU and its role as the specialized United Nations agency for ICTs, the Roadmap for ITU actions related to the SDGs remain a living document giving course to ITU actions related to the implementation of the 2030 Agenda and SDGs</w:t>
      </w:r>
      <w:r w:rsidR="00EB21F8" w:rsidRPr="00DB32E2">
        <w:rPr>
          <w:rFonts w:ascii="Calibri" w:eastAsia="Times New Roman" w:hAnsi="Calibri" w:cs="Times New Roman"/>
          <w:i w:val="0"/>
          <w:sz w:val="24"/>
          <w:szCs w:val="24"/>
          <w:lang w:val="en-US"/>
        </w:rPr>
        <w:t>.</w:t>
      </w:r>
    </w:p>
    <w:p w14:paraId="6B8BAB52" w14:textId="444E3F34" w:rsidR="002C7D52" w:rsidRPr="00DB32E2" w:rsidRDefault="002C7D52" w:rsidP="00EB21F8">
      <w:pPr>
        <w:pStyle w:val="normalWSIS"/>
        <w:numPr>
          <w:ilvl w:val="0"/>
          <w:numId w:val="9"/>
        </w:numPr>
        <w:rPr>
          <w:rFonts w:eastAsia="Times New Roman" w:cs="Times New Roman"/>
          <w:sz w:val="24"/>
          <w:szCs w:val="24"/>
          <w:lang w:val="en-US" w:eastAsia="en-US"/>
        </w:rPr>
      </w:pPr>
      <w:r w:rsidRPr="00DB32E2">
        <w:rPr>
          <w:rFonts w:eastAsia="Times New Roman" w:cs="Times New Roman"/>
          <w:sz w:val="24"/>
          <w:szCs w:val="24"/>
          <w:lang w:val="en-US" w:eastAsia="en-US"/>
        </w:rPr>
        <w:t>During ITU PP-18</w:t>
      </w:r>
      <w:r w:rsidR="00C360A0" w:rsidRPr="00DB32E2">
        <w:rPr>
          <w:rFonts w:eastAsia="Times New Roman" w:cs="Times New Roman"/>
          <w:sz w:val="24"/>
          <w:szCs w:val="24"/>
          <w:lang w:val="en-US" w:eastAsia="en-US"/>
        </w:rPr>
        <w:t>,</w:t>
      </w:r>
      <w:r w:rsidRPr="00DB32E2">
        <w:rPr>
          <w:rFonts w:eastAsia="Times New Roman" w:cs="Times New Roman"/>
          <w:sz w:val="24"/>
          <w:szCs w:val="24"/>
          <w:lang w:val="en-US" w:eastAsia="en-US"/>
        </w:rPr>
        <w:t xml:space="preserve"> Member States and sector members </w:t>
      </w:r>
      <w:r w:rsidR="00410F68" w:rsidRPr="00DB32E2">
        <w:rPr>
          <w:rFonts w:eastAsia="Times New Roman" w:cs="Times New Roman"/>
          <w:sz w:val="24"/>
          <w:szCs w:val="24"/>
          <w:lang w:val="en-US" w:eastAsia="en-US"/>
        </w:rPr>
        <w:t>reemphasized</w:t>
      </w:r>
      <w:r w:rsidRPr="00DB32E2">
        <w:rPr>
          <w:rFonts w:eastAsia="Times New Roman" w:cs="Times New Roman"/>
          <w:sz w:val="24"/>
          <w:szCs w:val="24"/>
          <w:lang w:val="en-US" w:eastAsia="en-US"/>
        </w:rPr>
        <w:t xml:space="preserve"> on the importance of telecommunications/ICTs as an enabler that harnesses the potential of and opportunities resulting from digital innovation which can benefit the socio-economic development of the countries concerned and help achieve the 17 SDGs. In the recently adopted Resolution 71</w:t>
      </w:r>
      <w:r w:rsidR="002E71CC">
        <w:rPr>
          <w:rFonts w:eastAsia="Times New Roman" w:cs="Times New Roman"/>
          <w:sz w:val="24"/>
          <w:szCs w:val="24"/>
          <w:lang w:val="en-US" w:eastAsia="en-US"/>
        </w:rPr>
        <w:t xml:space="preserve"> (Dubai 2018)</w:t>
      </w:r>
      <w:r w:rsidRPr="00DB32E2">
        <w:rPr>
          <w:rFonts w:eastAsia="Times New Roman" w:cs="Times New Roman"/>
          <w:sz w:val="24"/>
          <w:szCs w:val="24"/>
          <w:lang w:val="en-US" w:eastAsia="en-US"/>
        </w:rPr>
        <w:t xml:space="preserve">, ITU Strategic Plan 2020-2023, member states </w:t>
      </w:r>
      <w:r w:rsidR="00C360A0" w:rsidRPr="00DB32E2">
        <w:rPr>
          <w:rFonts w:eastAsia="Times New Roman" w:cs="Times New Roman"/>
          <w:sz w:val="24"/>
          <w:szCs w:val="24"/>
          <w:lang w:val="en-US" w:eastAsia="en-US"/>
        </w:rPr>
        <w:t>highlighted</w:t>
      </w:r>
      <w:r w:rsidRPr="00DB32E2">
        <w:rPr>
          <w:rFonts w:eastAsia="Times New Roman" w:cs="Times New Roman"/>
          <w:sz w:val="24"/>
          <w:szCs w:val="24"/>
          <w:lang w:val="en-US" w:eastAsia="en-US"/>
        </w:rPr>
        <w:t xml:space="preserve"> the necessity of contributing to the worldwide efforts to achieve the SDGs in close alignment </w:t>
      </w:r>
      <w:r w:rsidR="00700A07">
        <w:rPr>
          <w:rFonts w:eastAsia="Times New Roman" w:cs="Times New Roman"/>
          <w:sz w:val="24"/>
          <w:szCs w:val="24"/>
          <w:lang w:val="en-US" w:eastAsia="en-US"/>
        </w:rPr>
        <w:t>with</w:t>
      </w:r>
      <w:r w:rsidRPr="00DB32E2">
        <w:rPr>
          <w:rFonts w:eastAsia="Times New Roman" w:cs="Times New Roman"/>
          <w:sz w:val="24"/>
          <w:szCs w:val="24"/>
          <w:lang w:val="en-US" w:eastAsia="en-US"/>
        </w:rPr>
        <w:t xml:space="preserve"> the World Summit on the Information Society (WSIS) process. </w:t>
      </w:r>
      <w:r w:rsidR="002E30DD">
        <w:rPr>
          <w:rFonts w:eastAsia="Times New Roman" w:cs="Times New Roman"/>
          <w:sz w:val="24"/>
          <w:szCs w:val="24"/>
          <w:lang w:val="en-US" w:eastAsia="en-US"/>
        </w:rPr>
        <w:t>Please</w:t>
      </w:r>
      <w:r w:rsidRPr="00DB32E2">
        <w:rPr>
          <w:rFonts w:eastAsia="Times New Roman" w:cs="Times New Roman"/>
          <w:sz w:val="24"/>
          <w:szCs w:val="24"/>
          <w:lang w:val="en-US" w:eastAsia="en-US"/>
        </w:rPr>
        <w:t xml:space="preserve"> refer to the </w:t>
      </w:r>
      <w:hyperlink r:id="rId13" w:history="1">
        <w:r w:rsidRPr="00DB32E2">
          <w:rPr>
            <w:rStyle w:val="Hyperlink"/>
            <w:rFonts w:eastAsia="Times New Roman" w:cs="Times New Roman"/>
            <w:sz w:val="24"/>
            <w:szCs w:val="24"/>
            <w:lang w:val="en-US" w:eastAsia="en-US"/>
          </w:rPr>
          <w:t>ITU SDG Mapping Tool</w:t>
        </w:r>
      </w:hyperlink>
      <w:r w:rsidRPr="00DB32E2">
        <w:rPr>
          <w:rFonts w:eastAsia="Times New Roman" w:cs="Times New Roman"/>
          <w:sz w:val="24"/>
          <w:szCs w:val="24"/>
          <w:lang w:val="en-US" w:eastAsia="en-US"/>
        </w:rPr>
        <w:t xml:space="preserve"> for further details. The sector objectives, in particular the objectives and outputs of BDT and TSB, and intersectoral objectives are also well linked to the WSIS Action Lines, and the 2030 Agenda for Sustainable Development. The </w:t>
      </w:r>
      <w:hyperlink r:id="rId14" w:history="1">
        <w:r w:rsidRPr="00DB32E2">
          <w:rPr>
            <w:rStyle w:val="Hyperlink"/>
            <w:rFonts w:eastAsia="Times New Roman" w:cs="Times New Roman"/>
            <w:sz w:val="24"/>
            <w:szCs w:val="24"/>
            <w:lang w:val="en-US" w:eastAsia="en-US"/>
          </w:rPr>
          <w:t>WSIS Action Lines and SDGs matrix</w:t>
        </w:r>
      </w:hyperlink>
      <w:r w:rsidRPr="00DB32E2">
        <w:rPr>
          <w:rFonts w:eastAsia="Times New Roman" w:cs="Times New Roman"/>
          <w:sz w:val="24"/>
          <w:szCs w:val="24"/>
          <w:lang w:val="en-US" w:eastAsia="en-US"/>
        </w:rPr>
        <w:t xml:space="preserve"> also clearly highlights the linkages between the WSIS Action Lines and SDGs. </w:t>
      </w:r>
    </w:p>
    <w:p w14:paraId="6838519D" w14:textId="288364C2" w:rsidR="002C7D52" w:rsidRPr="00DB32E2" w:rsidRDefault="002C7D52" w:rsidP="002C7D52">
      <w:pPr>
        <w:pStyle w:val="normalWSIS"/>
        <w:numPr>
          <w:ilvl w:val="0"/>
          <w:numId w:val="9"/>
        </w:numPr>
        <w:rPr>
          <w:rFonts w:eastAsia="Times New Roman" w:cs="Times New Roman"/>
          <w:sz w:val="24"/>
          <w:szCs w:val="24"/>
          <w:lang w:val="en-US" w:eastAsia="en-US"/>
        </w:rPr>
      </w:pPr>
      <w:r w:rsidRPr="00DB32E2">
        <w:rPr>
          <w:rFonts w:eastAsia="Times New Roman" w:cs="Times New Roman"/>
          <w:sz w:val="24"/>
          <w:szCs w:val="24"/>
          <w:lang w:val="en-US" w:eastAsia="en-US"/>
        </w:rPr>
        <w:t>Since 2016, as resolved by ITU membership in Resolution 1332 (</w:t>
      </w:r>
      <w:r w:rsidR="00700A07">
        <w:rPr>
          <w:rFonts w:eastAsia="Times New Roman" w:cs="Times New Roman"/>
          <w:sz w:val="24"/>
          <w:szCs w:val="24"/>
          <w:lang w:val="en-US" w:eastAsia="en-US"/>
        </w:rPr>
        <w:t>Modified</w:t>
      </w:r>
      <w:r w:rsidRPr="00DB32E2">
        <w:rPr>
          <w:rFonts w:eastAsia="Times New Roman" w:cs="Times New Roman"/>
          <w:sz w:val="24"/>
          <w:szCs w:val="24"/>
          <w:lang w:val="en-US" w:eastAsia="en-US"/>
        </w:rPr>
        <w:t xml:space="preserve"> 201</w:t>
      </w:r>
      <w:r w:rsidR="002E71CC">
        <w:rPr>
          <w:rFonts w:eastAsia="Times New Roman" w:cs="Times New Roman"/>
          <w:sz w:val="24"/>
          <w:szCs w:val="24"/>
          <w:lang w:val="en-US" w:eastAsia="en-US"/>
        </w:rPr>
        <w:t>9)</w:t>
      </w:r>
      <w:r w:rsidRPr="00DB32E2">
        <w:rPr>
          <w:rFonts w:eastAsia="Times New Roman" w:cs="Times New Roman"/>
          <w:sz w:val="24"/>
          <w:szCs w:val="24"/>
          <w:lang w:val="en-US" w:eastAsia="en-US"/>
        </w:rPr>
        <w:t xml:space="preserve">, the WSIS framework is used as the foundation through which ITU helps achieve the 2030 Agenda.  </w:t>
      </w:r>
    </w:p>
    <w:p w14:paraId="539FD25E" w14:textId="77777777" w:rsidR="002C7D52" w:rsidRPr="00DB32E2" w:rsidRDefault="002C7D52" w:rsidP="002C7D52">
      <w:pPr>
        <w:pStyle w:val="ListParagraph"/>
        <w:numPr>
          <w:ilvl w:val="0"/>
          <w:numId w:val="9"/>
        </w:numPr>
        <w:jc w:val="both"/>
        <w:rPr>
          <w:sz w:val="24"/>
          <w:szCs w:val="24"/>
          <w:lang w:val="en-US"/>
        </w:rPr>
      </w:pPr>
      <w:r w:rsidRPr="00DB32E2">
        <w:rPr>
          <w:sz w:val="24"/>
          <w:szCs w:val="24"/>
          <w:lang w:val="en-US"/>
        </w:rPr>
        <w:t xml:space="preserve">In order to </w:t>
      </w:r>
      <w:r w:rsidR="00410F68" w:rsidRPr="00DB32E2">
        <w:rPr>
          <w:sz w:val="24"/>
          <w:szCs w:val="24"/>
          <w:lang w:val="en-US"/>
        </w:rPr>
        <w:t>maximize</w:t>
      </w:r>
      <w:r w:rsidRPr="00DB32E2">
        <w:rPr>
          <w:sz w:val="24"/>
          <w:szCs w:val="24"/>
          <w:lang w:val="en-US"/>
        </w:rPr>
        <w:t xml:space="preserve"> ITU's contribution to the 2030 Agenda, ITU's primary focus is in addressing </w:t>
      </w:r>
      <w:r w:rsidRPr="00DB32E2">
        <w:rPr>
          <w:b/>
          <w:bCs/>
          <w:sz w:val="24"/>
          <w:szCs w:val="24"/>
          <w:lang w:val="en-US"/>
        </w:rPr>
        <w:t xml:space="preserve">SDG 9 </w:t>
      </w:r>
      <w:r w:rsidRPr="00DB32E2">
        <w:rPr>
          <w:bCs/>
          <w:sz w:val="24"/>
          <w:szCs w:val="24"/>
          <w:lang w:val="en-US"/>
        </w:rPr>
        <w:t>(Industry, Innovation and Infrastructure)</w:t>
      </w:r>
      <w:r w:rsidRPr="00DB32E2">
        <w:rPr>
          <w:sz w:val="24"/>
          <w:szCs w:val="24"/>
          <w:lang w:val="en-US"/>
        </w:rPr>
        <w:t xml:space="preserve"> and Target 9.c aiming to significantly increase access to ICTs and provide universal and affordable access to the Internet.  </w:t>
      </w:r>
      <w:r w:rsidR="0069280C" w:rsidRPr="00DB32E2">
        <w:rPr>
          <w:sz w:val="24"/>
          <w:szCs w:val="24"/>
          <w:lang w:val="en-US"/>
        </w:rPr>
        <w:t xml:space="preserve">That is to enable ICT and telecommunications to be a catalyzer towards fast forwarding all SDG. </w:t>
      </w:r>
      <w:r w:rsidRPr="00DB32E2">
        <w:rPr>
          <w:sz w:val="24"/>
          <w:szCs w:val="24"/>
          <w:lang w:val="en-US"/>
        </w:rPr>
        <w:t xml:space="preserve">As </w:t>
      </w:r>
      <w:r w:rsidRPr="00DB32E2">
        <w:rPr>
          <w:b/>
          <w:bCs/>
          <w:sz w:val="24"/>
          <w:szCs w:val="24"/>
          <w:lang w:val="en-US"/>
        </w:rPr>
        <w:t>SDG17</w:t>
      </w:r>
      <w:r w:rsidRPr="00DB32E2">
        <w:rPr>
          <w:sz w:val="24"/>
          <w:szCs w:val="24"/>
          <w:lang w:val="en-US"/>
        </w:rPr>
        <w:t xml:space="preserve"> (Partnership for the Goals) highlights ICTs as a means of implementation, with crosscutting transformative potential, it is imperative that ITU leverages this broad impact. Notable SDGs where ITU has a particularly strong impact include </w:t>
      </w:r>
      <w:r w:rsidRPr="00DB32E2">
        <w:rPr>
          <w:b/>
          <w:bCs/>
          <w:sz w:val="24"/>
          <w:szCs w:val="24"/>
          <w:lang w:val="en-US"/>
        </w:rPr>
        <w:t>SDG 11</w:t>
      </w:r>
      <w:r w:rsidRPr="00DB32E2">
        <w:rPr>
          <w:sz w:val="24"/>
          <w:szCs w:val="24"/>
          <w:lang w:val="en-US"/>
        </w:rPr>
        <w:t xml:space="preserve"> (Sustainable Cities and Communities), </w:t>
      </w:r>
      <w:r w:rsidRPr="00DB32E2">
        <w:rPr>
          <w:b/>
          <w:bCs/>
          <w:sz w:val="24"/>
          <w:szCs w:val="24"/>
          <w:lang w:val="en-US"/>
        </w:rPr>
        <w:t>SDG 10</w:t>
      </w:r>
      <w:r w:rsidRPr="00DB32E2">
        <w:rPr>
          <w:sz w:val="24"/>
          <w:szCs w:val="24"/>
          <w:lang w:val="en-US"/>
        </w:rPr>
        <w:t xml:space="preserve"> (Reduced </w:t>
      </w:r>
      <w:r w:rsidRPr="00DB32E2">
        <w:rPr>
          <w:sz w:val="24"/>
          <w:szCs w:val="24"/>
          <w:lang w:val="en-US"/>
        </w:rPr>
        <w:lastRenderedPageBreak/>
        <w:t xml:space="preserve">Inequalities), </w:t>
      </w:r>
      <w:r w:rsidRPr="00DB32E2">
        <w:rPr>
          <w:b/>
          <w:bCs/>
          <w:sz w:val="24"/>
          <w:szCs w:val="24"/>
          <w:lang w:val="en-US"/>
        </w:rPr>
        <w:t>SDG 8</w:t>
      </w:r>
      <w:r w:rsidRPr="00DB32E2">
        <w:rPr>
          <w:sz w:val="24"/>
          <w:szCs w:val="24"/>
          <w:lang w:val="en-US"/>
        </w:rPr>
        <w:t xml:space="preserve"> (Decent Work and Economic Growth), SDG 1 (No Poverty), </w:t>
      </w:r>
      <w:r w:rsidRPr="00DB32E2">
        <w:rPr>
          <w:b/>
          <w:bCs/>
          <w:sz w:val="24"/>
          <w:szCs w:val="24"/>
          <w:lang w:val="en-US"/>
        </w:rPr>
        <w:t>SDG 3</w:t>
      </w:r>
      <w:r w:rsidRPr="00DB32E2">
        <w:rPr>
          <w:sz w:val="24"/>
          <w:szCs w:val="24"/>
          <w:lang w:val="en-US"/>
        </w:rPr>
        <w:t xml:space="preserve"> (Good-Health and Well-Being), </w:t>
      </w:r>
      <w:r w:rsidRPr="00DB32E2">
        <w:rPr>
          <w:b/>
          <w:bCs/>
          <w:sz w:val="24"/>
          <w:szCs w:val="24"/>
          <w:lang w:val="en-US"/>
        </w:rPr>
        <w:t>SDG 4</w:t>
      </w:r>
      <w:r w:rsidRPr="00DB32E2">
        <w:rPr>
          <w:sz w:val="24"/>
          <w:szCs w:val="24"/>
          <w:lang w:val="en-US"/>
        </w:rPr>
        <w:t xml:space="preserve"> (Quality Education) and </w:t>
      </w:r>
      <w:r w:rsidRPr="00DB32E2">
        <w:rPr>
          <w:b/>
          <w:bCs/>
          <w:sz w:val="24"/>
          <w:szCs w:val="24"/>
          <w:lang w:val="en-US"/>
        </w:rPr>
        <w:t>SDG 5</w:t>
      </w:r>
      <w:r w:rsidRPr="00DB32E2">
        <w:rPr>
          <w:sz w:val="24"/>
          <w:szCs w:val="24"/>
          <w:lang w:val="en-US"/>
        </w:rPr>
        <w:t xml:space="preserve"> (Gender Equality).</w:t>
      </w:r>
      <w:bookmarkEnd w:id="6"/>
    </w:p>
    <w:p w14:paraId="3556544A" w14:textId="77777777" w:rsidR="002C7D52" w:rsidRPr="00DB32E2" w:rsidRDefault="002C7D52" w:rsidP="002C7D52">
      <w:pPr>
        <w:pStyle w:val="ListParagraph"/>
        <w:numPr>
          <w:ilvl w:val="0"/>
          <w:numId w:val="9"/>
        </w:numPr>
        <w:jc w:val="both"/>
        <w:rPr>
          <w:sz w:val="24"/>
          <w:szCs w:val="24"/>
          <w:lang w:val="en-US"/>
        </w:rPr>
      </w:pPr>
      <w:r w:rsidRPr="00DB32E2">
        <w:rPr>
          <w:rFonts w:cstheme="majorBidi"/>
          <w:sz w:val="24"/>
          <w:szCs w:val="24"/>
          <w:lang w:val="en-US"/>
        </w:rPr>
        <w:t xml:space="preserve">Bearing in mind the overall mandate of the ITU and its role as the specialized United Nations agency for ICTs, the </w:t>
      </w:r>
      <w:r w:rsidRPr="00DB32E2">
        <w:rPr>
          <w:sz w:val="24"/>
          <w:szCs w:val="24"/>
          <w:lang w:val="en-US"/>
        </w:rPr>
        <w:t>Roadmap is a living document intended to</w:t>
      </w:r>
      <w:r w:rsidRPr="00DB32E2">
        <w:rPr>
          <w:bCs/>
          <w:sz w:val="24"/>
          <w:szCs w:val="24"/>
          <w:lang w:val="en-US"/>
        </w:rPr>
        <w:t xml:space="preserve"> give course to ITU actions related to the implementation of the 2030 Agenda and SDGs.</w:t>
      </w:r>
      <w:r w:rsidRPr="00DB32E2">
        <w:rPr>
          <w:sz w:val="24"/>
          <w:szCs w:val="24"/>
          <w:lang w:val="en-US"/>
        </w:rPr>
        <w:t xml:space="preserve"> </w:t>
      </w:r>
    </w:p>
    <w:p w14:paraId="4BEC6330" w14:textId="77777777" w:rsidR="002C7D52" w:rsidRPr="00DB32E2" w:rsidRDefault="002C7D52" w:rsidP="002C7D52">
      <w:pPr>
        <w:pStyle w:val="ListParagraph"/>
        <w:numPr>
          <w:ilvl w:val="0"/>
          <w:numId w:val="9"/>
        </w:numPr>
        <w:jc w:val="both"/>
        <w:rPr>
          <w:sz w:val="24"/>
          <w:szCs w:val="24"/>
          <w:lang w:val="en-US"/>
        </w:rPr>
      </w:pPr>
      <w:r w:rsidRPr="00DB32E2">
        <w:rPr>
          <w:sz w:val="24"/>
          <w:szCs w:val="24"/>
          <w:lang w:val="en-US"/>
        </w:rPr>
        <w:t xml:space="preserve">The Roadmap is made available in Annex I.  </w:t>
      </w:r>
    </w:p>
    <w:p w14:paraId="46A60D24" w14:textId="77777777" w:rsidR="002C7D52" w:rsidRPr="00DB32E2" w:rsidRDefault="002C7D52" w:rsidP="002C7D52">
      <w:pPr>
        <w:spacing w:after="0" w:line="240" w:lineRule="auto"/>
        <w:rPr>
          <w:rStyle w:val="Strong"/>
          <w:rFonts w:cstheme="majorBidi"/>
          <w:szCs w:val="24"/>
          <w:lang w:val="en-US"/>
        </w:rPr>
      </w:pPr>
      <w:r w:rsidRPr="00DB32E2">
        <w:rPr>
          <w:rStyle w:val="Strong"/>
          <w:rFonts w:cstheme="majorBidi"/>
          <w:szCs w:val="24"/>
          <w:lang w:val="en-US"/>
        </w:rPr>
        <w:br w:type="page"/>
      </w:r>
    </w:p>
    <w:p w14:paraId="6B52FCB6" w14:textId="77777777" w:rsidR="002C7D52" w:rsidRPr="00DB32E2" w:rsidRDefault="002C7D52" w:rsidP="002C7D52">
      <w:pPr>
        <w:spacing w:after="0" w:line="240" w:lineRule="auto"/>
        <w:rPr>
          <w:rStyle w:val="Strong"/>
          <w:rFonts w:cstheme="majorBidi"/>
          <w:sz w:val="24"/>
          <w:szCs w:val="28"/>
          <w:lang w:val="en-US"/>
        </w:rPr>
      </w:pPr>
    </w:p>
    <w:p w14:paraId="69B5BBC4" w14:textId="77777777" w:rsidR="002C7D52" w:rsidRPr="00DB32E2" w:rsidRDefault="002C7D52" w:rsidP="002C7D52">
      <w:pPr>
        <w:jc w:val="center"/>
        <w:rPr>
          <w:rStyle w:val="Strong"/>
          <w:rFonts w:cstheme="majorBidi"/>
          <w:sz w:val="24"/>
          <w:szCs w:val="24"/>
          <w:lang w:val="en-US"/>
        </w:rPr>
      </w:pPr>
      <w:r w:rsidRPr="00DB32E2">
        <w:rPr>
          <w:rStyle w:val="Strong"/>
          <w:rFonts w:cstheme="majorBidi"/>
          <w:sz w:val="24"/>
          <w:szCs w:val="24"/>
          <w:lang w:val="en-US"/>
        </w:rPr>
        <w:t>Annex I</w:t>
      </w:r>
    </w:p>
    <w:p w14:paraId="7BF12C89" w14:textId="77777777" w:rsidR="002C7D52" w:rsidRPr="00DB32E2" w:rsidRDefault="002C7D52" w:rsidP="002C7D52">
      <w:pPr>
        <w:jc w:val="center"/>
        <w:rPr>
          <w:rStyle w:val="Strong"/>
          <w:rFonts w:cstheme="majorBidi"/>
          <w:sz w:val="24"/>
          <w:szCs w:val="24"/>
          <w:lang w:val="en-US"/>
        </w:rPr>
      </w:pPr>
      <w:r w:rsidRPr="00DB32E2">
        <w:rPr>
          <w:rStyle w:val="Strong"/>
          <w:rFonts w:cstheme="majorBidi"/>
          <w:sz w:val="24"/>
          <w:szCs w:val="24"/>
          <w:lang w:val="en-US"/>
        </w:rPr>
        <w:t>DRAFT ROADMAP OF ITU ACTIONS RELATED TO THE SDGs</w:t>
      </w:r>
    </w:p>
    <w:p w14:paraId="6E4677E8" w14:textId="77777777" w:rsidR="002C7D52" w:rsidRPr="00DB32E2" w:rsidRDefault="002C7D52" w:rsidP="002C7D52">
      <w:pPr>
        <w:pStyle w:val="ListParagraph"/>
        <w:numPr>
          <w:ilvl w:val="0"/>
          <w:numId w:val="7"/>
        </w:numPr>
        <w:spacing w:before="240"/>
        <w:jc w:val="both"/>
        <w:rPr>
          <w:rFonts w:cstheme="majorBidi"/>
          <w:b/>
          <w:bCs/>
          <w:sz w:val="24"/>
          <w:szCs w:val="24"/>
          <w:lang w:val="en-US"/>
        </w:rPr>
      </w:pPr>
      <w:r w:rsidRPr="00DB32E2">
        <w:rPr>
          <w:rFonts w:cstheme="majorBidi"/>
          <w:b/>
          <w:bCs/>
          <w:sz w:val="24"/>
          <w:szCs w:val="24"/>
          <w:lang w:val="en-US"/>
        </w:rPr>
        <w:t>Revised ITU Strategic Plan for 2020-2023 aligned with the SDGs and the 2030 Agenda for Sustainable Development</w:t>
      </w:r>
    </w:p>
    <w:p w14:paraId="2072EE1A" w14:textId="77777777" w:rsidR="002C7D52" w:rsidRPr="00DB32E2" w:rsidRDefault="002C7D52" w:rsidP="002C7D52">
      <w:pPr>
        <w:jc w:val="both"/>
        <w:rPr>
          <w:rFonts w:cstheme="majorBidi"/>
          <w:sz w:val="24"/>
          <w:szCs w:val="24"/>
          <w:lang w:val="en-US"/>
        </w:rPr>
      </w:pPr>
      <w:r w:rsidRPr="00DB32E2">
        <w:rPr>
          <w:rFonts w:cstheme="majorBidi"/>
          <w:sz w:val="24"/>
          <w:szCs w:val="24"/>
          <w:lang w:val="en-US"/>
        </w:rPr>
        <w:t>The ITU Plenipotentiary Conference in Dubai in 2018, endorsed the new Strategic Plan for the Union for 2020-2023. The strategic goals and targets set for the Union by the Member States (on 1-Growth, 2-Inclusiveness, 3-Sustainability, 4-Innovation and 5-Partnership) support ITU's role in facilitating progress towards the implementation of the WSIS Action Lines and the 2030 Agenda for Sustainable Development.</w:t>
      </w:r>
    </w:p>
    <w:p w14:paraId="742527CB" w14:textId="77777777" w:rsidR="002C7D52" w:rsidRPr="00DB32E2" w:rsidRDefault="002C7D52" w:rsidP="002C7D52">
      <w:pPr>
        <w:jc w:val="both"/>
        <w:rPr>
          <w:rFonts w:cstheme="majorBidi"/>
          <w:sz w:val="24"/>
          <w:szCs w:val="24"/>
          <w:lang w:val="en-US"/>
        </w:rPr>
      </w:pPr>
      <w:r w:rsidRPr="00DB32E2">
        <w:rPr>
          <w:rFonts w:cstheme="majorBidi"/>
          <w:sz w:val="24"/>
          <w:szCs w:val="24"/>
          <w:lang w:val="en-US"/>
        </w:rPr>
        <w:t>With the adoption of the UNGA Resolution "Transforming our world: the 2030 Agenda for Sustainable Development" ITU, along with the rest of the UN family, needs to support Member States and contribute to the worldwide efforts to achieve the SDGs. The associated 17 SDGs and 169 related targets offer a holistic vision for the UN system.</w:t>
      </w:r>
    </w:p>
    <w:p w14:paraId="50749A78" w14:textId="77777777" w:rsidR="002C7D52" w:rsidRPr="00DB32E2" w:rsidRDefault="002C7D52" w:rsidP="002C7D52">
      <w:pPr>
        <w:jc w:val="both"/>
        <w:rPr>
          <w:rFonts w:cstheme="majorBidi"/>
          <w:sz w:val="24"/>
          <w:szCs w:val="24"/>
          <w:lang w:val="en-US"/>
        </w:rPr>
      </w:pPr>
      <w:r w:rsidRPr="00DB32E2">
        <w:rPr>
          <w:rFonts w:cstheme="majorBidi"/>
          <w:sz w:val="24"/>
          <w:szCs w:val="24"/>
          <w:lang w:val="en-US"/>
        </w:rPr>
        <w:t>The role of Information Communication Technologies (ICTs) as essential catalysts to fast-forward the achievement of the SDGs is clearly highlighted in the 2030 Agenda: "the spread of information and communications technology and global interconnectedness has great potential to accelerate human progress, to bridge the digital divide, and to develop knowledge societies". ITU, as the UN's specialized agency for ICTs and global connectivity, has a key role to play in promoting prosperity in our digital world.</w:t>
      </w:r>
    </w:p>
    <w:p w14:paraId="2456D406" w14:textId="77777777" w:rsidR="002C7D52" w:rsidRPr="00DB32E2" w:rsidRDefault="00D10B5B" w:rsidP="002C7D52">
      <w:pPr>
        <w:pStyle w:val="ListParagraph"/>
        <w:numPr>
          <w:ilvl w:val="0"/>
          <w:numId w:val="7"/>
        </w:numPr>
        <w:spacing w:before="240"/>
        <w:jc w:val="both"/>
        <w:rPr>
          <w:rFonts w:cstheme="majorBidi"/>
          <w:b/>
          <w:bCs/>
          <w:sz w:val="24"/>
          <w:szCs w:val="24"/>
          <w:lang w:val="en-US"/>
        </w:rPr>
      </w:pPr>
      <w:r w:rsidRPr="00DB32E2">
        <w:rPr>
          <w:rFonts w:cstheme="majorBidi"/>
          <w:b/>
          <w:bCs/>
          <w:sz w:val="24"/>
          <w:szCs w:val="24"/>
          <w:lang w:val="en-US"/>
        </w:rPr>
        <w:t>Discussions at WG</w:t>
      </w:r>
      <w:r w:rsidR="00DB32E2" w:rsidRPr="00DB32E2">
        <w:rPr>
          <w:rFonts w:cstheme="majorBidi"/>
          <w:b/>
          <w:bCs/>
          <w:sz w:val="24"/>
          <w:szCs w:val="24"/>
          <w:lang w:val="en-US"/>
        </w:rPr>
        <w:t>–WSIS &amp;SDG</w:t>
      </w:r>
      <w:r w:rsidR="002C7D52" w:rsidRPr="00DB32E2">
        <w:rPr>
          <w:rFonts w:cstheme="majorBidi"/>
          <w:b/>
          <w:bCs/>
          <w:sz w:val="24"/>
          <w:szCs w:val="24"/>
          <w:lang w:val="en-US"/>
        </w:rPr>
        <w:t xml:space="preserve">, and at annual sessions of Council </w:t>
      </w:r>
    </w:p>
    <w:p w14:paraId="3210A945" w14:textId="77777777" w:rsidR="002C7D52" w:rsidRPr="00DB32E2" w:rsidRDefault="002C7D52" w:rsidP="002C7D52">
      <w:pPr>
        <w:jc w:val="both"/>
        <w:rPr>
          <w:rFonts w:cstheme="majorBidi"/>
          <w:sz w:val="24"/>
          <w:szCs w:val="24"/>
          <w:lang w:val="en-US"/>
        </w:rPr>
      </w:pPr>
      <w:r w:rsidRPr="00DB32E2">
        <w:rPr>
          <w:rFonts w:cstheme="majorBidi"/>
          <w:sz w:val="24"/>
          <w:szCs w:val="24"/>
          <w:lang w:val="en-US"/>
        </w:rPr>
        <w:t>ITU’s activities related to the implementation of the 2030 Agenda will be reported annually to Council for its feedback and guidance on how ITU can better serve its members and the global community in achieving the Sustainable Development Goals and Targets.</w:t>
      </w:r>
    </w:p>
    <w:p w14:paraId="443A93A8" w14:textId="77777777" w:rsidR="002C7D52" w:rsidRPr="00DB32E2" w:rsidRDefault="002C7D52" w:rsidP="00DB32E2">
      <w:pPr>
        <w:pStyle w:val="ListParagraph"/>
        <w:numPr>
          <w:ilvl w:val="0"/>
          <w:numId w:val="7"/>
        </w:numPr>
        <w:contextualSpacing/>
        <w:jc w:val="both"/>
        <w:rPr>
          <w:rFonts w:cstheme="majorBidi"/>
          <w:b/>
          <w:bCs/>
          <w:sz w:val="24"/>
          <w:szCs w:val="24"/>
          <w:lang w:val="en-US"/>
        </w:rPr>
      </w:pPr>
      <w:r w:rsidRPr="00DB32E2">
        <w:rPr>
          <w:rFonts w:cstheme="majorBidi"/>
          <w:b/>
          <w:bCs/>
          <w:sz w:val="24"/>
          <w:szCs w:val="24"/>
          <w:lang w:val="en-US"/>
        </w:rPr>
        <w:t>WSIS / SDG Task Force as the inter-sectoral coordination mechanism</w:t>
      </w:r>
    </w:p>
    <w:p w14:paraId="163F7AD6" w14:textId="77777777" w:rsidR="002C7D52" w:rsidRPr="00DB32E2" w:rsidRDefault="00DB32E2" w:rsidP="002C7D52">
      <w:pPr>
        <w:jc w:val="both"/>
        <w:rPr>
          <w:rFonts w:cstheme="majorBidi"/>
          <w:sz w:val="24"/>
          <w:szCs w:val="24"/>
          <w:lang w:val="en-US"/>
        </w:rPr>
      </w:pPr>
      <w:r w:rsidRPr="00DB32E2">
        <w:rPr>
          <w:rFonts w:cstheme="majorBidi"/>
          <w:sz w:val="24"/>
          <w:szCs w:val="24"/>
          <w:lang w:val="en-US"/>
        </w:rPr>
        <w:t>WSIS / SDG</w:t>
      </w:r>
      <w:r w:rsidR="002C7D52" w:rsidRPr="00DB32E2">
        <w:rPr>
          <w:rFonts w:cstheme="majorBidi"/>
          <w:sz w:val="24"/>
          <w:szCs w:val="24"/>
          <w:lang w:val="en-US"/>
        </w:rPr>
        <w:t xml:space="preserve"> Task Force facilitates coordination of ITU Secretariat’s activities in relation to 2030 Agenda for Sustainable Development and WSIS processes within the allocated resources in the financial plan and biennial budget.</w:t>
      </w:r>
    </w:p>
    <w:p w14:paraId="1C581F50" w14:textId="77777777" w:rsidR="002C7D52" w:rsidRPr="00DB32E2" w:rsidRDefault="002C7D52" w:rsidP="002C7D52">
      <w:pPr>
        <w:pStyle w:val="ListParagraph"/>
        <w:numPr>
          <w:ilvl w:val="0"/>
          <w:numId w:val="7"/>
        </w:numPr>
        <w:spacing w:before="240"/>
        <w:jc w:val="both"/>
        <w:rPr>
          <w:rFonts w:cstheme="majorBidi"/>
          <w:b/>
          <w:bCs/>
          <w:sz w:val="24"/>
          <w:szCs w:val="24"/>
          <w:lang w:val="en-US"/>
        </w:rPr>
      </w:pPr>
      <w:r w:rsidRPr="00DB32E2">
        <w:rPr>
          <w:rFonts w:cstheme="majorBidi"/>
          <w:b/>
          <w:bCs/>
          <w:sz w:val="24"/>
          <w:szCs w:val="24"/>
          <w:lang w:val="en-US"/>
        </w:rPr>
        <w:t>Cross-sectoral mapping of ITU activities and initiatives to the SDGs</w:t>
      </w:r>
    </w:p>
    <w:p w14:paraId="7BB6030C" w14:textId="4A611C0A" w:rsidR="002C7D52" w:rsidRPr="00DB32E2" w:rsidRDefault="002C7D52" w:rsidP="002C7D52">
      <w:pPr>
        <w:jc w:val="both"/>
        <w:rPr>
          <w:rFonts w:cstheme="majorBidi"/>
          <w:sz w:val="24"/>
          <w:szCs w:val="24"/>
          <w:lang w:val="en-US"/>
        </w:rPr>
      </w:pPr>
      <w:r w:rsidRPr="00DB32E2">
        <w:rPr>
          <w:rFonts w:cstheme="majorBidi"/>
          <w:sz w:val="24"/>
          <w:szCs w:val="24"/>
          <w:lang w:val="en-US"/>
        </w:rPr>
        <w:t>The ITU secretariat will continue to update the stocktaking and mapping of all ITU initiatives and activities related to the SDGs</w:t>
      </w:r>
      <w:r w:rsidR="00C23109" w:rsidRPr="00DB32E2">
        <w:rPr>
          <w:rFonts w:cstheme="majorBidi"/>
          <w:sz w:val="24"/>
          <w:szCs w:val="24"/>
          <w:lang w:val="en-US"/>
        </w:rPr>
        <w:t xml:space="preserve"> (</w:t>
      </w:r>
      <w:hyperlink r:id="rId15" w:history="1">
        <w:r w:rsidR="00C23109" w:rsidRPr="00DB32E2">
          <w:rPr>
            <w:rStyle w:val="Hyperlink"/>
            <w:rFonts w:cstheme="majorBidi"/>
            <w:sz w:val="24"/>
            <w:szCs w:val="24"/>
            <w:lang w:val="en-US"/>
          </w:rPr>
          <w:t>ITU SDG Mapping tool</w:t>
        </w:r>
      </w:hyperlink>
      <w:r w:rsidR="00C23109" w:rsidRPr="00DB32E2">
        <w:rPr>
          <w:rFonts w:cstheme="majorBidi"/>
          <w:sz w:val="24"/>
          <w:szCs w:val="24"/>
          <w:lang w:val="en-US"/>
        </w:rPr>
        <w:t>)</w:t>
      </w:r>
      <w:r w:rsidRPr="00DB32E2">
        <w:rPr>
          <w:rFonts w:cstheme="majorBidi"/>
          <w:sz w:val="24"/>
          <w:szCs w:val="24"/>
          <w:lang w:val="en-US"/>
        </w:rPr>
        <w:t>, taking into consideration existing frameworks provided by the WSIS Action Lines for the overall ICT ecosystem.</w:t>
      </w:r>
    </w:p>
    <w:p w14:paraId="109FCC0A" w14:textId="263F1793" w:rsidR="002C7D52" w:rsidRPr="00DB32E2" w:rsidRDefault="00240315" w:rsidP="002C7D52">
      <w:pPr>
        <w:jc w:val="both"/>
        <w:rPr>
          <w:rFonts w:cstheme="majorBidi"/>
          <w:sz w:val="24"/>
          <w:szCs w:val="24"/>
          <w:lang w:val="en-US"/>
        </w:rPr>
      </w:pPr>
      <w:r w:rsidRPr="00DB32E2">
        <w:rPr>
          <w:rFonts w:cstheme="majorBidi"/>
          <w:sz w:val="24"/>
          <w:szCs w:val="24"/>
          <w:lang w:val="en-US"/>
        </w:rPr>
        <w:t xml:space="preserve">This </w:t>
      </w:r>
      <w:r w:rsidR="002C7D52" w:rsidRPr="00DB32E2">
        <w:rPr>
          <w:rFonts w:cstheme="majorBidi"/>
          <w:sz w:val="24"/>
          <w:szCs w:val="24"/>
          <w:lang w:val="en-US"/>
        </w:rPr>
        <w:t>includes also, a link with the WSIS Stocktaking now implemented as well as providing a space for other stakeholders to map their own ICT activities with the SDGs.</w:t>
      </w:r>
    </w:p>
    <w:p w14:paraId="5D6345AB" w14:textId="77777777" w:rsidR="002C7D52" w:rsidRPr="00DB32E2" w:rsidRDefault="002C7D52" w:rsidP="002C7D52">
      <w:pPr>
        <w:pStyle w:val="ListParagraph"/>
        <w:numPr>
          <w:ilvl w:val="0"/>
          <w:numId w:val="7"/>
        </w:numPr>
        <w:spacing w:before="240"/>
        <w:contextualSpacing/>
        <w:jc w:val="both"/>
        <w:rPr>
          <w:rFonts w:cstheme="majorBidi"/>
          <w:b/>
          <w:bCs/>
          <w:sz w:val="24"/>
          <w:szCs w:val="24"/>
          <w:lang w:val="en-US"/>
        </w:rPr>
      </w:pPr>
      <w:r w:rsidRPr="00DB32E2">
        <w:rPr>
          <w:rFonts w:cstheme="majorBidi"/>
          <w:b/>
          <w:bCs/>
          <w:sz w:val="24"/>
          <w:szCs w:val="24"/>
          <w:lang w:val="en-US"/>
        </w:rPr>
        <w:t xml:space="preserve">Review and input from the ITU Sectors </w:t>
      </w:r>
    </w:p>
    <w:p w14:paraId="44748724" w14:textId="68FBF16F" w:rsidR="002C7D52" w:rsidRPr="00DB32E2" w:rsidRDefault="002C7D52" w:rsidP="000A6AFE">
      <w:pPr>
        <w:jc w:val="both"/>
        <w:rPr>
          <w:sz w:val="24"/>
          <w:szCs w:val="24"/>
          <w:lang w:val="en-US"/>
        </w:rPr>
      </w:pPr>
      <w:r w:rsidRPr="00DB32E2">
        <w:rPr>
          <w:sz w:val="24"/>
          <w:szCs w:val="24"/>
          <w:lang w:val="en-US"/>
        </w:rPr>
        <w:t xml:space="preserve">Since Council 2017, measures have been taken to report on the contribution of ITU to the implementation of the 2030 Agenda for Sustainable Development, through the ITU Annual Report (please refer to the </w:t>
      </w:r>
      <w:r w:rsidR="000A6AFE" w:rsidRPr="00DB32E2">
        <w:rPr>
          <w:sz w:val="24"/>
          <w:szCs w:val="24"/>
          <w:lang w:val="en-US"/>
        </w:rPr>
        <w:t xml:space="preserve">latest </w:t>
      </w:r>
      <w:r w:rsidRPr="00DB32E2">
        <w:rPr>
          <w:sz w:val="24"/>
          <w:szCs w:val="24"/>
          <w:lang w:val="en-US"/>
        </w:rPr>
        <w:t xml:space="preserve">Report on the Implementation of the Strategic Plan and Activities of the </w:t>
      </w:r>
      <w:r w:rsidRPr="00DB32E2">
        <w:rPr>
          <w:sz w:val="24"/>
          <w:szCs w:val="24"/>
          <w:lang w:val="en-US"/>
        </w:rPr>
        <w:lastRenderedPageBreak/>
        <w:t>Union/ITU Annual Progress Report</w:t>
      </w:r>
      <w:r w:rsidR="000A6AFE" w:rsidRPr="00DB32E2">
        <w:rPr>
          <w:sz w:val="24"/>
          <w:szCs w:val="24"/>
          <w:lang w:val="en-US"/>
        </w:rPr>
        <w:t xml:space="preserve"> </w:t>
      </w:r>
      <w:hyperlink r:id="rId16" w:history="1">
        <w:r w:rsidR="000A6AFE" w:rsidRPr="00DB32E2">
          <w:rPr>
            <w:rStyle w:val="Hyperlink"/>
            <w:sz w:val="24"/>
            <w:szCs w:val="24"/>
            <w:lang w:val="en-US"/>
          </w:rPr>
          <w:t>C19/35</w:t>
        </w:r>
      </w:hyperlink>
      <w:r w:rsidRPr="00DB32E2">
        <w:rPr>
          <w:sz w:val="24"/>
          <w:szCs w:val="24"/>
          <w:lang w:val="en-US"/>
        </w:rPr>
        <w:t xml:space="preserve">). </w:t>
      </w:r>
      <w:r w:rsidR="000A6AFE" w:rsidRPr="00DB32E2">
        <w:rPr>
          <w:sz w:val="24"/>
          <w:szCs w:val="24"/>
          <w:lang w:val="en-US"/>
        </w:rPr>
        <w:t>I</w:t>
      </w:r>
      <w:r w:rsidRPr="00DB32E2">
        <w:rPr>
          <w:sz w:val="24"/>
          <w:szCs w:val="24"/>
          <w:lang w:val="en-US"/>
        </w:rPr>
        <w:t xml:space="preserve">nformation has also been introduced in the </w:t>
      </w:r>
      <w:hyperlink r:id="rId17" w:history="1">
        <w:r w:rsidRPr="00DB32E2">
          <w:rPr>
            <w:rStyle w:val="Hyperlink"/>
            <w:sz w:val="24"/>
            <w:szCs w:val="24"/>
            <w:lang w:val="en-US"/>
          </w:rPr>
          <w:t>ITU SDG Mapping tool</w:t>
        </w:r>
      </w:hyperlink>
      <w:bookmarkStart w:id="7" w:name="_GoBack"/>
      <w:bookmarkEnd w:id="7"/>
      <w:r w:rsidRPr="00DB32E2">
        <w:rPr>
          <w:sz w:val="24"/>
          <w:szCs w:val="24"/>
          <w:lang w:val="en-US"/>
        </w:rPr>
        <w:t>.</w:t>
      </w:r>
    </w:p>
    <w:p w14:paraId="457137A2" w14:textId="77777777" w:rsidR="002C7D52" w:rsidRPr="00DB32E2" w:rsidRDefault="002C7D52">
      <w:pPr>
        <w:jc w:val="both"/>
        <w:rPr>
          <w:sz w:val="24"/>
          <w:szCs w:val="24"/>
          <w:lang w:val="en-US"/>
        </w:rPr>
      </w:pPr>
      <w:r w:rsidRPr="00DB32E2">
        <w:rPr>
          <w:sz w:val="24"/>
          <w:szCs w:val="24"/>
          <w:lang w:val="en-US"/>
        </w:rPr>
        <w:t xml:space="preserve">ITU activities contributing to the 2030 Agenda are also reflected in the </w:t>
      </w:r>
      <w:r w:rsidR="000A6AFE" w:rsidRPr="00DB32E2">
        <w:rPr>
          <w:sz w:val="24"/>
          <w:szCs w:val="24"/>
          <w:lang w:val="en-US"/>
        </w:rPr>
        <w:t xml:space="preserve">Annual </w:t>
      </w:r>
      <w:r w:rsidRPr="00DB32E2">
        <w:rPr>
          <w:sz w:val="24"/>
          <w:szCs w:val="24"/>
          <w:lang w:val="en-US"/>
        </w:rPr>
        <w:t>Four-year rolling Operational Plans</w:t>
      </w:r>
      <w:r w:rsidR="000A6AFE" w:rsidRPr="00DB32E2">
        <w:rPr>
          <w:sz w:val="24"/>
          <w:szCs w:val="24"/>
          <w:lang w:val="en-US"/>
        </w:rPr>
        <w:t xml:space="preserve"> 2020-2023</w:t>
      </w:r>
      <w:r w:rsidRPr="00DB32E2">
        <w:rPr>
          <w:sz w:val="24"/>
          <w:szCs w:val="24"/>
          <w:lang w:val="en-US"/>
        </w:rPr>
        <w:t xml:space="preserve"> (</w:t>
      </w:r>
      <w:hyperlink r:id="rId18" w:history="1">
        <w:r w:rsidR="000A6AFE" w:rsidRPr="00DB32E2">
          <w:rPr>
            <w:rStyle w:val="Hyperlink"/>
            <w:sz w:val="24"/>
            <w:szCs w:val="24"/>
            <w:lang w:val="en-US"/>
          </w:rPr>
          <w:t>Resolution 1395</w:t>
        </w:r>
      </w:hyperlink>
      <w:r w:rsidR="000A6AFE" w:rsidRPr="00DB32E2">
        <w:rPr>
          <w:sz w:val="24"/>
          <w:szCs w:val="24"/>
          <w:lang w:val="en-US"/>
        </w:rPr>
        <w:t>: Annual four-year rolling Operational Plans for the Union for 2020-2023</w:t>
      </w:r>
      <w:r w:rsidRPr="00DB32E2">
        <w:rPr>
          <w:sz w:val="24"/>
          <w:szCs w:val="24"/>
          <w:lang w:val="en-US"/>
        </w:rPr>
        <w:t>)</w:t>
      </w:r>
      <w:r w:rsidR="000A6AFE" w:rsidRPr="00DB32E2">
        <w:rPr>
          <w:sz w:val="24"/>
          <w:szCs w:val="24"/>
          <w:lang w:val="en-US"/>
        </w:rPr>
        <w:t xml:space="preserve"> – presented in document </w:t>
      </w:r>
      <w:hyperlink r:id="rId19" w:history="1">
        <w:r w:rsidR="000A6AFE" w:rsidRPr="00DB32E2">
          <w:rPr>
            <w:rStyle w:val="Hyperlink"/>
            <w:sz w:val="24"/>
            <w:szCs w:val="24"/>
            <w:lang w:val="en-US"/>
          </w:rPr>
          <w:t>C19/28</w:t>
        </w:r>
      </w:hyperlink>
      <w:r w:rsidR="000A6AFE" w:rsidRPr="00DB32E2">
        <w:rPr>
          <w:sz w:val="24"/>
          <w:szCs w:val="24"/>
          <w:lang w:val="en-US"/>
        </w:rPr>
        <w:t>.</w:t>
      </w:r>
    </w:p>
    <w:p w14:paraId="23702D9A" w14:textId="77777777" w:rsidR="002C7D52" w:rsidRPr="00DB32E2" w:rsidRDefault="002C7D52" w:rsidP="002C7D52">
      <w:pPr>
        <w:pStyle w:val="ListParagraph"/>
        <w:numPr>
          <w:ilvl w:val="0"/>
          <w:numId w:val="7"/>
        </w:numPr>
        <w:spacing w:before="240"/>
        <w:jc w:val="both"/>
        <w:rPr>
          <w:rFonts w:cstheme="majorBidi"/>
          <w:b/>
          <w:bCs/>
          <w:sz w:val="24"/>
          <w:szCs w:val="24"/>
          <w:lang w:val="en-US"/>
        </w:rPr>
      </w:pPr>
      <w:r w:rsidRPr="00DB32E2">
        <w:rPr>
          <w:rFonts w:cstheme="majorBidi"/>
          <w:b/>
          <w:bCs/>
          <w:sz w:val="24"/>
          <w:szCs w:val="24"/>
          <w:lang w:val="en-US"/>
        </w:rPr>
        <w:t>Engagement with Member States</w:t>
      </w:r>
    </w:p>
    <w:p w14:paraId="21922811" w14:textId="77777777" w:rsidR="002C7D52" w:rsidRPr="00DB32E2" w:rsidRDefault="002C7D52" w:rsidP="002C7D52">
      <w:pPr>
        <w:spacing w:before="240"/>
        <w:jc w:val="both"/>
        <w:rPr>
          <w:rFonts w:cstheme="majorBidi"/>
          <w:sz w:val="24"/>
          <w:szCs w:val="24"/>
          <w:lang w:val="en-US"/>
        </w:rPr>
      </w:pPr>
      <w:r w:rsidRPr="00DB32E2">
        <w:rPr>
          <w:rFonts w:cstheme="majorBidi"/>
          <w:sz w:val="24"/>
          <w:szCs w:val="24"/>
          <w:lang w:val="en-US"/>
        </w:rPr>
        <w:t>The main areas of focus here are on ITUs advocacy and assistance for the use of ICTs for development activities.</w:t>
      </w:r>
    </w:p>
    <w:p w14:paraId="7F17D3B6" w14:textId="77777777" w:rsidR="002C7D52" w:rsidRPr="00DB32E2" w:rsidRDefault="002C7D52" w:rsidP="002C7D52">
      <w:pPr>
        <w:jc w:val="both"/>
        <w:rPr>
          <w:rFonts w:cstheme="majorBidi"/>
          <w:sz w:val="24"/>
          <w:szCs w:val="24"/>
          <w:lang w:val="en-US"/>
        </w:rPr>
      </w:pPr>
      <w:r w:rsidRPr="00DB32E2">
        <w:rPr>
          <w:rFonts w:cstheme="majorBidi"/>
          <w:sz w:val="24"/>
          <w:szCs w:val="24"/>
          <w:lang w:val="en-US"/>
        </w:rPr>
        <w:t>The SDG global follow-up and review process foresees the presentation of Voluntary National Reviews (VNR) during the High Level Political Forum held annually in July in New York. Member States will be continuously encouraged to ensure highlighting in their future Voluntary National Review, the importance of ICT for sustainable development as a cross-cutting enabler and accelerator to achieve the SDGs. Highlights could include illustrating good practices, lessons learned, challenges, opportunities and support required in terms of finance, capacity building, technology, partnerships etc.  References to policy and enabling environment measures with key stakeholders including national and local government, legislative bodies, civil society and the private sector are encouraged.</w:t>
      </w:r>
    </w:p>
    <w:p w14:paraId="5021EE85" w14:textId="77777777" w:rsidR="002C7D52" w:rsidRPr="00DB32E2" w:rsidRDefault="002C7D52" w:rsidP="002C7D52">
      <w:pPr>
        <w:jc w:val="both"/>
        <w:rPr>
          <w:rFonts w:cstheme="majorBidi"/>
          <w:sz w:val="24"/>
          <w:szCs w:val="24"/>
          <w:lang w:val="en-US"/>
        </w:rPr>
      </w:pPr>
      <w:r w:rsidRPr="00DB32E2">
        <w:rPr>
          <w:rFonts w:cstheme="majorBidi"/>
          <w:sz w:val="24"/>
          <w:szCs w:val="24"/>
          <w:lang w:val="en-US"/>
        </w:rPr>
        <w:t>Periodic information sessions for New York Permanent Missions on ITU relevant work and ICT4SDGs will be continued, with particular focus on the set of SDGs selected for deep dives during each HLPF.</w:t>
      </w:r>
    </w:p>
    <w:p w14:paraId="40C83278" w14:textId="77777777" w:rsidR="002C7D52" w:rsidRPr="00DB32E2" w:rsidRDefault="002C7D52" w:rsidP="002C7D52">
      <w:pPr>
        <w:spacing w:before="240"/>
        <w:jc w:val="both"/>
        <w:rPr>
          <w:rFonts w:cstheme="majorBidi"/>
          <w:b/>
          <w:bCs/>
          <w:sz w:val="24"/>
          <w:szCs w:val="24"/>
          <w:lang w:val="en-US"/>
        </w:rPr>
      </w:pPr>
      <w:r w:rsidRPr="00DB32E2">
        <w:rPr>
          <w:rFonts w:cstheme="majorBidi"/>
          <w:sz w:val="24"/>
          <w:szCs w:val="24"/>
          <w:lang w:val="en-US"/>
        </w:rPr>
        <w:t xml:space="preserve">Member states will continue to be encouraged to incorporate ICT component for SDGs in national development frameworks, including the </w:t>
      </w:r>
      <w:r w:rsidR="00997763" w:rsidRPr="00DB32E2">
        <w:rPr>
          <w:rFonts w:cstheme="majorBidi"/>
          <w:sz w:val="24"/>
          <w:szCs w:val="24"/>
          <w:lang w:val="en-US"/>
        </w:rPr>
        <w:t>United Nations Sustainable Development Cooperation Frameworks (former UNDAFs)</w:t>
      </w:r>
      <w:r w:rsidRPr="00DB32E2">
        <w:rPr>
          <w:rFonts w:cstheme="majorBidi"/>
          <w:sz w:val="24"/>
          <w:szCs w:val="24"/>
          <w:lang w:val="en-US"/>
        </w:rPr>
        <w:t>.</w:t>
      </w:r>
    </w:p>
    <w:p w14:paraId="5B44EA60" w14:textId="77777777" w:rsidR="002C7D52" w:rsidRPr="00DB32E2" w:rsidRDefault="002C7D52" w:rsidP="002C7D52">
      <w:pPr>
        <w:pStyle w:val="ListParagraph"/>
        <w:numPr>
          <w:ilvl w:val="0"/>
          <w:numId w:val="7"/>
        </w:numPr>
        <w:spacing w:before="240"/>
        <w:jc w:val="both"/>
        <w:rPr>
          <w:rFonts w:cstheme="majorBidi"/>
          <w:b/>
          <w:bCs/>
          <w:sz w:val="24"/>
          <w:szCs w:val="24"/>
          <w:lang w:val="en-US"/>
        </w:rPr>
      </w:pPr>
      <w:r w:rsidRPr="00DB32E2">
        <w:rPr>
          <w:rFonts w:cstheme="majorBidi"/>
          <w:b/>
          <w:bCs/>
          <w:sz w:val="24"/>
          <w:szCs w:val="24"/>
          <w:lang w:val="en-US"/>
        </w:rPr>
        <w:t>Engaging with all stakeholders on the implementation of the Connect 2030 Agenda and the SDGs</w:t>
      </w:r>
    </w:p>
    <w:p w14:paraId="7DE05B55" w14:textId="77777777" w:rsidR="002C7D52" w:rsidRPr="00DB32E2" w:rsidRDefault="002C7D52" w:rsidP="002C7D52">
      <w:pPr>
        <w:jc w:val="both"/>
        <w:rPr>
          <w:rFonts w:cstheme="majorBidi"/>
          <w:sz w:val="24"/>
          <w:szCs w:val="24"/>
          <w:lang w:val="en-US"/>
        </w:rPr>
      </w:pPr>
      <w:r w:rsidRPr="00DB32E2">
        <w:rPr>
          <w:rFonts w:cstheme="majorBidi"/>
          <w:sz w:val="24"/>
          <w:szCs w:val="24"/>
          <w:lang w:val="en-US"/>
        </w:rPr>
        <w:t>In the Resolution 200 (REV. DUBAI, 2018) the Connect 2030 Agenda endorses the high-level strategic goals and targets set out in the strategic plan of the Union and the global broadband targets set up by the Broadband Commission for Sustainable Development, and aims to inspire and invite all stakeholders and entities to work together to contribute and implement the 2030 Agenda for Sustainable Development and the SDGs.</w:t>
      </w:r>
    </w:p>
    <w:p w14:paraId="231CD2C0" w14:textId="77777777" w:rsidR="002C7D52" w:rsidRPr="00DB32E2" w:rsidRDefault="002C7D52" w:rsidP="0069280C">
      <w:pPr>
        <w:jc w:val="both"/>
        <w:rPr>
          <w:rFonts w:cstheme="majorBidi"/>
          <w:sz w:val="24"/>
          <w:szCs w:val="24"/>
          <w:lang w:val="en-US"/>
        </w:rPr>
      </w:pPr>
      <w:r w:rsidRPr="00DB32E2">
        <w:rPr>
          <w:rFonts w:cstheme="majorBidi"/>
          <w:sz w:val="24"/>
          <w:szCs w:val="24"/>
          <w:lang w:val="en-US"/>
        </w:rPr>
        <w:t>As part of the implementation of the ITU Strategic Plan, ITU will engage with all stakeholders, including international organizations, the private sector, civil society and academia, while undertaking initiatives to support the implementation of the 2030 Agenda and the SDGs. ITU brings together more than 700 Sector Members and Associates from industry, international and regional organizations</w:t>
      </w:r>
      <w:r w:rsidR="00CE51CC" w:rsidRPr="00DB32E2">
        <w:rPr>
          <w:rFonts w:cstheme="majorBidi"/>
          <w:sz w:val="24"/>
          <w:szCs w:val="24"/>
          <w:lang w:val="en-US"/>
        </w:rPr>
        <w:t xml:space="preserve"> </w:t>
      </w:r>
      <w:r w:rsidR="0069280C" w:rsidRPr="00DB32E2">
        <w:rPr>
          <w:rFonts w:cstheme="majorBidi"/>
          <w:sz w:val="24"/>
          <w:szCs w:val="24"/>
          <w:lang w:val="en-US"/>
        </w:rPr>
        <w:t>and</w:t>
      </w:r>
      <w:r w:rsidRPr="00DB32E2">
        <w:rPr>
          <w:rFonts w:cstheme="majorBidi"/>
          <w:sz w:val="24"/>
          <w:szCs w:val="24"/>
          <w:lang w:val="en-US"/>
        </w:rPr>
        <w:t xml:space="preserve"> academia, providing a unique, trusted and global multi-stakeholder platform for partners from the public and private sectors to address ICT issues related to the implementation of the SDGs.</w:t>
      </w:r>
    </w:p>
    <w:p w14:paraId="23CDE7CB" w14:textId="77777777" w:rsidR="002C7D52" w:rsidRPr="00DB32E2" w:rsidRDefault="002C7D52" w:rsidP="002C7D52">
      <w:pPr>
        <w:pStyle w:val="ListParagraph"/>
        <w:numPr>
          <w:ilvl w:val="0"/>
          <w:numId w:val="7"/>
        </w:numPr>
        <w:spacing w:before="240"/>
        <w:jc w:val="both"/>
        <w:rPr>
          <w:rFonts w:cstheme="majorBidi"/>
          <w:b/>
          <w:bCs/>
          <w:sz w:val="24"/>
          <w:szCs w:val="24"/>
          <w:lang w:val="en-US"/>
        </w:rPr>
      </w:pPr>
      <w:r w:rsidRPr="00DB32E2">
        <w:rPr>
          <w:rFonts w:cstheme="majorBidi"/>
          <w:b/>
          <w:bCs/>
          <w:sz w:val="24"/>
          <w:szCs w:val="24"/>
          <w:lang w:val="en-US"/>
        </w:rPr>
        <w:t>UN system-wide coordination on the SDGs</w:t>
      </w:r>
    </w:p>
    <w:p w14:paraId="2D421AA2" w14:textId="77777777" w:rsidR="002C7D52" w:rsidRPr="00DB32E2" w:rsidRDefault="002C7D52" w:rsidP="002C7D52">
      <w:pPr>
        <w:jc w:val="both"/>
        <w:rPr>
          <w:rFonts w:cstheme="majorBidi"/>
          <w:sz w:val="24"/>
          <w:szCs w:val="24"/>
          <w:lang w:val="en-US"/>
        </w:rPr>
      </w:pPr>
      <w:r w:rsidRPr="00DB32E2">
        <w:rPr>
          <w:rFonts w:cstheme="majorBidi"/>
          <w:sz w:val="24"/>
          <w:szCs w:val="24"/>
          <w:lang w:val="en-US"/>
        </w:rPr>
        <w:t>ITU participation in relevant UN system coordination mechanisms, under related 2030 Agenda and SDG implementation issues. Among these:</w:t>
      </w:r>
    </w:p>
    <w:p w14:paraId="5C04820E" w14:textId="77777777" w:rsidR="002C7D52" w:rsidRPr="00DB32E2" w:rsidRDefault="002C7D52" w:rsidP="002C7D52">
      <w:pPr>
        <w:pStyle w:val="ListParagraph"/>
        <w:numPr>
          <w:ilvl w:val="0"/>
          <w:numId w:val="6"/>
        </w:numPr>
        <w:contextualSpacing/>
        <w:jc w:val="both"/>
        <w:rPr>
          <w:rFonts w:cstheme="majorBidi"/>
          <w:sz w:val="24"/>
          <w:szCs w:val="24"/>
          <w:lang w:val="en-US"/>
        </w:rPr>
      </w:pPr>
      <w:r w:rsidRPr="00DB32E2">
        <w:rPr>
          <w:rFonts w:cstheme="majorBidi"/>
          <w:sz w:val="24"/>
          <w:szCs w:val="24"/>
          <w:lang w:val="en-US"/>
        </w:rPr>
        <w:lastRenderedPageBreak/>
        <w:t>Chief Executive Board for Coordination</w:t>
      </w:r>
    </w:p>
    <w:p w14:paraId="33FE3EAF" w14:textId="77777777" w:rsidR="002C7D52" w:rsidRPr="00DB32E2" w:rsidRDefault="002C7D52" w:rsidP="002C7D52">
      <w:pPr>
        <w:pStyle w:val="ListParagraph"/>
        <w:numPr>
          <w:ilvl w:val="0"/>
          <w:numId w:val="6"/>
        </w:numPr>
        <w:contextualSpacing/>
        <w:jc w:val="both"/>
        <w:rPr>
          <w:rFonts w:cstheme="majorBidi"/>
          <w:sz w:val="24"/>
          <w:szCs w:val="24"/>
          <w:lang w:val="en-US"/>
        </w:rPr>
      </w:pPr>
      <w:r w:rsidRPr="00DB32E2">
        <w:rPr>
          <w:rFonts w:cstheme="majorBidi"/>
          <w:sz w:val="24"/>
          <w:szCs w:val="24"/>
          <w:lang w:val="en-US"/>
        </w:rPr>
        <w:t>High Level Committee on Programmes</w:t>
      </w:r>
    </w:p>
    <w:p w14:paraId="3BB7931F" w14:textId="77777777" w:rsidR="002C7D52" w:rsidRPr="00DB32E2" w:rsidRDefault="002C7D52" w:rsidP="002C7D52">
      <w:pPr>
        <w:pStyle w:val="ListParagraph"/>
        <w:numPr>
          <w:ilvl w:val="0"/>
          <w:numId w:val="6"/>
        </w:numPr>
        <w:contextualSpacing/>
        <w:jc w:val="both"/>
        <w:rPr>
          <w:rFonts w:cstheme="majorBidi"/>
          <w:sz w:val="24"/>
          <w:szCs w:val="24"/>
          <w:lang w:val="en-US"/>
        </w:rPr>
      </w:pPr>
      <w:r w:rsidRPr="00DB32E2">
        <w:rPr>
          <w:rFonts w:cstheme="majorBidi"/>
          <w:sz w:val="24"/>
          <w:szCs w:val="24"/>
          <w:lang w:val="en-US"/>
        </w:rPr>
        <w:t>High Level Committee on Management</w:t>
      </w:r>
    </w:p>
    <w:p w14:paraId="0C93D40C" w14:textId="77777777" w:rsidR="002C7D52" w:rsidRPr="00DB32E2" w:rsidRDefault="002C7D52" w:rsidP="002C7D52">
      <w:pPr>
        <w:pStyle w:val="ListParagraph"/>
        <w:numPr>
          <w:ilvl w:val="0"/>
          <w:numId w:val="6"/>
        </w:numPr>
        <w:contextualSpacing/>
        <w:jc w:val="both"/>
        <w:rPr>
          <w:rFonts w:cstheme="majorBidi"/>
          <w:sz w:val="24"/>
          <w:szCs w:val="24"/>
          <w:lang w:val="en-US"/>
        </w:rPr>
      </w:pPr>
      <w:r w:rsidRPr="00DB32E2">
        <w:rPr>
          <w:rFonts w:cstheme="majorBidi"/>
          <w:sz w:val="24"/>
          <w:szCs w:val="24"/>
          <w:lang w:val="en-US"/>
        </w:rPr>
        <w:t>Interagency Task Team on Science, Technology and Innovation as part of the Technology Facilitation Mechanism entrusted with the STI Forum and Online Platform</w:t>
      </w:r>
    </w:p>
    <w:p w14:paraId="1E3A8449" w14:textId="77777777" w:rsidR="002C7D52" w:rsidRPr="00DB32E2" w:rsidRDefault="002C7D52" w:rsidP="00240315">
      <w:pPr>
        <w:pStyle w:val="ListParagraph"/>
        <w:numPr>
          <w:ilvl w:val="0"/>
          <w:numId w:val="6"/>
        </w:numPr>
        <w:spacing w:after="0"/>
        <w:ind w:left="357" w:hanging="357"/>
        <w:contextualSpacing/>
        <w:jc w:val="both"/>
        <w:rPr>
          <w:rFonts w:cstheme="majorBidi"/>
          <w:sz w:val="24"/>
          <w:szCs w:val="24"/>
          <w:lang w:val="en-US"/>
        </w:rPr>
      </w:pPr>
      <w:r w:rsidRPr="00DB32E2">
        <w:rPr>
          <w:rFonts w:cstheme="majorBidi"/>
          <w:sz w:val="24"/>
          <w:szCs w:val="24"/>
          <w:lang w:val="en-US"/>
        </w:rPr>
        <w:t>Interagency Task Team on Financing for Development</w:t>
      </w:r>
    </w:p>
    <w:p w14:paraId="45F1B9A3" w14:textId="77777777" w:rsidR="00BD76D9" w:rsidRPr="00DB32E2" w:rsidRDefault="002C7D52" w:rsidP="00240315">
      <w:pPr>
        <w:pStyle w:val="ListParagraph"/>
        <w:numPr>
          <w:ilvl w:val="0"/>
          <w:numId w:val="6"/>
        </w:numPr>
        <w:spacing w:after="0"/>
        <w:ind w:left="357" w:hanging="357"/>
        <w:rPr>
          <w:rFonts w:cstheme="majorBidi"/>
          <w:sz w:val="24"/>
          <w:szCs w:val="24"/>
          <w:lang w:val="en-US"/>
        </w:rPr>
      </w:pPr>
      <w:r w:rsidRPr="00DB32E2">
        <w:rPr>
          <w:rFonts w:cstheme="majorBidi"/>
          <w:sz w:val="24"/>
          <w:szCs w:val="24"/>
          <w:lang w:val="en-US"/>
        </w:rPr>
        <w:t xml:space="preserve">United Nations Sustainable Development Group </w:t>
      </w:r>
    </w:p>
    <w:p w14:paraId="656B893D" w14:textId="77777777" w:rsidR="00BB7FE7" w:rsidRPr="00DB32E2" w:rsidRDefault="008C318F" w:rsidP="00240315">
      <w:pPr>
        <w:pStyle w:val="ListParagraph"/>
        <w:numPr>
          <w:ilvl w:val="0"/>
          <w:numId w:val="6"/>
        </w:numPr>
        <w:spacing w:after="0"/>
        <w:ind w:left="357" w:hanging="357"/>
        <w:contextualSpacing/>
        <w:jc w:val="both"/>
        <w:rPr>
          <w:rFonts w:cstheme="majorBidi"/>
          <w:sz w:val="24"/>
          <w:szCs w:val="24"/>
          <w:lang w:val="en-US"/>
        </w:rPr>
      </w:pPr>
      <w:r w:rsidRPr="00DB32E2">
        <w:rPr>
          <w:rFonts w:cstheme="majorBidi"/>
          <w:sz w:val="24"/>
          <w:szCs w:val="24"/>
          <w:lang w:val="en-US"/>
        </w:rPr>
        <w:t>United Nations Sustainable Development Cooperation Frameworks</w:t>
      </w:r>
      <w:r w:rsidR="00816088" w:rsidRPr="00DB32E2">
        <w:rPr>
          <w:rFonts w:cstheme="majorBidi"/>
          <w:sz w:val="24"/>
          <w:szCs w:val="24"/>
          <w:lang w:val="en-US"/>
        </w:rPr>
        <w:t xml:space="preserve"> (</w:t>
      </w:r>
      <w:r w:rsidRPr="00DB32E2">
        <w:rPr>
          <w:rFonts w:cstheme="majorBidi"/>
          <w:sz w:val="24"/>
          <w:szCs w:val="24"/>
          <w:lang w:val="en-US"/>
        </w:rPr>
        <w:t>former UNDAFs</w:t>
      </w:r>
      <w:r w:rsidR="00816088" w:rsidRPr="00DB32E2">
        <w:rPr>
          <w:rFonts w:cstheme="majorBidi"/>
          <w:sz w:val="24"/>
          <w:szCs w:val="24"/>
          <w:lang w:val="en-US"/>
        </w:rPr>
        <w:t>)</w:t>
      </w:r>
      <w:r w:rsidRPr="00DB32E2" w:rsidDel="008C318F">
        <w:rPr>
          <w:rFonts w:cstheme="majorBidi"/>
          <w:sz w:val="24"/>
          <w:szCs w:val="24"/>
          <w:lang w:val="en-US"/>
        </w:rPr>
        <w:t xml:space="preserve"> </w:t>
      </w:r>
    </w:p>
    <w:p w14:paraId="697CDFFF" w14:textId="77777777" w:rsidR="00EA73DF" w:rsidRPr="00DB32E2" w:rsidRDefault="00EA73DF" w:rsidP="00240315">
      <w:pPr>
        <w:pStyle w:val="ListParagraph"/>
        <w:numPr>
          <w:ilvl w:val="0"/>
          <w:numId w:val="6"/>
        </w:numPr>
        <w:spacing w:after="0"/>
        <w:ind w:left="357" w:hanging="357"/>
        <w:contextualSpacing/>
        <w:jc w:val="both"/>
        <w:rPr>
          <w:rFonts w:cstheme="majorBidi"/>
          <w:sz w:val="24"/>
          <w:szCs w:val="24"/>
          <w:lang w:val="en-US"/>
        </w:rPr>
      </w:pPr>
      <w:r w:rsidRPr="00DB32E2">
        <w:rPr>
          <w:rFonts w:cstheme="majorBidi"/>
          <w:sz w:val="24"/>
          <w:szCs w:val="24"/>
          <w:lang w:val="en-US"/>
        </w:rPr>
        <w:t xml:space="preserve">United Nations Group on the Information Society </w:t>
      </w:r>
    </w:p>
    <w:p w14:paraId="76AA169F" w14:textId="77777777" w:rsidR="00136F8F" w:rsidRPr="00DB32E2" w:rsidRDefault="00816088" w:rsidP="00CE51CC">
      <w:pPr>
        <w:pStyle w:val="ListParagraph"/>
        <w:numPr>
          <w:ilvl w:val="0"/>
          <w:numId w:val="6"/>
        </w:numPr>
        <w:spacing w:after="0"/>
        <w:ind w:left="357" w:hanging="357"/>
        <w:contextualSpacing/>
        <w:jc w:val="both"/>
        <w:rPr>
          <w:rFonts w:cstheme="majorBidi"/>
          <w:sz w:val="24"/>
          <w:szCs w:val="24"/>
          <w:lang w:val="en-US"/>
        </w:rPr>
      </w:pPr>
      <w:r w:rsidRPr="00DB32E2">
        <w:rPr>
          <w:rFonts w:cstheme="majorBidi"/>
          <w:sz w:val="24"/>
          <w:szCs w:val="24"/>
          <w:lang w:val="en-US"/>
        </w:rPr>
        <w:t xml:space="preserve">United Nations Regional Coordination Mechanisms </w:t>
      </w:r>
    </w:p>
    <w:p w14:paraId="7632BB8F" w14:textId="77777777" w:rsidR="00240315" w:rsidRPr="00DB32E2" w:rsidRDefault="00240315" w:rsidP="00240315">
      <w:pPr>
        <w:pStyle w:val="ListParagraph"/>
        <w:spacing w:after="0"/>
        <w:ind w:left="357"/>
        <w:contextualSpacing/>
        <w:jc w:val="both"/>
        <w:rPr>
          <w:rFonts w:cstheme="majorBidi"/>
          <w:sz w:val="24"/>
          <w:szCs w:val="24"/>
          <w:lang w:val="en-US"/>
        </w:rPr>
      </w:pPr>
    </w:p>
    <w:p w14:paraId="13524913" w14:textId="77777777" w:rsidR="002C7D52" w:rsidRPr="00DB32E2" w:rsidRDefault="002C7D52" w:rsidP="00CE51CC">
      <w:pPr>
        <w:jc w:val="both"/>
        <w:rPr>
          <w:rFonts w:cstheme="majorBidi"/>
          <w:sz w:val="24"/>
          <w:szCs w:val="24"/>
          <w:lang w:val="en-US"/>
        </w:rPr>
      </w:pPr>
      <w:r w:rsidRPr="00DB32E2">
        <w:rPr>
          <w:rFonts w:cstheme="majorBidi"/>
          <w:sz w:val="24"/>
          <w:szCs w:val="24"/>
          <w:lang w:val="en-US"/>
        </w:rPr>
        <w:t>ITU will continue to provide input to the various UN Secretary-General thematic reports highlighting ITU’s work and contribution</w:t>
      </w:r>
      <w:r w:rsidR="00136F8F" w:rsidRPr="00DB32E2">
        <w:rPr>
          <w:rFonts w:cstheme="majorBidi"/>
          <w:sz w:val="24"/>
          <w:szCs w:val="24"/>
          <w:lang w:val="en-US"/>
        </w:rPr>
        <w:t>,</w:t>
      </w:r>
      <w:r w:rsidR="00CE51CC" w:rsidRPr="00DB32E2">
        <w:rPr>
          <w:rFonts w:cstheme="majorBidi"/>
          <w:sz w:val="24"/>
          <w:szCs w:val="24"/>
          <w:lang w:val="en-US"/>
        </w:rPr>
        <w:t xml:space="preserve"> including challenges and oppor</w:t>
      </w:r>
      <w:r w:rsidR="00136F8F" w:rsidRPr="00DB32E2">
        <w:rPr>
          <w:rFonts w:cstheme="majorBidi"/>
          <w:sz w:val="24"/>
          <w:szCs w:val="24"/>
          <w:lang w:val="en-US"/>
        </w:rPr>
        <w:t>tunities,</w:t>
      </w:r>
      <w:r w:rsidRPr="00DB32E2">
        <w:rPr>
          <w:rFonts w:cstheme="majorBidi"/>
          <w:sz w:val="24"/>
          <w:szCs w:val="24"/>
          <w:lang w:val="en-US"/>
        </w:rPr>
        <w:t xml:space="preserve"> of ICT for sustainable development. </w:t>
      </w:r>
    </w:p>
    <w:p w14:paraId="56CA1593" w14:textId="77777777" w:rsidR="002C7D52" w:rsidRPr="00DB32E2" w:rsidRDefault="002C7D52" w:rsidP="00CE51CC">
      <w:pPr>
        <w:jc w:val="both"/>
        <w:rPr>
          <w:rFonts w:cstheme="majorBidi"/>
          <w:sz w:val="24"/>
          <w:szCs w:val="24"/>
          <w:lang w:val="en-US"/>
        </w:rPr>
      </w:pPr>
      <w:r w:rsidRPr="00DB32E2">
        <w:rPr>
          <w:rFonts w:cstheme="majorBidi"/>
          <w:sz w:val="24"/>
          <w:szCs w:val="24"/>
          <w:lang w:val="en-US"/>
        </w:rPr>
        <w:t>ITU will also provide ICT data and statistics to monitor and track the ICT indicators</w:t>
      </w:r>
      <w:r w:rsidR="00136F8F" w:rsidRPr="00DB32E2">
        <w:rPr>
          <w:rFonts w:cstheme="majorBidi"/>
          <w:sz w:val="24"/>
          <w:szCs w:val="24"/>
          <w:lang w:val="en-US"/>
        </w:rPr>
        <w:t>, incorporating those on new technologies,</w:t>
      </w:r>
      <w:r w:rsidRPr="00DB32E2">
        <w:rPr>
          <w:rFonts w:cstheme="majorBidi"/>
          <w:sz w:val="24"/>
          <w:szCs w:val="24"/>
          <w:lang w:val="en-US"/>
        </w:rPr>
        <w:t xml:space="preserve"> related to the SDGs.</w:t>
      </w:r>
    </w:p>
    <w:p w14:paraId="21AA80AC" w14:textId="77777777" w:rsidR="008C318F" w:rsidRPr="00DB32E2" w:rsidRDefault="002C7D52" w:rsidP="00CE51CC">
      <w:pPr>
        <w:jc w:val="both"/>
        <w:rPr>
          <w:rFonts w:ascii="Times New Roman" w:hAnsi="Times New Roman" w:cstheme="minorHAnsi"/>
          <w:sz w:val="24"/>
          <w:szCs w:val="24"/>
          <w:lang w:val="en-US"/>
        </w:rPr>
      </w:pPr>
      <w:r w:rsidRPr="00DB32E2">
        <w:rPr>
          <w:rFonts w:cstheme="majorBidi"/>
          <w:sz w:val="24"/>
          <w:szCs w:val="24"/>
          <w:lang w:val="en-US"/>
        </w:rPr>
        <w:t>ITU will participate and provide input to the global follow-up and review process of the SDGs, including following UN General Assembly, ECOSOC, the High-Level Political Forum, CSTD and other relevant UN bodies, meetings and thematic discussions.</w:t>
      </w:r>
      <w:r w:rsidR="008C318F" w:rsidRPr="00DB32E2">
        <w:rPr>
          <w:rFonts w:ascii="Times New Roman" w:hAnsi="Times New Roman" w:cstheme="minorHAnsi"/>
          <w:sz w:val="24"/>
          <w:szCs w:val="24"/>
          <w:lang w:val="en-US"/>
        </w:rPr>
        <w:t xml:space="preserve"> </w:t>
      </w:r>
      <w:r w:rsidR="00816088" w:rsidRPr="00DB32E2">
        <w:rPr>
          <w:rFonts w:cstheme="majorBidi"/>
          <w:sz w:val="24"/>
          <w:szCs w:val="24"/>
          <w:lang w:val="en-US"/>
        </w:rPr>
        <w:t>Through its Regional Offices, ITU will also contribute to</w:t>
      </w:r>
      <w:r w:rsidR="00997763" w:rsidRPr="00DB32E2">
        <w:rPr>
          <w:rFonts w:cstheme="majorBidi"/>
          <w:sz w:val="24"/>
          <w:szCs w:val="24"/>
          <w:lang w:val="en-US"/>
        </w:rPr>
        <w:t xml:space="preserve"> or/and co-organize </w:t>
      </w:r>
      <w:r w:rsidR="00816088" w:rsidRPr="00DB32E2">
        <w:rPr>
          <w:rFonts w:cstheme="majorBidi"/>
          <w:sz w:val="24"/>
          <w:szCs w:val="24"/>
          <w:lang w:val="en-US"/>
        </w:rPr>
        <w:t>UN Regional Forums for Sustainable Development (</w:t>
      </w:r>
      <w:r w:rsidR="00997763" w:rsidRPr="00DB32E2">
        <w:rPr>
          <w:rFonts w:cstheme="majorBidi"/>
          <w:sz w:val="24"/>
          <w:szCs w:val="24"/>
          <w:lang w:val="en-US"/>
        </w:rPr>
        <w:t>regional mechanism for follow-up and review</w:t>
      </w:r>
      <w:r w:rsidR="00816088" w:rsidRPr="00DB32E2">
        <w:rPr>
          <w:rFonts w:cstheme="majorBidi"/>
          <w:sz w:val="24"/>
          <w:szCs w:val="24"/>
          <w:lang w:val="en-US"/>
        </w:rPr>
        <w:t>)</w:t>
      </w:r>
      <w:r w:rsidR="00997763" w:rsidRPr="00DB32E2">
        <w:rPr>
          <w:rFonts w:cstheme="majorBidi"/>
          <w:sz w:val="24"/>
          <w:szCs w:val="24"/>
          <w:lang w:val="en-US"/>
        </w:rPr>
        <w:t>,</w:t>
      </w:r>
      <w:r w:rsidR="00816088" w:rsidRPr="00DB32E2">
        <w:rPr>
          <w:rFonts w:cstheme="majorBidi"/>
          <w:sz w:val="24"/>
          <w:szCs w:val="24"/>
          <w:lang w:val="en-US"/>
        </w:rPr>
        <w:t xml:space="preserve"> while providing </w:t>
      </w:r>
      <w:r w:rsidR="00997763" w:rsidRPr="00DB32E2">
        <w:rPr>
          <w:rFonts w:cstheme="majorBidi"/>
          <w:sz w:val="24"/>
          <w:szCs w:val="24"/>
          <w:lang w:val="en-US"/>
        </w:rPr>
        <w:t xml:space="preserve">annual </w:t>
      </w:r>
      <w:r w:rsidR="00816088" w:rsidRPr="00DB32E2">
        <w:rPr>
          <w:rFonts w:cstheme="majorBidi"/>
          <w:sz w:val="24"/>
          <w:szCs w:val="24"/>
          <w:lang w:val="en-US"/>
        </w:rPr>
        <w:t xml:space="preserve">ITU Regional Development Forums as platforms for strengthening implementation of the regional initiatives focusing on ICT for SDG. </w:t>
      </w:r>
    </w:p>
    <w:p w14:paraId="2516F8EA" w14:textId="77777777" w:rsidR="002C7D52" w:rsidRPr="00DB32E2" w:rsidRDefault="002C7D52" w:rsidP="002C7D52">
      <w:pPr>
        <w:pStyle w:val="ListParagraph"/>
        <w:numPr>
          <w:ilvl w:val="0"/>
          <w:numId w:val="7"/>
        </w:numPr>
        <w:spacing w:before="240"/>
        <w:jc w:val="both"/>
        <w:rPr>
          <w:rFonts w:cstheme="majorBidi"/>
          <w:b/>
          <w:bCs/>
          <w:sz w:val="24"/>
          <w:szCs w:val="24"/>
          <w:lang w:val="en-US"/>
        </w:rPr>
      </w:pPr>
      <w:r w:rsidRPr="00DB32E2">
        <w:rPr>
          <w:rFonts w:cstheme="majorBidi"/>
          <w:b/>
          <w:bCs/>
          <w:sz w:val="24"/>
          <w:szCs w:val="24"/>
          <w:lang w:val="en-US"/>
        </w:rPr>
        <w:t>Communication and Advocacy Campaign</w:t>
      </w:r>
    </w:p>
    <w:p w14:paraId="7D57E5D9" w14:textId="77777777" w:rsidR="00240315" w:rsidRPr="00DB32E2" w:rsidRDefault="002C7D52" w:rsidP="00CE51CC">
      <w:pPr>
        <w:contextualSpacing/>
        <w:jc w:val="both"/>
        <w:rPr>
          <w:rFonts w:cstheme="majorBidi"/>
          <w:sz w:val="24"/>
          <w:szCs w:val="24"/>
          <w:lang w:val="en-US"/>
        </w:rPr>
      </w:pPr>
      <w:r w:rsidRPr="00DB32E2">
        <w:rPr>
          <w:rFonts w:cstheme="majorBidi"/>
          <w:sz w:val="24"/>
          <w:szCs w:val="24"/>
          <w:lang w:val="en-US"/>
        </w:rPr>
        <w:t xml:space="preserve">ITU will continue creating material highlighting the impact of ICTs on the SDGs with audio visual, social media and other content. </w:t>
      </w:r>
    </w:p>
    <w:p w14:paraId="3019A28E" w14:textId="77777777" w:rsidR="00CE51CC" w:rsidRPr="00DB32E2" w:rsidRDefault="00CE51CC" w:rsidP="00CE51CC">
      <w:pPr>
        <w:contextualSpacing/>
        <w:jc w:val="both"/>
        <w:rPr>
          <w:rFonts w:cstheme="majorBidi"/>
          <w:sz w:val="24"/>
          <w:szCs w:val="24"/>
          <w:lang w:val="en-US"/>
        </w:rPr>
      </w:pPr>
    </w:p>
    <w:p w14:paraId="627DEAA4" w14:textId="77777777" w:rsidR="002C7D52" w:rsidRPr="00DB32E2" w:rsidRDefault="002C7D52" w:rsidP="002C7D52">
      <w:pPr>
        <w:jc w:val="both"/>
        <w:rPr>
          <w:rFonts w:cstheme="majorBidi"/>
          <w:sz w:val="24"/>
          <w:szCs w:val="24"/>
          <w:lang w:val="en-US"/>
        </w:rPr>
      </w:pPr>
      <w:r w:rsidRPr="00DB32E2">
        <w:rPr>
          <w:rFonts w:cstheme="majorBidi"/>
          <w:sz w:val="24"/>
          <w:szCs w:val="24"/>
          <w:lang w:val="en-US"/>
        </w:rPr>
        <w:t xml:space="preserve">Advocacy and communication messaging will be aligned and tailored to different stakeholders.  </w:t>
      </w:r>
    </w:p>
    <w:p w14:paraId="139F733E" w14:textId="77777777" w:rsidR="0036762C" w:rsidRPr="00DB32E2" w:rsidRDefault="0036762C" w:rsidP="0036762C">
      <w:pPr>
        <w:spacing w:before="840" w:after="360"/>
        <w:jc w:val="center"/>
        <w:rPr>
          <w:rFonts w:cstheme="majorBidi"/>
          <w:sz w:val="24"/>
          <w:szCs w:val="24"/>
          <w:lang w:val="en-US"/>
        </w:rPr>
      </w:pPr>
    </w:p>
    <w:p w14:paraId="6714C6F2" w14:textId="77777777" w:rsidR="00CC597D" w:rsidRPr="00DB32E2" w:rsidRDefault="00CC597D" w:rsidP="00240315">
      <w:pPr>
        <w:rPr>
          <w:rFonts w:cstheme="majorBidi"/>
          <w:sz w:val="24"/>
          <w:szCs w:val="24"/>
          <w:lang w:val="en-US"/>
        </w:rPr>
      </w:pPr>
    </w:p>
    <w:sectPr w:rsidR="00CC597D" w:rsidRPr="00DB32E2" w:rsidSect="0036762C">
      <w:headerReference w:type="default" r:id="rId20"/>
      <w:footerReference w:type="first" r:id="rId21"/>
      <w:pgSz w:w="11901" w:h="16840" w:code="9"/>
      <w:pgMar w:top="1418" w:right="1077" w:bottom="851" w:left="1077" w:header="142"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3952E" w14:textId="77777777" w:rsidR="00115586" w:rsidRDefault="00115586">
      <w:r>
        <w:separator/>
      </w:r>
    </w:p>
  </w:endnote>
  <w:endnote w:type="continuationSeparator" w:id="0">
    <w:p w14:paraId="03619BB8" w14:textId="77777777" w:rsidR="00115586" w:rsidRDefault="00115586">
      <w:r>
        <w:continuationSeparator/>
      </w:r>
    </w:p>
  </w:endnote>
  <w:endnote w:type="continuationNotice" w:id="1">
    <w:p w14:paraId="4E2ABF39" w14:textId="77777777" w:rsidR="00115586" w:rsidRDefault="00115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56920" w14:textId="77777777" w:rsidR="0036762C" w:rsidRDefault="0036762C" w:rsidP="0036762C">
    <w:pPr>
      <w:spacing w:after="120"/>
      <w:jc w:val="center"/>
    </w:pPr>
    <w:r>
      <w:t xml:space="preserve">• </w:t>
    </w:r>
    <w:hyperlink r:id="rId1" w:history="1">
      <w:r>
        <w:rPr>
          <w:rStyle w:val="Hyperlink"/>
        </w:rPr>
        <w:t>http://www.itu.int/council</w:t>
      </w:r>
    </w:hyperlink>
    <w:r>
      <w:t xml:space="preserve"> •</w:t>
    </w:r>
  </w:p>
  <w:p w14:paraId="607EC1C5" w14:textId="77777777" w:rsidR="0036762C" w:rsidRDefault="00367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D6165" w14:textId="77777777" w:rsidR="00115586" w:rsidRDefault="00115586">
      <w:r>
        <w:separator/>
      </w:r>
    </w:p>
  </w:footnote>
  <w:footnote w:type="continuationSeparator" w:id="0">
    <w:p w14:paraId="3AA150BE" w14:textId="77777777" w:rsidR="00115586" w:rsidRDefault="00115586">
      <w:r>
        <w:continuationSeparator/>
      </w:r>
    </w:p>
  </w:footnote>
  <w:footnote w:type="continuationNotice" w:id="1">
    <w:p w14:paraId="6D259DAB" w14:textId="77777777" w:rsidR="00115586" w:rsidRDefault="001155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DA743" w14:textId="77777777" w:rsidR="0036762C" w:rsidRDefault="0036762C" w:rsidP="0036762C">
    <w:pPr>
      <w:pStyle w:val="Header"/>
      <w:spacing w:before="160"/>
    </w:pPr>
    <w:r>
      <w:fldChar w:fldCharType="begin"/>
    </w:r>
    <w:r>
      <w:instrText xml:space="preserve"> PAGE   \* MERGEFORMAT </w:instrText>
    </w:r>
    <w:r>
      <w:fldChar w:fldCharType="separate"/>
    </w:r>
    <w:r w:rsidR="009215D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756785"/>
    <w:multiLevelType w:val="hybridMultilevel"/>
    <w:tmpl w:val="700CD588"/>
    <w:lvl w:ilvl="0" w:tplc="166EBF74">
      <w:start w:val="1"/>
      <w:numFmt w:val="bullet"/>
      <w:lvlText w:val="-"/>
      <w:lvlJc w:val="left"/>
      <w:pPr>
        <w:ind w:left="720" w:hanging="360"/>
      </w:pPr>
      <w:rPr>
        <w:rFonts w:ascii="Arial" w:eastAsia="SimSun" w:hAnsi="Arial" w:cs="Aria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A534B"/>
    <w:multiLevelType w:val="hybridMultilevel"/>
    <w:tmpl w:val="A3C64A7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AE186E"/>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E3561"/>
    <w:multiLevelType w:val="hybridMultilevel"/>
    <w:tmpl w:val="AEDCDC24"/>
    <w:lvl w:ilvl="0" w:tplc="022821EA">
      <w:start w:val="1"/>
      <w:numFmt w:val="decimal"/>
      <w:pStyle w:val="normalWSIS"/>
      <w:lvlText w:val="%1."/>
      <w:lvlJc w:val="left"/>
      <w:pPr>
        <w:ind w:left="360" w:hanging="360"/>
      </w:pPr>
      <w:rPr>
        <w:rFonts w:ascii="Calibri" w:hAnsi="Calibri" w:cstheme="majorBidi" w:hint="default"/>
        <w:b w:val="0"/>
        <w:bCs w:val="0"/>
        <w:i w:val="0"/>
        <w:iCs w:val="0"/>
        <w:color w:val="auto"/>
        <w:sz w:val="22"/>
        <w:szCs w:val="22"/>
        <w:lang w:val="en-GB"/>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04090001">
      <w:start w:val="1"/>
      <w:numFmt w:val="bullet"/>
      <w:lvlText w:val=""/>
      <w:lvlJc w:val="left"/>
      <w:pPr>
        <w:ind w:left="888" w:hanging="435"/>
      </w:pPr>
      <w:rPr>
        <w:rFonts w:ascii="Symbol" w:hAnsi="Symbol" w:hint="default"/>
        <w:color w:val="auto"/>
      </w:rPr>
    </w:lvl>
    <w:lvl w:ilvl="6" w:tplc="04090001">
      <w:start w:val="1"/>
      <w:numFmt w:val="bullet"/>
      <w:lvlText w:val=""/>
      <w:lvlJc w:val="left"/>
      <w:pPr>
        <w:ind w:left="1353" w:hanging="360"/>
      </w:pPr>
      <w:rPr>
        <w:rFonts w:ascii="Symbol" w:hAnsi="Symbol" w:hint="default"/>
      </w:rPr>
    </w:lvl>
    <w:lvl w:ilvl="7" w:tplc="04090019">
      <w:start w:val="1"/>
      <w:numFmt w:val="lowerLetter"/>
      <w:lvlText w:val="%8."/>
      <w:lvlJc w:val="left"/>
      <w:pPr>
        <w:ind w:left="2073" w:hanging="360"/>
      </w:pPr>
    </w:lvl>
    <w:lvl w:ilvl="8" w:tplc="0409001B">
      <w:start w:val="1"/>
      <w:numFmt w:val="lowerRoman"/>
      <w:lvlText w:val="%9."/>
      <w:lvlJc w:val="right"/>
      <w:pPr>
        <w:ind w:left="2793" w:hanging="180"/>
      </w:pPr>
    </w:lvl>
  </w:abstractNum>
  <w:abstractNum w:abstractNumId="5" w15:restartNumberingAfterBreak="0">
    <w:nsid w:val="3A324FD7"/>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F5EE5"/>
    <w:multiLevelType w:val="hybridMultilevel"/>
    <w:tmpl w:val="5F5E33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5976EF1"/>
    <w:multiLevelType w:val="hybridMultilevel"/>
    <w:tmpl w:val="5CAC8500"/>
    <w:lvl w:ilvl="0" w:tplc="4900D328">
      <w:start w:val="8"/>
      <w:numFmt w:val="bullet"/>
      <w:lvlText w:val="•"/>
      <w:lvlJc w:val="left"/>
      <w:pPr>
        <w:ind w:left="405" w:hanging="405"/>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F80D24"/>
    <w:multiLevelType w:val="hybridMultilevel"/>
    <w:tmpl w:val="C9DEEC60"/>
    <w:lvl w:ilvl="0" w:tplc="D4D46CE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5"/>
  </w:num>
  <w:num w:numId="6">
    <w:abstractNumId w:val="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3C03"/>
    <w:rsid w:val="00007F7F"/>
    <w:rsid w:val="00010C32"/>
    <w:rsid w:val="00010F48"/>
    <w:rsid w:val="000147CA"/>
    <w:rsid w:val="00015FB1"/>
    <w:rsid w:val="0001628B"/>
    <w:rsid w:val="0001781D"/>
    <w:rsid w:val="0002197D"/>
    <w:rsid w:val="00021DF9"/>
    <w:rsid w:val="000248BF"/>
    <w:rsid w:val="0002607F"/>
    <w:rsid w:val="000264BE"/>
    <w:rsid w:val="000268B0"/>
    <w:rsid w:val="00027767"/>
    <w:rsid w:val="0003282D"/>
    <w:rsid w:val="00047F0D"/>
    <w:rsid w:val="00052578"/>
    <w:rsid w:val="0005277A"/>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97874"/>
    <w:rsid w:val="000A1688"/>
    <w:rsid w:val="000A5071"/>
    <w:rsid w:val="000A6AFE"/>
    <w:rsid w:val="000B4C95"/>
    <w:rsid w:val="000C20DC"/>
    <w:rsid w:val="000C2A2E"/>
    <w:rsid w:val="000C2C28"/>
    <w:rsid w:val="000C4839"/>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586"/>
    <w:rsid w:val="001158FB"/>
    <w:rsid w:val="001164E6"/>
    <w:rsid w:val="001217CF"/>
    <w:rsid w:val="00121D0F"/>
    <w:rsid w:val="00122205"/>
    <w:rsid w:val="0012767B"/>
    <w:rsid w:val="00130BEC"/>
    <w:rsid w:val="00136F8F"/>
    <w:rsid w:val="0014173E"/>
    <w:rsid w:val="00143AFF"/>
    <w:rsid w:val="00151F6B"/>
    <w:rsid w:val="00162571"/>
    <w:rsid w:val="001668F0"/>
    <w:rsid w:val="0017057A"/>
    <w:rsid w:val="00170B22"/>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D7286"/>
    <w:rsid w:val="001E4BD2"/>
    <w:rsid w:val="001E5885"/>
    <w:rsid w:val="001E5B3B"/>
    <w:rsid w:val="00200486"/>
    <w:rsid w:val="00200CD5"/>
    <w:rsid w:val="0020692F"/>
    <w:rsid w:val="002070AD"/>
    <w:rsid w:val="00207123"/>
    <w:rsid w:val="002079BE"/>
    <w:rsid w:val="0021145F"/>
    <w:rsid w:val="00211581"/>
    <w:rsid w:val="00212BF7"/>
    <w:rsid w:val="00214150"/>
    <w:rsid w:val="002173F2"/>
    <w:rsid w:val="0022078A"/>
    <w:rsid w:val="002228D5"/>
    <w:rsid w:val="00222CDC"/>
    <w:rsid w:val="0022556C"/>
    <w:rsid w:val="00231E1D"/>
    <w:rsid w:val="00234D49"/>
    <w:rsid w:val="00236174"/>
    <w:rsid w:val="00240315"/>
    <w:rsid w:val="0024200E"/>
    <w:rsid w:val="002427C0"/>
    <w:rsid w:val="00243040"/>
    <w:rsid w:val="00251AC8"/>
    <w:rsid w:val="00253185"/>
    <w:rsid w:val="00253744"/>
    <w:rsid w:val="0026019F"/>
    <w:rsid w:val="00260D49"/>
    <w:rsid w:val="00261ACE"/>
    <w:rsid w:val="00262497"/>
    <w:rsid w:val="0026646E"/>
    <w:rsid w:val="00266D8D"/>
    <w:rsid w:val="002773E1"/>
    <w:rsid w:val="0028438C"/>
    <w:rsid w:val="00287A13"/>
    <w:rsid w:val="00291555"/>
    <w:rsid w:val="00291F7C"/>
    <w:rsid w:val="00292EB7"/>
    <w:rsid w:val="00293B33"/>
    <w:rsid w:val="002A09B4"/>
    <w:rsid w:val="002A173B"/>
    <w:rsid w:val="002A264E"/>
    <w:rsid w:val="002A3A5A"/>
    <w:rsid w:val="002A6B9A"/>
    <w:rsid w:val="002B1358"/>
    <w:rsid w:val="002B4498"/>
    <w:rsid w:val="002B4C20"/>
    <w:rsid w:val="002B7F6E"/>
    <w:rsid w:val="002C7D52"/>
    <w:rsid w:val="002D0F7E"/>
    <w:rsid w:val="002E04CE"/>
    <w:rsid w:val="002E30DD"/>
    <w:rsid w:val="002E581D"/>
    <w:rsid w:val="002E5B9B"/>
    <w:rsid w:val="002E71CC"/>
    <w:rsid w:val="002F150A"/>
    <w:rsid w:val="003010A1"/>
    <w:rsid w:val="00302584"/>
    <w:rsid w:val="00302B27"/>
    <w:rsid w:val="00306388"/>
    <w:rsid w:val="00307AF2"/>
    <w:rsid w:val="00312766"/>
    <w:rsid w:val="00315C60"/>
    <w:rsid w:val="0031621F"/>
    <w:rsid w:val="00332B82"/>
    <w:rsid w:val="003341A5"/>
    <w:rsid w:val="00335193"/>
    <w:rsid w:val="00342898"/>
    <w:rsid w:val="00344CAA"/>
    <w:rsid w:val="00344DC5"/>
    <w:rsid w:val="0034736F"/>
    <w:rsid w:val="00347E04"/>
    <w:rsid w:val="003573BA"/>
    <w:rsid w:val="00366DC6"/>
    <w:rsid w:val="0036762C"/>
    <w:rsid w:val="00374C2C"/>
    <w:rsid w:val="0037552B"/>
    <w:rsid w:val="0038108B"/>
    <w:rsid w:val="003834F8"/>
    <w:rsid w:val="00383935"/>
    <w:rsid w:val="0038562C"/>
    <w:rsid w:val="00390067"/>
    <w:rsid w:val="00391655"/>
    <w:rsid w:val="003917D7"/>
    <w:rsid w:val="00394C20"/>
    <w:rsid w:val="003A4FC0"/>
    <w:rsid w:val="003B02CD"/>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0F68"/>
    <w:rsid w:val="004110D2"/>
    <w:rsid w:val="0041154D"/>
    <w:rsid w:val="00412020"/>
    <w:rsid w:val="00417936"/>
    <w:rsid w:val="00421DBD"/>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2B26"/>
    <w:rsid w:val="00473B10"/>
    <w:rsid w:val="00473B64"/>
    <w:rsid w:val="00475045"/>
    <w:rsid w:val="00477A11"/>
    <w:rsid w:val="004812CB"/>
    <w:rsid w:val="004855FD"/>
    <w:rsid w:val="00486CB6"/>
    <w:rsid w:val="004944DB"/>
    <w:rsid w:val="00496213"/>
    <w:rsid w:val="004A0CD0"/>
    <w:rsid w:val="004C1A8E"/>
    <w:rsid w:val="004C4DBE"/>
    <w:rsid w:val="004C53CF"/>
    <w:rsid w:val="004C72E3"/>
    <w:rsid w:val="004D3913"/>
    <w:rsid w:val="004D48DF"/>
    <w:rsid w:val="004E2A9A"/>
    <w:rsid w:val="004E5922"/>
    <w:rsid w:val="004E59D9"/>
    <w:rsid w:val="004F382A"/>
    <w:rsid w:val="004F5D70"/>
    <w:rsid w:val="00502CCA"/>
    <w:rsid w:val="005067FB"/>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29B4"/>
    <w:rsid w:val="005940F0"/>
    <w:rsid w:val="0059492C"/>
    <w:rsid w:val="005A000B"/>
    <w:rsid w:val="005A09AC"/>
    <w:rsid w:val="005A39BB"/>
    <w:rsid w:val="005A3ABC"/>
    <w:rsid w:val="005A58DC"/>
    <w:rsid w:val="005B02E4"/>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C07"/>
    <w:rsid w:val="00607F0B"/>
    <w:rsid w:val="00611188"/>
    <w:rsid w:val="00616D37"/>
    <w:rsid w:val="006204DB"/>
    <w:rsid w:val="00623E67"/>
    <w:rsid w:val="00624887"/>
    <w:rsid w:val="00626262"/>
    <w:rsid w:val="00630805"/>
    <w:rsid w:val="00635161"/>
    <w:rsid w:val="006367B6"/>
    <w:rsid w:val="006377C7"/>
    <w:rsid w:val="0064055B"/>
    <w:rsid w:val="00642B5B"/>
    <w:rsid w:val="006463AB"/>
    <w:rsid w:val="006477FD"/>
    <w:rsid w:val="00652F52"/>
    <w:rsid w:val="00656B2D"/>
    <w:rsid w:val="00665F5E"/>
    <w:rsid w:val="0066704D"/>
    <w:rsid w:val="00671D68"/>
    <w:rsid w:val="0067474B"/>
    <w:rsid w:val="00683733"/>
    <w:rsid w:val="00683C44"/>
    <w:rsid w:val="0069280C"/>
    <w:rsid w:val="00692A3E"/>
    <w:rsid w:val="00692FA4"/>
    <w:rsid w:val="00696709"/>
    <w:rsid w:val="006978E5"/>
    <w:rsid w:val="006A02E2"/>
    <w:rsid w:val="006A079F"/>
    <w:rsid w:val="006A0E15"/>
    <w:rsid w:val="006A15AC"/>
    <w:rsid w:val="006A20BE"/>
    <w:rsid w:val="006A2F0C"/>
    <w:rsid w:val="006A6D99"/>
    <w:rsid w:val="006A7BD8"/>
    <w:rsid w:val="006B361F"/>
    <w:rsid w:val="006B39E1"/>
    <w:rsid w:val="006B460D"/>
    <w:rsid w:val="006B4ADD"/>
    <w:rsid w:val="006C1682"/>
    <w:rsid w:val="006C2B40"/>
    <w:rsid w:val="006C364F"/>
    <w:rsid w:val="006C5D53"/>
    <w:rsid w:val="006D0FE6"/>
    <w:rsid w:val="006D18A0"/>
    <w:rsid w:val="006D42F1"/>
    <w:rsid w:val="006D5D09"/>
    <w:rsid w:val="006D70C6"/>
    <w:rsid w:val="006E0FF3"/>
    <w:rsid w:val="006E36F1"/>
    <w:rsid w:val="006E39B8"/>
    <w:rsid w:val="006F2163"/>
    <w:rsid w:val="006F5ACB"/>
    <w:rsid w:val="007003D6"/>
    <w:rsid w:val="00700A07"/>
    <w:rsid w:val="0070262F"/>
    <w:rsid w:val="00704271"/>
    <w:rsid w:val="00713A1D"/>
    <w:rsid w:val="007156E4"/>
    <w:rsid w:val="00717F6C"/>
    <w:rsid w:val="0072067D"/>
    <w:rsid w:val="00721EED"/>
    <w:rsid w:val="007270D0"/>
    <w:rsid w:val="00733871"/>
    <w:rsid w:val="007339D5"/>
    <w:rsid w:val="00734285"/>
    <w:rsid w:val="00750401"/>
    <w:rsid w:val="0076010E"/>
    <w:rsid w:val="00764696"/>
    <w:rsid w:val="00766BB5"/>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5130"/>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088"/>
    <w:rsid w:val="00816221"/>
    <w:rsid w:val="00816507"/>
    <w:rsid w:val="00821976"/>
    <w:rsid w:val="0082335C"/>
    <w:rsid w:val="008233F9"/>
    <w:rsid w:val="00831D35"/>
    <w:rsid w:val="0083200C"/>
    <w:rsid w:val="00832778"/>
    <w:rsid w:val="00833DC2"/>
    <w:rsid w:val="00835CD6"/>
    <w:rsid w:val="0084292A"/>
    <w:rsid w:val="00842DFD"/>
    <w:rsid w:val="008446CA"/>
    <w:rsid w:val="008449BB"/>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C318F"/>
    <w:rsid w:val="008D18C5"/>
    <w:rsid w:val="008D1B8D"/>
    <w:rsid w:val="008D1DB1"/>
    <w:rsid w:val="008D45D6"/>
    <w:rsid w:val="008E27E9"/>
    <w:rsid w:val="008E28FB"/>
    <w:rsid w:val="008E3915"/>
    <w:rsid w:val="008E74F8"/>
    <w:rsid w:val="008F0348"/>
    <w:rsid w:val="008F2F27"/>
    <w:rsid w:val="00902E96"/>
    <w:rsid w:val="009039E6"/>
    <w:rsid w:val="0090735D"/>
    <w:rsid w:val="00907F6E"/>
    <w:rsid w:val="00911D35"/>
    <w:rsid w:val="0091462A"/>
    <w:rsid w:val="009152F8"/>
    <w:rsid w:val="009158E2"/>
    <w:rsid w:val="0091691F"/>
    <w:rsid w:val="009208B2"/>
    <w:rsid w:val="009215D0"/>
    <w:rsid w:val="00921BD2"/>
    <w:rsid w:val="009232E3"/>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94E08"/>
    <w:rsid w:val="00997763"/>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558C"/>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72AF"/>
    <w:rsid w:val="00AF2C12"/>
    <w:rsid w:val="00AF50A8"/>
    <w:rsid w:val="00B012E8"/>
    <w:rsid w:val="00B02AB0"/>
    <w:rsid w:val="00B13CEA"/>
    <w:rsid w:val="00B15C66"/>
    <w:rsid w:val="00B22946"/>
    <w:rsid w:val="00B25573"/>
    <w:rsid w:val="00B32122"/>
    <w:rsid w:val="00B33E2C"/>
    <w:rsid w:val="00B36FB3"/>
    <w:rsid w:val="00B40827"/>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B6D96"/>
    <w:rsid w:val="00BB7FE7"/>
    <w:rsid w:val="00BC1480"/>
    <w:rsid w:val="00BC30E9"/>
    <w:rsid w:val="00BC4228"/>
    <w:rsid w:val="00BC7B18"/>
    <w:rsid w:val="00BD6AF4"/>
    <w:rsid w:val="00BD6DF5"/>
    <w:rsid w:val="00BD76D9"/>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3109"/>
    <w:rsid w:val="00C24302"/>
    <w:rsid w:val="00C243FF"/>
    <w:rsid w:val="00C25ADC"/>
    <w:rsid w:val="00C25D00"/>
    <w:rsid w:val="00C318C0"/>
    <w:rsid w:val="00C360A0"/>
    <w:rsid w:val="00C37F17"/>
    <w:rsid w:val="00C40E80"/>
    <w:rsid w:val="00C4710B"/>
    <w:rsid w:val="00C62E1A"/>
    <w:rsid w:val="00C64BBF"/>
    <w:rsid w:val="00C64EB2"/>
    <w:rsid w:val="00C657EE"/>
    <w:rsid w:val="00C70729"/>
    <w:rsid w:val="00C71595"/>
    <w:rsid w:val="00C73FEA"/>
    <w:rsid w:val="00C863F7"/>
    <w:rsid w:val="00C86BA0"/>
    <w:rsid w:val="00C9084A"/>
    <w:rsid w:val="00C909E5"/>
    <w:rsid w:val="00C9506E"/>
    <w:rsid w:val="00CA20F2"/>
    <w:rsid w:val="00CA2A06"/>
    <w:rsid w:val="00CA3CB2"/>
    <w:rsid w:val="00CA3F8B"/>
    <w:rsid w:val="00CA5798"/>
    <w:rsid w:val="00CA59F0"/>
    <w:rsid w:val="00CB0190"/>
    <w:rsid w:val="00CB5E62"/>
    <w:rsid w:val="00CB6567"/>
    <w:rsid w:val="00CB7672"/>
    <w:rsid w:val="00CB7CCD"/>
    <w:rsid w:val="00CC2C8B"/>
    <w:rsid w:val="00CC597D"/>
    <w:rsid w:val="00CD01A7"/>
    <w:rsid w:val="00CD04E4"/>
    <w:rsid w:val="00CD098D"/>
    <w:rsid w:val="00CD6E42"/>
    <w:rsid w:val="00CE036F"/>
    <w:rsid w:val="00CE51CC"/>
    <w:rsid w:val="00CE6DF3"/>
    <w:rsid w:val="00CF049D"/>
    <w:rsid w:val="00CF1CD3"/>
    <w:rsid w:val="00CF3EA5"/>
    <w:rsid w:val="00D02CC5"/>
    <w:rsid w:val="00D03809"/>
    <w:rsid w:val="00D03FE6"/>
    <w:rsid w:val="00D078F2"/>
    <w:rsid w:val="00D10B5B"/>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57D7F"/>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20C4"/>
    <w:rsid w:val="00DB32E2"/>
    <w:rsid w:val="00DB37C3"/>
    <w:rsid w:val="00DB5C1D"/>
    <w:rsid w:val="00DB6291"/>
    <w:rsid w:val="00DB701F"/>
    <w:rsid w:val="00DC740F"/>
    <w:rsid w:val="00DD0E84"/>
    <w:rsid w:val="00DD0F20"/>
    <w:rsid w:val="00DD4270"/>
    <w:rsid w:val="00DD551F"/>
    <w:rsid w:val="00DD7F74"/>
    <w:rsid w:val="00DE0161"/>
    <w:rsid w:val="00DE2E35"/>
    <w:rsid w:val="00DE6AB7"/>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3DF"/>
    <w:rsid w:val="00EA751F"/>
    <w:rsid w:val="00EB1578"/>
    <w:rsid w:val="00EB21F8"/>
    <w:rsid w:val="00EB47FF"/>
    <w:rsid w:val="00EB5009"/>
    <w:rsid w:val="00EB67D1"/>
    <w:rsid w:val="00EB7CDE"/>
    <w:rsid w:val="00EC32D0"/>
    <w:rsid w:val="00EC7457"/>
    <w:rsid w:val="00EE27ED"/>
    <w:rsid w:val="00EE2DD2"/>
    <w:rsid w:val="00EF3901"/>
    <w:rsid w:val="00EF430C"/>
    <w:rsid w:val="00EF4B60"/>
    <w:rsid w:val="00F00931"/>
    <w:rsid w:val="00F039EE"/>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C34F7"/>
    <w:rsid w:val="00FD1433"/>
    <w:rsid w:val="00FD4CC5"/>
    <w:rsid w:val="00FE1C5A"/>
    <w:rsid w:val="00FE5D70"/>
    <w:rsid w:val="00FE6802"/>
    <w:rsid w:val="00FE6FD2"/>
    <w:rsid w:val="00FF2F3B"/>
    <w:rsid w:val="00FF42DA"/>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EC3EB"/>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5D0"/>
    <w:pPr>
      <w:spacing w:after="160" w:line="259" w:lineRule="auto"/>
    </w:pPr>
    <w:rPr>
      <w:rFonts w:asciiTheme="minorHAnsi" w:eastAsiaTheme="minorEastAsia" w:hAnsiTheme="minorHAnsi" w:cstheme="minorBidi"/>
      <w:sz w:val="22"/>
      <w:szCs w:val="22"/>
      <w:lang w:val="en-GB" w:eastAsia="zh-CN"/>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9215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15D0"/>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link w:val="ListParagraphChar"/>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170B22"/>
    <w:pPr>
      <w:spacing w:before="840"/>
      <w:jc w:val="center"/>
    </w:pPr>
    <w:rPr>
      <w:b/>
      <w:sz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spacing w:before="240"/>
    </w:pPr>
    <w:rPr>
      <w:b w:val="0"/>
      <w:caps/>
    </w:rPr>
  </w:style>
  <w:style w:type="paragraph" w:customStyle="1" w:styleId="Title2">
    <w:name w:val="Title 2"/>
    <w:basedOn w:val="Source"/>
    <w:next w:val="Title3"/>
    <w:rsid w:val="00015FB1"/>
    <w:pPr>
      <w:spacing w:before="240"/>
    </w:pPr>
    <w:rPr>
      <w:b w:val="0"/>
      <w:caps/>
    </w:rPr>
  </w:style>
  <w:style w:type="paragraph" w:customStyle="1" w:styleId="Title3">
    <w:name w:val="Title 3"/>
    <w:basedOn w:val="Title2"/>
    <w:next w:val="Normalaftertitle"/>
    <w:rsid w:val="00015FB1"/>
    <w:rPr>
      <w:caps w:val="0"/>
    </w:rPr>
  </w:style>
  <w:style w:type="paragraph" w:customStyle="1" w:styleId="Title4">
    <w:name w:val="Title 4"/>
    <w:basedOn w:val="Title3"/>
    <w:next w:val="Heading1"/>
    <w:rsid w:val="00015FB1"/>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link w:val="CallChar"/>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ListParagraphChar">
    <w:name w:val="List Paragraph Char"/>
    <w:basedOn w:val="DefaultParagraphFont"/>
    <w:link w:val="ListParagraph"/>
    <w:uiPriority w:val="34"/>
    <w:locked/>
    <w:rsid w:val="002C7D52"/>
    <w:rPr>
      <w:rFonts w:asciiTheme="minorHAnsi" w:eastAsiaTheme="minorEastAsia" w:hAnsiTheme="minorHAnsi" w:cstheme="minorBidi"/>
      <w:sz w:val="22"/>
      <w:szCs w:val="22"/>
      <w:lang w:val="en-GB" w:eastAsia="zh-CN"/>
    </w:rPr>
  </w:style>
  <w:style w:type="character" w:customStyle="1" w:styleId="normalWSISChar">
    <w:name w:val="normal WSIS Char"/>
    <w:basedOn w:val="DefaultParagraphFont"/>
    <w:link w:val="normalWSIS"/>
    <w:locked/>
    <w:rsid w:val="002C7D52"/>
    <w:rPr>
      <w:rFonts w:ascii="Calibri" w:hAnsi="Calibri" w:cs="Arial"/>
    </w:rPr>
  </w:style>
  <w:style w:type="paragraph" w:customStyle="1" w:styleId="normalWSIS">
    <w:name w:val="normal WSIS"/>
    <w:basedOn w:val="ListParagraph"/>
    <w:link w:val="normalWSISChar"/>
    <w:qFormat/>
    <w:rsid w:val="002C7D52"/>
    <w:pPr>
      <w:numPr>
        <w:numId w:val="8"/>
      </w:numPr>
      <w:tabs>
        <w:tab w:val="left" w:pos="426"/>
      </w:tabs>
      <w:spacing w:after="200"/>
      <w:jc w:val="both"/>
    </w:pPr>
    <w:rPr>
      <w:rFonts w:ascii="Calibri" w:eastAsia="SimSun" w:hAnsi="Calibri" w:cs="Arial"/>
      <w:sz w:val="20"/>
      <w:szCs w:val="20"/>
      <w:lang w:eastAsia="ja-JP"/>
    </w:rPr>
  </w:style>
  <w:style w:type="character" w:customStyle="1" w:styleId="CallChar">
    <w:name w:val="Call Char"/>
    <w:basedOn w:val="DefaultParagraphFont"/>
    <w:link w:val="Call"/>
    <w:rsid w:val="002C7D52"/>
    <w:rPr>
      <w:rFonts w:asciiTheme="minorHAnsi" w:eastAsiaTheme="minorEastAsia" w:hAnsiTheme="minorHAnsi" w:cstheme="minorBidi"/>
      <w: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sdgmappingtool" TargetMode="External"/><Relationship Id="rId18" Type="http://schemas.openxmlformats.org/officeDocument/2006/relationships/hyperlink" Target="https://www.itu.int/md/S19-CL-C-0121/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tu.int/sdgmappingtool" TargetMode="External"/><Relationship Id="rId2" Type="http://schemas.openxmlformats.org/officeDocument/2006/relationships/customXml" Target="../customXml/item2.xml"/><Relationship Id="rId16" Type="http://schemas.openxmlformats.org/officeDocument/2006/relationships/hyperlink" Target="https://www.itu.int/md/S19-CL-C-0035/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tu.int/sdgmappingtoo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itu.int/md/S19-CL-C-0028/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sis.org/sd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2.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296FA6-69C9-4B92-985E-4492CB70266B}">
  <ds:schemaRefs>
    <ds:schemaRef ds:uri="http://schemas.openxmlformats.org/officeDocument/2006/bibliography"/>
  </ds:schemaRefs>
</ds:datastoreItem>
</file>

<file path=customXml/itemProps5.xml><?xml version="1.0" encoding="utf-8"?>
<ds:datastoreItem xmlns:ds="http://schemas.openxmlformats.org/officeDocument/2006/customXml" ds:itemID="{BCDC556E-B724-40B7-889F-B922C5AE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1609</Words>
  <Characters>9172</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January 2019</vt:lpstr>
      <vt:lpstr>ITU Normal.dot</vt:lpstr>
    </vt:vector>
  </TitlesOfParts>
  <Company>ITU</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January 2019</dc:title>
  <dc:subject>Council Working Group on WSIS: Implementation of Outcomes</dc:subject>
  <dc:creator>Brouard, Ricarda</dc:creator>
  <cp:keywords>CWG-WSIS&amp;SDG</cp:keywords>
  <cp:lastModifiedBy>Sidabutar, Ruth</cp:lastModifiedBy>
  <cp:revision>2</cp:revision>
  <cp:lastPrinted>2013-07-15T09:23:00Z</cp:lastPrinted>
  <dcterms:created xsi:type="dcterms:W3CDTF">2019-09-19T08:01:00Z</dcterms:created>
  <dcterms:modified xsi:type="dcterms:W3CDTF">2019-09-19T08:01:00Z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