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CA20F2">
      <w:pPr>
        <w:spacing w:after="0" w:line="240" w:lineRule="auto"/>
        <w:rPr>
          <w:rFonts w:cs="Arial"/>
          <w:sz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:rsidTr="00CA20F2">
        <w:trPr>
          <w:cantSplit/>
        </w:trPr>
        <w:tc>
          <w:tcPr>
            <w:tcW w:w="6096" w:type="dxa"/>
            <w:vAlign w:val="center"/>
          </w:tcPr>
          <w:p w:rsidR="005F153A" w:rsidRPr="00D613F6" w:rsidRDefault="000F2E67" w:rsidP="00CA20F2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7D5130">
              <w:rPr>
                <w:b/>
                <w:position w:val="6"/>
                <w:sz w:val="30"/>
                <w:szCs w:val="30"/>
              </w:rPr>
              <w:t>&amp;</w:t>
            </w:r>
            <w:r w:rsidR="0036762C">
              <w:rPr>
                <w:b/>
                <w:position w:val="6"/>
                <w:sz w:val="30"/>
                <w:szCs w:val="30"/>
              </w:rPr>
              <w:t>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CA20F2">
              <w:rPr>
                <w:rFonts w:cstheme="minorHAnsi"/>
                <w:b/>
                <w:sz w:val="24"/>
                <w:szCs w:val="24"/>
              </w:rPr>
              <w:t>3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4th</w:t>
            </w:r>
            <w:r w:rsidR="001B506B" w:rsidRPr="00CA20F2">
              <w:rPr>
                <w:rFonts w:cstheme="minorHAnsi"/>
                <w:b/>
                <w:sz w:val="24"/>
                <w:szCs w:val="24"/>
              </w:rPr>
              <w:t xml:space="preserve"> meeting </w:t>
            </w:r>
            <w:r w:rsidR="001B506B" w:rsidRPr="00CA20F2">
              <w:rPr>
                <w:rFonts w:eastAsia="Calibri" w:cstheme="minorHAnsi"/>
                <w:b/>
                <w:color w:val="000000"/>
                <w:sz w:val="24"/>
                <w:szCs w:val="24"/>
              </w:rPr>
              <w:t>–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 xml:space="preserve"> Geneva, 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25 September</w:t>
            </w:r>
            <w:r w:rsidR="00DE6AB7" w:rsidRPr="00CA20F2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36762C" w:rsidRPr="00CA20F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5F153A" w:rsidRPr="00D613F6" w:rsidRDefault="00CA20F2" w:rsidP="00CA20F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36762C" w:rsidTr="0036762C">
        <w:trPr>
          <w:cantSplit/>
          <w:trHeight w:val="23"/>
        </w:trPr>
        <w:tc>
          <w:tcPr>
            <w:tcW w:w="6096" w:type="dxa"/>
            <w:vMerge w:val="restart"/>
          </w:tcPr>
          <w:p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:rsidR="005F153A" w:rsidRPr="00CA20F2" w:rsidRDefault="005F153A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4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AB6E2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001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:rsidTr="0036762C">
        <w:trPr>
          <w:cantSplit/>
          <w:trHeight w:val="23"/>
        </w:trPr>
        <w:tc>
          <w:tcPr>
            <w:tcW w:w="6096" w:type="dxa"/>
            <w:vMerge/>
          </w:tcPr>
          <w:p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:rsidR="005F153A" w:rsidRPr="00AB6E27" w:rsidRDefault="00AB6E27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AB6E27">
              <w:rPr>
                <w:rFonts w:cstheme="minorHAnsi"/>
                <w:b/>
                <w:sz w:val="24"/>
                <w:szCs w:val="24"/>
              </w:rPr>
              <w:t>24</w:t>
            </w:r>
            <w:r w:rsidR="000F2E67" w:rsidRPr="00AB6E2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B6E27">
              <w:rPr>
                <w:rFonts w:cstheme="minorHAnsi"/>
                <w:b/>
                <w:sz w:val="24"/>
                <w:szCs w:val="24"/>
              </w:rPr>
              <w:t>July</w:t>
            </w:r>
            <w:r w:rsidR="000F2E67" w:rsidRPr="00AB6E27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CA20F2" w:rsidRPr="00AB6E2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5F153A" w:rsidRPr="00E544AC" w:rsidTr="0036762C">
        <w:trPr>
          <w:cantSplit/>
          <w:trHeight w:val="80"/>
        </w:trPr>
        <w:tc>
          <w:tcPr>
            <w:tcW w:w="6096" w:type="dxa"/>
            <w:vMerge/>
          </w:tcPr>
          <w:p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218" w:type="dxa"/>
          </w:tcPr>
          <w:p w:rsidR="005F153A" w:rsidRPr="00CA20F2" w:rsidRDefault="005F153A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CA20F2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:rsidTr="00182693">
        <w:trPr>
          <w:cantSplit/>
          <w:trHeight w:val="80"/>
        </w:trPr>
        <w:tc>
          <w:tcPr>
            <w:tcW w:w="10314" w:type="dxa"/>
            <w:gridSpan w:val="2"/>
          </w:tcPr>
          <w:p w:rsidR="007D5130" w:rsidRDefault="007D5130" w:rsidP="007D5130">
            <w:pPr>
              <w:jc w:val="center"/>
              <w:rPr>
                <w:b/>
                <w:position w:val="6"/>
                <w:szCs w:val="24"/>
              </w:rPr>
            </w:pPr>
          </w:p>
          <w:p w:rsidR="007D5130" w:rsidRPr="007D5130" w:rsidRDefault="007D5130" w:rsidP="007D5130">
            <w:pPr>
              <w:spacing w:after="240"/>
              <w:jc w:val="center"/>
              <w:rPr>
                <w:b/>
              </w:rPr>
            </w:pPr>
            <w:r w:rsidRPr="007D5130">
              <w:rPr>
                <w:b/>
                <w:sz w:val="24"/>
                <w:szCs w:val="24"/>
              </w:rPr>
              <w:t>Draft Agenda</w:t>
            </w:r>
          </w:p>
        </w:tc>
      </w:tr>
      <w:bookmarkEnd w:id="5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258"/>
        <w:gridCol w:w="2381"/>
      </w:tblGrid>
      <w:tr w:rsidR="007D5130" w:rsidRPr="005403BA" w:rsidTr="005B3459">
        <w:trPr>
          <w:trHeight w:val="737"/>
        </w:trPr>
        <w:tc>
          <w:tcPr>
            <w:tcW w:w="852" w:type="dxa"/>
            <w:shd w:val="clear" w:color="auto" w:fill="auto"/>
          </w:tcPr>
          <w:p w:rsidR="007D5130" w:rsidRPr="005403BA" w:rsidRDefault="007D5130" w:rsidP="001956F9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7D5130" w:rsidRPr="005403BA" w:rsidRDefault="007D5130" w:rsidP="001956F9">
            <w:pPr>
              <w:spacing w:before="240"/>
              <w:rPr>
                <w:b/>
              </w:rPr>
            </w:pPr>
            <w:r w:rsidRPr="005403BA">
              <w:rPr>
                <w:b/>
              </w:rPr>
              <w:t>Item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D5130" w:rsidRPr="005403BA" w:rsidRDefault="007D5130" w:rsidP="001956F9">
            <w:pPr>
              <w:spacing w:before="240"/>
              <w:jc w:val="center"/>
              <w:rPr>
                <w:b/>
              </w:rPr>
            </w:pPr>
            <w:r w:rsidRPr="005403BA">
              <w:rPr>
                <w:b/>
              </w:rPr>
              <w:t>Documents</w:t>
            </w:r>
          </w:p>
        </w:tc>
      </w:tr>
      <w:tr w:rsidR="007D5130" w:rsidRPr="005403BA" w:rsidTr="005B3459">
        <w:trPr>
          <w:trHeight w:val="567"/>
        </w:trPr>
        <w:tc>
          <w:tcPr>
            <w:tcW w:w="852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  <w:jc w:val="center"/>
              <w:rPr>
                <w:b/>
              </w:rPr>
            </w:pPr>
            <w:r w:rsidRPr="005403BA">
              <w:rPr>
                <w:b/>
              </w:rPr>
              <w:t>1</w:t>
            </w:r>
          </w:p>
        </w:tc>
        <w:tc>
          <w:tcPr>
            <w:tcW w:w="7258" w:type="dxa"/>
            <w:shd w:val="clear" w:color="auto" w:fill="auto"/>
          </w:tcPr>
          <w:p w:rsidR="007D5130" w:rsidRPr="005403BA" w:rsidRDefault="007D5130" w:rsidP="001956F9">
            <w:pPr>
              <w:tabs>
                <w:tab w:val="left" w:pos="9240"/>
              </w:tabs>
              <w:spacing w:before="240" w:after="240"/>
              <w:ind w:left="2" w:right="2"/>
              <w:rPr>
                <w:rFonts w:cstheme="majorBidi"/>
                <w:color w:val="000000"/>
              </w:rPr>
            </w:pPr>
            <w:r w:rsidRPr="005403BA">
              <w:rPr>
                <w:rFonts w:cstheme="majorBidi"/>
                <w:color w:val="000000"/>
              </w:rPr>
              <w:t>Opening</w:t>
            </w:r>
          </w:p>
        </w:tc>
        <w:tc>
          <w:tcPr>
            <w:tcW w:w="2381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  <w:rPr>
                <w:bCs/>
              </w:rPr>
            </w:pPr>
          </w:p>
        </w:tc>
      </w:tr>
      <w:tr w:rsidR="007D5130" w:rsidRPr="005403BA" w:rsidTr="005B3459">
        <w:trPr>
          <w:trHeight w:val="567"/>
        </w:trPr>
        <w:tc>
          <w:tcPr>
            <w:tcW w:w="852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  <w:jc w:val="center"/>
              <w:rPr>
                <w:b/>
              </w:rPr>
            </w:pPr>
            <w:r w:rsidRPr="005403BA">
              <w:rPr>
                <w:b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:rsidR="007D5130" w:rsidRPr="005403BA" w:rsidRDefault="007D5130" w:rsidP="001956F9">
            <w:pPr>
              <w:tabs>
                <w:tab w:val="left" w:pos="9240"/>
              </w:tabs>
              <w:spacing w:before="240" w:after="240"/>
              <w:ind w:left="2" w:right="2"/>
              <w:rPr>
                <w:rFonts w:cstheme="majorBidi"/>
                <w:color w:val="000000"/>
              </w:rPr>
            </w:pPr>
            <w:r w:rsidRPr="005403BA">
              <w:rPr>
                <w:rFonts w:cstheme="majorBidi"/>
                <w:color w:val="000000"/>
              </w:rPr>
              <w:t>Adoption of the agenda</w:t>
            </w:r>
          </w:p>
        </w:tc>
        <w:tc>
          <w:tcPr>
            <w:tcW w:w="2381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</w:pPr>
          </w:p>
        </w:tc>
      </w:tr>
      <w:tr w:rsidR="007D5130" w:rsidRPr="005403BA" w:rsidTr="005B3459">
        <w:trPr>
          <w:trHeight w:val="567"/>
        </w:trPr>
        <w:tc>
          <w:tcPr>
            <w:tcW w:w="852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  <w:jc w:val="center"/>
              <w:rPr>
                <w:b/>
              </w:rPr>
            </w:pPr>
            <w:r w:rsidRPr="005403BA">
              <w:rPr>
                <w:b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:rsidR="007D5130" w:rsidRPr="002F7CDE" w:rsidRDefault="007D5130" w:rsidP="001956F9">
            <w:pPr>
              <w:tabs>
                <w:tab w:val="left" w:pos="9240"/>
              </w:tabs>
              <w:spacing w:before="240" w:after="240"/>
              <w:ind w:left="2" w:right="2"/>
              <w:rPr>
                <w:rFonts w:cstheme="majorBidi"/>
                <w:color w:val="000000"/>
              </w:rPr>
            </w:pPr>
            <w:r w:rsidRPr="002F7CDE">
              <w:rPr>
                <w:rFonts w:cstheme="majorBidi"/>
                <w:color w:val="000000"/>
              </w:rPr>
              <w:t>Adoption of the time management plan</w:t>
            </w:r>
          </w:p>
        </w:tc>
        <w:tc>
          <w:tcPr>
            <w:tcW w:w="2381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</w:pPr>
          </w:p>
        </w:tc>
      </w:tr>
      <w:tr w:rsidR="007D5130" w:rsidRPr="005403BA" w:rsidTr="005B3459">
        <w:trPr>
          <w:trHeight w:val="567"/>
        </w:trPr>
        <w:tc>
          <w:tcPr>
            <w:tcW w:w="852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  <w:rPr>
                <w:bCs/>
                <w:sz w:val="24"/>
              </w:rPr>
            </w:pPr>
            <w:r w:rsidRPr="005403BA">
              <w:rPr>
                <w:bCs/>
                <w:sz w:val="24"/>
              </w:rPr>
              <w:t>Update on resolutions related to the WSIS process and SDGs</w:t>
            </w:r>
          </w:p>
          <w:p w:rsidR="007D5130" w:rsidRPr="005403BA" w:rsidRDefault="007D5130" w:rsidP="001956F9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textAlignment w:val="baseline"/>
              <w:rPr>
                <w:bCs/>
                <w:sz w:val="24"/>
              </w:rPr>
            </w:pPr>
            <w:r w:rsidRPr="005403BA">
              <w:rPr>
                <w:bCs/>
                <w:sz w:val="24"/>
              </w:rPr>
              <w:t xml:space="preserve">ITU WSIS Related Resolutions </w:t>
            </w:r>
          </w:p>
          <w:p w:rsidR="007D5130" w:rsidRPr="005403BA" w:rsidRDefault="007D5130" w:rsidP="001956F9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textAlignment w:val="baseline"/>
              <w:rPr>
                <w:bCs/>
                <w:sz w:val="24"/>
              </w:rPr>
            </w:pPr>
            <w:r w:rsidRPr="005403BA">
              <w:rPr>
                <w:bCs/>
                <w:sz w:val="24"/>
              </w:rPr>
              <w:t xml:space="preserve">Council Resolutions – 1332 </w:t>
            </w:r>
            <w:r>
              <w:rPr>
                <w:bCs/>
                <w:sz w:val="24"/>
              </w:rPr>
              <w:t>(Revised 2019</w:t>
            </w:r>
            <w:r w:rsidRPr="005403BA">
              <w:rPr>
                <w:bCs/>
                <w:sz w:val="24"/>
              </w:rPr>
              <w:t>)</w:t>
            </w:r>
          </w:p>
          <w:p w:rsidR="007D5130" w:rsidRDefault="007D5130" w:rsidP="001956F9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Outcomes of the Council-19</w:t>
            </w:r>
            <w:r w:rsidRPr="005403BA">
              <w:rPr>
                <w:bCs/>
                <w:sz w:val="24"/>
              </w:rPr>
              <w:t xml:space="preserve"> </w:t>
            </w:r>
          </w:p>
          <w:p w:rsidR="007D5130" w:rsidRPr="005403BA" w:rsidRDefault="007D5130" w:rsidP="001956F9">
            <w:pPr>
              <w:pStyle w:val="ListParagraph"/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textAlignment w:val="baseline"/>
              <w:rPr>
                <w:bCs/>
                <w:sz w:val="24"/>
              </w:rPr>
            </w:pPr>
          </w:p>
          <w:p w:rsidR="007D5130" w:rsidRPr="005403BA" w:rsidRDefault="007D5130" w:rsidP="001956F9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textAlignment w:val="baseline"/>
              <w:rPr>
                <w:bCs/>
                <w:sz w:val="24"/>
              </w:rPr>
            </w:pPr>
            <w:r w:rsidRPr="005403BA">
              <w:rPr>
                <w:bCs/>
                <w:sz w:val="24"/>
              </w:rPr>
              <w:t xml:space="preserve">UN resolutions, relevant reports and decisions </w:t>
            </w:r>
          </w:p>
          <w:p w:rsidR="007D5130" w:rsidRDefault="007D5130" w:rsidP="001956F9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textAlignment w:val="baseline"/>
              <w:rPr>
                <w:bCs/>
                <w:sz w:val="24"/>
              </w:rPr>
            </w:pPr>
            <w:r w:rsidRPr="005403BA">
              <w:rPr>
                <w:bCs/>
                <w:sz w:val="24"/>
              </w:rPr>
              <w:t xml:space="preserve">Outcomes of </w:t>
            </w:r>
            <w:r>
              <w:rPr>
                <w:bCs/>
                <w:sz w:val="24"/>
              </w:rPr>
              <w:t xml:space="preserve">the CSTD 2019 Annual Session   </w:t>
            </w:r>
          </w:p>
          <w:p w:rsidR="007D5130" w:rsidRDefault="007D5130" w:rsidP="001956F9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textAlignment w:val="baseline"/>
              <w:rPr>
                <w:bCs/>
                <w:sz w:val="24"/>
              </w:rPr>
            </w:pPr>
            <w:r w:rsidRPr="00BF0B2A">
              <w:rPr>
                <w:bCs/>
                <w:sz w:val="24"/>
              </w:rPr>
              <w:t>ECOSOC Resolution on Assessment of the progress made in the implementation of and follow-up to the outcomes of the World Summit on the Information Society</w:t>
            </w:r>
          </w:p>
          <w:p w:rsidR="007D5130" w:rsidRPr="00BF0B2A" w:rsidRDefault="007D5130" w:rsidP="001956F9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UNGA Resolution on ICT for Development</w:t>
            </w:r>
          </w:p>
        </w:tc>
        <w:tc>
          <w:tcPr>
            <w:tcW w:w="2381" w:type="dxa"/>
            <w:shd w:val="clear" w:color="auto" w:fill="auto"/>
          </w:tcPr>
          <w:p w:rsidR="007D5130" w:rsidRPr="005403BA" w:rsidRDefault="007D5130" w:rsidP="001956F9">
            <w:pPr>
              <w:spacing w:before="240" w:after="240"/>
            </w:pPr>
          </w:p>
        </w:tc>
      </w:tr>
      <w:tr w:rsidR="007D5130" w:rsidRPr="00CC434B" w:rsidTr="005B3459">
        <w:trPr>
          <w:trHeight w:val="1377"/>
        </w:trPr>
        <w:tc>
          <w:tcPr>
            <w:tcW w:w="852" w:type="dxa"/>
            <w:shd w:val="clear" w:color="auto" w:fill="auto"/>
          </w:tcPr>
          <w:p w:rsidR="007D5130" w:rsidRPr="005403BA" w:rsidRDefault="007D5130" w:rsidP="001956F9">
            <w:pPr>
              <w:keepNext/>
              <w:keepLines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:rsidR="007D5130" w:rsidRPr="00A16DAD" w:rsidRDefault="007D5130" w:rsidP="007D5130">
            <w:pPr>
              <w:spacing w:before="240" w:after="240"/>
              <w:rPr>
                <w:bCs/>
              </w:rPr>
            </w:pPr>
            <w:r>
              <w:rPr>
                <w:bCs/>
              </w:rPr>
              <w:t xml:space="preserve">The role of ITU in implementing the final report </w:t>
            </w:r>
            <w:r w:rsidRPr="00A16DAD">
              <w:rPr>
                <w:bCs/>
              </w:rPr>
              <w:t xml:space="preserve"> “The Age of Digital Interdependence”</w:t>
            </w:r>
            <w:r>
              <w:rPr>
                <w:bCs/>
              </w:rPr>
              <w:t xml:space="preserve"> of the </w:t>
            </w:r>
            <w:r w:rsidRPr="00A16DAD">
              <w:rPr>
                <w:bCs/>
              </w:rPr>
              <w:t>High-level Panel on Digital Cooperation convened by the UN Secretary-General</w:t>
            </w:r>
          </w:p>
        </w:tc>
        <w:tc>
          <w:tcPr>
            <w:tcW w:w="2381" w:type="dxa"/>
            <w:shd w:val="clear" w:color="auto" w:fill="auto"/>
          </w:tcPr>
          <w:p w:rsidR="007D5130" w:rsidRDefault="007D5130" w:rsidP="001956F9">
            <w:pPr>
              <w:spacing w:before="240" w:after="240"/>
              <w:rPr>
                <w:rStyle w:val="Hyperlink"/>
                <w:color w:val="auto"/>
              </w:rPr>
            </w:pPr>
          </w:p>
          <w:p w:rsidR="007D5130" w:rsidRDefault="007D5130" w:rsidP="001956F9">
            <w:pPr>
              <w:spacing w:before="240" w:after="240"/>
              <w:rPr>
                <w:rStyle w:val="Hyperlink"/>
                <w:color w:val="auto"/>
              </w:rPr>
            </w:pPr>
          </w:p>
          <w:p w:rsidR="007D5130" w:rsidRDefault="007D5130" w:rsidP="001956F9">
            <w:pPr>
              <w:spacing w:before="240" w:after="240"/>
              <w:rPr>
                <w:rStyle w:val="Hyperlink"/>
                <w:color w:val="auto"/>
              </w:rPr>
            </w:pPr>
          </w:p>
          <w:p w:rsidR="007D5130" w:rsidRPr="003E7510" w:rsidRDefault="007D5130" w:rsidP="001956F9">
            <w:pPr>
              <w:spacing w:before="240" w:after="240"/>
              <w:rPr>
                <w:rStyle w:val="Hyperlink"/>
                <w:color w:val="auto"/>
              </w:rPr>
            </w:pPr>
          </w:p>
        </w:tc>
      </w:tr>
      <w:tr w:rsidR="007D5130" w:rsidRPr="00415096" w:rsidTr="005B3459">
        <w:trPr>
          <w:trHeight w:val="567"/>
        </w:trPr>
        <w:tc>
          <w:tcPr>
            <w:tcW w:w="852" w:type="dxa"/>
            <w:shd w:val="clear" w:color="auto" w:fill="auto"/>
          </w:tcPr>
          <w:p w:rsidR="007D5130" w:rsidRPr="00415096" w:rsidRDefault="007D5130" w:rsidP="001956F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58" w:type="dxa"/>
            <w:shd w:val="clear" w:color="auto" w:fill="auto"/>
          </w:tcPr>
          <w:p w:rsidR="007D5130" w:rsidRPr="00415096" w:rsidRDefault="007D5130" w:rsidP="001956F9">
            <w:pPr>
              <w:spacing w:before="240" w:after="240"/>
              <w:rPr>
                <w:bCs/>
              </w:rPr>
            </w:pPr>
            <w:r w:rsidRPr="00415096">
              <w:rPr>
                <w:bCs/>
              </w:rPr>
              <w:t>ITU’s activities in WSIS facilitation, implementation and follow-up, including activities according to the ITU Operational Plans.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71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lastRenderedPageBreak/>
              <w:t xml:space="preserve">ITU Contribution to the Implementation of WSIS Outcomes, </w:t>
            </w:r>
            <w:r>
              <w:rPr>
                <w:bCs/>
              </w:rPr>
              <w:t>and</w:t>
            </w:r>
            <w:r w:rsidRPr="00415096">
              <w:rPr>
                <w:bCs/>
              </w:rPr>
              <w:t xml:space="preserve"> the 2030 Agenda f</w:t>
            </w:r>
            <w:r>
              <w:rPr>
                <w:bCs/>
              </w:rPr>
              <w:t>or Sustainable Development (2019</w:t>
            </w:r>
            <w:r w:rsidRPr="00415096">
              <w:rPr>
                <w:bCs/>
              </w:rPr>
              <w:t xml:space="preserve"> Report)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 xml:space="preserve">ITU Roadmaps for WSIS Action Line C2, C5, C6 </w:t>
            </w:r>
            <w:r>
              <w:rPr>
                <w:bCs/>
              </w:rPr>
              <w:t>(Revised 2019)</w:t>
            </w:r>
          </w:p>
          <w:p w:rsidR="007D5130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>
              <w:rPr>
                <w:bCs/>
              </w:rPr>
              <w:t xml:space="preserve">WSIS Forum 2019: Outcomes 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>
              <w:rPr>
                <w:bCs/>
              </w:rPr>
              <w:t>WSIS Forum 2020 (Preparatory Process)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>Regional activities towards alignment of WSIS/SDG processes</w:t>
            </w:r>
            <w:r>
              <w:rPr>
                <w:bCs/>
              </w:rPr>
              <w:t xml:space="preserve"> and collaboration at the regional level (ITU Regional Offices and UN Regional Commissions) 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 xml:space="preserve">WSIS Stocktaking Process </w:t>
            </w:r>
            <w:r>
              <w:rPr>
                <w:bCs/>
              </w:rPr>
              <w:t>2020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 xml:space="preserve">WSIS Project Prizes </w:t>
            </w:r>
            <w:r>
              <w:rPr>
                <w:bCs/>
              </w:rPr>
              <w:t>2020</w:t>
            </w:r>
          </w:p>
          <w:p w:rsidR="007D5130" w:rsidRPr="0009507E" w:rsidRDefault="007D5130" w:rsidP="005B345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>UN Group on the Information Society (UNGIS)</w:t>
            </w:r>
            <w:r w:rsidRPr="0009507E">
              <w:rPr>
                <w:bCs/>
              </w:rPr>
              <w:t xml:space="preserve"> </w:t>
            </w:r>
          </w:p>
          <w:p w:rsidR="007D5130" w:rsidRPr="00415096" w:rsidRDefault="007D5130" w:rsidP="005B345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 xml:space="preserve">World Telecommunication </w:t>
            </w:r>
            <w:r>
              <w:rPr>
                <w:bCs/>
              </w:rPr>
              <w:t>and Information Society Day</w:t>
            </w:r>
            <w:r w:rsidR="005B3459">
              <w:rPr>
                <w:bCs/>
              </w:rPr>
              <w:t xml:space="preserve"> 2019</w:t>
            </w:r>
            <w:r>
              <w:rPr>
                <w:bCs/>
              </w:rPr>
              <w:t xml:space="preserve"> </w:t>
            </w:r>
            <w:r w:rsidR="005B3459">
              <w:rPr>
                <w:bCs/>
              </w:rPr>
              <w:t xml:space="preserve">&amp; </w:t>
            </w:r>
            <w:r>
              <w:rPr>
                <w:bCs/>
              </w:rPr>
              <w:t>2020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 xml:space="preserve">Partnership on Measuring the ICT for Development </w:t>
            </w:r>
          </w:p>
          <w:p w:rsidR="007D5130" w:rsidRDefault="007D5130" w:rsidP="001956F9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 w:rsidRPr="00415096">
              <w:rPr>
                <w:bCs/>
              </w:rPr>
              <w:t xml:space="preserve">WSIS Fund in Trust </w:t>
            </w:r>
            <w:r>
              <w:rPr>
                <w:bCs/>
              </w:rPr>
              <w:t>2019-2020</w:t>
            </w:r>
          </w:p>
          <w:p w:rsidR="007D5130" w:rsidRPr="007D5130" w:rsidRDefault="007D5130" w:rsidP="007D5130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71" w:hanging="411"/>
              <w:contextualSpacing/>
              <w:rPr>
                <w:bCs/>
              </w:rPr>
            </w:pPr>
            <w:r>
              <w:rPr>
                <w:bCs/>
              </w:rPr>
              <w:t>ITU Sector Study Groups for the WSIS &amp; SDGs Process</w:t>
            </w:r>
          </w:p>
        </w:tc>
        <w:tc>
          <w:tcPr>
            <w:tcW w:w="2381" w:type="dxa"/>
            <w:shd w:val="clear" w:color="auto" w:fill="auto"/>
          </w:tcPr>
          <w:p w:rsidR="007D5130" w:rsidRDefault="007D5130" w:rsidP="001956F9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7D5130" w:rsidRDefault="007D5130" w:rsidP="001956F9">
            <w:pPr>
              <w:pStyle w:val="NoSpacing"/>
              <w:rPr>
                <w:rStyle w:val="Hyperlink"/>
                <w:rFonts w:asciiTheme="minorHAnsi" w:hAnsiTheme="minorHAnsi"/>
                <w:bCs/>
              </w:rPr>
            </w:pPr>
          </w:p>
          <w:p w:rsidR="007D5130" w:rsidRPr="00415096" w:rsidRDefault="007D5130" w:rsidP="001956F9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7D5130" w:rsidRPr="00415096" w:rsidTr="005B3459">
        <w:trPr>
          <w:trHeight w:val="1717"/>
        </w:trPr>
        <w:tc>
          <w:tcPr>
            <w:tcW w:w="852" w:type="dxa"/>
            <w:shd w:val="clear" w:color="auto" w:fill="auto"/>
          </w:tcPr>
          <w:p w:rsidR="007D5130" w:rsidRPr="00415096" w:rsidRDefault="007D5130" w:rsidP="001956F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58" w:type="dxa"/>
            <w:shd w:val="clear" w:color="auto" w:fill="auto"/>
          </w:tcPr>
          <w:p w:rsidR="007D5130" w:rsidRPr="00415096" w:rsidRDefault="007D5130" w:rsidP="001956F9">
            <w:pPr>
              <w:spacing w:before="240" w:after="240"/>
              <w:rPr>
                <w:bCs/>
              </w:rPr>
            </w:pPr>
            <w:r w:rsidRPr="00415096">
              <w:rPr>
                <w:bCs/>
              </w:rPr>
              <w:t>ITU’s activities in relation to 2030 Agenda for Sustainable Devel</w:t>
            </w:r>
            <w:bookmarkStart w:id="6" w:name="_GoBack"/>
            <w:bookmarkEnd w:id="6"/>
            <w:r w:rsidRPr="00415096">
              <w:rPr>
                <w:bCs/>
              </w:rPr>
              <w:t xml:space="preserve">opment </w:t>
            </w:r>
          </w:p>
          <w:p w:rsidR="007D5130" w:rsidRPr="00415096" w:rsidRDefault="007D5130" w:rsidP="001956F9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</w:pPr>
            <w:r w:rsidRPr="00415096">
              <w:t>Update on the global follow-up and review to the 2030 Agenda for Sustainable Development</w:t>
            </w:r>
          </w:p>
          <w:p w:rsidR="007D5130" w:rsidRDefault="007D5130" w:rsidP="001956F9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</w:pPr>
            <w:r>
              <w:t xml:space="preserve">Outcomes of the </w:t>
            </w:r>
            <w:r w:rsidRPr="00415096">
              <w:t>ITU activities towards</w:t>
            </w:r>
            <w:r>
              <w:t xml:space="preserve"> High Level Political Forum 2019</w:t>
            </w:r>
          </w:p>
          <w:p w:rsidR="007D5130" w:rsidRPr="00415096" w:rsidRDefault="007D5130" w:rsidP="001956F9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</w:pPr>
            <w:r>
              <w:t>HLPF Declaration</w:t>
            </w:r>
          </w:p>
          <w:p w:rsidR="007D5130" w:rsidRPr="00154F76" w:rsidRDefault="007D5130" w:rsidP="001956F9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</w:pPr>
            <w:r w:rsidRPr="00415096">
              <w:t xml:space="preserve">Update on the roadmap on SDGs </w:t>
            </w:r>
          </w:p>
        </w:tc>
        <w:tc>
          <w:tcPr>
            <w:tcW w:w="2381" w:type="dxa"/>
            <w:shd w:val="clear" w:color="auto" w:fill="auto"/>
          </w:tcPr>
          <w:p w:rsidR="007D5130" w:rsidRDefault="007D5130" w:rsidP="001956F9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7D5130" w:rsidRDefault="007D5130" w:rsidP="001956F9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7D5130" w:rsidRDefault="007D5130" w:rsidP="001956F9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7D5130" w:rsidRDefault="007D5130" w:rsidP="001956F9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7D5130" w:rsidRDefault="007D5130" w:rsidP="001956F9">
            <w:pPr>
              <w:pStyle w:val="NoSpacing"/>
              <w:rPr>
                <w:rStyle w:val="Hyperlink"/>
                <w:rFonts w:asciiTheme="minorHAnsi" w:hAnsiTheme="minorHAnsi"/>
                <w:szCs w:val="24"/>
              </w:rPr>
            </w:pPr>
          </w:p>
          <w:p w:rsidR="007D5130" w:rsidRPr="00415096" w:rsidRDefault="007D5130" w:rsidP="001956F9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7D5130" w:rsidRPr="00415096" w:rsidTr="005B3459">
        <w:trPr>
          <w:trHeight w:val="568"/>
        </w:trPr>
        <w:tc>
          <w:tcPr>
            <w:tcW w:w="852" w:type="dxa"/>
            <w:shd w:val="clear" w:color="auto" w:fill="auto"/>
          </w:tcPr>
          <w:p w:rsidR="007D5130" w:rsidRPr="00415096" w:rsidRDefault="007D5130" w:rsidP="001956F9">
            <w:pPr>
              <w:tabs>
                <w:tab w:val="left" w:pos="225"/>
                <w:tab w:val="center" w:pos="318"/>
              </w:tabs>
              <w:spacing w:before="240" w:after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</w:tc>
        <w:tc>
          <w:tcPr>
            <w:tcW w:w="7258" w:type="dxa"/>
            <w:shd w:val="clear" w:color="auto" w:fill="auto"/>
          </w:tcPr>
          <w:p w:rsidR="007D5130" w:rsidRPr="00415096" w:rsidRDefault="007D5130" w:rsidP="001956F9">
            <w:pPr>
              <w:spacing w:before="240" w:after="240"/>
              <w:rPr>
                <w:bCs/>
              </w:rPr>
            </w:pPr>
            <w:r w:rsidRPr="00415096">
              <w:rPr>
                <w:bCs/>
              </w:rPr>
              <w:t>Other business</w:t>
            </w:r>
          </w:p>
        </w:tc>
        <w:tc>
          <w:tcPr>
            <w:tcW w:w="2381" w:type="dxa"/>
            <w:shd w:val="clear" w:color="auto" w:fill="auto"/>
          </w:tcPr>
          <w:p w:rsidR="007D5130" w:rsidRPr="00415096" w:rsidRDefault="007D5130" w:rsidP="001956F9">
            <w:pPr>
              <w:spacing w:before="240" w:after="240"/>
              <w:rPr>
                <w:bCs/>
              </w:rPr>
            </w:pPr>
          </w:p>
        </w:tc>
      </w:tr>
    </w:tbl>
    <w:p w:rsidR="0036762C" w:rsidRDefault="0036762C" w:rsidP="0036762C">
      <w:pPr>
        <w:spacing w:before="840" w:after="360"/>
        <w:jc w:val="center"/>
        <w:rPr>
          <w:rFonts w:cstheme="majorBidi"/>
        </w:rPr>
      </w:pPr>
    </w:p>
    <w:p w:rsidR="00CC597D" w:rsidRPr="00EA5FFD" w:rsidRDefault="00CC597D" w:rsidP="004E22DB">
      <w:pPr>
        <w:rPr>
          <w:rFonts w:cstheme="majorBidi"/>
        </w:rPr>
      </w:pPr>
    </w:p>
    <w:sectPr w:rsidR="00CC597D" w:rsidRPr="00EA5FFD" w:rsidSect="0036762C">
      <w:headerReference w:type="default" r:id="rId13"/>
      <w:footerReference w:type="first" r:id="rId14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E8" w:rsidRDefault="009B2FE8">
      <w:r>
        <w:separator/>
      </w:r>
    </w:p>
  </w:endnote>
  <w:endnote w:type="continuationSeparator" w:id="0">
    <w:p w:rsidR="009B2FE8" w:rsidRDefault="009B2FE8">
      <w:r>
        <w:continuationSeparator/>
      </w:r>
    </w:p>
  </w:endnote>
  <w:endnote w:type="continuationNotice" w:id="1">
    <w:p w:rsidR="009B2FE8" w:rsidRDefault="009B2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2C" w:rsidRDefault="0036762C" w:rsidP="0036762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6762C" w:rsidRDefault="0036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E8" w:rsidRDefault="009B2FE8">
      <w:r>
        <w:separator/>
      </w:r>
    </w:p>
  </w:footnote>
  <w:footnote w:type="continuationSeparator" w:id="0">
    <w:p w:rsidR="009B2FE8" w:rsidRDefault="009B2FE8">
      <w:r>
        <w:continuationSeparator/>
      </w:r>
    </w:p>
  </w:footnote>
  <w:footnote w:type="continuationNotice" w:id="1">
    <w:p w:rsidR="009B2FE8" w:rsidRDefault="009B2F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5B345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201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9507E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2DB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3459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86EB6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5130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2FE8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B6E27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0F2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7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950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507E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015FB1"/>
    <w:pPr>
      <w:spacing w:before="840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rPr>
      <w:caps w:val="0"/>
    </w:rPr>
  </w:style>
  <w:style w:type="paragraph" w:customStyle="1" w:styleId="Title4">
    <w:name w:val="Title 4"/>
    <w:basedOn w:val="Title3"/>
    <w:next w:val="Heading1"/>
    <w:rsid w:val="00015FB1"/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16C6F-4DFE-4BB9-A2C8-B1DF1200B5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BF1085-6D54-440C-8495-4188770F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January 2019</vt:lpstr>
      <vt:lpstr>ITU Normal.dot</vt:lpstr>
    </vt:vector>
  </TitlesOfParts>
  <Company>ITU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January 2019</dc:title>
  <dc:subject>Council Working Group on WSIS: Implementation of Outcomes</dc:subject>
  <dc:creator>Brouard, Ricarda</dc:creator>
  <cp:keywords>CWG-WSIS&amp;SDG</cp:keywords>
  <cp:lastModifiedBy>Kioy, Michael</cp:lastModifiedBy>
  <cp:revision>5</cp:revision>
  <cp:lastPrinted>2013-07-15T09:23:00Z</cp:lastPrinted>
  <dcterms:created xsi:type="dcterms:W3CDTF">2019-07-24T12:36:00Z</dcterms:created>
  <dcterms:modified xsi:type="dcterms:W3CDTF">2019-07-24T12:54:00Z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