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F153A" w14:paraId="6628FFED" w14:textId="77777777" w:rsidTr="000F2E67">
        <w:trPr>
          <w:cantSplit/>
        </w:trPr>
        <w:tc>
          <w:tcPr>
            <w:tcW w:w="6521" w:type="dxa"/>
          </w:tcPr>
          <w:p w14:paraId="10F52650" w14:textId="711148BE" w:rsidR="004E5922" w:rsidRDefault="000F2E67" w:rsidP="00815174">
            <w:pPr>
              <w:spacing w:before="240" w:after="48"/>
              <w:rPr>
                <w:rFonts w:asciiTheme="minorHAnsi" w:hAnsiTheme="minorHAnsi"/>
                <w:b/>
                <w:position w:val="6"/>
                <w:sz w:val="30"/>
                <w:szCs w:val="30"/>
              </w:rPr>
            </w:pPr>
            <w:bookmarkStart w:id="0" w:name="dc06"/>
            <w:bookmarkEnd w:id="0"/>
            <w:r w:rsidRPr="000F2E67">
              <w:rPr>
                <w:rFonts w:asciiTheme="minorHAnsi" w:hAnsiTheme="minorHAnsi"/>
                <w:b/>
                <w:position w:val="6"/>
                <w:sz w:val="30"/>
                <w:szCs w:val="30"/>
              </w:rPr>
              <w:t xml:space="preserve">Council Working Group on </w:t>
            </w:r>
            <w:r w:rsidR="00815174">
              <w:rPr>
                <w:rFonts w:asciiTheme="minorHAnsi" w:hAnsiTheme="minorHAnsi"/>
                <w:b/>
                <w:position w:val="6"/>
                <w:sz w:val="30"/>
                <w:szCs w:val="30"/>
              </w:rPr>
              <w:br/>
              <w:t>Financial and Human Resources</w:t>
            </w:r>
            <w:r w:rsidR="00140DB3">
              <w:rPr>
                <w:rFonts w:asciiTheme="minorHAnsi" w:hAnsiTheme="minorHAnsi"/>
                <w:b/>
                <w:position w:val="6"/>
                <w:sz w:val="30"/>
                <w:szCs w:val="30"/>
              </w:rPr>
              <w:t xml:space="preserve"> (CWG-FHR)</w:t>
            </w:r>
          </w:p>
          <w:p w14:paraId="27CB7B51" w14:textId="74018F2B" w:rsidR="005F153A" w:rsidRPr="00D613F6" w:rsidRDefault="000B7B00" w:rsidP="008818A0">
            <w:pPr>
              <w:spacing w:after="120"/>
              <w:rPr>
                <w:rFonts w:asciiTheme="minorHAnsi" w:hAnsiTheme="minorHAnsi"/>
                <w:b/>
                <w:position w:val="6"/>
                <w:sz w:val="26"/>
                <w:szCs w:val="26"/>
              </w:rPr>
            </w:pPr>
            <w:r>
              <w:rPr>
                <w:rFonts w:asciiTheme="minorHAnsi" w:hAnsiTheme="minorHAnsi" w:cs="Times New Roman Bold"/>
                <w:b/>
                <w:sz w:val="24"/>
              </w:rPr>
              <w:t xml:space="preserve">Eleventh </w:t>
            </w:r>
            <w:r w:rsidR="001B506B">
              <w:rPr>
                <w:rFonts w:asciiTheme="minorHAnsi" w:hAnsiTheme="minorHAnsi" w:cs="Times New Roman Bold"/>
                <w:b/>
                <w:sz w:val="24"/>
              </w:rPr>
              <w:t>meeting</w:t>
            </w:r>
            <w:r w:rsidR="001B506B" w:rsidRPr="001B506B">
              <w:rPr>
                <w:rFonts w:asciiTheme="minorHAnsi" w:hAnsiTheme="minorHAnsi" w:cs="Times New Roman Bold"/>
                <w:b/>
                <w:sz w:val="24"/>
              </w:rPr>
              <w:t xml:space="preserve"> </w:t>
            </w:r>
            <w:r w:rsidR="001B506B" w:rsidRPr="001B506B">
              <w:rPr>
                <w:rFonts w:ascii="Calibri" w:eastAsia="Calibri" w:hAnsi="Calibri" w:cs="Calibri"/>
                <w:b/>
                <w:color w:val="000000"/>
                <w:sz w:val="24"/>
              </w:rPr>
              <w:t>–</w:t>
            </w:r>
            <w:r w:rsidR="005F153A" w:rsidRPr="000F2E67">
              <w:rPr>
                <w:rFonts w:asciiTheme="minorHAnsi" w:hAnsiTheme="minorHAnsi" w:cs="Times New Roman Bold"/>
                <w:b/>
                <w:sz w:val="24"/>
              </w:rPr>
              <w:t xml:space="preserve"> Geneva, </w:t>
            </w:r>
            <w:r w:rsidR="008818A0">
              <w:rPr>
                <w:rFonts w:asciiTheme="minorHAnsi" w:hAnsiTheme="minorHAnsi" w:cs="Times New Roman Bold"/>
                <w:b/>
                <w:sz w:val="24"/>
              </w:rPr>
              <w:t>18 September 2019</w:t>
            </w:r>
          </w:p>
        </w:tc>
        <w:tc>
          <w:tcPr>
            <w:tcW w:w="3793" w:type="dxa"/>
          </w:tcPr>
          <w:p w14:paraId="4446AB5E" w14:textId="77777777" w:rsidR="005F153A" w:rsidRPr="00D613F6" w:rsidRDefault="002A1458" w:rsidP="001B506B">
            <w:pPr>
              <w:spacing w:before="120" w:line="240" w:lineRule="atLeast"/>
            </w:pPr>
            <w:bookmarkStart w:id="1" w:name="ditulogo"/>
            <w:bookmarkEnd w:id="1"/>
            <w:r>
              <w:rPr>
                <w:noProof/>
                <w:lang w:val="en-GB"/>
              </w:rPr>
              <w:drawing>
                <wp:inline distT="0" distB="0" distL="0" distR="0" wp14:anchorId="1585A4FE" wp14:editId="43175341">
                  <wp:extent cx="682417"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17" cy="720000"/>
                          </a:xfrm>
                          <a:prstGeom prst="rect">
                            <a:avLst/>
                          </a:prstGeom>
                        </pic:spPr>
                      </pic:pic>
                    </a:graphicData>
                  </a:graphic>
                </wp:inline>
              </w:drawing>
            </w:r>
          </w:p>
        </w:tc>
      </w:tr>
      <w:tr w:rsidR="005F153A" w:rsidRPr="00617BE4" w14:paraId="084C35CA" w14:textId="77777777" w:rsidTr="000F2E67">
        <w:trPr>
          <w:cantSplit/>
        </w:trPr>
        <w:tc>
          <w:tcPr>
            <w:tcW w:w="6521" w:type="dxa"/>
            <w:tcBorders>
              <w:top w:val="single" w:sz="12" w:space="0" w:color="auto"/>
            </w:tcBorders>
          </w:tcPr>
          <w:p w14:paraId="4DEF0B93" w14:textId="77777777" w:rsidR="005F153A" w:rsidRPr="00D613F6" w:rsidRDefault="005F153A" w:rsidP="000F2E67">
            <w:pPr>
              <w:snapToGrid w:val="0"/>
              <w:rPr>
                <w:b/>
                <w:smallCaps/>
              </w:rPr>
            </w:pPr>
          </w:p>
        </w:tc>
        <w:tc>
          <w:tcPr>
            <w:tcW w:w="3793" w:type="dxa"/>
            <w:tcBorders>
              <w:top w:val="single" w:sz="12" w:space="0" w:color="auto"/>
            </w:tcBorders>
          </w:tcPr>
          <w:p w14:paraId="669BF67E" w14:textId="77777777" w:rsidR="005F153A" w:rsidRPr="00D613F6" w:rsidRDefault="005F153A" w:rsidP="000F2E67">
            <w:pPr>
              <w:snapToGrid w:val="0"/>
              <w:ind w:left="209"/>
              <w:rPr>
                <w:rFonts w:ascii="Verdana" w:hAnsi="Verdana"/>
              </w:rPr>
            </w:pPr>
          </w:p>
        </w:tc>
      </w:tr>
      <w:tr w:rsidR="005F153A" w:rsidRPr="001B506B" w14:paraId="44292FFB" w14:textId="77777777" w:rsidTr="000F2E67">
        <w:trPr>
          <w:cantSplit/>
          <w:trHeight w:val="23"/>
        </w:trPr>
        <w:tc>
          <w:tcPr>
            <w:tcW w:w="6521" w:type="dxa"/>
            <w:vMerge w:val="restart"/>
          </w:tcPr>
          <w:p w14:paraId="6EB83D14" w14:textId="7B9B7ADF" w:rsidR="005F153A" w:rsidRPr="00D613F6" w:rsidRDefault="005F153A" w:rsidP="000F2E67">
            <w:pPr>
              <w:snapToGrid w:val="0"/>
              <w:rPr>
                <w:rFonts w:asciiTheme="minorHAnsi" w:hAnsiTheme="minorHAnsi"/>
                <w:b/>
              </w:rPr>
            </w:pPr>
            <w:bookmarkStart w:id="2" w:name="dmeeting" w:colFirst="0" w:colLast="0"/>
            <w:bookmarkStart w:id="3" w:name="dnum" w:colFirst="1" w:colLast="1"/>
          </w:p>
        </w:tc>
        <w:tc>
          <w:tcPr>
            <w:tcW w:w="3793" w:type="dxa"/>
          </w:tcPr>
          <w:p w14:paraId="2D0C1909" w14:textId="67C9AE34" w:rsidR="005F153A" w:rsidRPr="000F2E67" w:rsidRDefault="005F153A" w:rsidP="000B7B00">
            <w:pPr>
              <w:snapToGrid w:val="0"/>
              <w:ind w:left="57"/>
              <w:rPr>
                <w:rFonts w:asciiTheme="minorHAnsi" w:hAnsiTheme="minorHAnsi" w:cs="Times New Roman Bold"/>
                <w:b/>
                <w:spacing w:val="-4"/>
                <w:sz w:val="24"/>
                <w:lang w:val="de-CH"/>
              </w:rPr>
            </w:pPr>
            <w:r w:rsidRPr="000F2E67">
              <w:rPr>
                <w:rFonts w:asciiTheme="minorHAnsi" w:hAnsiTheme="minorHAnsi" w:cs="Times New Roman Bold"/>
                <w:b/>
                <w:spacing w:val="-4"/>
                <w:sz w:val="24"/>
                <w:lang w:val="de-CH"/>
              </w:rPr>
              <w:t xml:space="preserve">Document </w:t>
            </w:r>
            <w:r w:rsidR="00F45331">
              <w:rPr>
                <w:rFonts w:asciiTheme="minorHAnsi" w:hAnsiTheme="minorHAnsi" w:cs="Times New Roman Bold"/>
                <w:b/>
                <w:spacing w:val="-4"/>
                <w:sz w:val="24"/>
                <w:lang w:val="de-CH"/>
              </w:rPr>
              <w:t>C</w:t>
            </w:r>
            <w:r w:rsidRPr="000F2E67">
              <w:rPr>
                <w:rFonts w:asciiTheme="minorHAnsi" w:hAnsiTheme="minorHAnsi" w:cs="Times New Roman Bold"/>
                <w:b/>
                <w:spacing w:val="-4"/>
                <w:sz w:val="24"/>
                <w:lang w:val="de-CH"/>
              </w:rPr>
              <w:t>WG-</w:t>
            </w:r>
            <w:r w:rsidR="00815174">
              <w:rPr>
                <w:rFonts w:asciiTheme="minorHAnsi" w:hAnsiTheme="minorHAnsi" w:cs="Times New Roman Bold"/>
                <w:b/>
                <w:spacing w:val="-4"/>
                <w:sz w:val="24"/>
                <w:lang w:val="de-CH"/>
              </w:rPr>
              <w:t>FHR</w:t>
            </w:r>
            <w:r w:rsidR="000B7B00">
              <w:rPr>
                <w:rFonts w:asciiTheme="minorHAnsi" w:hAnsiTheme="minorHAnsi" w:cs="Times New Roman Bold"/>
                <w:b/>
                <w:spacing w:val="-4"/>
                <w:sz w:val="24"/>
                <w:lang w:val="de-CH"/>
              </w:rPr>
              <w:t xml:space="preserve"> </w:t>
            </w:r>
            <w:r w:rsidR="00936416">
              <w:rPr>
                <w:rFonts w:asciiTheme="minorHAnsi" w:hAnsiTheme="minorHAnsi" w:cs="Times New Roman Bold"/>
                <w:b/>
                <w:spacing w:val="-4"/>
                <w:sz w:val="24"/>
                <w:lang w:val="de-CH"/>
              </w:rPr>
              <w:t>10/15</w:t>
            </w:r>
          </w:p>
        </w:tc>
      </w:tr>
      <w:tr w:rsidR="005F153A" w:rsidRPr="00E544AC" w14:paraId="0468A2EF" w14:textId="77777777" w:rsidTr="000F2E67">
        <w:trPr>
          <w:cantSplit/>
          <w:trHeight w:val="23"/>
        </w:trPr>
        <w:tc>
          <w:tcPr>
            <w:tcW w:w="6521" w:type="dxa"/>
            <w:vMerge/>
          </w:tcPr>
          <w:p w14:paraId="7B22957C" w14:textId="77777777" w:rsidR="005F153A" w:rsidRPr="00D613F6" w:rsidRDefault="005F153A" w:rsidP="000F2E67">
            <w:pPr>
              <w:snapToGrid w:val="0"/>
              <w:rPr>
                <w:rFonts w:asciiTheme="minorHAnsi" w:hAnsiTheme="minorHAnsi"/>
                <w:b/>
                <w:lang w:val="de-CH"/>
              </w:rPr>
            </w:pPr>
            <w:bookmarkStart w:id="4" w:name="ddate" w:colFirst="1" w:colLast="1"/>
            <w:bookmarkEnd w:id="2"/>
            <w:bookmarkEnd w:id="3"/>
          </w:p>
        </w:tc>
        <w:tc>
          <w:tcPr>
            <w:tcW w:w="3793" w:type="dxa"/>
          </w:tcPr>
          <w:p w14:paraId="78CDA610" w14:textId="1925082E" w:rsidR="005F153A" w:rsidRPr="000F2E67" w:rsidRDefault="00936416" w:rsidP="00140DB3">
            <w:pPr>
              <w:snapToGrid w:val="0"/>
              <w:ind w:left="57"/>
              <w:rPr>
                <w:rFonts w:asciiTheme="minorHAnsi" w:hAnsiTheme="minorHAnsi"/>
                <w:b/>
                <w:sz w:val="24"/>
              </w:rPr>
            </w:pPr>
            <w:r>
              <w:rPr>
                <w:rFonts w:asciiTheme="minorHAnsi" w:hAnsiTheme="minorHAnsi"/>
                <w:b/>
                <w:sz w:val="24"/>
              </w:rPr>
              <w:t>9 September</w:t>
            </w:r>
            <w:r w:rsidR="00756E92">
              <w:rPr>
                <w:rFonts w:asciiTheme="minorHAnsi" w:hAnsiTheme="minorHAnsi"/>
                <w:b/>
                <w:sz w:val="24"/>
              </w:rPr>
              <w:t xml:space="preserve"> 2019</w:t>
            </w:r>
          </w:p>
        </w:tc>
      </w:tr>
      <w:tr w:rsidR="005F153A" w:rsidRPr="00E544AC" w14:paraId="4676DB57" w14:textId="77777777" w:rsidTr="000F2E67">
        <w:trPr>
          <w:cantSplit/>
          <w:trHeight w:val="80"/>
        </w:trPr>
        <w:tc>
          <w:tcPr>
            <w:tcW w:w="6521" w:type="dxa"/>
            <w:vMerge/>
          </w:tcPr>
          <w:p w14:paraId="3D3F6CB0" w14:textId="77777777" w:rsidR="005F153A" w:rsidRPr="00E544AC" w:rsidRDefault="005F153A" w:rsidP="000F2E67">
            <w:pPr>
              <w:snapToGrid w:val="0"/>
              <w:rPr>
                <w:rFonts w:asciiTheme="minorHAnsi" w:hAnsiTheme="minorHAnsi"/>
                <w:b/>
              </w:rPr>
            </w:pPr>
            <w:bookmarkStart w:id="5" w:name="dorlang" w:colFirst="1" w:colLast="1"/>
            <w:bookmarkEnd w:id="4"/>
          </w:p>
        </w:tc>
        <w:tc>
          <w:tcPr>
            <w:tcW w:w="3793" w:type="dxa"/>
          </w:tcPr>
          <w:p w14:paraId="453968D0" w14:textId="77777777" w:rsidR="005F153A" w:rsidRPr="000F2E67" w:rsidRDefault="005F153A" w:rsidP="000F2E67">
            <w:pPr>
              <w:snapToGrid w:val="0"/>
              <w:ind w:left="57"/>
              <w:rPr>
                <w:rFonts w:asciiTheme="minorHAnsi" w:hAnsiTheme="minorHAnsi"/>
                <w:b/>
                <w:sz w:val="24"/>
              </w:rPr>
            </w:pPr>
            <w:r w:rsidRPr="000F2E67">
              <w:rPr>
                <w:rFonts w:asciiTheme="minorHAnsi" w:hAnsiTheme="minorHAnsi"/>
                <w:b/>
                <w:sz w:val="24"/>
              </w:rPr>
              <w:t>English only</w:t>
            </w:r>
          </w:p>
        </w:tc>
      </w:tr>
    </w:tbl>
    <w:bookmarkEnd w:id="5"/>
    <w:p w14:paraId="58C96209" w14:textId="77777777" w:rsidR="008379EA" w:rsidRDefault="00CC597D" w:rsidP="00056802">
      <w:pPr>
        <w:spacing w:before="840" w:after="240"/>
        <w:jc w:val="center"/>
        <w:rPr>
          <w:rFonts w:asciiTheme="minorHAnsi" w:hAnsiTheme="minorHAnsi"/>
          <w:b/>
          <w:sz w:val="28"/>
          <w:szCs w:val="32"/>
        </w:rPr>
      </w:pPr>
      <w:r>
        <w:rPr>
          <w:rFonts w:asciiTheme="minorHAnsi" w:hAnsiTheme="minorHAnsi"/>
          <w:b/>
          <w:sz w:val="28"/>
          <w:szCs w:val="32"/>
        </w:rPr>
        <w:t xml:space="preserve">Contribution </w:t>
      </w:r>
      <w:r w:rsidR="00073F35">
        <w:rPr>
          <w:rFonts w:asciiTheme="minorHAnsi" w:hAnsiTheme="minorHAnsi"/>
          <w:b/>
          <w:sz w:val="28"/>
          <w:szCs w:val="32"/>
        </w:rPr>
        <w:t>by</w:t>
      </w:r>
      <w:r>
        <w:rPr>
          <w:rFonts w:asciiTheme="minorHAnsi" w:hAnsiTheme="minorHAnsi"/>
          <w:b/>
          <w:sz w:val="28"/>
          <w:szCs w:val="32"/>
        </w:rPr>
        <w:t xml:space="preserve"> </w:t>
      </w:r>
      <w:r w:rsidR="008379EA">
        <w:rPr>
          <w:rFonts w:asciiTheme="minorHAnsi" w:hAnsiTheme="minorHAnsi"/>
          <w:b/>
          <w:sz w:val="28"/>
          <w:szCs w:val="32"/>
        </w:rPr>
        <w:t>the Secretariat</w:t>
      </w:r>
    </w:p>
    <w:p w14:paraId="40C2CD69" w14:textId="33ED407C" w:rsidR="00AF50A8" w:rsidRDefault="00140DB3" w:rsidP="00140DB3">
      <w:pPr>
        <w:spacing w:before="240" w:after="360"/>
        <w:jc w:val="center"/>
        <w:rPr>
          <w:rFonts w:asciiTheme="minorHAnsi" w:hAnsiTheme="minorHAnsi"/>
          <w:bCs/>
          <w:sz w:val="28"/>
          <w:szCs w:val="32"/>
          <w:lang w:val="en-GB"/>
        </w:rPr>
      </w:pPr>
      <w:r>
        <w:rPr>
          <w:rFonts w:asciiTheme="minorHAnsi" w:hAnsiTheme="minorHAnsi"/>
          <w:bCs/>
          <w:sz w:val="28"/>
          <w:szCs w:val="32"/>
          <w:lang w:val="en-GB"/>
        </w:rPr>
        <w:t xml:space="preserve">FOLLOW-UP ON REMEDIAL ACTIONS TAKEN IN </w:t>
      </w:r>
      <w:r w:rsidR="000A1F0C">
        <w:rPr>
          <w:rFonts w:asciiTheme="minorHAnsi" w:hAnsiTheme="minorHAnsi"/>
          <w:bCs/>
          <w:sz w:val="28"/>
          <w:szCs w:val="32"/>
          <w:lang w:val="en-GB"/>
        </w:rPr>
        <w:t>RESPONSE TO THE FRAUD CASE IN A </w:t>
      </w:r>
      <w:r>
        <w:rPr>
          <w:rFonts w:asciiTheme="minorHAnsi" w:hAnsiTheme="minorHAnsi"/>
          <w:bCs/>
          <w:sz w:val="28"/>
          <w:szCs w:val="32"/>
          <w:lang w:val="en-GB"/>
        </w:rPr>
        <w:t>REGIONAL OFFICE</w:t>
      </w:r>
    </w:p>
    <w:p w14:paraId="7ADE5E87" w14:textId="77777777" w:rsidR="008818A0" w:rsidRPr="00394C20" w:rsidRDefault="008818A0" w:rsidP="00140DB3">
      <w:pPr>
        <w:spacing w:before="240" w:after="360"/>
        <w:jc w:val="center"/>
        <w:rPr>
          <w:rFonts w:asciiTheme="minorHAnsi" w:hAnsiTheme="minorHAnsi"/>
          <w:b/>
          <w:sz w:val="28"/>
          <w:szCs w:val="32"/>
          <w:lang w:val="en-GB"/>
        </w:rPr>
      </w:pPr>
    </w:p>
    <w:p w14:paraId="178AAE16" w14:textId="77777777" w:rsidR="00140DB3" w:rsidRDefault="00140DB3" w:rsidP="006640CB">
      <w:pPr>
        <w:spacing w:before="240" w:after="120"/>
        <w:jc w:val="both"/>
        <w:rPr>
          <w:rFonts w:ascii="Calibri" w:hAnsi="Calibri" w:cs="Calibri"/>
          <w:b/>
          <w:bCs/>
          <w:sz w:val="24"/>
          <w:u w:val="single"/>
          <w:lang w:val="en-GB"/>
        </w:rPr>
      </w:pPr>
      <w:r>
        <w:rPr>
          <w:rFonts w:ascii="Calibri" w:hAnsi="Calibri" w:cs="Calibri"/>
          <w:b/>
          <w:bCs/>
          <w:sz w:val="24"/>
          <w:u w:val="single"/>
          <w:lang w:val="en-GB"/>
        </w:rPr>
        <w:t>Purpose of this Report</w:t>
      </w:r>
    </w:p>
    <w:p w14:paraId="681B2B6E" w14:textId="6705565D" w:rsidR="00140DB3" w:rsidRPr="00140DB3" w:rsidRDefault="00140DB3" w:rsidP="006640CB">
      <w:pPr>
        <w:spacing w:before="240" w:after="120"/>
        <w:jc w:val="both"/>
        <w:rPr>
          <w:rFonts w:ascii="Calibri" w:hAnsi="Calibri" w:cs="Calibri"/>
          <w:sz w:val="24"/>
        </w:rPr>
      </w:pPr>
      <w:r>
        <w:rPr>
          <w:rFonts w:ascii="Calibri" w:hAnsi="Calibri" w:cs="Calibri"/>
          <w:sz w:val="24"/>
        </w:rPr>
        <w:t>1.</w:t>
      </w:r>
      <w:r>
        <w:rPr>
          <w:rFonts w:ascii="Calibri" w:hAnsi="Calibri" w:cs="Calibri"/>
          <w:sz w:val="24"/>
        </w:rPr>
        <w:tab/>
      </w:r>
      <w:r w:rsidR="00F57495" w:rsidRPr="00140DB3">
        <w:rPr>
          <w:rFonts w:ascii="Calibri" w:hAnsi="Calibri" w:cs="Calibri"/>
          <w:sz w:val="24"/>
        </w:rPr>
        <w:t xml:space="preserve">The </w:t>
      </w:r>
      <w:r w:rsidRPr="00140DB3">
        <w:rPr>
          <w:rFonts w:ascii="Calibri" w:hAnsi="Calibri" w:cs="Calibri"/>
          <w:sz w:val="24"/>
        </w:rPr>
        <w:t>purpose of this Report is to advise the CWG-FHR on progress the ITU Secretariat has made to strengthen internal and financial controls as a result of the fraud case in a regional office.</w:t>
      </w:r>
    </w:p>
    <w:p w14:paraId="09017058" w14:textId="77777777" w:rsidR="006640CB" w:rsidRDefault="00140DB3" w:rsidP="00A03471">
      <w:pPr>
        <w:spacing w:before="240" w:after="120"/>
        <w:rPr>
          <w:rFonts w:ascii="Calibri" w:hAnsi="Calibri" w:cs="Calibri"/>
          <w:b/>
          <w:bCs/>
          <w:sz w:val="24"/>
          <w:u w:val="single"/>
        </w:rPr>
      </w:pPr>
      <w:r>
        <w:rPr>
          <w:rFonts w:ascii="Calibri" w:hAnsi="Calibri" w:cs="Calibri"/>
          <w:b/>
          <w:bCs/>
          <w:sz w:val="24"/>
          <w:u w:val="single"/>
        </w:rPr>
        <w:t>Background</w:t>
      </w:r>
    </w:p>
    <w:p w14:paraId="68FA0E6C" w14:textId="5E8582F6" w:rsidR="006640CB" w:rsidRDefault="00936416" w:rsidP="00A03471">
      <w:pPr>
        <w:spacing w:before="240" w:after="120"/>
        <w:rPr>
          <w:rFonts w:ascii="Calibri" w:hAnsi="Calibri" w:cs="Calibri"/>
          <w:sz w:val="24"/>
        </w:rPr>
      </w:pPr>
      <w:r>
        <w:rPr>
          <w:rFonts w:ascii="Calibri" w:hAnsi="Calibri" w:cs="Calibri"/>
          <w:sz w:val="24"/>
        </w:rPr>
        <w:t>2</w:t>
      </w:r>
      <w:r w:rsidR="00140DB3">
        <w:rPr>
          <w:rFonts w:ascii="Calibri" w:hAnsi="Calibri" w:cs="Calibri"/>
          <w:sz w:val="24"/>
        </w:rPr>
        <w:t>.</w:t>
      </w:r>
      <w:r w:rsidR="00140DB3">
        <w:rPr>
          <w:rFonts w:ascii="Calibri" w:hAnsi="Calibri" w:cs="Calibri"/>
          <w:sz w:val="24"/>
        </w:rPr>
        <w:tab/>
      </w:r>
      <w:r w:rsidR="00140DB3" w:rsidRPr="00BE2B19">
        <w:rPr>
          <w:rFonts w:ascii="Calibri" w:hAnsi="Calibri" w:cs="Calibri"/>
          <w:sz w:val="24"/>
        </w:rPr>
        <w:t>Th</w:t>
      </w:r>
      <w:r w:rsidR="00140DB3">
        <w:rPr>
          <w:rFonts w:ascii="Calibri" w:hAnsi="Calibri" w:cs="Calibri"/>
          <w:sz w:val="24"/>
        </w:rPr>
        <w:t>is facts of this case were presented to Council at the 19</w:t>
      </w:r>
      <w:r w:rsidR="00140DB3" w:rsidRPr="00140DB3">
        <w:rPr>
          <w:rFonts w:ascii="Calibri" w:hAnsi="Calibri" w:cs="Calibri"/>
          <w:sz w:val="24"/>
          <w:vertAlign w:val="superscript"/>
        </w:rPr>
        <w:t>th</w:t>
      </w:r>
      <w:r w:rsidR="00140DB3">
        <w:rPr>
          <w:rFonts w:ascii="Calibri" w:hAnsi="Calibri" w:cs="Calibri"/>
          <w:sz w:val="24"/>
        </w:rPr>
        <w:t xml:space="preserve"> Session held in Geneva in June 2019.  Details are found in Council Document </w:t>
      </w:r>
      <w:hyperlink r:id="rId13" w:history="1">
        <w:r w:rsidR="00140DB3" w:rsidRPr="00C5314B">
          <w:rPr>
            <w:rStyle w:val="Hyperlink"/>
            <w:rFonts w:ascii="Calibri" w:hAnsi="Calibri" w:cs="Calibri"/>
            <w:sz w:val="24"/>
          </w:rPr>
          <w:t>C19/108</w:t>
        </w:r>
      </w:hyperlink>
      <w:r w:rsidR="00140DB3">
        <w:rPr>
          <w:rFonts w:ascii="Calibri" w:hAnsi="Calibri" w:cs="Calibri"/>
          <w:sz w:val="24"/>
        </w:rPr>
        <w:t>.</w:t>
      </w:r>
      <w:r w:rsidR="0085429D">
        <w:rPr>
          <w:rFonts w:ascii="Calibri" w:hAnsi="Calibri" w:cs="Calibri"/>
          <w:sz w:val="24"/>
        </w:rPr>
        <w:t xml:space="preserve"> </w:t>
      </w:r>
      <w:r w:rsidR="006640CB">
        <w:rPr>
          <w:rFonts w:ascii="Calibri" w:hAnsi="Calibri" w:cs="Calibri"/>
          <w:sz w:val="24"/>
        </w:rPr>
        <w:t xml:space="preserve"> </w:t>
      </w:r>
    </w:p>
    <w:p w14:paraId="3939CA67" w14:textId="236BCC4F" w:rsidR="00140DB3" w:rsidRDefault="00936416" w:rsidP="00A03471">
      <w:pPr>
        <w:spacing w:before="240" w:after="120"/>
        <w:rPr>
          <w:rFonts w:ascii="Calibri" w:hAnsi="Calibri" w:cs="Calibri"/>
          <w:sz w:val="24"/>
        </w:rPr>
      </w:pPr>
      <w:r>
        <w:rPr>
          <w:rFonts w:ascii="Calibri" w:hAnsi="Calibri" w:cs="Calibri"/>
          <w:sz w:val="24"/>
        </w:rPr>
        <w:t>3</w:t>
      </w:r>
      <w:r w:rsidR="006640CB">
        <w:rPr>
          <w:rFonts w:ascii="Calibri" w:hAnsi="Calibri" w:cs="Calibri"/>
          <w:sz w:val="24"/>
        </w:rPr>
        <w:t>.</w:t>
      </w:r>
      <w:r w:rsidR="006640CB">
        <w:rPr>
          <w:rFonts w:ascii="Calibri" w:hAnsi="Calibri" w:cs="Calibri"/>
          <w:sz w:val="24"/>
        </w:rPr>
        <w:tab/>
        <w:t xml:space="preserve">It should </w:t>
      </w:r>
      <w:r w:rsidR="00140DB3">
        <w:rPr>
          <w:rFonts w:ascii="Calibri" w:hAnsi="Calibri" w:cs="Calibri"/>
          <w:sz w:val="24"/>
        </w:rPr>
        <w:t xml:space="preserve">be recalled that this was a very sophisticated fraud, perpetrated over many years and making use of a variety of mechanisms to </w:t>
      </w:r>
      <w:r w:rsidR="0085429D">
        <w:rPr>
          <w:rFonts w:ascii="Calibri" w:hAnsi="Calibri" w:cs="Calibri"/>
          <w:sz w:val="24"/>
        </w:rPr>
        <w:t xml:space="preserve">fraudulently obtain ITU funds.  </w:t>
      </w:r>
      <w:r w:rsidR="006640CB">
        <w:rPr>
          <w:rFonts w:ascii="Calibri" w:hAnsi="Calibri" w:cs="Calibri"/>
          <w:sz w:val="24"/>
        </w:rPr>
        <w:t xml:space="preserve">Accordingly, </w:t>
      </w:r>
      <w:r w:rsidR="0085429D">
        <w:rPr>
          <w:rFonts w:ascii="Calibri" w:hAnsi="Calibri" w:cs="Calibri"/>
          <w:sz w:val="24"/>
        </w:rPr>
        <w:t>normal financial controls would not easily identify the fraudulent activities as they took place.</w:t>
      </w:r>
    </w:p>
    <w:p w14:paraId="4636C43A" w14:textId="309C1F50" w:rsidR="0085429D" w:rsidRPr="00A03471" w:rsidRDefault="00936416">
      <w:pPr>
        <w:spacing w:before="240"/>
        <w:rPr>
          <w:rStyle w:val="Hyperlink"/>
          <w:rFonts w:asciiTheme="minorHAnsi" w:hAnsiTheme="minorHAnsi" w:cstheme="minorHAnsi"/>
          <w:color w:val="auto"/>
          <w:sz w:val="20"/>
          <w:u w:val="none"/>
        </w:rPr>
      </w:pPr>
      <w:r>
        <w:rPr>
          <w:rFonts w:ascii="Calibri" w:hAnsi="Calibri" w:cs="Calibri"/>
          <w:sz w:val="24"/>
        </w:rPr>
        <w:t>4</w:t>
      </w:r>
      <w:r w:rsidR="0085429D">
        <w:rPr>
          <w:rFonts w:ascii="Calibri" w:hAnsi="Calibri" w:cs="Calibri"/>
          <w:sz w:val="24"/>
        </w:rPr>
        <w:t>.</w:t>
      </w:r>
      <w:r w:rsidR="0085429D">
        <w:rPr>
          <w:rFonts w:ascii="Calibri" w:hAnsi="Calibri" w:cs="Calibri"/>
          <w:sz w:val="24"/>
        </w:rPr>
        <w:tab/>
        <w:t xml:space="preserve">In response to the level of sophistication of the fraud, Council approved funding for a financial investigation to review 10 years of ITU activities to ensure there are no further cases of fraud and that no other ITU staff members have participated in such activities.  The relevant Council decision is </w:t>
      </w:r>
      <w:r w:rsidR="00C638DA">
        <w:rPr>
          <w:rFonts w:ascii="Calibri" w:hAnsi="Calibri" w:cs="Calibri"/>
          <w:sz w:val="24"/>
        </w:rPr>
        <w:t xml:space="preserve">found in </w:t>
      </w:r>
      <w:r w:rsidR="00C638DA" w:rsidRPr="00C638DA">
        <w:rPr>
          <w:rFonts w:ascii="Calibri" w:hAnsi="Calibri" w:cs="Calibri"/>
          <w:sz w:val="24"/>
        </w:rPr>
        <w:t xml:space="preserve">document </w:t>
      </w:r>
      <w:hyperlink r:id="rId14" w:history="1">
        <w:r w:rsidR="0085429D" w:rsidRPr="00A03471">
          <w:rPr>
            <w:rStyle w:val="Hyperlink"/>
            <w:rFonts w:asciiTheme="minorHAnsi" w:hAnsiTheme="minorHAnsi" w:cstheme="minorHAnsi"/>
            <w:sz w:val="24"/>
          </w:rPr>
          <w:t>C19/130</w:t>
        </w:r>
      </w:hyperlink>
      <w:r w:rsidR="00C638DA">
        <w:rPr>
          <w:rStyle w:val="Hyperlink"/>
          <w:rFonts w:asciiTheme="minorHAnsi" w:hAnsiTheme="minorHAnsi" w:cstheme="minorHAnsi"/>
          <w:color w:val="auto"/>
          <w:sz w:val="20"/>
          <w:u w:val="none"/>
        </w:rPr>
        <w:t>.</w:t>
      </w:r>
    </w:p>
    <w:p w14:paraId="47F1680F" w14:textId="091E74FB" w:rsidR="00CD15C8" w:rsidRDefault="00CD15C8" w:rsidP="006640CB">
      <w:pPr>
        <w:spacing w:before="240" w:after="120"/>
        <w:jc w:val="both"/>
        <w:rPr>
          <w:rFonts w:ascii="Calibri" w:hAnsi="Calibri" w:cs="Calibri"/>
          <w:b/>
          <w:bCs/>
          <w:sz w:val="24"/>
          <w:u w:val="single"/>
        </w:rPr>
      </w:pPr>
      <w:r>
        <w:rPr>
          <w:rFonts w:ascii="Calibri" w:hAnsi="Calibri" w:cs="Calibri"/>
          <w:b/>
          <w:bCs/>
          <w:sz w:val="24"/>
          <w:u w:val="single"/>
        </w:rPr>
        <w:t>Follow-up on Council Document C19/108</w:t>
      </w:r>
    </w:p>
    <w:p w14:paraId="7A14BBA2" w14:textId="31CC8074" w:rsidR="00CD15C8" w:rsidRDefault="00936416" w:rsidP="006640CB">
      <w:pPr>
        <w:spacing w:before="240"/>
        <w:rPr>
          <w:rFonts w:ascii="Calibri" w:hAnsi="Calibri" w:cs="Calibri"/>
          <w:sz w:val="24"/>
        </w:rPr>
      </w:pPr>
      <w:r>
        <w:rPr>
          <w:rFonts w:ascii="Calibri" w:hAnsi="Calibri" w:cs="Calibri"/>
          <w:sz w:val="24"/>
        </w:rPr>
        <w:t>5</w:t>
      </w:r>
      <w:r w:rsidR="00CD15C8">
        <w:rPr>
          <w:rFonts w:ascii="Calibri" w:hAnsi="Calibri" w:cs="Calibri"/>
          <w:sz w:val="24"/>
        </w:rPr>
        <w:t>.</w:t>
      </w:r>
      <w:r w:rsidR="00CD15C8">
        <w:rPr>
          <w:rFonts w:ascii="Calibri" w:hAnsi="Calibri" w:cs="Calibri"/>
          <w:sz w:val="24"/>
        </w:rPr>
        <w:tab/>
        <w:t xml:space="preserve">Document C19/108 outlined, </w:t>
      </w:r>
      <w:r w:rsidR="00CD15C8" w:rsidRPr="008818A0">
        <w:rPr>
          <w:rFonts w:ascii="Calibri" w:hAnsi="Calibri" w:cs="Calibri"/>
          <w:i/>
          <w:iCs/>
          <w:sz w:val="24"/>
        </w:rPr>
        <w:t>inter alia</w:t>
      </w:r>
      <w:r w:rsidR="00CD15C8">
        <w:rPr>
          <w:rFonts w:ascii="Calibri" w:hAnsi="Calibri" w:cs="Calibri"/>
          <w:sz w:val="24"/>
        </w:rPr>
        <w:t>, the actions ITU would be taking to improve internal controls and minimize the risk of future fraud occurring.</w:t>
      </w:r>
    </w:p>
    <w:p w14:paraId="7EEBA227" w14:textId="2FCF96E9" w:rsidR="00CD15C8" w:rsidRDefault="00936416" w:rsidP="000A1F0C">
      <w:pPr>
        <w:spacing w:before="240"/>
        <w:rPr>
          <w:rFonts w:ascii="Calibri" w:hAnsi="Calibri" w:cs="Calibri"/>
          <w:sz w:val="24"/>
        </w:rPr>
      </w:pPr>
      <w:r>
        <w:rPr>
          <w:rFonts w:ascii="Calibri" w:hAnsi="Calibri" w:cs="Calibri"/>
          <w:sz w:val="24"/>
        </w:rPr>
        <w:t>6</w:t>
      </w:r>
      <w:r w:rsidR="00CD15C8">
        <w:rPr>
          <w:rFonts w:ascii="Calibri" w:hAnsi="Calibri" w:cs="Calibri"/>
          <w:sz w:val="24"/>
        </w:rPr>
        <w:t>.</w:t>
      </w:r>
      <w:r w:rsidR="00CD15C8">
        <w:rPr>
          <w:rFonts w:ascii="Calibri" w:hAnsi="Calibri" w:cs="Calibri"/>
          <w:sz w:val="24"/>
        </w:rPr>
        <w:tab/>
        <w:t xml:space="preserve">As </w:t>
      </w:r>
      <w:r w:rsidR="008818A0">
        <w:rPr>
          <w:rFonts w:ascii="Calibri" w:hAnsi="Calibri" w:cs="Calibri"/>
          <w:sz w:val="24"/>
        </w:rPr>
        <w:t xml:space="preserve">Council was advised in </w:t>
      </w:r>
      <w:r w:rsidR="00CD15C8">
        <w:rPr>
          <w:rFonts w:ascii="Calibri" w:hAnsi="Calibri" w:cs="Calibri"/>
          <w:sz w:val="24"/>
        </w:rPr>
        <w:t xml:space="preserve">Annex 1 of C19/108, the Director of the Telecommunication Development Bureau convened a high-level Working Group of ITU managers to review a detailed list of required </w:t>
      </w:r>
      <w:proofErr w:type="gramStart"/>
      <w:r w:rsidR="00CD15C8">
        <w:rPr>
          <w:rFonts w:ascii="Calibri" w:hAnsi="Calibri" w:cs="Calibri"/>
          <w:sz w:val="24"/>
        </w:rPr>
        <w:lastRenderedPageBreak/>
        <w:t>actions which</w:t>
      </w:r>
      <w:proofErr w:type="gramEnd"/>
      <w:r w:rsidR="00CD15C8">
        <w:rPr>
          <w:rFonts w:ascii="Calibri" w:hAnsi="Calibri" w:cs="Calibri"/>
          <w:sz w:val="24"/>
        </w:rPr>
        <w:t xml:space="preserve"> was formulated by the Internal Audit unit of ITU.</w:t>
      </w:r>
      <w:r w:rsidR="008818A0">
        <w:rPr>
          <w:rFonts w:ascii="Calibri" w:hAnsi="Calibri" w:cs="Calibri"/>
          <w:sz w:val="24"/>
        </w:rPr>
        <w:t xml:space="preserve"> The Director is personally chairing this Working Group.</w:t>
      </w:r>
    </w:p>
    <w:p w14:paraId="4309B9AD" w14:textId="2FFE9146" w:rsidR="00CD15C8" w:rsidRDefault="00936416" w:rsidP="00C6276A">
      <w:pPr>
        <w:spacing w:before="240"/>
        <w:rPr>
          <w:rFonts w:ascii="Calibri" w:hAnsi="Calibri" w:cs="Calibri"/>
          <w:sz w:val="24"/>
        </w:rPr>
      </w:pPr>
      <w:r>
        <w:rPr>
          <w:rFonts w:ascii="Calibri" w:hAnsi="Calibri" w:cs="Calibri"/>
          <w:sz w:val="24"/>
        </w:rPr>
        <w:t>7</w:t>
      </w:r>
      <w:r w:rsidR="00CD15C8">
        <w:rPr>
          <w:rFonts w:ascii="Calibri" w:hAnsi="Calibri" w:cs="Calibri"/>
          <w:sz w:val="24"/>
        </w:rPr>
        <w:t>.</w:t>
      </w:r>
      <w:r w:rsidR="00CD15C8">
        <w:rPr>
          <w:rFonts w:ascii="Calibri" w:hAnsi="Calibri" w:cs="Calibri"/>
          <w:sz w:val="24"/>
        </w:rPr>
        <w:tab/>
        <w:t xml:space="preserve">Designated as the Working Group on Internal Controls, this group has met </w:t>
      </w:r>
      <w:r w:rsidR="00C6276A">
        <w:rPr>
          <w:rFonts w:ascii="Calibri" w:hAnsi="Calibri" w:cs="Calibri"/>
          <w:sz w:val="24"/>
        </w:rPr>
        <w:t xml:space="preserve">6 </w:t>
      </w:r>
      <w:r w:rsidR="00CD15C8">
        <w:rPr>
          <w:rFonts w:ascii="Calibri" w:hAnsi="Calibri" w:cs="Calibri"/>
          <w:sz w:val="24"/>
        </w:rPr>
        <w:t xml:space="preserve">times since the end of Council.  It is working on a wide range of policies and procedures to meet the </w:t>
      </w:r>
      <w:r w:rsidR="008818A0">
        <w:rPr>
          <w:rFonts w:ascii="Calibri" w:hAnsi="Calibri" w:cs="Calibri"/>
          <w:sz w:val="24"/>
        </w:rPr>
        <w:t>requirements</w:t>
      </w:r>
      <w:r w:rsidR="00CD15C8">
        <w:rPr>
          <w:rFonts w:ascii="Calibri" w:hAnsi="Calibri" w:cs="Calibri"/>
          <w:sz w:val="24"/>
        </w:rPr>
        <w:t xml:space="preserve"> </w:t>
      </w:r>
      <w:r w:rsidR="008818A0">
        <w:rPr>
          <w:rFonts w:ascii="Calibri" w:hAnsi="Calibri" w:cs="Calibri"/>
          <w:sz w:val="24"/>
        </w:rPr>
        <w:t xml:space="preserve">of a list of needed actions </w:t>
      </w:r>
      <w:r w:rsidR="00CD15C8">
        <w:rPr>
          <w:rFonts w:ascii="Calibri" w:hAnsi="Calibri" w:cs="Calibri"/>
          <w:sz w:val="24"/>
        </w:rPr>
        <w:t>prepared by Internal Audit.  It should be noted that the list prepared by Internal Audit includes recommendations from the External Auditors, IMAC and Internal Audit</w:t>
      </w:r>
      <w:r w:rsidR="008818A0">
        <w:rPr>
          <w:rFonts w:ascii="Calibri" w:hAnsi="Calibri" w:cs="Calibri"/>
          <w:sz w:val="24"/>
        </w:rPr>
        <w:t xml:space="preserve"> </w:t>
      </w:r>
      <w:r w:rsidR="00CD15C8">
        <w:rPr>
          <w:rFonts w:ascii="Calibri" w:hAnsi="Calibri" w:cs="Calibri"/>
          <w:sz w:val="24"/>
        </w:rPr>
        <w:t>and is quite comprehensive.</w:t>
      </w:r>
    </w:p>
    <w:p w14:paraId="13682171" w14:textId="77777777" w:rsidR="00451EC8" w:rsidRDefault="00451EC8" w:rsidP="006640CB">
      <w:pPr>
        <w:spacing w:before="240" w:after="120"/>
        <w:rPr>
          <w:rFonts w:ascii="Calibri" w:hAnsi="Calibri" w:cs="Calibri"/>
          <w:b/>
          <w:bCs/>
          <w:sz w:val="24"/>
          <w:u w:val="single"/>
        </w:rPr>
      </w:pPr>
      <w:r w:rsidRPr="00451EC8">
        <w:rPr>
          <w:rFonts w:ascii="Calibri" w:hAnsi="Calibri" w:cs="Calibri"/>
          <w:b/>
          <w:bCs/>
          <w:sz w:val="24"/>
          <w:u w:val="single"/>
        </w:rPr>
        <w:t>Summary</w:t>
      </w:r>
    </w:p>
    <w:p w14:paraId="5166FD01" w14:textId="35E4B9B5" w:rsidR="008818A0" w:rsidRDefault="00936416" w:rsidP="006640CB">
      <w:pPr>
        <w:spacing w:before="240" w:after="120"/>
        <w:rPr>
          <w:rFonts w:ascii="Calibri" w:hAnsi="Calibri" w:cs="Calibri"/>
          <w:sz w:val="24"/>
        </w:rPr>
      </w:pPr>
      <w:r>
        <w:rPr>
          <w:rFonts w:ascii="Calibri" w:hAnsi="Calibri" w:cs="Calibri"/>
          <w:sz w:val="24"/>
        </w:rPr>
        <w:t>8</w:t>
      </w:r>
      <w:r w:rsidR="008818A0">
        <w:rPr>
          <w:rFonts w:ascii="Calibri" w:hAnsi="Calibri" w:cs="Calibri"/>
          <w:sz w:val="24"/>
        </w:rPr>
        <w:t>.</w:t>
      </w:r>
      <w:r w:rsidR="00230331">
        <w:rPr>
          <w:rFonts w:ascii="Calibri" w:hAnsi="Calibri" w:cs="Calibri"/>
          <w:sz w:val="24"/>
        </w:rPr>
        <w:tab/>
      </w:r>
      <w:r w:rsidR="008818A0">
        <w:rPr>
          <w:rFonts w:ascii="Calibri" w:hAnsi="Calibri" w:cs="Calibri"/>
          <w:sz w:val="24"/>
        </w:rPr>
        <w:t>Council Document C19/108 separated the action item list into 2 Annexes.  For ease of discussion and follow-up, these have been combined into one Annex which is attached to this report.</w:t>
      </w:r>
    </w:p>
    <w:p w14:paraId="521D613F" w14:textId="6D2609D7" w:rsidR="008818A0" w:rsidRDefault="00936416" w:rsidP="006640CB">
      <w:pPr>
        <w:spacing w:before="240" w:after="120"/>
        <w:rPr>
          <w:rFonts w:ascii="Calibri" w:hAnsi="Calibri" w:cs="Calibri"/>
          <w:sz w:val="24"/>
        </w:rPr>
      </w:pPr>
      <w:r>
        <w:rPr>
          <w:rFonts w:ascii="Calibri" w:hAnsi="Calibri" w:cs="Calibri"/>
          <w:sz w:val="24"/>
        </w:rPr>
        <w:t>9</w:t>
      </w:r>
      <w:r w:rsidR="008818A0">
        <w:rPr>
          <w:rFonts w:ascii="Calibri" w:hAnsi="Calibri" w:cs="Calibri"/>
          <w:sz w:val="24"/>
        </w:rPr>
        <w:t>.</w:t>
      </w:r>
      <w:r w:rsidR="008818A0">
        <w:rPr>
          <w:rFonts w:ascii="Calibri" w:hAnsi="Calibri" w:cs="Calibri"/>
          <w:sz w:val="24"/>
        </w:rPr>
        <w:tab/>
        <w:t>Members of the Secretariat are available to discuss the status of the follow-up actions with the CWG-FHR as needed.</w:t>
      </w:r>
    </w:p>
    <w:p w14:paraId="67D2A095" w14:textId="465B1718" w:rsidR="000A1F0C" w:rsidRDefault="000A1F0C">
      <w:pPr>
        <w:rPr>
          <w:rFonts w:ascii="Calibri" w:hAnsi="Calibri" w:cs="Calibri"/>
          <w:sz w:val="24"/>
        </w:rPr>
      </w:pPr>
      <w:r>
        <w:rPr>
          <w:rFonts w:ascii="Calibri" w:hAnsi="Calibri" w:cs="Calibri"/>
          <w:sz w:val="24"/>
        </w:rPr>
        <w:br w:type="page"/>
      </w:r>
    </w:p>
    <w:p w14:paraId="5CBA7D85" w14:textId="77777777" w:rsidR="00936416" w:rsidRDefault="00936416" w:rsidP="00936416">
      <w:pPr>
        <w:tabs>
          <w:tab w:val="left" w:pos="4285"/>
        </w:tabs>
        <w:rPr>
          <w:rFonts w:ascii="Calibri" w:hAnsi="Calibri" w:cs="Calibri"/>
          <w:sz w:val="24"/>
        </w:rPr>
      </w:pPr>
    </w:p>
    <w:p w14:paraId="156605ED" w14:textId="77777777" w:rsidR="00936416" w:rsidRPr="00072B38" w:rsidRDefault="00936416" w:rsidP="00936416">
      <w:pPr>
        <w:pStyle w:val="ListParagraph"/>
        <w:ind w:left="426"/>
        <w:jc w:val="center"/>
        <w:rPr>
          <w:rFonts w:cstheme="minorHAnsi"/>
          <w:b/>
          <w:bCs/>
          <w:color w:val="0D0D0D" w:themeColor="text1" w:themeTint="F2"/>
          <w:sz w:val="24"/>
        </w:rPr>
      </w:pPr>
      <w:r w:rsidRPr="00072B38">
        <w:rPr>
          <w:rFonts w:cstheme="minorHAnsi"/>
          <w:b/>
          <w:bCs/>
          <w:color w:val="0D0D0D" w:themeColor="text1" w:themeTint="F2"/>
          <w:sz w:val="24"/>
        </w:rPr>
        <w:t>Report on follow-up to Council Document 108</w:t>
      </w:r>
    </w:p>
    <w:p w14:paraId="05FE21C1" w14:textId="77777777" w:rsidR="00936416" w:rsidRPr="00D37FF2" w:rsidRDefault="00936416" w:rsidP="00936416">
      <w:pPr>
        <w:pStyle w:val="ListParagraph"/>
        <w:ind w:left="426"/>
        <w:jc w:val="center"/>
        <w:rPr>
          <w:rFonts w:cstheme="minorHAnsi"/>
          <w:color w:val="0D0D0D" w:themeColor="text1" w:themeTint="F2"/>
          <w:sz w:val="24"/>
          <w:lang w:eastAsia="en-US"/>
        </w:rPr>
      </w:pPr>
    </w:p>
    <w:tbl>
      <w:tblPr>
        <w:tblW w:w="9805" w:type="dxa"/>
        <w:tblInd w:w="-5" w:type="dxa"/>
        <w:tblLayout w:type="fixed"/>
        <w:tblCellMar>
          <w:left w:w="0" w:type="dxa"/>
          <w:right w:w="0" w:type="dxa"/>
        </w:tblCellMar>
        <w:tblLook w:val="04A0" w:firstRow="1" w:lastRow="0" w:firstColumn="1" w:lastColumn="0" w:noHBand="0" w:noVBand="1"/>
      </w:tblPr>
      <w:tblGrid>
        <w:gridCol w:w="5524"/>
        <w:gridCol w:w="4281"/>
      </w:tblGrid>
      <w:tr w:rsidR="00936416" w:rsidRPr="00936416" w14:paraId="3428829A" w14:textId="77777777" w:rsidTr="00E210CE">
        <w:tc>
          <w:tcPr>
            <w:tcW w:w="55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6195A0" w14:textId="77777777" w:rsidR="00936416" w:rsidRPr="00936416" w:rsidRDefault="00936416" w:rsidP="00E210CE">
            <w:pPr>
              <w:jc w:val="center"/>
              <w:rPr>
                <w:rFonts w:asciiTheme="majorHAnsi" w:hAnsiTheme="majorHAnsi" w:cstheme="majorHAnsi"/>
                <w:b/>
                <w:color w:val="0D0D0D" w:themeColor="text1" w:themeTint="F2"/>
                <w:sz w:val="24"/>
              </w:rPr>
            </w:pPr>
            <w:r w:rsidRPr="00936416">
              <w:rPr>
                <w:rFonts w:asciiTheme="majorHAnsi" w:hAnsiTheme="majorHAnsi" w:cstheme="majorHAnsi"/>
                <w:b/>
                <w:color w:val="0D0D0D" w:themeColor="text1" w:themeTint="F2"/>
                <w:sz w:val="24"/>
              </w:rPr>
              <w:t>System and measures established / under implementation or planned for implementation</w:t>
            </w:r>
          </w:p>
        </w:tc>
        <w:tc>
          <w:tcPr>
            <w:tcW w:w="4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B5CA8F" w14:textId="77777777" w:rsidR="00936416" w:rsidRPr="00936416" w:rsidRDefault="00936416" w:rsidP="00E210CE">
            <w:pPr>
              <w:jc w:val="center"/>
              <w:rPr>
                <w:rFonts w:asciiTheme="majorHAnsi" w:hAnsiTheme="majorHAnsi" w:cstheme="majorHAnsi"/>
                <w:color w:val="0D0D0D" w:themeColor="text1" w:themeTint="F2"/>
                <w:sz w:val="24"/>
              </w:rPr>
            </w:pPr>
            <w:r w:rsidRPr="00936416">
              <w:rPr>
                <w:rFonts w:asciiTheme="majorHAnsi" w:hAnsiTheme="majorHAnsi" w:cstheme="majorHAnsi"/>
                <w:b/>
                <w:color w:val="0D0D0D" w:themeColor="text1" w:themeTint="F2"/>
                <w:sz w:val="24"/>
              </w:rPr>
              <w:t xml:space="preserve">Status as of 6 September </w:t>
            </w:r>
            <w:r w:rsidRPr="00936416">
              <w:rPr>
                <w:rFonts w:asciiTheme="majorHAnsi" w:hAnsiTheme="majorHAnsi" w:cstheme="majorHAnsi"/>
                <w:b/>
                <w:bCs/>
                <w:color w:val="0D0D0D" w:themeColor="text1" w:themeTint="F2"/>
                <w:sz w:val="24"/>
              </w:rPr>
              <w:t>2019</w:t>
            </w:r>
          </w:p>
        </w:tc>
      </w:tr>
      <w:tr w:rsidR="00936416" w:rsidRPr="00936416" w14:paraId="719FBA43" w14:textId="77777777" w:rsidTr="00E210CE">
        <w:tc>
          <w:tcPr>
            <w:tcW w:w="5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272B32" w14:textId="689E61D1" w:rsidR="00936416" w:rsidRPr="00936416" w:rsidRDefault="000A1F0C" w:rsidP="000A1F0C">
            <w:pPr>
              <w:pStyle w:val="titcomments"/>
              <w:spacing w:line="240" w:lineRule="auto"/>
              <w:ind w:left="360" w:hanging="360"/>
              <w:rPr>
                <w:rFonts w:asciiTheme="majorHAnsi" w:hAnsiTheme="majorHAnsi" w:cstheme="majorHAnsi"/>
              </w:rPr>
            </w:pPr>
            <w:r>
              <w:rPr>
                <w:rFonts w:asciiTheme="majorHAnsi" w:hAnsiTheme="majorHAnsi" w:cstheme="majorHAnsi"/>
                <w:b w:val="0"/>
                <w:bCs w:val="0"/>
                <w:u w:val="none"/>
              </w:rPr>
              <w:t>1.</w:t>
            </w:r>
            <w:r>
              <w:rPr>
                <w:rFonts w:asciiTheme="majorHAnsi" w:hAnsiTheme="majorHAnsi" w:cstheme="majorHAnsi"/>
                <w:b w:val="0"/>
                <w:bCs w:val="0"/>
                <w:u w:val="none"/>
              </w:rPr>
              <w:tab/>
            </w:r>
            <w:r w:rsidR="00936416" w:rsidRPr="00936416">
              <w:rPr>
                <w:rFonts w:asciiTheme="majorHAnsi" w:hAnsiTheme="majorHAnsi" w:cstheme="majorHAnsi"/>
                <w:b w:val="0"/>
                <w:bCs w:val="0"/>
                <w:u w:val="none"/>
              </w:rPr>
              <w:t>The Internal Audit Unit, the Legal Affairs Unit, the Ethics Office, FRMD and HRMD have collaborated on the establishment of a new policy against fraud, corruption and other proscribed practices which has been promulgated by the Secretary-General.</w:t>
            </w:r>
            <w:r w:rsidR="00936416" w:rsidRPr="00936416">
              <w:rPr>
                <w:rFonts w:asciiTheme="majorHAnsi" w:hAnsiTheme="majorHAnsi" w:cstheme="majorHAnsi"/>
              </w:rPr>
              <w:t> </w:t>
            </w:r>
          </w:p>
        </w:tc>
        <w:tc>
          <w:tcPr>
            <w:tcW w:w="4281" w:type="dxa"/>
            <w:tcBorders>
              <w:top w:val="nil"/>
              <w:left w:val="nil"/>
              <w:bottom w:val="single" w:sz="8" w:space="0" w:color="auto"/>
              <w:right w:val="single" w:sz="8" w:space="0" w:color="auto"/>
            </w:tcBorders>
            <w:tcMar>
              <w:top w:w="0" w:type="dxa"/>
              <w:left w:w="108" w:type="dxa"/>
              <w:bottom w:w="0" w:type="dxa"/>
              <w:right w:w="108" w:type="dxa"/>
            </w:tcMar>
            <w:hideMark/>
          </w:tcPr>
          <w:p w14:paraId="26B0E5CF" w14:textId="77777777" w:rsidR="00936416" w:rsidRPr="00936416" w:rsidRDefault="00936416" w:rsidP="00E210CE">
            <w:pPr>
              <w:pStyle w:val="titcomments"/>
              <w:spacing w:before="0" w:line="240" w:lineRule="auto"/>
              <w:ind w:left="360" w:hanging="360"/>
              <w:rPr>
                <w:rFonts w:asciiTheme="majorHAnsi" w:hAnsiTheme="majorHAnsi" w:cstheme="majorHAnsi"/>
                <w:u w:val="none"/>
              </w:rPr>
            </w:pPr>
            <w:r w:rsidRPr="00936416">
              <w:rPr>
                <w:rFonts w:asciiTheme="majorHAnsi" w:hAnsiTheme="majorHAnsi" w:cstheme="majorHAnsi"/>
                <w:u w:val="none"/>
              </w:rPr>
              <w:t>Implemented</w:t>
            </w:r>
          </w:p>
          <w:p w14:paraId="6B6D00B7" w14:textId="77777777" w:rsidR="00936416" w:rsidRPr="00936416" w:rsidRDefault="00936416" w:rsidP="00E210CE">
            <w:pPr>
              <w:pStyle w:val="titcomments"/>
              <w:spacing w:before="0" w:line="240" w:lineRule="auto"/>
              <w:ind w:left="360" w:hanging="360"/>
              <w:rPr>
                <w:rFonts w:asciiTheme="majorHAnsi" w:hAnsiTheme="majorHAnsi" w:cstheme="majorHAnsi"/>
                <w:b w:val="0"/>
                <w:bCs w:val="0"/>
                <w:u w:val="none"/>
              </w:rPr>
            </w:pPr>
            <w:r w:rsidRPr="00936416">
              <w:rPr>
                <w:rFonts w:asciiTheme="majorHAnsi" w:hAnsiTheme="majorHAnsi" w:cstheme="majorHAnsi"/>
                <w:b w:val="0"/>
                <w:bCs w:val="0"/>
                <w:u w:val="none"/>
              </w:rPr>
              <w:t>Service Order No. 19/09</w:t>
            </w:r>
          </w:p>
          <w:p w14:paraId="4FC14BC0" w14:textId="77777777" w:rsidR="00936416" w:rsidRPr="00936416" w:rsidRDefault="00936416" w:rsidP="00E210CE">
            <w:pPr>
              <w:pStyle w:val="titcomments"/>
              <w:spacing w:before="0" w:line="240" w:lineRule="auto"/>
              <w:rPr>
                <w:rFonts w:asciiTheme="majorHAnsi" w:hAnsiTheme="majorHAnsi" w:cstheme="majorHAnsi"/>
                <w:b w:val="0"/>
                <w:bCs w:val="0"/>
                <w:u w:val="none"/>
              </w:rPr>
            </w:pPr>
            <w:r w:rsidRPr="00936416">
              <w:rPr>
                <w:rFonts w:asciiTheme="majorHAnsi" w:hAnsiTheme="majorHAnsi" w:cstheme="majorHAnsi"/>
                <w:b w:val="0"/>
                <w:bCs w:val="0"/>
                <w:u w:val="none"/>
              </w:rPr>
              <w:t>Policy against fraud, corruption and other proscribed practices</w:t>
            </w:r>
          </w:p>
          <w:p w14:paraId="4583F01F" w14:textId="77777777" w:rsidR="00936416" w:rsidRPr="00936416" w:rsidRDefault="00936416" w:rsidP="00E210CE">
            <w:pPr>
              <w:pStyle w:val="titcomments"/>
              <w:spacing w:before="0" w:line="240" w:lineRule="auto"/>
              <w:rPr>
                <w:rFonts w:asciiTheme="majorHAnsi" w:hAnsiTheme="majorHAnsi" w:cstheme="majorHAnsi"/>
                <w:b w:val="0"/>
                <w:bCs w:val="0"/>
                <w:u w:val="none"/>
              </w:rPr>
            </w:pPr>
          </w:p>
        </w:tc>
      </w:tr>
      <w:tr w:rsidR="00936416" w:rsidRPr="00936416" w14:paraId="5CE6F02B" w14:textId="77777777" w:rsidTr="00E210CE">
        <w:tc>
          <w:tcPr>
            <w:tcW w:w="5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996DA" w14:textId="174F57F6" w:rsidR="00936416" w:rsidRPr="00936416" w:rsidRDefault="000A1F0C" w:rsidP="000A1F0C">
            <w:pPr>
              <w:pStyle w:val="titcomments"/>
              <w:spacing w:line="240" w:lineRule="auto"/>
              <w:ind w:left="360" w:hanging="360"/>
              <w:rPr>
                <w:rFonts w:asciiTheme="majorHAnsi" w:hAnsiTheme="majorHAnsi" w:cstheme="majorHAnsi"/>
              </w:rPr>
            </w:pPr>
            <w:r>
              <w:rPr>
                <w:rFonts w:asciiTheme="majorHAnsi" w:hAnsiTheme="majorHAnsi" w:cstheme="majorHAnsi"/>
                <w:b w:val="0"/>
                <w:bCs w:val="0"/>
                <w:u w:val="none"/>
              </w:rPr>
              <w:t>2.</w:t>
            </w:r>
            <w:r>
              <w:rPr>
                <w:rFonts w:asciiTheme="majorHAnsi" w:hAnsiTheme="majorHAnsi" w:cstheme="majorHAnsi"/>
                <w:b w:val="0"/>
                <w:bCs w:val="0"/>
                <w:u w:val="none"/>
              </w:rPr>
              <w:tab/>
            </w:r>
            <w:r w:rsidR="00936416" w:rsidRPr="00936416">
              <w:rPr>
                <w:rFonts w:asciiTheme="majorHAnsi" w:hAnsiTheme="majorHAnsi" w:cstheme="majorHAnsi"/>
                <w:b w:val="0"/>
                <w:bCs w:val="0"/>
                <w:u w:val="none"/>
              </w:rPr>
              <w:t xml:space="preserve">The Internal Audit Unit, the Legal Affairs Unit, the Ethics Office and HRMD have collaborated on the establishment of Investigation </w:t>
            </w:r>
            <w:proofErr w:type="gramStart"/>
            <w:r w:rsidR="00936416" w:rsidRPr="00936416">
              <w:rPr>
                <w:rFonts w:asciiTheme="majorHAnsi" w:hAnsiTheme="majorHAnsi" w:cstheme="majorHAnsi"/>
                <w:b w:val="0"/>
                <w:bCs w:val="0"/>
                <w:u w:val="none"/>
              </w:rPr>
              <w:t>Guidelines which</w:t>
            </w:r>
            <w:proofErr w:type="gramEnd"/>
            <w:r w:rsidR="00936416" w:rsidRPr="00936416">
              <w:rPr>
                <w:rFonts w:asciiTheme="majorHAnsi" w:hAnsiTheme="majorHAnsi" w:cstheme="majorHAnsi"/>
                <w:b w:val="0"/>
                <w:bCs w:val="0"/>
                <w:u w:val="none"/>
              </w:rPr>
              <w:t xml:space="preserve"> have been promulgated by the Secretary-General.</w:t>
            </w:r>
          </w:p>
        </w:tc>
        <w:tc>
          <w:tcPr>
            <w:tcW w:w="4281" w:type="dxa"/>
            <w:tcBorders>
              <w:top w:val="nil"/>
              <w:left w:val="nil"/>
              <w:bottom w:val="single" w:sz="8" w:space="0" w:color="auto"/>
              <w:right w:val="single" w:sz="8" w:space="0" w:color="auto"/>
            </w:tcBorders>
            <w:tcMar>
              <w:top w:w="0" w:type="dxa"/>
              <w:left w:w="108" w:type="dxa"/>
              <w:bottom w:w="0" w:type="dxa"/>
              <w:right w:w="108" w:type="dxa"/>
            </w:tcMar>
            <w:hideMark/>
          </w:tcPr>
          <w:p w14:paraId="45DCDC12" w14:textId="77777777" w:rsidR="00936416" w:rsidRPr="00936416" w:rsidRDefault="00936416" w:rsidP="00E210CE">
            <w:pPr>
              <w:pStyle w:val="titcomments"/>
              <w:spacing w:before="0" w:line="240" w:lineRule="auto"/>
              <w:ind w:left="360" w:hanging="360"/>
              <w:rPr>
                <w:rFonts w:asciiTheme="majorHAnsi" w:hAnsiTheme="majorHAnsi" w:cstheme="majorHAnsi"/>
                <w:u w:val="none"/>
              </w:rPr>
            </w:pPr>
            <w:r w:rsidRPr="00936416">
              <w:rPr>
                <w:rFonts w:asciiTheme="majorHAnsi" w:hAnsiTheme="majorHAnsi" w:cstheme="majorHAnsi"/>
                <w:u w:val="none"/>
              </w:rPr>
              <w:t>Implemented</w:t>
            </w:r>
          </w:p>
          <w:p w14:paraId="44F38531" w14:textId="77777777" w:rsidR="00936416" w:rsidRPr="00936416" w:rsidRDefault="00936416" w:rsidP="00E210CE">
            <w:pPr>
              <w:pStyle w:val="titcomments"/>
              <w:spacing w:before="0" w:line="240" w:lineRule="auto"/>
              <w:ind w:left="360" w:hanging="360"/>
              <w:jc w:val="left"/>
              <w:rPr>
                <w:rFonts w:asciiTheme="majorHAnsi" w:hAnsiTheme="majorHAnsi" w:cstheme="majorHAnsi"/>
                <w:b w:val="0"/>
                <w:bCs w:val="0"/>
                <w:u w:val="none"/>
              </w:rPr>
            </w:pPr>
            <w:r w:rsidRPr="00936416">
              <w:rPr>
                <w:rFonts w:asciiTheme="majorHAnsi" w:hAnsiTheme="majorHAnsi" w:cstheme="majorHAnsi"/>
                <w:b w:val="0"/>
                <w:bCs w:val="0"/>
                <w:u w:val="none"/>
              </w:rPr>
              <w:t xml:space="preserve">Service Order No. 19/10 </w:t>
            </w:r>
          </w:p>
          <w:p w14:paraId="4D497CCB" w14:textId="77777777" w:rsidR="00936416" w:rsidRPr="00936416" w:rsidRDefault="00936416" w:rsidP="00E210CE">
            <w:pPr>
              <w:pStyle w:val="titcomments"/>
              <w:spacing w:before="0" w:line="240" w:lineRule="auto"/>
              <w:ind w:left="360" w:hanging="360"/>
              <w:jc w:val="left"/>
              <w:rPr>
                <w:rFonts w:asciiTheme="majorHAnsi" w:hAnsiTheme="majorHAnsi" w:cstheme="majorHAnsi"/>
                <w:b w:val="0"/>
                <w:bCs w:val="0"/>
                <w:u w:val="none"/>
              </w:rPr>
            </w:pPr>
            <w:r w:rsidRPr="00936416">
              <w:rPr>
                <w:rFonts w:asciiTheme="majorHAnsi" w:hAnsiTheme="majorHAnsi" w:cstheme="majorHAnsi"/>
                <w:b w:val="0"/>
                <w:bCs w:val="0"/>
                <w:u w:val="none"/>
              </w:rPr>
              <w:t>ITU investigation guidelines</w:t>
            </w:r>
          </w:p>
          <w:p w14:paraId="17456957" w14:textId="77777777" w:rsidR="00936416" w:rsidRPr="00936416" w:rsidRDefault="00936416" w:rsidP="00E210CE">
            <w:pPr>
              <w:pStyle w:val="titcomments"/>
              <w:spacing w:before="0" w:line="240" w:lineRule="auto"/>
              <w:jc w:val="left"/>
              <w:rPr>
                <w:rFonts w:asciiTheme="majorHAnsi" w:hAnsiTheme="majorHAnsi" w:cstheme="majorHAnsi"/>
              </w:rPr>
            </w:pPr>
          </w:p>
        </w:tc>
      </w:tr>
      <w:tr w:rsidR="00936416" w:rsidRPr="00936416" w14:paraId="1781D0DC" w14:textId="77777777" w:rsidTr="00E210CE">
        <w:tc>
          <w:tcPr>
            <w:tcW w:w="5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878FD" w14:textId="33ECC84F" w:rsidR="00936416" w:rsidRPr="00936416" w:rsidRDefault="000A1F0C" w:rsidP="000A1F0C">
            <w:pPr>
              <w:pStyle w:val="ListParagraph"/>
              <w:autoSpaceDE w:val="0"/>
              <w:autoSpaceDN w:val="0"/>
              <w:snapToGrid w:val="0"/>
              <w:ind w:left="360" w:hanging="360"/>
              <w:jc w:val="both"/>
              <w:rPr>
                <w:rFonts w:asciiTheme="majorHAnsi" w:hAnsiTheme="majorHAnsi" w:cstheme="majorHAnsi"/>
                <w:sz w:val="24"/>
              </w:rPr>
            </w:pPr>
            <w:r>
              <w:rPr>
                <w:rFonts w:asciiTheme="majorHAnsi" w:hAnsiTheme="majorHAnsi" w:cstheme="majorHAnsi"/>
                <w:sz w:val="24"/>
              </w:rPr>
              <w:t>3</w:t>
            </w:r>
            <w:r>
              <w:rPr>
                <w:rFonts w:asciiTheme="majorHAnsi" w:hAnsiTheme="majorHAnsi" w:cstheme="majorHAnsi"/>
                <w:sz w:val="24"/>
              </w:rPr>
              <w:tab/>
            </w:r>
            <w:r w:rsidR="00936416" w:rsidRPr="00936416">
              <w:rPr>
                <w:rFonts w:asciiTheme="majorHAnsi" w:hAnsiTheme="majorHAnsi" w:cstheme="majorHAnsi"/>
                <w:sz w:val="24"/>
              </w:rPr>
              <w:t xml:space="preserve">Following the approval by the Management Coordination Group (MCG) on 5 March 2019, as of 1 April 2019, New Procurement Procedures for </w:t>
            </w:r>
            <w:r w:rsidR="00936416" w:rsidRPr="00936416">
              <w:rPr>
                <w:rFonts w:asciiTheme="majorHAnsi" w:hAnsiTheme="majorHAnsi" w:cstheme="majorHAnsi"/>
                <w:sz w:val="24"/>
              </w:rPr>
              <w:lastRenderedPageBreak/>
              <w:t>orders below 20’000 CHF have been established under the framework of the current SO 14/06.  These procedures have also been incorporated in the upcoming Procurement Manual.</w:t>
            </w:r>
          </w:p>
        </w:tc>
        <w:tc>
          <w:tcPr>
            <w:tcW w:w="4281" w:type="dxa"/>
            <w:tcBorders>
              <w:top w:val="nil"/>
              <w:left w:val="nil"/>
              <w:bottom w:val="single" w:sz="8" w:space="0" w:color="auto"/>
              <w:right w:val="single" w:sz="8" w:space="0" w:color="auto"/>
            </w:tcBorders>
            <w:tcMar>
              <w:top w:w="0" w:type="dxa"/>
              <w:left w:w="108" w:type="dxa"/>
              <w:bottom w:w="0" w:type="dxa"/>
              <w:right w:w="108" w:type="dxa"/>
            </w:tcMar>
            <w:hideMark/>
          </w:tcPr>
          <w:p w14:paraId="4E6653CE" w14:textId="77777777" w:rsidR="00936416" w:rsidRPr="00936416" w:rsidRDefault="00936416" w:rsidP="00E210CE">
            <w:pPr>
              <w:rPr>
                <w:rFonts w:asciiTheme="majorHAnsi" w:hAnsiTheme="majorHAnsi" w:cstheme="majorHAnsi"/>
                <w:b/>
                <w:bCs/>
                <w:sz w:val="24"/>
              </w:rPr>
            </w:pPr>
            <w:r w:rsidRPr="00936416">
              <w:rPr>
                <w:rFonts w:asciiTheme="majorHAnsi" w:hAnsiTheme="majorHAnsi" w:cstheme="majorHAnsi"/>
                <w:b/>
                <w:bCs/>
                <w:sz w:val="24"/>
              </w:rPr>
              <w:lastRenderedPageBreak/>
              <w:t xml:space="preserve">Implemented </w:t>
            </w:r>
          </w:p>
          <w:p w14:paraId="46A9F421" w14:textId="77777777" w:rsidR="00936416" w:rsidRPr="00936416" w:rsidRDefault="00936416" w:rsidP="00E210CE">
            <w:pPr>
              <w:rPr>
                <w:rFonts w:asciiTheme="majorHAnsi" w:hAnsiTheme="majorHAnsi" w:cstheme="majorHAnsi"/>
                <w:sz w:val="24"/>
              </w:rPr>
            </w:pPr>
          </w:p>
          <w:p w14:paraId="01077E38" w14:textId="77777777" w:rsidR="00936416" w:rsidRPr="00936416" w:rsidRDefault="00936416" w:rsidP="00E210CE">
            <w:pPr>
              <w:rPr>
                <w:rFonts w:asciiTheme="majorHAnsi" w:hAnsiTheme="majorHAnsi" w:cstheme="majorHAnsi"/>
                <w:bCs/>
                <w:sz w:val="24"/>
              </w:rPr>
            </w:pPr>
          </w:p>
        </w:tc>
      </w:tr>
      <w:tr w:rsidR="00936416" w:rsidRPr="00936416" w14:paraId="095F6898" w14:textId="77777777" w:rsidTr="00E210CE">
        <w:tc>
          <w:tcPr>
            <w:tcW w:w="5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364955" w14:textId="16A893E4" w:rsidR="00936416" w:rsidRPr="00936416" w:rsidRDefault="000A1F0C" w:rsidP="000A1F0C">
            <w:pPr>
              <w:pStyle w:val="ListParagraph"/>
              <w:snapToGrid w:val="0"/>
              <w:ind w:left="360" w:hanging="360"/>
              <w:rPr>
                <w:rFonts w:asciiTheme="majorHAnsi" w:hAnsiTheme="majorHAnsi" w:cstheme="majorHAnsi"/>
                <w:sz w:val="24"/>
              </w:rPr>
            </w:pPr>
            <w:proofErr w:type="gramStart"/>
            <w:r>
              <w:rPr>
                <w:rFonts w:asciiTheme="majorHAnsi" w:hAnsiTheme="majorHAnsi" w:cstheme="majorHAnsi"/>
                <w:sz w:val="24"/>
              </w:rPr>
              <w:t>4</w:t>
            </w:r>
            <w:r>
              <w:rPr>
                <w:rFonts w:asciiTheme="majorHAnsi" w:hAnsiTheme="majorHAnsi" w:cstheme="majorHAnsi"/>
                <w:sz w:val="24"/>
              </w:rPr>
              <w:tab/>
            </w:r>
            <w:r w:rsidR="00936416" w:rsidRPr="00936416">
              <w:rPr>
                <w:rFonts w:asciiTheme="majorHAnsi" w:hAnsiTheme="majorHAnsi" w:cstheme="majorHAnsi"/>
                <w:sz w:val="24"/>
              </w:rPr>
              <w:t>In the course of the current revision of the process for the establishment of technical cooperation and project agreements, the introduction of a clause with respect to due process in case of fraud and associated investigation will be included to ensure full cooperation of partners, taking due note of the principle of confidentiality and investigations requirements, in particular in case of suspicion of collusion and complicity.</w:t>
            </w:r>
            <w:proofErr w:type="gramEnd"/>
            <w:r w:rsidR="00936416" w:rsidRPr="00936416">
              <w:rPr>
                <w:rFonts w:asciiTheme="majorHAnsi" w:hAnsiTheme="majorHAnsi" w:cstheme="majorHAnsi"/>
                <w:sz w:val="24"/>
              </w:rPr>
              <w:t xml:space="preserve"> </w:t>
            </w:r>
          </w:p>
        </w:tc>
        <w:tc>
          <w:tcPr>
            <w:tcW w:w="4281" w:type="dxa"/>
            <w:tcBorders>
              <w:top w:val="nil"/>
              <w:left w:val="nil"/>
              <w:bottom w:val="single" w:sz="8" w:space="0" w:color="auto"/>
              <w:right w:val="single" w:sz="8" w:space="0" w:color="auto"/>
            </w:tcBorders>
            <w:tcMar>
              <w:top w:w="0" w:type="dxa"/>
              <w:left w:w="108" w:type="dxa"/>
              <w:bottom w:w="0" w:type="dxa"/>
              <w:right w:w="108" w:type="dxa"/>
            </w:tcMar>
            <w:hideMark/>
          </w:tcPr>
          <w:p w14:paraId="3FA83D2C" w14:textId="77777777" w:rsidR="00936416" w:rsidRPr="00936416" w:rsidRDefault="00936416" w:rsidP="00E210CE">
            <w:pPr>
              <w:rPr>
                <w:rFonts w:asciiTheme="majorHAnsi" w:hAnsiTheme="majorHAnsi" w:cstheme="majorHAnsi"/>
                <w:b/>
                <w:bCs/>
                <w:sz w:val="24"/>
                <w:lang w:val="en-GB"/>
              </w:rPr>
            </w:pPr>
            <w:r w:rsidRPr="00936416">
              <w:rPr>
                <w:rFonts w:asciiTheme="majorHAnsi" w:hAnsiTheme="majorHAnsi" w:cstheme="majorHAnsi"/>
                <w:b/>
                <w:bCs/>
                <w:sz w:val="24"/>
                <w:lang w:val="en-GB"/>
              </w:rPr>
              <w:t>Implemented</w:t>
            </w:r>
          </w:p>
          <w:p w14:paraId="343FA9BC" w14:textId="77777777" w:rsidR="00936416" w:rsidRPr="00936416" w:rsidRDefault="00936416" w:rsidP="00E210CE">
            <w:pPr>
              <w:rPr>
                <w:rFonts w:asciiTheme="majorHAnsi" w:hAnsiTheme="majorHAnsi" w:cstheme="majorHAnsi"/>
                <w:sz w:val="24"/>
              </w:rPr>
            </w:pPr>
            <w:r w:rsidRPr="00936416">
              <w:rPr>
                <w:rFonts w:asciiTheme="majorHAnsi" w:hAnsiTheme="majorHAnsi" w:cstheme="majorHAnsi"/>
                <w:sz w:val="24"/>
                <w:lang w:val="en-GB"/>
              </w:rPr>
              <w:t xml:space="preserve">Text was provided by the ITU legal Affairs unit, and this is now standard text in all technical co-operation agreements. </w:t>
            </w:r>
          </w:p>
        </w:tc>
      </w:tr>
      <w:tr w:rsidR="00936416" w:rsidRPr="00936416" w14:paraId="07D940BB" w14:textId="77777777" w:rsidTr="00E210CE">
        <w:trPr>
          <w:trHeight w:val="1258"/>
        </w:trPr>
        <w:tc>
          <w:tcPr>
            <w:tcW w:w="5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3C33C9" w14:textId="09F0F0DE" w:rsidR="00936416" w:rsidRPr="00936416" w:rsidRDefault="00936416" w:rsidP="000A1F0C">
            <w:pPr>
              <w:pStyle w:val="ListParagraph"/>
              <w:snapToGrid w:val="0"/>
              <w:ind w:left="360" w:hanging="360"/>
              <w:rPr>
                <w:rFonts w:asciiTheme="majorHAnsi" w:hAnsiTheme="majorHAnsi" w:cstheme="majorHAnsi"/>
                <w:sz w:val="24"/>
              </w:rPr>
            </w:pPr>
            <w:r w:rsidRPr="00936416">
              <w:rPr>
                <w:rFonts w:asciiTheme="majorHAnsi" w:hAnsiTheme="majorHAnsi" w:cstheme="majorHAnsi"/>
                <w:sz w:val="24"/>
              </w:rPr>
              <w:t>5</w:t>
            </w:r>
            <w:r w:rsidR="000A1F0C">
              <w:rPr>
                <w:rFonts w:asciiTheme="majorHAnsi" w:hAnsiTheme="majorHAnsi" w:cstheme="majorHAnsi"/>
                <w:sz w:val="24"/>
              </w:rPr>
              <w:tab/>
            </w:r>
            <w:r w:rsidRPr="00936416">
              <w:rPr>
                <w:rFonts w:asciiTheme="majorHAnsi" w:hAnsiTheme="majorHAnsi" w:cstheme="majorHAnsi"/>
                <w:sz w:val="24"/>
              </w:rPr>
              <w:t>Internal Audit has included in its 2019 work plan to contribute from an assurance viewpoint by conducting audit/inspection/evaluation work in the areas of project management, HQ-RO/AO interaction and controls, BDT actions and impact.</w:t>
            </w:r>
          </w:p>
        </w:tc>
        <w:tc>
          <w:tcPr>
            <w:tcW w:w="4281" w:type="dxa"/>
            <w:tcBorders>
              <w:top w:val="nil"/>
              <w:left w:val="nil"/>
              <w:bottom w:val="single" w:sz="8" w:space="0" w:color="auto"/>
              <w:right w:val="single" w:sz="8" w:space="0" w:color="auto"/>
            </w:tcBorders>
            <w:tcMar>
              <w:top w:w="0" w:type="dxa"/>
              <w:left w:w="108" w:type="dxa"/>
              <w:bottom w:w="0" w:type="dxa"/>
              <w:right w:w="108" w:type="dxa"/>
            </w:tcMar>
            <w:hideMark/>
          </w:tcPr>
          <w:p w14:paraId="1C9B7213" w14:textId="77777777" w:rsidR="00936416" w:rsidRPr="00936416" w:rsidRDefault="00936416" w:rsidP="00E210CE">
            <w:pPr>
              <w:rPr>
                <w:rFonts w:asciiTheme="majorHAnsi" w:hAnsiTheme="majorHAnsi" w:cstheme="majorHAnsi"/>
                <w:b/>
                <w:bCs/>
                <w:sz w:val="24"/>
              </w:rPr>
            </w:pPr>
            <w:r w:rsidRPr="00936416">
              <w:rPr>
                <w:rFonts w:asciiTheme="majorHAnsi" w:hAnsiTheme="majorHAnsi" w:cstheme="majorHAnsi"/>
                <w:b/>
                <w:bCs/>
                <w:sz w:val="24"/>
              </w:rPr>
              <w:t xml:space="preserve">Implemented </w:t>
            </w:r>
          </w:p>
          <w:p w14:paraId="12740465" w14:textId="77777777" w:rsidR="00936416" w:rsidRPr="00936416" w:rsidRDefault="00936416" w:rsidP="00E210CE">
            <w:pPr>
              <w:rPr>
                <w:rFonts w:asciiTheme="majorHAnsi" w:hAnsiTheme="majorHAnsi" w:cstheme="majorHAnsi"/>
                <w:sz w:val="24"/>
              </w:rPr>
            </w:pPr>
            <w:r w:rsidRPr="00936416">
              <w:rPr>
                <w:rFonts w:asciiTheme="majorHAnsi" w:hAnsiTheme="majorHAnsi" w:cstheme="majorHAnsi"/>
                <w:sz w:val="24"/>
              </w:rPr>
              <w:t>Internal Audit work plan for 2019 has been approved.</w:t>
            </w:r>
          </w:p>
        </w:tc>
      </w:tr>
      <w:tr w:rsidR="00936416" w:rsidRPr="00936416" w14:paraId="15472850" w14:textId="77777777" w:rsidTr="00E210CE">
        <w:tc>
          <w:tcPr>
            <w:tcW w:w="5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94F597" w14:textId="3D8A0FA7" w:rsidR="00936416" w:rsidRPr="00936416" w:rsidRDefault="000A1F0C" w:rsidP="000A1F0C">
            <w:pPr>
              <w:autoSpaceDE w:val="0"/>
              <w:autoSpaceDN w:val="0"/>
              <w:snapToGrid w:val="0"/>
              <w:ind w:left="360" w:hanging="360"/>
              <w:jc w:val="both"/>
              <w:rPr>
                <w:rFonts w:asciiTheme="majorHAnsi" w:hAnsiTheme="majorHAnsi" w:cstheme="majorHAnsi"/>
                <w:sz w:val="24"/>
              </w:rPr>
            </w:pPr>
            <w:r>
              <w:rPr>
                <w:rFonts w:asciiTheme="majorHAnsi" w:hAnsiTheme="majorHAnsi" w:cstheme="majorHAnsi"/>
                <w:sz w:val="24"/>
              </w:rPr>
              <w:t>6</w:t>
            </w:r>
            <w:r>
              <w:rPr>
                <w:rFonts w:asciiTheme="majorHAnsi" w:hAnsiTheme="majorHAnsi" w:cstheme="majorHAnsi"/>
                <w:sz w:val="24"/>
              </w:rPr>
              <w:tab/>
            </w:r>
            <w:r w:rsidR="00936416" w:rsidRPr="00936416">
              <w:rPr>
                <w:rFonts w:asciiTheme="majorHAnsi" w:hAnsiTheme="majorHAnsi" w:cstheme="majorHAnsi"/>
                <w:sz w:val="24"/>
              </w:rPr>
              <w:t xml:space="preserve">FRMD in collaboration with BDT/ADM have established procedures for the prudent and effective management of bank accounts and cash in ITUs Regional/Area Offices, in line with the Financial Regulations and Rules (FRR) of the Union. Frequent reminders are sent to RO and AO to ensure the full application of these guidelines. </w:t>
            </w:r>
          </w:p>
        </w:tc>
        <w:tc>
          <w:tcPr>
            <w:tcW w:w="4281" w:type="dxa"/>
            <w:tcBorders>
              <w:top w:val="nil"/>
              <w:left w:val="nil"/>
              <w:bottom w:val="single" w:sz="8" w:space="0" w:color="auto"/>
              <w:right w:val="single" w:sz="8" w:space="0" w:color="auto"/>
            </w:tcBorders>
            <w:tcMar>
              <w:top w:w="0" w:type="dxa"/>
              <w:left w:w="108" w:type="dxa"/>
              <w:bottom w:w="0" w:type="dxa"/>
              <w:right w:w="108" w:type="dxa"/>
            </w:tcMar>
            <w:hideMark/>
          </w:tcPr>
          <w:p w14:paraId="519E6969" w14:textId="77777777" w:rsidR="00936416" w:rsidRPr="00936416" w:rsidRDefault="00936416" w:rsidP="00E210CE">
            <w:pPr>
              <w:rPr>
                <w:rFonts w:asciiTheme="majorHAnsi" w:hAnsiTheme="majorHAnsi" w:cstheme="majorHAnsi"/>
                <w:b/>
                <w:bCs/>
                <w:sz w:val="24"/>
              </w:rPr>
            </w:pPr>
            <w:r w:rsidRPr="00936416">
              <w:rPr>
                <w:rFonts w:asciiTheme="majorHAnsi" w:hAnsiTheme="majorHAnsi" w:cstheme="majorHAnsi"/>
                <w:b/>
                <w:bCs/>
                <w:sz w:val="24"/>
              </w:rPr>
              <w:t xml:space="preserve">Implemented: </w:t>
            </w:r>
          </w:p>
          <w:p w14:paraId="453ECCE4" w14:textId="77777777" w:rsidR="00936416" w:rsidRPr="00936416" w:rsidRDefault="00936416" w:rsidP="00E210CE">
            <w:pPr>
              <w:rPr>
                <w:rFonts w:asciiTheme="majorHAnsi" w:hAnsiTheme="majorHAnsi" w:cstheme="majorHAnsi"/>
                <w:b/>
                <w:bCs/>
                <w:sz w:val="24"/>
              </w:rPr>
            </w:pPr>
            <w:r w:rsidRPr="00936416">
              <w:rPr>
                <w:rFonts w:asciiTheme="majorHAnsi" w:hAnsiTheme="majorHAnsi" w:cstheme="majorHAnsi"/>
                <w:sz w:val="24"/>
              </w:rPr>
              <w:t>The BDT Director addressed on 23 August 2019 an internal memorandum on “Strengthening Internal Controls” to all BDT staff at professional and above levels.  This memorandum covers such topics as banks accounts, petty cash and representation allowance, among others.   In addition, FRMD has revised the Cash management and financial guidelines for Regional/Area Offices.</w:t>
            </w:r>
          </w:p>
        </w:tc>
      </w:tr>
      <w:tr w:rsidR="00936416" w:rsidRPr="00936416" w14:paraId="348096F1" w14:textId="77777777" w:rsidTr="000A1F0C">
        <w:trPr>
          <w:cantSplit/>
        </w:trPr>
        <w:tc>
          <w:tcPr>
            <w:tcW w:w="5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E2449A" w14:textId="435198F3" w:rsidR="00936416" w:rsidRPr="00936416" w:rsidRDefault="00936416" w:rsidP="000A1F0C">
            <w:pPr>
              <w:autoSpaceDE w:val="0"/>
              <w:autoSpaceDN w:val="0"/>
              <w:snapToGrid w:val="0"/>
              <w:ind w:left="360" w:hanging="360"/>
              <w:jc w:val="both"/>
              <w:rPr>
                <w:rFonts w:asciiTheme="majorHAnsi" w:hAnsiTheme="majorHAnsi" w:cstheme="majorHAnsi"/>
                <w:sz w:val="24"/>
              </w:rPr>
            </w:pPr>
            <w:r w:rsidRPr="00936416">
              <w:rPr>
                <w:rFonts w:asciiTheme="majorHAnsi" w:hAnsiTheme="majorHAnsi" w:cstheme="majorHAnsi"/>
                <w:sz w:val="24"/>
              </w:rPr>
              <w:t>7</w:t>
            </w:r>
            <w:r w:rsidR="000A1F0C">
              <w:rPr>
                <w:rFonts w:asciiTheme="majorHAnsi" w:hAnsiTheme="majorHAnsi" w:cstheme="majorHAnsi"/>
                <w:sz w:val="24"/>
              </w:rPr>
              <w:tab/>
            </w:r>
            <w:r w:rsidRPr="00936416">
              <w:rPr>
                <w:rFonts w:asciiTheme="majorHAnsi" w:hAnsiTheme="majorHAnsi" w:cstheme="majorHAnsi"/>
                <w:sz w:val="24"/>
              </w:rPr>
              <w:t xml:space="preserve">FRMD is together with BDT reviewing the relevance and validity of the Basic Rules for procurement of equipment for I.T.U technical cooperation and assistance projects with the aim of establishing one set of procurement policies for ITU. </w:t>
            </w:r>
          </w:p>
        </w:tc>
        <w:tc>
          <w:tcPr>
            <w:tcW w:w="4281" w:type="dxa"/>
            <w:tcBorders>
              <w:top w:val="nil"/>
              <w:left w:val="nil"/>
              <w:bottom w:val="single" w:sz="8" w:space="0" w:color="auto"/>
              <w:right w:val="single" w:sz="8" w:space="0" w:color="auto"/>
            </w:tcBorders>
            <w:tcMar>
              <w:top w:w="0" w:type="dxa"/>
              <w:left w:w="108" w:type="dxa"/>
              <w:bottom w:w="0" w:type="dxa"/>
              <w:right w:w="108" w:type="dxa"/>
            </w:tcMar>
            <w:hideMark/>
          </w:tcPr>
          <w:p w14:paraId="346EA2FC" w14:textId="77777777" w:rsidR="00936416" w:rsidRPr="00936416" w:rsidRDefault="00936416" w:rsidP="00E210CE">
            <w:pPr>
              <w:rPr>
                <w:rFonts w:asciiTheme="majorHAnsi" w:hAnsiTheme="majorHAnsi" w:cstheme="majorHAnsi"/>
                <w:b/>
                <w:bCs/>
                <w:sz w:val="24"/>
              </w:rPr>
            </w:pPr>
            <w:r w:rsidRPr="00936416">
              <w:rPr>
                <w:rFonts w:asciiTheme="majorHAnsi" w:hAnsiTheme="majorHAnsi" w:cstheme="majorHAnsi"/>
                <w:b/>
                <w:bCs/>
                <w:sz w:val="24"/>
              </w:rPr>
              <w:t>Implemented</w:t>
            </w:r>
          </w:p>
          <w:p w14:paraId="136F6BA0" w14:textId="77777777" w:rsidR="00936416" w:rsidRPr="00936416" w:rsidRDefault="00936416" w:rsidP="00E210CE">
            <w:pPr>
              <w:rPr>
                <w:rFonts w:asciiTheme="majorHAnsi" w:hAnsiTheme="majorHAnsi" w:cstheme="majorHAnsi"/>
                <w:sz w:val="24"/>
              </w:rPr>
            </w:pPr>
            <w:r w:rsidRPr="00936416">
              <w:rPr>
                <w:rFonts w:asciiTheme="majorHAnsi" w:hAnsiTheme="majorHAnsi" w:cstheme="majorHAnsi"/>
                <w:sz w:val="24"/>
              </w:rPr>
              <w:t>These Basic Rules have been abrogated by C-19 and replaced by the new Procurement Manual</w:t>
            </w:r>
          </w:p>
        </w:tc>
      </w:tr>
      <w:tr w:rsidR="00936416" w:rsidRPr="00936416" w14:paraId="116B48AB" w14:textId="77777777" w:rsidTr="00E210CE">
        <w:tc>
          <w:tcPr>
            <w:tcW w:w="5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2B6FC5" w14:textId="09DD68E2" w:rsidR="00936416" w:rsidRPr="00936416" w:rsidRDefault="000A1F0C" w:rsidP="000A1F0C">
            <w:pPr>
              <w:autoSpaceDE w:val="0"/>
              <w:autoSpaceDN w:val="0"/>
              <w:snapToGrid w:val="0"/>
              <w:ind w:left="360" w:hanging="360"/>
              <w:jc w:val="both"/>
              <w:rPr>
                <w:rFonts w:asciiTheme="majorHAnsi" w:hAnsiTheme="majorHAnsi" w:cstheme="majorHAnsi"/>
                <w:sz w:val="24"/>
              </w:rPr>
            </w:pPr>
            <w:r>
              <w:rPr>
                <w:rFonts w:asciiTheme="majorHAnsi" w:hAnsiTheme="majorHAnsi" w:cstheme="majorHAnsi"/>
                <w:sz w:val="24"/>
              </w:rPr>
              <w:t>8</w:t>
            </w:r>
            <w:r>
              <w:rPr>
                <w:rFonts w:asciiTheme="majorHAnsi" w:hAnsiTheme="majorHAnsi" w:cstheme="majorHAnsi"/>
                <w:sz w:val="24"/>
              </w:rPr>
              <w:tab/>
            </w:r>
            <w:r w:rsidR="00936416" w:rsidRPr="00936416">
              <w:rPr>
                <w:rFonts w:asciiTheme="majorHAnsi" w:hAnsiTheme="majorHAnsi" w:cstheme="majorHAnsi"/>
                <w:sz w:val="24"/>
              </w:rPr>
              <w:t xml:space="preserve">Monitoring of cumulative PO amounts per vendor against established thresholds </w:t>
            </w:r>
            <w:proofErr w:type="gramStart"/>
            <w:r w:rsidR="00936416" w:rsidRPr="00936416">
              <w:rPr>
                <w:rFonts w:asciiTheme="majorHAnsi" w:hAnsiTheme="majorHAnsi" w:cstheme="majorHAnsi"/>
                <w:sz w:val="24"/>
              </w:rPr>
              <w:t>was put</w:t>
            </w:r>
            <w:proofErr w:type="gramEnd"/>
            <w:r w:rsidR="00936416" w:rsidRPr="00936416">
              <w:rPr>
                <w:rFonts w:asciiTheme="majorHAnsi" w:hAnsiTheme="majorHAnsi" w:cstheme="majorHAnsi"/>
                <w:sz w:val="24"/>
              </w:rPr>
              <w:t xml:space="preserve"> in place in May 2018 by FRMD.</w:t>
            </w:r>
          </w:p>
        </w:tc>
        <w:tc>
          <w:tcPr>
            <w:tcW w:w="4281" w:type="dxa"/>
            <w:tcBorders>
              <w:top w:val="nil"/>
              <w:left w:val="nil"/>
              <w:bottom w:val="single" w:sz="8" w:space="0" w:color="auto"/>
              <w:right w:val="single" w:sz="8" w:space="0" w:color="auto"/>
            </w:tcBorders>
            <w:tcMar>
              <w:top w:w="0" w:type="dxa"/>
              <w:left w:w="108" w:type="dxa"/>
              <w:bottom w:w="0" w:type="dxa"/>
              <w:right w:w="108" w:type="dxa"/>
            </w:tcMar>
            <w:hideMark/>
          </w:tcPr>
          <w:p w14:paraId="516BB8B3" w14:textId="77777777" w:rsidR="00936416" w:rsidRPr="00936416" w:rsidRDefault="00936416" w:rsidP="00E210CE">
            <w:pPr>
              <w:rPr>
                <w:rFonts w:asciiTheme="majorHAnsi" w:hAnsiTheme="majorHAnsi" w:cstheme="majorHAnsi"/>
                <w:b/>
                <w:bCs/>
                <w:sz w:val="24"/>
              </w:rPr>
            </w:pPr>
            <w:r w:rsidRPr="00936416">
              <w:rPr>
                <w:rFonts w:asciiTheme="majorHAnsi" w:hAnsiTheme="majorHAnsi" w:cstheme="majorHAnsi"/>
                <w:b/>
                <w:bCs/>
                <w:sz w:val="24"/>
              </w:rPr>
              <w:t xml:space="preserve">Implemented </w:t>
            </w:r>
          </w:p>
          <w:p w14:paraId="2C998697" w14:textId="77777777" w:rsidR="00936416" w:rsidRPr="00936416" w:rsidRDefault="00936416" w:rsidP="00E210CE">
            <w:pPr>
              <w:rPr>
                <w:rFonts w:asciiTheme="majorHAnsi" w:hAnsiTheme="majorHAnsi" w:cstheme="majorHAnsi"/>
                <w:sz w:val="24"/>
              </w:rPr>
            </w:pPr>
            <w:r w:rsidRPr="00936416">
              <w:rPr>
                <w:rFonts w:asciiTheme="majorHAnsi" w:hAnsiTheme="majorHAnsi" w:cstheme="majorHAnsi"/>
                <w:sz w:val="24"/>
              </w:rPr>
              <w:t xml:space="preserve">Procurement has implemented new procedures to do this on a monthly basis </w:t>
            </w:r>
          </w:p>
          <w:p w14:paraId="18CD2759" w14:textId="77777777" w:rsidR="00936416" w:rsidRPr="00936416" w:rsidRDefault="00936416" w:rsidP="00E210CE">
            <w:pPr>
              <w:rPr>
                <w:rFonts w:asciiTheme="majorHAnsi" w:hAnsiTheme="majorHAnsi" w:cstheme="majorHAnsi"/>
                <w:sz w:val="24"/>
              </w:rPr>
            </w:pPr>
          </w:p>
        </w:tc>
      </w:tr>
      <w:tr w:rsidR="00936416" w:rsidRPr="00936416" w14:paraId="40F8A57A" w14:textId="77777777" w:rsidTr="00E210CE">
        <w:trPr>
          <w:trHeight w:val="853"/>
        </w:trPr>
        <w:tc>
          <w:tcPr>
            <w:tcW w:w="552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BCF7899" w14:textId="6FCED979" w:rsidR="00936416" w:rsidRPr="000A1F0C" w:rsidRDefault="000A1F0C" w:rsidP="000A1F0C">
            <w:pPr>
              <w:autoSpaceDE w:val="0"/>
              <w:autoSpaceDN w:val="0"/>
              <w:snapToGrid w:val="0"/>
              <w:ind w:left="360" w:hanging="360"/>
              <w:jc w:val="both"/>
              <w:rPr>
                <w:rFonts w:asciiTheme="majorHAnsi" w:hAnsiTheme="majorHAnsi" w:cstheme="majorHAnsi"/>
                <w:sz w:val="24"/>
              </w:rPr>
            </w:pPr>
            <w:r w:rsidRPr="000A1F0C">
              <w:rPr>
                <w:rFonts w:asciiTheme="majorHAnsi" w:hAnsiTheme="majorHAnsi" w:cstheme="majorHAnsi"/>
                <w:sz w:val="24"/>
              </w:rPr>
              <w:lastRenderedPageBreak/>
              <w:t>9</w:t>
            </w:r>
            <w:r w:rsidRPr="000A1F0C">
              <w:rPr>
                <w:rFonts w:asciiTheme="majorHAnsi" w:hAnsiTheme="majorHAnsi" w:cstheme="majorHAnsi"/>
                <w:sz w:val="24"/>
              </w:rPr>
              <w:tab/>
            </w:r>
            <w:r w:rsidR="00936416" w:rsidRPr="000A1F0C">
              <w:rPr>
                <w:rFonts w:asciiTheme="majorHAnsi" w:hAnsiTheme="majorHAnsi" w:cstheme="majorHAnsi"/>
                <w:sz w:val="24"/>
              </w:rPr>
              <w:t>BDT will strengthen the oversight at the project levels by defining of the roles, responsibilities and accountabilities of staff in the project management cycle before, during and after its implementation.  </w:t>
            </w:r>
          </w:p>
        </w:tc>
        <w:tc>
          <w:tcPr>
            <w:tcW w:w="428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152736D" w14:textId="77777777" w:rsidR="00936416" w:rsidRPr="000A1F0C" w:rsidRDefault="00936416" w:rsidP="00E210CE">
            <w:pPr>
              <w:rPr>
                <w:rFonts w:asciiTheme="majorHAnsi" w:hAnsiTheme="majorHAnsi" w:cstheme="majorHAnsi"/>
                <w:b/>
                <w:bCs/>
                <w:sz w:val="24"/>
              </w:rPr>
            </w:pPr>
            <w:r w:rsidRPr="000A1F0C">
              <w:rPr>
                <w:rFonts w:asciiTheme="majorHAnsi" w:hAnsiTheme="majorHAnsi" w:cstheme="majorHAnsi"/>
                <w:b/>
                <w:bCs/>
                <w:sz w:val="24"/>
              </w:rPr>
              <w:t>In progress: BDT</w:t>
            </w:r>
          </w:p>
          <w:p w14:paraId="13230161" w14:textId="77777777" w:rsidR="00936416" w:rsidRPr="000A1F0C" w:rsidRDefault="00936416" w:rsidP="00E210CE">
            <w:pPr>
              <w:rPr>
                <w:rFonts w:asciiTheme="majorHAnsi" w:hAnsiTheme="majorHAnsi" w:cstheme="majorHAnsi"/>
                <w:sz w:val="24"/>
              </w:rPr>
            </w:pPr>
            <w:r w:rsidRPr="000A1F0C">
              <w:rPr>
                <w:rFonts w:asciiTheme="majorHAnsi" w:hAnsiTheme="majorHAnsi" w:cstheme="majorHAnsi"/>
                <w:sz w:val="24"/>
              </w:rPr>
              <w:t xml:space="preserve">The procurement process to select a company for the delivery of project management training and certification and the review and update of the new project management manual has been finalized.   </w:t>
            </w:r>
          </w:p>
        </w:tc>
      </w:tr>
      <w:tr w:rsidR="00936416" w:rsidRPr="00936416" w14:paraId="7C268307" w14:textId="77777777" w:rsidTr="00E210CE">
        <w:tc>
          <w:tcPr>
            <w:tcW w:w="55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F11EDA" w14:textId="4E6C1DA2" w:rsidR="00936416" w:rsidRPr="00936416" w:rsidRDefault="00936416" w:rsidP="000A1F0C">
            <w:pPr>
              <w:pStyle w:val="ListParagraph"/>
              <w:snapToGrid w:val="0"/>
              <w:ind w:left="360" w:hanging="360"/>
              <w:rPr>
                <w:rFonts w:asciiTheme="majorHAnsi" w:eastAsiaTheme="minorHAnsi" w:hAnsiTheme="majorHAnsi" w:cstheme="majorHAnsi"/>
                <w:sz w:val="24"/>
              </w:rPr>
            </w:pPr>
            <w:r w:rsidRPr="00936416">
              <w:rPr>
                <w:rFonts w:asciiTheme="majorHAnsi" w:hAnsiTheme="majorHAnsi" w:cstheme="majorHAnsi"/>
                <w:sz w:val="24"/>
              </w:rPr>
              <w:t>10</w:t>
            </w:r>
            <w:r w:rsidR="000A1F0C">
              <w:rPr>
                <w:rFonts w:asciiTheme="majorHAnsi" w:hAnsiTheme="majorHAnsi" w:cstheme="majorHAnsi"/>
                <w:sz w:val="24"/>
              </w:rPr>
              <w:tab/>
            </w:r>
            <w:r w:rsidRPr="00936416">
              <w:rPr>
                <w:rFonts w:asciiTheme="majorHAnsi" w:hAnsiTheme="majorHAnsi" w:cstheme="majorHAnsi"/>
                <w:sz w:val="24"/>
              </w:rPr>
              <w:t>An internal working group on strengthening internal controls of BDT (HQ and regional/area with the participation of all the concerned stakeholders from BDT and departments of the General Secretariat).  The task of this group will be to urgently coordinate the development and implementation of an Action Plan for BDT and ITU in general, to address all the initial findings/recommendations from Internal and External Audit.</w:t>
            </w:r>
          </w:p>
        </w:tc>
        <w:tc>
          <w:tcPr>
            <w:tcW w:w="4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394964" w14:textId="77777777" w:rsidR="00936416" w:rsidRPr="00936416" w:rsidRDefault="00936416" w:rsidP="00E210CE">
            <w:pPr>
              <w:rPr>
                <w:rFonts w:asciiTheme="majorHAnsi" w:hAnsiTheme="majorHAnsi" w:cstheme="majorHAnsi"/>
                <w:i/>
                <w:iCs/>
                <w:sz w:val="24"/>
              </w:rPr>
            </w:pPr>
            <w:r w:rsidRPr="00936416">
              <w:rPr>
                <w:rFonts w:asciiTheme="majorHAnsi" w:hAnsiTheme="majorHAnsi" w:cstheme="majorHAnsi"/>
                <w:b/>
                <w:bCs/>
                <w:sz w:val="24"/>
              </w:rPr>
              <w:t>Implemented.</w:t>
            </w:r>
          </w:p>
          <w:p w14:paraId="1EC16403" w14:textId="32ACF88C" w:rsidR="00936416" w:rsidRPr="00936416" w:rsidRDefault="00936416" w:rsidP="00E210CE">
            <w:pPr>
              <w:rPr>
                <w:rFonts w:asciiTheme="majorHAnsi" w:hAnsiTheme="majorHAnsi" w:cstheme="majorHAnsi"/>
                <w:sz w:val="24"/>
              </w:rPr>
            </w:pPr>
            <w:r w:rsidRPr="00936416">
              <w:rPr>
                <w:rFonts w:asciiTheme="majorHAnsi" w:hAnsiTheme="majorHAnsi" w:cstheme="majorHAnsi"/>
                <w:sz w:val="24"/>
              </w:rPr>
              <w:t xml:space="preserve">2019 Council </w:t>
            </w:r>
            <w:proofErr w:type="gramStart"/>
            <w:r w:rsidRPr="00936416">
              <w:rPr>
                <w:rFonts w:asciiTheme="majorHAnsi" w:hAnsiTheme="majorHAnsi" w:cstheme="majorHAnsi"/>
                <w:sz w:val="24"/>
              </w:rPr>
              <w:t>was advised</w:t>
            </w:r>
            <w:proofErr w:type="gramEnd"/>
            <w:r w:rsidRPr="00936416">
              <w:rPr>
                <w:rFonts w:asciiTheme="majorHAnsi" w:hAnsiTheme="majorHAnsi" w:cstheme="majorHAnsi"/>
                <w:sz w:val="24"/>
              </w:rPr>
              <w:t xml:space="preserve"> of the work in progress and a final report will be sent to Council in 2020.</w:t>
            </w:r>
          </w:p>
        </w:tc>
      </w:tr>
      <w:tr w:rsidR="00936416" w:rsidRPr="00936416" w14:paraId="18E42F4B" w14:textId="77777777" w:rsidTr="00E210CE">
        <w:tc>
          <w:tcPr>
            <w:tcW w:w="55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AFBB" w14:textId="55D96BA2" w:rsidR="00936416" w:rsidRPr="00936416" w:rsidRDefault="00936416" w:rsidP="000A1F0C">
            <w:pPr>
              <w:pStyle w:val="ListParagraph"/>
              <w:snapToGrid w:val="0"/>
              <w:ind w:left="360" w:hanging="360"/>
              <w:rPr>
                <w:rFonts w:asciiTheme="majorHAnsi" w:hAnsiTheme="majorHAnsi" w:cstheme="majorHAnsi"/>
                <w:sz w:val="24"/>
              </w:rPr>
            </w:pPr>
            <w:r w:rsidRPr="00936416">
              <w:rPr>
                <w:rFonts w:asciiTheme="majorHAnsi" w:hAnsiTheme="majorHAnsi" w:cstheme="majorHAnsi"/>
                <w:sz w:val="24"/>
              </w:rPr>
              <w:t>11</w:t>
            </w:r>
            <w:r w:rsidR="000A1F0C">
              <w:rPr>
                <w:rFonts w:asciiTheme="majorHAnsi" w:hAnsiTheme="majorHAnsi" w:cstheme="majorHAnsi"/>
                <w:sz w:val="24"/>
              </w:rPr>
              <w:tab/>
            </w:r>
            <w:r w:rsidRPr="00936416">
              <w:rPr>
                <w:rFonts w:asciiTheme="majorHAnsi" w:hAnsiTheme="majorHAnsi" w:cstheme="majorHAnsi"/>
                <w:sz w:val="24"/>
              </w:rPr>
              <w:t xml:space="preserve">BDT Director annual Travel Plan </w:t>
            </w:r>
          </w:p>
        </w:tc>
        <w:tc>
          <w:tcPr>
            <w:tcW w:w="4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B9371" w14:textId="3F8D45AA" w:rsidR="00936416" w:rsidRPr="00936416" w:rsidRDefault="00936416" w:rsidP="00E210CE">
            <w:pPr>
              <w:rPr>
                <w:rFonts w:asciiTheme="majorHAnsi" w:hAnsiTheme="majorHAnsi" w:cstheme="majorHAnsi"/>
                <w:b/>
                <w:bCs/>
                <w:sz w:val="24"/>
                <w:lang w:val="en-GB"/>
              </w:rPr>
            </w:pPr>
            <w:r w:rsidRPr="00936416">
              <w:rPr>
                <w:rFonts w:asciiTheme="majorHAnsi" w:hAnsiTheme="majorHAnsi" w:cstheme="majorHAnsi"/>
                <w:b/>
                <w:bCs/>
                <w:sz w:val="24"/>
              </w:rPr>
              <w:t>Implemented</w:t>
            </w:r>
          </w:p>
        </w:tc>
      </w:tr>
      <w:tr w:rsidR="00936416" w:rsidRPr="00936416" w14:paraId="5B5D68E3" w14:textId="77777777" w:rsidTr="00E210CE">
        <w:tc>
          <w:tcPr>
            <w:tcW w:w="55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7108A" w14:textId="77CA22E9" w:rsidR="00936416" w:rsidRPr="000A1F0C" w:rsidRDefault="00936416" w:rsidP="000A1F0C">
            <w:pPr>
              <w:pStyle w:val="ListParagraph"/>
              <w:snapToGrid w:val="0"/>
              <w:ind w:left="360" w:hanging="360"/>
              <w:rPr>
                <w:rFonts w:asciiTheme="majorHAnsi" w:hAnsiTheme="majorHAnsi" w:cstheme="majorHAnsi"/>
                <w:sz w:val="24"/>
              </w:rPr>
            </w:pPr>
            <w:r w:rsidRPr="000A1F0C">
              <w:rPr>
                <w:rFonts w:asciiTheme="majorHAnsi" w:hAnsiTheme="majorHAnsi" w:cstheme="majorHAnsi"/>
                <w:sz w:val="24"/>
              </w:rPr>
              <w:t>12</w:t>
            </w:r>
            <w:r w:rsidR="000A1F0C" w:rsidRPr="000A1F0C">
              <w:rPr>
                <w:rFonts w:asciiTheme="majorHAnsi" w:hAnsiTheme="majorHAnsi" w:cstheme="majorHAnsi"/>
                <w:sz w:val="24"/>
              </w:rPr>
              <w:tab/>
            </w:r>
            <w:r w:rsidRPr="000A1F0C">
              <w:rPr>
                <w:rFonts w:asciiTheme="majorHAnsi" w:hAnsiTheme="majorHAnsi" w:cstheme="majorHAnsi"/>
                <w:sz w:val="24"/>
              </w:rPr>
              <w:t>Guidelines on use of Representational Allowance and use of petty cash need to be enforced.</w:t>
            </w:r>
          </w:p>
        </w:tc>
        <w:tc>
          <w:tcPr>
            <w:tcW w:w="4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22BC4" w14:textId="77777777" w:rsidR="00936416" w:rsidRPr="000A1F0C" w:rsidRDefault="00936416" w:rsidP="00E210CE">
            <w:pPr>
              <w:rPr>
                <w:rFonts w:asciiTheme="majorHAnsi" w:hAnsiTheme="majorHAnsi" w:cstheme="majorHAnsi"/>
                <w:b/>
                <w:bCs/>
                <w:sz w:val="24"/>
              </w:rPr>
            </w:pPr>
            <w:r w:rsidRPr="000A1F0C">
              <w:rPr>
                <w:rFonts w:asciiTheme="majorHAnsi" w:hAnsiTheme="majorHAnsi" w:cstheme="majorHAnsi"/>
                <w:b/>
                <w:bCs/>
                <w:sz w:val="24"/>
              </w:rPr>
              <w:t>Implemented</w:t>
            </w:r>
          </w:p>
          <w:p w14:paraId="2695C96F" w14:textId="77777777" w:rsidR="00936416" w:rsidRPr="000A1F0C" w:rsidRDefault="00936416" w:rsidP="00E210CE">
            <w:pPr>
              <w:rPr>
                <w:rFonts w:asciiTheme="majorHAnsi" w:hAnsiTheme="majorHAnsi" w:cstheme="majorHAnsi"/>
                <w:sz w:val="24"/>
              </w:rPr>
            </w:pPr>
            <w:r w:rsidRPr="000A1F0C">
              <w:rPr>
                <w:rFonts w:asciiTheme="majorHAnsi" w:hAnsiTheme="majorHAnsi" w:cstheme="majorHAnsi"/>
                <w:sz w:val="24"/>
              </w:rPr>
              <w:t>The BDT Director addressed on 23 August 2019 an internal memorandum on “Strengthening Internal Controls” to all BDT staff at professional and above levels.  This memorandum covers such topics as banks accounts, petty cash and representation allowance, among others.   In addition, FRMD has revised Petty Cash guidelines (part of Cash management and financial guidelines).</w:t>
            </w:r>
          </w:p>
        </w:tc>
      </w:tr>
      <w:tr w:rsidR="00936416" w:rsidRPr="00936416" w14:paraId="6CF20FB9" w14:textId="77777777" w:rsidTr="00E210CE">
        <w:tc>
          <w:tcPr>
            <w:tcW w:w="55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DA3D5" w14:textId="2BD61B16" w:rsidR="00936416" w:rsidRPr="00936416" w:rsidRDefault="00936416" w:rsidP="000A1F0C">
            <w:pPr>
              <w:pStyle w:val="ListParagraph"/>
              <w:snapToGrid w:val="0"/>
              <w:ind w:left="360" w:hanging="360"/>
              <w:rPr>
                <w:rFonts w:asciiTheme="majorHAnsi" w:hAnsiTheme="majorHAnsi" w:cstheme="majorHAnsi"/>
                <w:sz w:val="24"/>
              </w:rPr>
            </w:pPr>
            <w:r w:rsidRPr="00936416">
              <w:rPr>
                <w:rFonts w:asciiTheme="majorHAnsi" w:hAnsiTheme="majorHAnsi" w:cstheme="majorHAnsi"/>
                <w:sz w:val="24"/>
              </w:rPr>
              <w:t>13</w:t>
            </w:r>
            <w:r w:rsidR="000A1F0C">
              <w:rPr>
                <w:rFonts w:asciiTheme="majorHAnsi" w:hAnsiTheme="majorHAnsi" w:cstheme="majorHAnsi"/>
                <w:sz w:val="24"/>
              </w:rPr>
              <w:tab/>
            </w:r>
            <w:r w:rsidRPr="00936416">
              <w:rPr>
                <w:rFonts w:asciiTheme="majorHAnsi" w:hAnsiTheme="majorHAnsi" w:cstheme="majorHAnsi"/>
                <w:sz w:val="24"/>
              </w:rPr>
              <w:t>To strengthen expenditure control, the final payment to consultants  will not be issued until the results are certified by the proper level in ITU</w:t>
            </w:r>
          </w:p>
        </w:tc>
        <w:tc>
          <w:tcPr>
            <w:tcW w:w="4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2F447" w14:textId="77777777" w:rsidR="00936416" w:rsidRPr="00936416" w:rsidRDefault="00936416" w:rsidP="00E210CE">
            <w:pPr>
              <w:rPr>
                <w:rFonts w:asciiTheme="majorHAnsi" w:hAnsiTheme="majorHAnsi" w:cstheme="majorHAnsi"/>
                <w:b/>
                <w:bCs/>
                <w:sz w:val="24"/>
              </w:rPr>
            </w:pPr>
            <w:r w:rsidRPr="00936416">
              <w:rPr>
                <w:rFonts w:asciiTheme="majorHAnsi" w:hAnsiTheme="majorHAnsi" w:cstheme="majorHAnsi"/>
                <w:b/>
                <w:bCs/>
                <w:sz w:val="24"/>
              </w:rPr>
              <w:t xml:space="preserve">Implemented </w:t>
            </w:r>
          </w:p>
        </w:tc>
      </w:tr>
      <w:tr w:rsidR="00936416" w:rsidRPr="00936416" w14:paraId="70E74ACE" w14:textId="77777777" w:rsidTr="00E210CE">
        <w:tblPrEx>
          <w:tblCellMar>
            <w:left w:w="108" w:type="dxa"/>
            <w:right w:w="108" w:type="dxa"/>
          </w:tblCellMar>
        </w:tblPrEx>
        <w:trPr>
          <w:trHeight w:val="78"/>
        </w:trPr>
        <w:tc>
          <w:tcPr>
            <w:tcW w:w="5524" w:type="dxa"/>
            <w:tcBorders>
              <w:top w:val="nil"/>
              <w:left w:val="single" w:sz="4" w:space="0" w:color="auto"/>
              <w:bottom w:val="single" w:sz="4" w:space="0" w:color="auto"/>
              <w:right w:val="single" w:sz="4" w:space="0" w:color="auto"/>
            </w:tcBorders>
            <w:shd w:val="clear" w:color="auto" w:fill="auto"/>
            <w:vAlign w:val="center"/>
          </w:tcPr>
          <w:p w14:paraId="1D52146F" w14:textId="0E35EA5F" w:rsidR="00936416" w:rsidRPr="00936416" w:rsidRDefault="000A1F0C" w:rsidP="00E210CE">
            <w:pPr>
              <w:ind w:left="313" w:hanging="313"/>
              <w:rPr>
                <w:rFonts w:asciiTheme="majorHAnsi" w:eastAsia="Times New Roman" w:hAnsiTheme="majorHAnsi" w:cstheme="majorHAnsi"/>
                <w:b/>
                <w:bCs/>
                <w:sz w:val="24"/>
                <w:lang w:val="en-GB"/>
              </w:rPr>
            </w:pPr>
            <w:r>
              <w:rPr>
                <w:rFonts w:asciiTheme="majorHAnsi" w:hAnsiTheme="majorHAnsi" w:cstheme="majorHAnsi"/>
                <w:sz w:val="24"/>
                <w:lang w:val="en-GB"/>
              </w:rPr>
              <w:t>14</w:t>
            </w:r>
            <w:r>
              <w:rPr>
                <w:rFonts w:asciiTheme="majorHAnsi" w:hAnsiTheme="majorHAnsi" w:cstheme="majorHAnsi"/>
                <w:sz w:val="24"/>
                <w:lang w:val="en-GB"/>
              </w:rPr>
              <w:tab/>
            </w:r>
            <w:r w:rsidR="00936416" w:rsidRPr="00936416">
              <w:rPr>
                <w:rFonts w:asciiTheme="majorHAnsi" w:hAnsiTheme="majorHAnsi" w:cstheme="majorHAnsi"/>
                <w:sz w:val="24"/>
                <w:lang w:val="en-GB"/>
              </w:rPr>
              <w:t>Staff member acknowledgement of responsibility on Financial Disclosure form. Form will be enhanced to include specific reference to accountability.  Obligation to file annually to extend to all professional staff and Elected officials and potentially to all staff. Service Order 11/03 to be amended.</w:t>
            </w:r>
          </w:p>
        </w:tc>
        <w:tc>
          <w:tcPr>
            <w:tcW w:w="4281" w:type="dxa"/>
            <w:tcBorders>
              <w:top w:val="single" w:sz="4" w:space="0" w:color="auto"/>
              <w:left w:val="nil"/>
              <w:bottom w:val="single" w:sz="4" w:space="0" w:color="auto"/>
              <w:right w:val="single" w:sz="4" w:space="0" w:color="auto"/>
            </w:tcBorders>
            <w:shd w:val="clear" w:color="auto" w:fill="auto"/>
          </w:tcPr>
          <w:p w14:paraId="70E6B346" w14:textId="77777777" w:rsidR="00936416" w:rsidRPr="00936416" w:rsidRDefault="00936416" w:rsidP="00E210CE">
            <w:pPr>
              <w:rPr>
                <w:rFonts w:asciiTheme="majorHAnsi" w:eastAsia="Times New Roman" w:hAnsiTheme="majorHAnsi" w:cstheme="majorHAnsi"/>
                <w:b/>
                <w:bCs/>
                <w:sz w:val="24"/>
                <w:lang w:val="en-GB"/>
              </w:rPr>
            </w:pPr>
            <w:r w:rsidRPr="00936416">
              <w:rPr>
                <w:rFonts w:asciiTheme="majorHAnsi" w:eastAsia="Times New Roman" w:hAnsiTheme="majorHAnsi" w:cstheme="majorHAnsi"/>
                <w:b/>
                <w:bCs/>
                <w:sz w:val="24"/>
                <w:lang w:val="en-GB"/>
              </w:rPr>
              <w:t>In progress: Ethics Office</w:t>
            </w:r>
          </w:p>
          <w:p w14:paraId="5D78732C" w14:textId="77777777" w:rsidR="00936416" w:rsidRPr="00936416" w:rsidRDefault="00936416" w:rsidP="00E210CE">
            <w:pPr>
              <w:rPr>
                <w:rFonts w:asciiTheme="majorHAnsi" w:eastAsia="Times New Roman" w:hAnsiTheme="majorHAnsi" w:cstheme="majorHAnsi"/>
                <w:sz w:val="24"/>
                <w:lang w:val="en-GB"/>
              </w:rPr>
            </w:pPr>
            <w:r w:rsidRPr="00936416">
              <w:rPr>
                <w:rFonts w:asciiTheme="majorHAnsi" w:eastAsia="Times New Roman" w:hAnsiTheme="majorHAnsi" w:cstheme="majorHAnsi"/>
                <w:sz w:val="24"/>
                <w:lang w:val="en-GB"/>
              </w:rPr>
              <w:t>Concept paper is under review.</w:t>
            </w:r>
          </w:p>
        </w:tc>
      </w:tr>
      <w:tr w:rsidR="00936416" w:rsidRPr="00936416" w14:paraId="3430342C" w14:textId="77777777" w:rsidTr="000A1F0C">
        <w:tblPrEx>
          <w:tblCellMar>
            <w:left w:w="108" w:type="dxa"/>
            <w:right w:w="108" w:type="dxa"/>
          </w:tblCellMar>
        </w:tblPrEx>
        <w:trPr>
          <w:trHeight w:val="1267"/>
        </w:trPr>
        <w:tc>
          <w:tcPr>
            <w:tcW w:w="5524" w:type="dxa"/>
            <w:tcBorders>
              <w:top w:val="nil"/>
              <w:left w:val="single" w:sz="4" w:space="0" w:color="auto"/>
              <w:bottom w:val="single" w:sz="4" w:space="0" w:color="auto"/>
              <w:right w:val="single" w:sz="4" w:space="0" w:color="auto"/>
            </w:tcBorders>
            <w:shd w:val="clear" w:color="auto" w:fill="auto"/>
            <w:hideMark/>
          </w:tcPr>
          <w:p w14:paraId="742DA948" w14:textId="7F2A8CFA" w:rsidR="00936416" w:rsidRPr="000A1F0C" w:rsidRDefault="00936416" w:rsidP="000A1F0C">
            <w:pPr>
              <w:ind w:left="312" w:hanging="312"/>
              <w:rPr>
                <w:rFonts w:asciiTheme="majorHAnsi" w:eastAsia="Times New Roman" w:hAnsiTheme="majorHAnsi" w:cstheme="majorHAnsi"/>
                <w:sz w:val="24"/>
                <w:lang w:val="en-GB"/>
              </w:rPr>
            </w:pPr>
            <w:r w:rsidRPr="000A1F0C">
              <w:rPr>
                <w:rFonts w:asciiTheme="majorHAnsi" w:eastAsia="Times New Roman" w:hAnsiTheme="majorHAnsi" w:cstheme="majorHAnsi"/>
                <w:sz w:val="24"/>
                <w:lang w:val="en-GB"/>
              </w:rPr>
              <w:lastRenderedPageBreak/>
              <w:t>15</w:t>
            </w:r>
            <w:r w:rsidR="000A1F0C" w:rsidRPr="000A1F0C">
              <w:rPr>
                <w:rFonts w:asciiTheme="majorHAnsi" w:eastAsia="Times New Roman" w:hAnsiTheme="majorHAnsi" w:cstheme="majorHAnsi"/>
                <w:sz w:val="24"/>
                <w:lang w:val="en-GB"/>
              </w:rPr>
              <w:tab/>
            </w:r>
            <w:r w:rsidRPr="000A1F0C">
              <w:rPr>
                <w:rFonts w:asciiTheme="majorHAnsi" w:eastAsia="Times New Roman" w:hAnsiTheme="majorHAnsi" w:cstheme="majorHAnsi"/>
                <w:sz w:val="24"/>
                <w:lang w:val="en-GB"/>
              </w:rPr>
              <w:t>Strengthen Asset management procedures to include Project Assets, which are not part of the ITU Financial accounting records, in the Asset Register. Establish clear policies and procedures for the control and disposition of project assets during and at completion of the project.</w:t>
            </w:r>
          </w:p>
        </w:tc>
        <w:tc>
          <w:tcPr>
            <w:tcW w:w="4281" w:type="dxa"/>
            <w:tcBorders>
              <w:top w:val="nil"/>
              <w:left w:val="nil"/>
              <w:bottom w:val="single" w:sz="4" w:space="0" w:color="auto"/>
              <w:right w:val="single" w:sz="4" w:space="0" w:color="auto"/>
            </w:tcBorders>
            <w:shd w:val="clear" w:color="auto" w:fill="auto"/>
            <w:vAlign w:val="bottom"/>
            <w:hideMark/>
          </w:tcPr>
          <w:p w14:paraId="16C43774" w14:textId="77777777" w:rsidR="00936416" w:rsidRPr="000A1F0C" w:rsidRDefault="00936416" w:rsidP="00E210CE">
            <w:pPr>
              <w:rPr>
                <w:rFonts w:asciiTheme="majorHAnsi" w:eastAsia="Times New Roman" w:hAnsiTheme="majorHAnsi" w:cstheme="majorHAnsi"/>
                <w:b/>
                <w:bCs/>
                <w:sz w:val="24"/>
                <w:lang w:val="en-GB"/>
              </w:rPr>
            </w:pPr>
            <w:r w:rsidRPr="000A1F0C">
              <w:rPr>
                <w:rFonts w:asciiTheme="majorHAnsi" w:hAnsiTheme="majorHAnsi" w:cstheme="majorHAnsi"/>
                <w:b/>
                <w:bCs/>
                <w:sz w:val="24"/>
              </w:rPr>
              <w:t>Implemented</w:t>
            </w:r>
          </w:p>
          <w:p w14:paraId="00902035" w14:textId="77777777" w:rsidR="00936416" w:rsidRPr="000A1F0C" w:rsidRDefault="00936416" w:rsidP="00E210CE">
            <w:pPr>
              <w:rPr>
                <w:rFonts w:asciiTheme="majorHAnsi" w:eastAsia="Times New Roman" w:hAnsiTheme="majorHAnsi" w:cstheme="majorHAnsi"/>
                <w:sz w:val="24"/>
                <w:lang w:val="en-GB"/>
              </w:rPr>
            </w:pPr>
            <w:r w:rsidRPr="000A1F0C">
              <w:rPr>
                <w:rFonts w:asciiTheme="majorHAnsi" w:hAnsiTheme="majorHAnsi" w:cstheme="majorHAnsi"/>
                <w:sz w:val="24"/>
              </w:rPr>
              <w:t xml:space="preserve">The BDT Director’s internal memorandum on “Strengthening Internal Controls” to all BDT staff at professional and above levels (of 23 August 2019) covers project assets. In addition, the standard clause in project documents on the Transfer of ownership of assets has been further clarified. </w:t>
            </w:r>
          </w:p>
        </w:tc>
      </w:tr>
      <w:tr w:rsidR="00936416" w:rsidRPr="00936416" w14:paraId="0AA0CA1A" w14:textId="77777777" w:rsidTr="00E210CE">
        <w:tblPrEx>
          <w:tblCellMar>
            <w:left w:w="108" w:type="dxa"/>
            <w:right w:w="108" w:type="dxa"/>
          </w:tblCellMar>
        </w:tblPrEx>
        <w:trPr>
          <w:trHeight w:val="1280"/>
        </w:trPr>
        <w:tc>
          <w:tcPr>
            <w:tcW w:w="5524" w:type="dxa"/>
            <w:tcBorders>
              <w:top w:val="nil"/>
              <w:left w:val="single" w:sz="4" w:space="0" w:color="auto"/>
              <w:bottom w:val="single" w:sz="4" w:space="0" w:color="auto"/>
              <w:right w:val="single" w:sz="4" w:space="0" w:color="auto"/>
            </w:tcBorders>
            <w:shd w:val="clear" w:color="auto" w:fill="auto"/>
            <w:textDirection w:val="lrTbV"/>
            <w:hideMark/>
          </w:tcPr>
          <w:p w14:paraId="384E4830" w14:textId="3C98FA25" w:rsidR="00936416" w:rsidRPr="00936416" w:rsidRDefault="00936416" w:rsidP="000A1F0C">
            <w:pPr>
              <w:ind w:left="313" w:hanging="284"/>
              <w:rPr>
                <w:rFonts w:asciiTheme="majorHAnsi" w:eastAsia="Times New Roman" w:hAnsiTheme="majorHAnsi" w:cstheme="majorHAnsi"/>
                <w:sz w:val="24"/>
                <w:lang w:val="en-GB"/>
              </w:rPr>
            </w:pPr>
            <w:r w:rsidRPr="00936416">
              <w:rPr>
                <w:rFonts w:asciiTheme="majorHAnsi" w:eastAsia="Times New Roman" w:hAnsiTheme="majorHAnsi" w:cstheme="majorHAnsi"/>
                <w:sz w:val="24"/>
                <w:lang w:val="en-GB"/>
              </w:rPr>
              <w:t>16</w:t>
            </w:r>
            <w:r w:rsidR="000A1F0C">
              <w:rPr>
                <w:rFonts w:asciiTheme="majorHAnsi" w:eastAsia="Times New Roman" w:hAnsiTheme="majorHAnsi" w:cstheme="majorHAnsi"/>
                <w:sz w:val="24"/>
                <w:lang w:val="en-GB"/>
              </w:rPr>
              <w:tab/>
            </w:r>
            <w:r w:rsidRPr="00936416">
              <w:rPr>
                <w:rFonts w:asciiTheme="majorHAnsi" w:eastAsia="Times New Roman" w:hAnsiTheme="majorHAnsi" w:cstheme="majorHAnsi"/>
                <w:sz w:val="24"/>
                <w:lang w:val="en-GB"/>
              </w:rPr>
              <w:t>Introduction of competitive procedures for selection of consultants: HRMD has prepared a draft procedure for advertising requests for consultants. It has to be submitted to the management for comments and approval.</w:t>
            </w:r>
          </w:p>
        </w:tc>
        <w:tc>
          <w:tcPr>
            <w:tcW w:w="4281" w:type="dxa"/>
            <w:tcBorders>
              <w:top w:val="nil"/>
              <w:left w:val="nil"/>
              <w:bottom w:val="single" w:sz="4" w:space="0" w:color="auto"/>
              <w:right w:val="single" w:sz="4" w:space="0" w:color="auto"/>
            </w:tcBorders>
            <w:shd w:val="clear" w:color="auto" w:fill="auto"/>
            <w:hideMark/>
          </w:tcPr>
          <w:p w14:paraId="2E34345D" w14:textId="77777777" w:rsidR="00936416" w:rsidRPr="00936416" w:rsidRDefault="00936416" w:rsidP="00E210CE">
            <w:pPr>
              <w:rPr>
                <w:rFonts w:asciiTheme="majorHAnsi" w:hAnsiTheme="majorHAnsi" w:cstheme="majorHAnsi"/>
                <w:b/>
                <w:bCs/>
                <w:sz w:val="24"/>
              </w:rPr>
            </w:pPr>
            <w:r w:rsidRPr="00936416">
              <w:rPr>
                <w:rFonts w:asciiTheme="majorHAnsi" w:hAnsiTheme="majorHAnsi" w:cstheme="majorHAnsi"/>
                <w:b/>
                <w:bCs/>
                <w:sz w:val="24"/>
              </w:rPr>
              <w:t>In progress: HRMD</w:t>
            </w:r>
          </w:p>
          <w:p w14:paraId="23C9AA8E" w14:textId="77777777" w:rsidR="00936416" w:rsidRPr="00936416" w:rsidRDefault="00936416" w:rsidP="00E210CE">
            <w:pPr>
              <w:rPr>
                <w:rFonts w:asciiTheme="majorHAnsi" w:eastAsia="Times New Roman" w:hAnsiTheme="majorHAnsi" w:cstheme="majorHAnsi"/>
                <w:sz w:val="24"/>
                <w:lang w:val="en-GB"/>
              </w:rPr>
            </w:pPr>
            <w:r w:rsidRPr="00936416">
              <w:rPr>
                <w:rFonts w:asciiTheme="majorHAnsi" w:hAnsiTheme="majorHAnsi" w:cstheme="majorHAnsi"/>
                <w:sz w:val="24"/>
              </w:rPr>
              <w:t xml:space="preserve">The members of the Coordination Committee of ITU have agreed on the principle.  </w:t>
            </w:r>
          </w:p>
        </w:tc>
      </w:tr>
      <w:tr w:rsidR="00936416" w:rsidRPr="00936416" w14:paraId="24F27AF8" w14:textId="77777777" w:rsidTr="00E210CE">
        <w:tblPrEx>
          <w:tblCellMar>
            <w:left w:w="108" w:type="dxa"/>
            <w:right w:w="108" w:type="dxa"/>
          </w:tblCellMar>
        </w:tblPrEx>
        <w:trPr>
          <w:trHeight w:val="972"/>
        </w:trPr>
        <w:tc>
          <w:tcPr>
            <w:tcW w:w="5524" w:type="dxa"/>
            <w:tcBorders>
              <w:top w:val="nil"/>
              <w:left w:val="single" w:sz="4" w:space="0" w:color="auto"/>
              <w:bottom w:val="single" w:sz="4" w:space="0" w:color="auto"/>
              <w:right w:val="single" w:sz="4" w:space="0" w:color="auto"/>
            </w:tcBorders>
            <w:shd w:val="clear" w:color="auto" w:fill="auto"/>
            <w:hideMark/>
          </w:tcPr>
          <w:p w14:paraId="557609FB" w14:textId="34842D13" w:rsidR="00936416" w:rsidRPr="00936416" w:rsidRDefault="00936416" w:rsidP="000A1F0C">
            <w:pPr>
              <w:ind w:left="313" w:hanging="313"/>
              <w:rPr>
                <w:rFonts w:asciiTheme="majorHAnsi" w:eastAsia="Times New Roman" w:hAnsiTheme="majorHAnsi" w:cstheme="majorHAnsi"/>
                <w:sz w:val="24"/>
                <w:lang w:val="en-GB"/>
              </w:rPr>
            </w:pPr>
            <w:r w:rsidRPr="00936416">
              <w:rPr>
                <w:rFonts w:asciiTheme="majorHAnsi" w:eastAsia="Times New Roman" w:hAnsiTheme="majorHAnsi" w:cstheme="majorHAnsi"/>
                <w:sz w:val="24"/>
                <w:lang w:val="en-GB"/>
              </w:rPr>
              <w:t>17</w:t>
            </w:r>
            <w:r w:rsidR="000A1F0C">
              <w:rPr>
                <w:rFonts w:asciiTheme="majorHAnsi" w:eastAsia="Times New Roman" w:hAnsiTheme="majorHAnsi" w:cstheme="majorHAnsi"/>
                <w:sz w:val="24"/>
                <w:lang w:val="en-GB"/>
              </w:rPr>
              <w:tab/>
            </w:r>
            <w:r w:rsidRPr="00936416">
              <w:rPr>
                <w:rFonts w:asciiTheme="majorHAnsi" w:eastAsia="Times New Roman" w:hAnsiTheme="majorHAnsi" w:cstheme="majorHAnsi"/>
                <w:sz w:val="24"/>
                <w:lang w:val="en-GB"/>
              </w:rPr>
              <w:t>Introduction of procedures to manage and control the use of consultants.  Annual limits will be established limiting how much any one person or entity can receive in a fiscal year.</w:t>
            </w:r>
          </w:p>
        </w:tc>
        <w:tc>
          <w:tcPr>
            <w:tcW w:w="4281" w:type="dxa"/>
            <w:tcBorders>
              <w:top w:val="nil"/>
              <w:left w:val="nil"/>
              <w:bottom w:val="single" w:sz="4" w:space="0" w:color="auto"/>
              <w:right w:val="single" w:sz="4" w:space="0" w:color="auto"/>
            </w:tcBorders>
            <w:shd w:val="clear" w:color="auto" w:fill="auto"/>
            <w:hideMark/>
          </w:tcPr>
          <w:p w14:paraId="2C69C76A" w14:textId="77777777" w:rsidR="00936416" w:rsidRPr="00936416" w:rsidRDefault="00936416" w:rsidP="00E210CE">
            <w:pPr>
              <w:rPr>
                <w:rFonts w:asciiTheme="majorHAnsi" w:hAnsiTheme="majorHAnsi" w:cstheme="majorHAnsi"/>
                <w:b/>
                <w:bCs/>
                <w:sz w:val="24"/>
              </w:rPr>
            </w:pPr>
            <w:r w:rsidRPr="00936416">
              <w:rPr>
                <w:rFonts w:asciiTheme="majorHAnsi" w:hAnsiTheme="majorHAnsi" w:cstheme="majorHAnsi"/>
                <w:b/>
                <w:bCs/>
                <w:sz w:val="24"/>
              </w:rPr>
              <w:t>In progress: HRMD</w:t>
            </w:r>
          </w:p>
          <w:p w14:paraId="7113F031" w14:textId="77777777" w:rsidR="00936416" w:rsidRPr="00936416" w:rsidRDefault="00936416" w:rsidP="00E210CE">
            <w:pPr>
              <w:rPr>
                <w:rFonts w:asciiTheme="majorHAnsi" w:eastAsia="Times New Roman" w:hAnsiTheme="majorHAnsi" w:cstheme="majorHAnsi"/>
                <w:b/>
                <w:bCs/>
                <w:sz w:val="24"/>
                <w:lang w:val="en-GB"/>
              </w:rPr>
            </w:pPr>
          </w:p>
        </w:tc>
      </w:tr>
      <w:tr w:rsidR="00936416" w:rsidRPr="00936416" w14:paraId="79A7AC95" w14:textId="77777777" w:rsidTr="00E210CE">
        <w:tblPrEx>
          <w:tblCellMar>
            <w:left w:w="108" w:type="dxa"/>
            <w:right w:w="108" w:type="dxa"/>
          </w:tblCellMar>
        </w:tblPrEx>
        <w:trPr>
          <w:trHeight w:val="1130"/>
        </w:trPr>
        <w:tc>
          <w:tcPr>
            <w:tcW w:w="5524" w:type="dxa"/>
            <w:tcBorders>
              <w:top w:val="nil"/>
              <w:left w:val="single" w:sz="4" w:space="0" w:color="auto"/>
              <w:bottom w:val="single" w:sz="4" w:space="0" w:color="auto"/>
              <w:right w:val="single" w:sz="4" w:space="0" w:color="auto"/>
            </w:tcBorders>
            <w:shd w:val="clear" w:color="auto" w:fill="auto"/>
            <w:hideMark/>
          </w:tcPr>
          <w:p w14:paraId="0564369E" w14:textId="2535AD22" w:rsidR="00936416" w:rsidRPr="00936416" w:rsidRDefault="00936416" w:rsidP="000A1F0C">
            <w:pPr>
              <w:ind w:left="313" w:hanging="313"/>
              <w:rPr>
                <w:rFonts w:asciiTheme="majorHAnsi" w:eastAsia="Times New Roman" w:hAnsiTheme="majorHAnsi" w:cstheme="majorHAnsi"/>
                <w:sz w:val="24"/>
                <w:lang w:val="en-GB"/>
              </w:rPr>
            </w:pPr>
            <w:r w:rsidRPr="00936416">
              <w:rPr>
                <w:rFonts w:asciiTheme="majorHAnsi" w:eastAsia="Times New Roman" w:hAnsiTheme="majorHAnsi" w:cstheme="majorHAnsi"/>
                <w:sz w:val="24"/>
                <w:lang w:val="en-GB"/>
              </w:rPr>
              <w:t>18</w:t>
            </w:r>
            <w:r w:rsidR="000A1F0C">
              <w:rPr>
                <w:rFonts w:asciiTheme="majorHAnsi" w:eastAsia="Times New Roman" w:hAnsiTheme="majorHAnsi" w:cstheme="majorHAnsi"/>
                <w:sz w:val="24"/>
                <w:lang w:val="en-GB"/>
              </w:rPr>
              <w:tab/>
            </w:r>
            <w:r w:rsidRPr="00936416">
              <w:rPr>
                <w:rFonts w:asciiTheme="majorHAnsi" w:eastAsia="Times New Roman" w:hAnsiTheme="majorHAnsi" w:cstheme="majorHAnsi"/>
                <w:sz w:val="24"/>
                <w:lang w:val="en-GB"/>
              </w:rPr>
              <w:t xml:space="preserve">ITU Travel procedures </w:t>
            </w:r>
            <w:proofErr w:type="gramStart"/>
            <w:r w:rsidRPr="00936416">
              <w:rPr>
                <w:rFonts w:asciiTheme="majorHAnsi" w:eastAsia="Times New Roman" w:hAnsiTheme="majorHAnsi" w:cstheme="majorHAnsi"/>
                <w:sz w:val="24"/>
                <w:lang w:val="en-GB"/>
              </w:rPr>
              <w:t>will be strengthened</w:t>
            </w:r>
            <w:proofErr w:type="gramEnd"/>
            <w:r w:rsidRPr="00936416">
              <w:rPr>
                <w:rFonts w:asciiTheme="majorHAnsi" w:eastAsia="Times New Roman" w:hAnsiTheme="majorHAnsi" w:cstheme="majorHAnsi"/>
                <w:sz w:val="24"/>
                <w:lang w:val="en-GB"/>
              </w:rPr>
              <w:t xml:space="preserve"> so staff members are advised on the need for timely submission of travel claims.</w:t>
            </w:r>
          </w:p>
        </w:tc>
        <w:tc>
          <w:tcPr>
            <w:tcW w:w="4281" w:type="dxa"/>
            <w:tcBorders>
              <w:top w:val="nil"/>
              <w:left w:val="nil"/>
              <w:bottom w:val="single" w:sz="4" w:space="0" w:color="auto"/>
              <w:right w:val="single" w:sz="4" w:space="0" w:color="auto"/>
            </w:tcBorders>
            <w:shd w:val="clear" w:color="auto" w:fill="auto"/>
            <w:hideMark/>
          </w:tcPr>
          <w:p w14:paraId="708FF98D" w14:textId="77777777" w:rsidR="00936416" w:rsidRPr="00936416" w:rsidRDefault="00936416" w:rsidP="00E210CE">
            <w:pPr>
              <w:rPr>
                <w:rFonts w:asciiTheme="majorHAnsi" w:eastAsia="Times New Roman" w:hAnsiTheme="majorHAnsi" w:cstheme="majorHAnsi"/>
                <w:b/>
                <w:bCs/>
                <w:sz w:val="24"/>
                <w:lang w:val="en-GB"/>
              </w:rPr>
            </w:pPr>
            <w:r w:rsidRPr="00936416">
              <w:rPr>
                <w:rFonts w:asciiTheme="majorHAnsi" w:eastAsia="Times New Roman" w:hAnsiTheme="majorHAnsi" w:cstheme="majorHAnsi"/>
                <w:b/>
                <w:bCs/>
                <w:sz w:val="24"/>
                <w:lang w:val="en-GB"/>
              </w:rPr>
              <w:t>In progress: FRMD</w:t>
            </w:r>
          </w:p>
          <w:p w14:paraId="5E65923A" w14:textId="77777777" w:rsidR="00936416" w:rsidRPr="00936416" w:rsidRDefault="00936416" w:rsidP="00E210CE">
            <w:pPr>
              <w:rPr>
                <w:rFonts w:asciiTheme="majorHAnsi" w:eastAsia="Times New Roman" w:hAnsiTheme="majorHAnsi" w:cstheme="majorHAnsi"/>
                <w:sz w:val="24"/>
                <w:lang w:val="en-GB"/>
              </w:rPr>
            </w:pPr>
            <w:r w:rsidRPr="00936416">
              <w:rPr>
                <w:rFonts w:asciiTheme="majorHAnsi" w:eastAsia="Times New Roman" w:hAnsiTheme="majorHAnsi" w:cstheme="majorHAnsi"/>
                <w:sz w:val="24"/>
                <w:lang w:val="en-GB"/>
              </w:rPr>
              <w:t xml:space="preserve">Changes to automatic Email message have been proposed and are under consideration. </w:t>
            </w:r>
          </w:p>
        </w:tc>
      </w:tr>
      <w:tr w:rsidR="00936416" w:rsidRPr="00936416" w14:paraId="53C54C4E" w14:textId="77777777" w:rsidTr="00E210CE">
        <w:tblPrEx>
          <w:tblCellMar>
            <w:left w:w="108" w:type="dxa"/>
            <w:right w:w="108" w:type="dxa"/>
          </w:tblCellMar>
        </w:tblPrEx>
        <w:trPr>
          <w:trHeight w:val="1200"/>
        </w:trPr>
        <w:tc>
          <w:tcPr>
            <w:tcW w:w="5524" w:type="dxa"/>
            <w:tcBorders>
              <w:top w:val="nil"/>
              <w:left w:val="single" w:sz="4" w:space="0" w:color="auto"/>
              <w:bottom w:val="single" w:sz="4" w:space="0" w:color="auto"/>
              <w:right w:val="single" w:sz="4" w:space="0" w:color="auto"/>
            </w:tcBorders>
            <w:shd w:val="clear" w:color="auto" w:fill="auto"/>
            <w:hideMark/>
          </w:tcPr>
          <w:p w14:paraId="3094D773" w14:textId="02100EC2" w:rsidR="00936416" w:rsidRPr="00936416" w:rsidRDefault="00936416" w:rsidP="000A1F0C">
            <w:pPr>
              <w:ind w:left="313" w:hanging="313"/>
              <w:rPr>
                <w:rFonts w:asciiTheme="majorHAnsi" w:eastAsia="Times New Roman" w:hAnsiTheme="majorHAnsi" w:cstheme="majorHAnsi"/>
                <w:sz w:val="24"/>
                <w:lang w:val="en-GB"/>
              </w:rPr>
            </w:pPr>
            <w:r w:rsidRPr="00936416">
              <w:rPr>
                <w:rFonts w:asciiTheme="majorHAnsi" w:eastAsia="Times New Roman" w:hAnsiTheme="majorHAnsi" w:cstheme="majorHAnsi"/>
                <w:sz w:val="24"/>
                <w:lang w:val="en-GB"/>
              </w:rPr>
              <w:t>19</w:t>
            </w:r>
            <w:r w:rsidR="000A1F0C">
              <w:rPr>
                <w:rFonts w:asciiTheme="majorHAnsi" w:eastAsia="Times New Roman" w:hAnsiTheme="majorHAnsi" w:cstheme="majorHAnsi"/>
                <w:sz w:val="24"/>
                <w:lang w:val="en-GB"/>
              </w:rPr>
              <w:tab/>
            </w:r>
            <w:r w:rsidRPr="00936416">
              <w:rPr>
                <w:rFonts w:asciiTheme="majorHAnsi" w:eastAsia="Times New Roman" w:hAnsiTheme="majorHAnsi" w:cstheme="majorHAnsi"/>
                <w:sz w:val="24"/>
                <w:lang w:val="en-GB"/>
              </w:rPr>
              <w:t xml:space="preserve">Unlike </w:t>
            </w:r>
            <w:proofErr w:type="gramStart"/>
            <w:r w:rsidRPr="00936416">
              <w:rPr>
                <w:rFonts w:asciiTheme="majorHAnsi" w:eastAsia="Times New Roman" w:hAnsiTheme="majorHAnsi" w:cstheme="majorHAnsi"/>
                <w:sz w:val="24"/>
                <w:lang w:val="en-GB"/>
              </w:rPr>
              <w:t>field based</w:t>
            </w:r>
            <w:proofErr w:type="gramEnd"/>
            <w:r w:rsidRPr="00936416">
              <w:rPr>
                <w:rFonts w:asciiTheme="majorHAnsi" w:eastAsia="Times New Roman" w:hAnsiTheme="majorHAnsi" w:cstheme="majorHAnsi"/>
                <w:sz w:val="24"/>
                <w:lang w:val="en-GB"/>
              </w:rPr>
              <w:t xml:space="preserve"> organizations like, UNDP and UNICEF, ITU is not big enough to allow for rotation.  However, a mobility policy to allow reassignment of staff from one duty station to another is needed urgently.</w:t>
            </w:r>
          </w:p>
        </w:tc>
        <w:tc>
          <w:tcPr>
            <w:tcW w:w="4281" w:type="dxa"/>
            <w:tcBorders>
              <w:top w:val="nil"/>
              <w:left w:val="nil"/>
              <w:bottom w:val="single" w:sz="4" w:space="0" w:color="auto"/>
              <w:right w:val="single" w:sz="4" w:space="0" w:color="auto"/>
            </w:tcBorders>
            <w:shd w:val="clear" w:color="auto" w:fill="auto"/>
            <w:hideMark/>
          </w:tcPr>
          <w:p w14:paraId="591A326A" w14:textId="77777777" w:rsidR="00936416" w:rsidRPr="00936416" w:rsidRDefault="00936416" w:rsidP="00E210CE">
            <w:pPr>
              <w:rPr>
                <w:rFonts w:asciiTheme="majorHAnsi" w:hAnsiTheme="majorHAnsi" w:cstheme="majorHAnsi"/>
                <w:b/>
                <w:bCs/>
                <w:sz w:val="24"/>
              </w:rPr>
            </w:pPr>
            <w:r w:rsidRPr="00936416">
              <w:rPr>
                <w:rFonts w:asciiTheme="majorHAnsi" w:eastAsia="Times New Roman" w:hAnsiTheme="majorHAnsi" w:cstheme="majorHAnsi"/>
                <w:b/>
                <w:bCs/>
                <w:sz w:val="24"/>
                <w:lang w:val="en-GB"/>
              </w:rPr>
              <w:t>In progress</w:t>
            </w:r>
            <w:r w:rsidRPr="00936416">
              <w:rPr>
                <w:rFonts w:asciiTheme="majorHAnsi" w:hAnsiTheme="majorHAnsi" w:cstheme="majorHAnsi"/>
                <w:b/>
                <w:bCs/>
                <w:sz w:val="24"/>
              </w:rPr>
              <w:t>: HRMD</w:t>
            </w:r>
          </w:p>
          <w:p w14:paraId="5D0CEBF7" w14:textId="77777777" w:rsidR="00936416" w:rsidRPr="00936416" w:rsidRDefault="00936416" w:rsidP="00E210CE">
            <w:pPr>
              <w:rPr>
                <w:rFonts w:asciiTheme="majorHAnsi" w:eastAsia="Times New Roman" w:hAnsiTheme="majorHAnsi" w:cstheme="majorHAnsi"/>
                <w:sz w:val="24"/>
                <w:lang w:val="en-GB"/>
              </w:rPr>
            </w:pPr>
            <w:r w:rsidRPr="00936416">
              <w:rPr>
                <w:rFonts w:asciiTheme="majorHAnsi" w:hAnsiTheme="majorHAnsi" w:cstheme="majorHAnsi"/>
                <w:sz w:val="24"/>
              </w:rPr>
              <w:t>Draft policy is under preparation.</w:t>
            </w:r>
          </w:p>
        </w:tc>
      </w:tr>
      <w:tr w:rsidR="00936416" w:rsidRPr="00936416" w14:paraId="5AEA2B62" w14:textId="77777777" w:rsidTr="00E210CE">
        <w:tblPrEx>
          <w:tblCellMar>
            <w:left w:w="108" w:type="dxa"/>
            <w:right w:w="108" w:type="dxa"/>
          </w:tblCellMar>
        </w:tblPrEx>
        <w:trPr>
          <w:trHeight w:val="993"/>
        </w:trPr>
        <w:tc>
          <w:tcPr>
            <w:tcW w:w="5524" w:type="dxa"/>
            <w:tcBorders>
              <w:top w:val="nil"/>
              <w:left w:val="single" w:sz="4" w:space="0" w:color="auto"/>
              <w:bottom w:val="single" w:sz="4" w:space="0" w:color="auto"/>
              <w:right w:val="single" w:sz="4" w:space="0" w:color="auto"/>
            </w:tcBorders>
            <w:shd w:val="clear" w:color="auto" w:fill="auto"/>
            <w:hideMark/>
          </w:tcPr>
          <w:p w14:paraId="530D238D" w14:textId="32D0FA7C" w:rsidR="00936416" w:rsidRPr="00936416" w:rsidRDefault="00936416" w:rsidP="000A1F0C">
            <w:pPr>
              <w:ind w:left="313" w:hanging="313"/>
              <w:rPr>
                <w:rFonts w:asciiTheme="majorHAnsi" w:eastAsia="Times New Roman" w:hAnsiTheme="majorHAnsi" w:cstheme="majorHAnsi"/>
                <w:sz w:val="24"/>
                <w:lang w:val="en-GB"/>
              </w:rPr>
            </w:pPr>
            <w:r w:rsidRPr="00936416">
              <w:rPr>
                <w:rFonts w:asciiTheme="majorHAnsi" w:eastAsia="Times New Roman" w:hAnsiTheme="majorHAnsi" w:cstheme="majorHAnsi"/>
                <w:sz w:val="24"/>
                <w:lang w:val="en-GB"/>
              </w:rPr>
              <w:t>20</w:t>
            </w:r>
            <w:r w:rsidR="000A1F0C">
              <w:rPr>
                <w:rFonts w:asciiTheme="majorHAnsi" w:eastAsia="Times New Roman" w:hAnsiTheme="majorHAnsi" w:cstheme="majorHAnsi"/>
                <w:sz w:val="24"/>
                <w:lang w:val="en-GB"/>
              </w:rPr>
              <w:tab/>
            </w:r>
            <w:r w:rsidRPr="00936416">
              <w:rPr>
                <w:rFonts w:asciiTheme="majorHAnsi" w:eastAsia="Times New Roman" w:hAnsiTheme="majorHAnsi" w:cstheme="majorHAnsi"/>
                <w:sz w:val="24"/>
                <w:lang w:val="en-GB"/>
              </w:rPr>
              <w:t xml:space="preserve">To supplement existing policies, the status and protections of a </w:t>
            </w:r>
            <w:proofErr w:type="spellStart"/>
            <w:r w:rsidRPr="00936416">
              <w:rPr>
                <w:rFonts w:asciiTheme="majorHAnsi" w:eastAsia="Times New Roman" w:hAnsiTheme="majorHAnsi" w:cstheme="majorHAnsi"/>
                <w:sz w:val="24"/>
                <w:lang w:val="en-GB"/>
              </w:rPr>
              <w:t>Whistleblower</w:t>
            </w:r>
            <w:proofErr w:type="spellEnd"/>
            <w:r w:rsidRPr="00936416">
              <w:rPr>
                <w:rFonts w:asciiTheme="majorHAnsi" w:eastAsia="Times New Roman" w:hAnsiTheme="majorHAnsi" w:cstheme="majorHAnsi"/>
                <w:sz w:val="24"/>
                <w:lang w:val="en-GB"/>
              </w:rPr>
              <w:t xml:space="preserve"> need to be established in a new and improved </w:t>
            </w:r>
            <w:proofErr w:type="spellStart"/>
            <w:r w:rsidRPr="00936416">
              <w:rPr>
                <w:rFonts w:asciiTheme="majorHAnsi" w:eastAsia="Times New Roman" w:hAnsiTheme="majorHAnsi" w:cstheme="majorHAnsi"/>
                <w:sz w:val="24"/>
                <w:lang w:val="en-GB"/>
              </w:rPr>
              <w:t>Whistleblower</w:t>
            </w:r>
            <w:proofErr w:type="spellEnd"/>
            <w:r w:rsidRPr="00936416">
              <w:rPr>
                <w:rFonts w:asciiTheme="majorHAnsi" w:eastAsia="Times New Roman" w:hAnsiTheme="majorHAnsi" w:cstheme="majorHAnsi"/>
                <w:sz w:val="24"/>
                <w:lang w:val="en-GB"/>
              </w:rPr>
              <w:t xml:space="preserve"> Policy</w:t>
            </w:r>
          </w:p>
        </w:tc>
        <w:tc>
          <w:tcPr>
            <w:tcW w:w="4281" w:type="dxa"/>
            <w:tcBorders>
              <w:top w:val="nil"/>
              <w:left w:val="nil"/>
              <w:bottom w:val="single" w:sz="4" w:space="0" w:color="auto"/>
              <w:right w:val="single" w:sz="4" w:space="0" w:color="auto"/>
            </w:tcBorders>
            <w:shd w:val="clear" w:color="auto" w:fill="auto"/>
            <w:hideMark/>
          </w:tcPr>
          <w:p w14:paraId="3A19C28C" w14:textId="77777777" w:rsidR="00936416" w:rsidRPr="00936416" w:rsidRDefault="00936416" w:rsidP="00E210CE">
            <w:pPr>
              <w:rPr>
                <w:rFonts w:asciiTheme="majorHAnsi" w:eastAsia="Times New Roman" w:hAnsiTheme="majorHAnsi" w:cstheme="majorHAnsi"/>
                <w:b/>
                <w:bCs/>
                <w:sz w:val="24"/>
                <w:lang w:val="en-GB"/>
              </w:rPr>
            </w:pPr>
            <w:r w:rsidRPr="00936416">
              <w:rPr>
                <w:rFonts w:asciiTheme="majorHAnsi" w:eastAsia="Times New Roman" w:hAnsiTheme="majorHAnsi" w:cstheme="majorHAnsi"/>
                <w:b/>
                <w:bCs/>
                <w:sz w:val="24"/>
                <w:lang w:val="en-GB"/>
              </w:rPr>
              <w:t>In progress: Ethics office</w:t>
            </w:r>
          </w:p>
          <w:p w14:paraId="09494509" w14:textId="77777777" w:rsidR="00936416" w:rsidRPr="00936416" w:rsidRDefault="00936416" w:rsidP="00E210CE">
            <w:pPr>
              <w:rPr>
                <w:rFonts w:asciiTheme="majorHAnsi" w:eastAsia="Times New Roman" w:hAnsiTheme="majorHAnsi" w:cstheme="majorHAnsi"/>
                <w:sz w:val="24"/>
                <w:lang w:val="en-GB"/>
              </w:rPr>
            </w:pPr>
            <w:r w:rsidRPr="00936416">
              <w:rPr>
                <w:rFonts w:asciiTheme="majorHAnsi" w:eastAsia="Times New Roman" w:hAnsiTheme="majorHAnsi" w:cstheme="majorHAnsi"/>
                <w:sz w:val="24"/>
                <w:lang w:val="en-GB"/>
              </w:rPr>
              <w:t xml:space="preserve">Concept paper is under review </w:t>
            </w:r>
          </w:p>
        </w:tc>
      </w:tr>
      <w:tr w:rsidR="00936416" w:rsidRPr="00936416" w14:paraId="41278DCA" w14:textId="77777777" w:rsidTr="00E210CE">
        <w:tblPrEx>
          <w:tblCellMar>
            <w:left w:w="108" w:type="dxa"/>
            <w:right w:w="108" w:type="dxa"/>
          </w:tblCellMar>
        </w:tblPrEx>
        <w:trPr>
          <w:trHeight w:val="775"/>
        </w:trPr>
        <w:tc>
          <w:tcPr>
            <w:tcW w:w="5524" w:type="dxa"/>
            <w:tcBorders>
              <w:top w:val="nil"/>
              <w:left w:val="single" w:sz="4" w:space="0" w:color="auto"/>
              <w:bottom w:val="single" w:sz="4" w:space="0" w:color="auto"/>
              <w:right w:val="single" w:sz="4" w:space="0" w:color="auto"/>
            </w:tcBorders>
            <w:shd w:val="clear" w:color="auto" w:fill="auto"/>
            <w:hideMark/>
          </w:tcPr>
          <w:p w14:paraId="648F2285" w14:textId="510D7EBF" w:rsidR="00936416" w:rsidRPr="00936416" w:rsidRDefault="00936416" w:rsidP="000A1F0C">
            <w:pPr>
              <w:ind w:left="313" w:hanging="313"/>
              <w:rPr>
                <w:rFonts w:asciiTheme="majorHAnsi" w:eastAsia="Times New Roman" w:hAnsiTheme="majorHAnsi" w:cstheme="majorHAnsi"/>
                <w:sz w:val="24"/>
                <w:lang w:val="en-GB"/>
              </w:rPr>
            </w:pPr>
            <w:r w:rsidRPr="00936416">
              <w:rPr>
                <w:rFonts w:asciiTheme="majorHAnsi" w:eastAsia="Times New Roman" w:hAnsiTheme="majorHAnsi" w:cstheme="majorHAnsi"/>
                <w:sz w:val="24"/>
                <w:lang w:val="en-GB"/>
              </w:rPr>
              <w:t>21</w:t>
            </w:r>
            <w:r w:rsidR="000A1F0C">
              <w:rPr>
                <w:rFonts w:asciiTheme="majorHAnsi" w:eastAsia="Times New Roman" w:hAnsiTheme="majorHAnsi" w:cstheme="majorHAnsi"/>
                <w:sz w:val="24"/>
                <w:lang w:val="en-GB"/>
              </w:rPr>
              <w:tab/>
            </w:r>
            <w:r w:rsidRPr="00936416">
              <w:rPr>
                <w:rFonts w:asciiTheme="majorHAnsi" w:eastAsia="Times New Roman" w:hAnsiTheme="majorHAnsi" w:cstheme="majorHAnsi"/>
                <w:sz w:val="24"/>
                <w:lang w:val="en-GB"/>
              </w:rPr>
              <w:t>BDT implementation of common IT systems beginning with Budget Control, Travel &amp; Expense and CRM modules.</w:t>
            </w:r>
          </w:p>
        </w:tc>
        <w:tc>
          <w:tcPr>
            <w:tcW w:w="4281" w:type="dxa"/>
            <w:tcBorders>
              <w:top w:val="nil"/>
              <w:left w:val="nil"/>
              <w:bottom w:val="single" w:sz="4" w:space="0" w:color="auto"/>
              <w:right w:val="single" w:sz="4" w:space="0" w:color="auto"/>
            </w:tcBorders>
            <w:shd w:val="clear" w:color="auto" w:fill="auto"/>
            <w:hideMark/>
          </w:tcPr>
          <w:p w14:paraId="622C32F0" w14:textId="77777777" w:rsidR="00936416" w:rsidRPr="00936416" w:rsidRDefault="00936416" w:rsidP="00E210CE">
            <w:pPr>
              <w:rPr>
                <w:rFonts w:asciiTheme="majorHAnsi" w:eastAsia="Times New Roman" w:hAnsiTheme="majorHAnsi" w:cstheme="majorHAnsi"/>
                <w:b/>
                <w:bCs/>
                <w:sz w:val="24"/>
                <w:lang w:val="en-GB"/>
              </w:rPr>
            </w:pPr>
            <w:r w:rsidRPr="00936416">
              <w:rPr>
                <w:rFonts w:asciiTheme="majorHAnsi" w:eastAsia="Times New Roman" w:hAnsiTheme="majorHAnsi" w:cstheme="majorHAnsi"/>
                <w:b/>
                <w:bCs/>
                <w:sz w:val="24"/>
                <w:lang w:val="en-GB"/>
              </w:rPr>
              <w:t>In progress: ISD/BDT</w:t>
            </w:r>
          </w:p>
          <w:p w14:paraId="54AB0D3C" w14:textId="77777777" w:rsidR="00936416" w:rsidRPr="00936416" w:rsidRDefault="00936416" w:rsidP="00E210CE">
            <w:pPr>
              <w:rPr>
                <w:rFonts w:asciiTheme="majorHAnsi" w:eastAsia="Times New Roman" w:hAnsiTheme="majorHAnsi" w:cstheme="majorHAnsi"/>
                <w:sz w:val="24"/>
                <w:lang w:val="en-GB"/>
              </w:rPr>
            </w:pPr>
            <w:r w:rsidRPr="00936416">
              <w:rPr>
                <w:rFonts w:asciiTheme="majorHAnsi" w:eastAsia="Times New Roman" w:hAnsiTheme="majorHAnsi" w:cstheme="majorHAnsi"/>
                <w:sz w:val="24"/>
                <w:lang w:val="en-GB"/>
              </w:rPr>
              <w:t>Project plan is under finalization.</w:t>
            </w:r>
          </w:p>
        </w:tc>
      </w:tr>
      <w:tr w:rsidR="00936416" w:rsidRPr="00936416" w14:paraId="6ED300E6" w14:textId="77777777" w:rsidTr="00E210CE">
        <w:tblPrEx>
          <w:tblCellMar>
            <w:left w:w="108" w:type="dxa"/>
            <w:right w:w="108" w:type="dxa"/>
          </w:tblCellMar>
        </w:tblPrEx>
        <w:trPr>
          <w:trHeight w:val="900"/>
        </w:trPr>
        <w:tc>
          <w:tcPr>
            <w:tcW w:w="5524" w:type="dxa"/>
            <w:tcBorders>
              <w:top w:val="nil"/>
              <w:left w:val="single" w:sz="4" w:space="0" w:color="auto"/>
              <w:bottom w:val="single" w:sz="4" w:space="0" w:color="auto"/>
              <w:right w:val="single" w:sz="4" w:space="0" w:color="auto"/>
            </w:tcBorders>
            <w:shd w:val="clear" w:color="auto" w:fill="auto"/>
            <w:hideMark/>
          </w:tcPr>
          <w:p w14:paraId="257753CE" w14:textId="4E427328" w:rsidR="00936416" w:rsidRPr="00936416" w:rsidRDefault="00936416" w:rsidP="000A1F0C">
            <w:pPr>
              <w:ind w:left="313" w:hanging="313"/>
              <w:rPr>
                <w:rFonts w:asciiTheme="majorHAnsi" w:eastAsia="Times New Roman" w:hAnsiTheme="majorHAnsi" w:cstheme="majorHAnsi"/>
                <w:sz w:val="24"/>
                <w:lang w:val="en-GB"/>
              </w:rPr>
            </w:pPr>
            <w:r w:rsidRPr="00936416">
              <w:rPr>
                <w:rFonts w:asciiTheme="majorHAnsi" w:eastAsia="Times New Roman" w:hAnsiTheme="majorHAnsi" w:cstheme="majorHAnsi"/>
                <w:sz w:val="24"/>
                <w:lang w:val="en-GB"/>
              </w:rPr>
              <w:t>22</w:t>
            </w:r>
            <w:r w:rsidR="000A1F0C">
              <w:rPr>
                <w:rFonts w:asciiTheme="majorHAnsi" w:eastAsia="Times New Roman" w:hAnsiTheme="majorHAnsi" w:cstheme="majorHAnsi"/>
                <w:sz w:val="24"/>
                <w:lang w:val="en-GB"/>
              </w:rPr>
              <w:tab/>
            </w:r>
            <w:r w:rsidRPr="00936416">
              <w:rPr>
                <w:rFonts w:asciiTheme="majorHAnsi" w:eastAsia="Times New Roman" w:hAnsiTheme="majorHAnsi" w:cstheme="majorHAnsi"/>
                <w:sz w:val="24"/>
                <w:lang w:val="en-GB"/>
              </w:rPr>
              <w:t>Existing ITU Sponsorship policy needs to be strengthened to prevent fraud</w:t>
            </w:r>
          </w:p>
        </w:tc>
        <w:tc>
          <w:tcPr>
            <w:tcW w:w="4281" w:type="dxa"/>
            <w:tcBorders>
              <w:top w:val="nil"/>
              <w:left w:val="nil"/>
              <w:bottom w:val="single" w:sz="4" w:space="0" w:color="auto"/>
              <w:right w:val="single" w:sz="4" w:space="0" w:color="auto"/>
            </w:tcBorders>
            <w:shd w:val="clear" w:color="auto" w:fill="auto"/>
            <w:hideMark/>
          </w:tcPr>
          <w:p w14:paraId="6DD6BC02" w14:textId="77777777" w:rsidR="00936416" w:rsidRPr="00936416" w:rsidRDefault="00936416" w:rsidP="00E210CE">
            <w:pPr>
              <w:rPr>
                <w:rFonts w:asciiTheme="majorHAnsi" w:eastAsia="Times New Roman" w:hAnsiTheme="majorHAnsi" w:cstheme="majorHAnsi"/>
                <w:b/>
                <w:bCs/>
                <w:sz w:val="24"/>
                <w:lang w:val="en-GB"/>
              </w:rPr>
            </w:pPr>
            <w:r w:rsidRPr="00936416">
              <w:rPr>
                <w:rFonts w:asciiTheme="majorHAnsi" w:eastAsia="Times New Roman" w:hAnsiTheme="majorHAnsi" w:cstheme="majorHAnsi"/>
                <w:b/>
                <w:bCs/>
                <w:sz w:val="24"/>
                <w:lang w:val="en-GB"/>
              </w:rPr>
              <w:t>In progress: SPM</w:t>
            </w:r>
          </w:p>
          <w:p w14:paraId="61F77F14" w14:textId="77777777" w:rsidR="00936416" w:rsidRPr="00936416" w:rsidRDefault="00936416" w:rsidP="00E210CE">
            <w:pPr>
              <w:rPr>
                <w:rFonts w:asciiTheme="majorHAnsi" w:eastAsia="Times New Roman" w:hAnsiTheme="majorHAnsi" w:cstheme="majorHAnsi"/>
                <w:sz w:val="24"/>
                <w:lang w:val="en-GB"/>
              </w:rPr>
            </w:pPr>
            <w:r w:rsidRPr="00936416">
              <w:rPr>
                <w:rFonts w:asciiTheme="majorHAnsi" w:eastAsia="Times New Roman" w:hAnsiTheme="majorHAnsi" w:cstheme="majorHAnsi"/>
                <w:sz w:val="24"/>
                <w:lang w:val="en-GB"/>
              </w:rPr>
              <w:t>Revised Service Order is under preparation.</w:t>
            </w:r>
          </w:p>
        </w:tc>
      </w:tr>
      <w:tr w:rsidR="00936416" w:rsidRPr="00936416" w14:paraId="1BA5A924" w14:textId="77777777" w:rsidTr="00E210CE">
        <w:tblPrEx>
          <w:tblCellMar>
            <w:left w:w="108" w:type="dxa"/>
            <w:right w:w="108" w:type="dxa"/>
          </w:tblCellMar>
        </w:tblPrEx>
        <w:trPr>
          <w:trHeight w:val="600"/>
        </w:trPr>
        <w:tc>
          <w:tcPr>
            <w:tcW w:w="5524" w:type="dxa"/>
            <w:tcBorders>
              <w:top w:val="nil"/>
              <w:left w:val="single" w:sz="4" w:space="0" w:color="auto"/>
              <w:bottom w:val="single" w:sz="4" w:space="0" w:color="auto"/>
              <w:right w:val="single" w:sz="4" w:space="0" w:color="auto"/>
            </w:tcBorders>
            <w:shd w:val="clear" w:color="auto" w:fill="auto"/>
            <w:hideMark/>
          </w:tcPr>
          <w:p w14:paraId="2FD66134" w14:textId="0CC31DEB" w:rsidR="00936416" w:rsidRPr="00936416" w:rsidRDefault="00936416" w:rsidP="000A1F0C">
            <w:pPr>
              <w:ind w:left="313" w:hanging="313"/>
              <w:rPr>
                <w:rFonts w:asciiTheme="majorHAnsi" w:eastAsia="Times New Roman" w:hAnsiTheme="majorHAnsi" w:cstheme="majorHAnsi"/>
                <w:sz w:val="24"/>
                <w:lang w:val="en-GB"/>
              </w:rPr>
            </w:pPr>
            <w:r w:rsidRPr="00936416">
              <w:rPr>
                <w:rFonts w:asciiTheme="majorHAnsi" w:eastAsia="Times New Roman" w:hAnsiTheme="majorHAnsi" w:cstheme="majorHAnsi"/>
                <w:sz w:val="24"/>
                <w:lang w:val="en-GB"/>
              </w:rPr>
              <w:t>23</w:t>
            </w:r>
            <w:r w:rsidR="000A1F0C">
              <w:rPr>
                <w:rFonts w:asciiTheme="majorHAnsi" w:eastAsia="Times New Roman" w:hAnsiTheme="majorHAnsi" w:cstheme="majorHAnsi"/>
                <w:sz w:val="24"/>
                <w:lang w:val="en-GB"/>
              </w:rPr>
              <w:tab/>
            </w:r>
            <w:r w:rsidRPr="00936416">
              <w:rPr>
                <w:rFonts w:asciiTheme="majorHAnsi" w:eastAsia="Times New Roman" w:hAnsiTheme="majorHAnsi" w:cstheme="majorHAnsi"/>
                <w:sz w:val="24"/>
                <w:lang w:val="en-GB"/>
              </w:rPr>
              <w:t>Full review of ITU Accountability Framework and report to Council 2020.</w:t>
            </w:r>
          </w:p>
        </w:tc>
        <w:tc>
          <w:tcPr>
            <w:tcW w:w="4281" w:type="dxa"/>
            <w:tcBorders>
              <w:top w:val="nil"/>
              <w:left w:val="nil"/>
              <w:bottom w:val="single" w:sz="4" w:space="0" w:color="auto"/>
              <w:right w:val="single" w:sz="4" w:space="0" w:color="auto"/>
            </w:tcBorders>
            <w:shd w:val="clear" w:color="auto" w:fill="auto"/>
            <w:hideMark/>
          </w:tcPr>
          <w:p w14:paraId="4E5BE63A" w14:textId="77777777" w:rsidR="00936416" w:rsidRPr="00936416" w:rsidRDefault="00936416" w:rsidP="00E210CE">
            <w:pPr>
              <w:rPr>
                <w:rFonts w:asciiTheme="majorHAnsi" w:eastAsia="Times New Roman" w:hAnsiTheme="majorHAnsi" w:cstheme="majorHAnsi"/>
                <w:b/>
                <w:bCs/>
                <w:sz w:val="24"/>
                <w:lang w:val="en-GB"/>
              </w:rPr>
            </w:pPr>
            <w:r w:rsidRPr="00936416">
              <w:rPr>
                <w:rFonts w:asciiTheme="majorHAnsi" w:eastAsia="Times New Roman" w:hAnsiTheme="majorHAnsi" w:cstheme="majorHAnsi"/>
                <w:b/>
                <w:bCs/>
                <w:sz w:val="24"/>
                <w:lang w:val="en-GB"/>
              </w:rPr>
              <w:t>In progress: FRMD</w:t>
            </w:r>
          </w:p>
          <w:p w14:paraId="369C0CD9" w14:textId="77777777" w:rsidR="00936416" w:rsidRPr="00936416" w:rsidRDefault="00936416" w:rsidP="00E210CE">
            <w:pPr>
              <w:rPr>
                <w:rFonts w:asciiTheme="majorHAnsi" w:eastAsia="Times New Roman" w:hAnsiTheme="majorHAnsi" w:cstheme="majorHAnsi"/>
                <w:sz w:val="24"/>
                <w:lang w:val="en-GB"/>
              </w:rPr>
            </w:pPr>
            <w:r w:rsidRPr="00936416">
              <w:rPr>
                <w:rFonts w:asciiTheme="majorHAnsi" w:eastAsia="Times New Roman" w:hAnsiTheme="majorHAnsi" w:cstheme="majorHAnsi"/>
                <w:sz w:val="24"/>
                <w:lang w:val="en-GB"/>
              </w:rPr>
              <w:t>FRMD to prepare a report for 2020 Council.</w:t>
            </w:r>
          </w:p>
        </w:tc>
      </w:tr>
    </w:tbl>
    <w:p w14:paraId="796E3EA4" w14:textId="77777777" w:rsidR="00936416" w:rsidRDefault="00936416" w:rsidP="00936416">
      <w:pPr>
        <w:tabs>
          <w:tab w:val="left" w:pos="4285"/>
        </w:tabs>
        <w:rPr>
          <w:rFonts w:asciiTheme="majorHAnsi" w:hAnsiTheme="majorHAnsi" w:cstheme="majorHAnsi"/>
          <w:sz w:val="24"/>
        </w:rPr>
      </w:pPr>
    </w:p>
    <w:p w14:paraId="345F732C" w14:textId="20974420" w:rsidR="000A1F0C" w:rsidRPr="000A1F0C" w:rsidRDefault="000A1F0C" w:rsidP="000A1F0C">
      <w:pPr>
        <w:tabs>
          <w:tab w:val="left" w:pos="4285"/>
        </w:tabs>
        <w:jc w:val="center"/>
        <w:rPr>
          <w:rFonts w:asciiTheme="majorHAnsi" w:hAnsiTheme="majorHAnsi" w:cstheme="majorHAnsi"/>
          <w:sz w:val="24"/>
          <w:u w:val="single"/>
        </w:rPr>
      </w:pPr>
      <w:bookmarkStart w:id="6" w:name="_GoBack"/>
      <w:bookmarkEnd w:id="6"/>
      <w:r>
        <w:rPr>
          <w:rFonts w:asciiTheme="majorHAnsi" w:hAnsiTheme="majorHAnsi" w:cstheme="majorHAnsi"/>
          <w:sz w:val="24"/>
          <w:u w:val="single"/>
        </w:rPr>
        <w:t>                                     </w:t>
      </w:r>
    </w:p>
    <w:sectPr w:rsidR="000A1F0C" w:rsidRPr="000A1F0C" w:rsidSect="00B97B22">
      <w:headerReference w:type="default" r:id="rId15"/>
      <w:footerReference w:type="first" r:id="rId16"/>
      <w:pgSz w:w="11901" w:h="16840" w:code="9"/>
      <w:pgMar w:top="1134" w:right="1077" w:bottom="851" w:left="1077" w:header="68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5CCBA" w14:textId="77777777" w:rsidR="00F847F3" w:rsidRDefault="00F847F3">
      <w:r>
        <w:separator/>
      </w:r>
    </w:p>
  </w:endnote>
  <w:endnote w:type="continuationSeparator" w:id="0">
    <w:p w14:paraId="3C3E6A29" w14:textId="77777777" w:rsidR="00F847F3" w:rsidRDefault="00F847F3">
      <w:r>
        <w:continuationSeparator/>
      </w:r>
    </w:p>
  </w:endnote>
  <w:endnote w:type="continuationNotice" w:id="1">
    <w:p w14:paraId="3ABE75B1" w14:textId="77777777" w:rsidR="00F847F3" w:rsidRDefault="00F847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19D6D" w14:textId="77777777" w:rsidR="002A1458" w:rsidRPr="00756E92" w:rsidRDefault="002A1458" w:rsidP="002A1458">
    <w:pPr>
      <w:jc w:val="center"/>
      <w:rPr>
        <w:rFonts w:asciiTheme="minorHAnsi" w:hAnsiTheme="minorHAnsi"/>
        <w:szCs w:val="22"/>
      </w:rPr>
    </w:pPr>
    <w:r w:rsidRPr="00756E92">
      <w:rPr>
        <w:rFonts w:asciiTheme="minorHAnsi" w:hAnsiTheme="minorHAnsi"/>
        <w:szCs w:val="22"/>
      </w:rPr>
      <w:t xml:space="preserve">• </w:t>
    </w:r>
    <w:hyperlink r:id="rId1" w:history="1">
      <w:r w:rsidRPr="00756E92">
        <w:rPr>
          <w:rStyle w:val="Hyperlink"/>
          <w:rFonts w:asciiTheme="minorHAnsi" w:hAnsiTheme="minorHAnsi"/>
          <w:szCs w:val="22"/>
        </w:rPr>
        <w:t>http://www.itu.int/council</w:t>
      </w:r>
    </w:hyperlink>
    <w:r w:rsidRPr="00756E92">
      <w:rPr>
        <w:rFonts w:asciiTheme="minorHAnsi" w:hAnsiTheme="minorHAnsi"/>
        <w:szCs w:val="22"/>
      </w:rPr>
      <w:t xml:space="preserve"> •</w:t>
    </w:r>
  </w:p>
  <w:p w14:paraId="2D413823" w14:textId="77777777" w:rsidR="00756E92" w:rsidRPr="00756E92" w:rsidRDefault="00756E92" w:rsidP="00756E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03EFE" w14:textId="77777777" w:rsidR="00F847F3" w:rsidRDefault="00F847F3">
      <w:r>
        <w:separator/>
      </w:r>
    </w:p>
  </w:footnote>
  <w:footnote w:type="continuationSeparator" w:id="0">
    <w:p w14:paraId="41AE44E2" w14:textId="77777777" w:rsidR="00F847F3" w:rsidRDefault="00F847F3">
      <w:r>
        <w:continuationSeparator/>
      </w:r>
    </w:p>
  </w:footnote>
  <w:footnote w:type="continuationNotice" w:id="1">
    <w:p w14:paraId="62DEB140" w14:textId="77777777" w:rsidR="00F847F3" w:rsidRDefault="00F847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93F63" w14:textId="77777777" w:rsidR="002A1458" w:rsidRPr="002A1458" w:rsidRDefault="002A1458" w:rsidP="002A1458">
    <w:pPr>
      <w:pStyle w:val="Header"/>
      <w:jc w:val="center"/>
      <w:rPr>
        <w:sz w:val="18"/>
        <w:szCs w:val="20"/>
      </w:rPr>
    </w:pPr>
    <w:r w:rsidRPr="002A1458">
      <w:rPr>
        <w:sz w:val="18"/>
        <w:szCs w:val="20"/>
      </w:rPr>
      <w:fldChar w:fldCharType="begin"/>
    </w:r>
    <w:r w:rsidRPr="002A1458">
      <w:rPr>
        <w:sz w:val="18"/>
        <w:szCs w:val="20"/>
      </w:rPr>
      <w:instrText xml:space="preserve"> PAGE   \* MERGEFORMAT </w:instrText>
    </w:r>
    <w:r w:rsidRPr="002A1458">
      <w:rPr>
        <w:sz w:val="18"/>
        <w:szCs w:val="20"/>
      </w:rPr>
      <w:fldChar w:fldCharType="separate"/>
    </w:r>
    <w:r w:rsidR="000A1F0C">
      <w:rPr>
        <w:noProof/>
        <w:sz w:val="18"/>
        <w:szCs w:val="20"/>
      </w:rPr>
      <w:t>4</w:t>
    </w:r>
    <w:r w:rsidRPr="002A1458">
      <w:rPr>
        <w:noProof/>
        <w:sz w:val="18"/>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244C7"/>
    <w:multiLevelType w:val="hybridMultilevel"/>
    <w:tmpl w:val="02A61C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B44D1A"/>
    <w:multiLevelType w:val="hybridMultilevel"/>
    <w:tmpl w:val="3A3433C4"/>
    <w:lvl w:ilvl="0" w:tplc="11BA67B6">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8A3E92"/>
    <w:multiLevelType w:val="hybridMultilevel"/>
    <w:tmpl w:val="B532CE58"/>
    <w:lvl w:ilvl="0" w:tplc="D95E9E92">
      <w:start w:val="8"/>
      <w:numFmt w:val="bullet"/>
      <w:lvlText w:val="-"/>
      <w:lvlJc w:val="left"/>
      <w:pPr>
        <w:ind w:left="1069" w:hanging="360"/>
      </w:pPr>
      <w:rPr>
        <w:rFonts w:ascii="Calibri" w:eastAsia="SimSun" w:hAnsi="Calibri" w:cs="Calibr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1A9C"/>
    <w:rsid w:val="000038C4"/>
    <w:rsid w:val="00007F7F"/>
    <w:rsid w:val="00007FED"/>
    <w:rsid w:val="00010C32"/>
    <w:rsid w:val="00010C75"/>
    <w:rsid w:val="00010F48"/>
    <w:rsid w:val="000147CA"/>
    <w:rsid w:val="0001781D"/>
    <w:rsid w:val="0002197D"/>
    <w:rsid w:val="00021DF9"/>
    <w:rsid w:val="0002607F"/>
    <w:rsid w:val="000264BE"/>
    <w:rsid w:val="000268B0"/>
    <w:rsid w:val="00027767"/>
    <w:rsid w:val="0003282D"/>
    <w:rsid w:val="0003740F"/>
    <w:rsid w:val="00047F0D"/>
    <w:rsid w:val="00052578"/>
    <w:rsid w:val="00052886"/>
    <w:rsid w:val="00052EB0"/>
    <w:rsid w:val="00053C26"/>
    <w:rsid w:val="00053FE3"/>
    <w:rsid w:val="00054724"/>
    <w:rsid w:val="000548E3"/>
    <w:rsid w:val="00056802"/>
    <w:rsid w:val="0006023C"/>
    <w:rsid w:val="00060990"/>
    <w:rsid w:val="0006108F"/>
    <w:rsid w:val="00061780"/>
    <w:rsid w:val="00065E3D"/>
    <w:rsid w:val="000720AB"/>
    <w:rsid w:val="00073F35"/>
    <w:rsid w:val="0007733F"/>
    <w:rsid w:val="000811C5"/>
    <w:rsid w:val="0008236A"/>
    <w:rsid w:val="00082DEB"/>
    <w:rsid w:val="000929FF"/>
    <w:rsid w:val="00093ACA"/>
    <w:rsid w:val="000A1688"/>
    <w:rsid w:val="000A1F0C"/>
    <w:rsid w:val="000A5071"/>
    <w:rsid w:val="000B4C95"/>
    <w:rsid w:val="000B7B00"/>
    <w:rsid w:val="000C20DC"/>
    <w:rsid w:val="000C2A2E"/>
    <w:rsid w:val="000C2C28"/>
    <w:rsid w:val="000C4839"/>
    <w:rsid w:val="000D1EC9"/>
    <w:rsid w:val="000D746E"/>
    <w:rsid w:val="000E0B2E"/>
    <w:rsid w:val="000E6444"/>
    <w:rsid w:val="000E6F49"/>
    <w:rsid w:val="000E738E"/>
    <w:rsid w:val="000F2E67"/>
    <w:rsid w:val="000F366F"/>
    <w:rsid w:val="000F7587"/>
    <w:rsid w:val="0010077D"/>
    <w:rsid w:val="00100FFB"/>
    <w:rsid w:val="001012BC"/>
    <w:rsid w:val="00102134"/>
    <w:rsid w:val="0010361A"/>
    <w:rsid w:val="0010375B"/>
    <w:rsid w:val="001048E6"/>
    <w:rsid w:val="001054A9"/>
    <w:rsid w:val="00111A8A"/>
    <w:rsid w:val="001144F3"/>
    <w:rsid w:val="001158FB"/>
    <w:rsid w:val="001164E6"/>
    <w:rsid w:val="001217CF"/>
    <w:rsid w:val="00121D0F"/>
    <w:rsid w:val="00122205"/>
    <w:rsid w:val="0012767B"/>
    <w:rsid w:val="00130BEC"/>
    <w:rsid w:val="00140DB3"/>
    <w:rsid w:val="0014173E"/>
    <w:rsid w:val="00143AFF"/>
    <w:rsid w:val="00151F6B"/>
    <w:rsid w:val="00162CD5"/>
    <w:rsid w:val="001668F0"/>
    <w:rsid w:val="0017057A"/>
    <w:rsid w:val="001743A1"/>
    <w:rsid w:val="00193826"/>
    <w:rsid w:val="00194AC8"/>
    <w:rsid w:val="001962CD"/>
    <w:rsid w:val="001A1E52"/>
    <w:rsid w:val="001B0D22"/>
    <w:rsid w:val="001B17B9"/>
    <w:rsid w:val="001B3FBE"/>
    <w:rsid w:val="001B506B"/>
    <w:rsid w:val="001B5EDA"/>
    <w:rsid w:val="001B776D"/>
    <w:rsid w:val="001B7A37"/>
    <w:rsid w:val="001C230E"/>
    <w:rsid w:val="001C2863"/>
    <w:rsid w:val="001C36A8"/>
    <w:rsid w:val="001C4440"/>
    <w:rsid w:val="001C533D"/>
    <w:rsid w:val="001D16E1"/>
    <w:rsid w:val="001D1B36"/>
    <w:rsid w:val="001D27FE"/>
    <w:rsid w:val="001D6882"/>
    <w:rsid w:val="001D69BE"/>
    <w:rsid w:val="001D6BE4"/>
    <w:rsid w:val="001D6F8A"/>
    <w:rsid w:val="001E4BD2"/>
    <w:rsid w:val="001E5885"/>
    <w:rsid w:val="001E5B3B"/>
    <w:rsid w:val="0020004F"/>
    <w:rsid w:val="00200486"/>
    <w:rsid w:val="00200CD5"/>
    <w:rsid w:val="0020692F"/>
    <w:rsid w:val="002070AD"/>
    <w:rsid w:val="00207123"/>
    <w:rsid w:val="002079BE"/>
    <w:rsid w:val="0021145F"/>
    <w:rsid w:val="00212BF7"/>
    <w:rsid w:val="00214150"/>
    <w:rsid w:val="0022078A"/>
    <w:rsid w:val="002228D5"/>
    <w:rsid w:val="0022556C"/>
    <w:rsid w:val="00230331"/>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674D"/>
    <w:rsid w:val="00287A13"/>
    <w:rsid w:val="00291555"/>
    <w:rsid w:val="00291F7C"/>
    <w:rsid w:val="00292EB7"/>
    <w:rsid w:val="002A09B4"/>
    <w:rsid w:val="002A0EC8"/>
    <w:rsid w:val="002A1458"/>
    <w:rsid w:val="002A173B"/>
    <w:rsid w:val="002A264E"/>
    <w:rsid w:val="002A6B9A"/>
    <w:rsid w:val="002B4498"/>
    <w:rsid w:val="002B4C20"/>
    <w:rsid w:val="002B7F6E"/>
    <w:rsid w:val="002D0596"/>
    <w:rsid w:val="002D0F7E"/>
    <w:rsid w:val="002E04CE"/>
    <w:rsid w:val="002E581D"/>
    <w:rsid w:val="002E5B9B"/>
    <w:rsid w:val="002F150A"/>
    <w:rsid w:val="003010A1"/>
    <w:rsid w:val="00302584"/>
    <w:rsid w:val="00302B27"/>
    <w:rsid w:val="00306388"/>
    <w:rsid w:val="00307AF2"/>
    <w:rsid w:val="00312766"/>
    <w:rsid w:val="00315C60"/>
    <w:rsid w:val="0031621F"/>
    <w:rsid w:val="00332B82"/>
    <w:rsid w:val="003341A5"/>
    <w:rsid w:val="00342898"/>
    <w:rsid w:val="00344CAA"/>
    <w:rsid w:val="00344DC5"/>
    <w:rsid w:val="0034736F"/>
    <w:rsid w:val="00347E04"/>
    <w:rsid w:val="0035001E"/>
    <w:rsid w:val="003573BA"/>
    <w:rsid w:val="00366DC6"/>
    <w:rsid w:val="00374C2C"/>
    <w:rsid w:val="0037552B"/>
    <w:rsid w:val="0038108B"/>
    <w:rsid w:val="00382655"/>
    <w:rsid w:val="003834F8"/>
    <w:rsid w:val="00383935"/>
    <w:rsid w:val="0038562C"/>
    <w:rsid w:val="00390067"/>
    <w:rsid w:val="00391655"/>
    <w:rsid w:val="003917D7"/>
    <w:rsid w:val="00394C20"/>
    <w:rsid w:val="003A4FC0"/>
    <w:rsid w:val="003B306B"/>
    <w:rsid w:val="003B63AE"/>
    <w:rsid w:val="003B7796"/>
    <w:rsid w:val="003B7C06"/>
    <w:rsid w:val="003C1B04"/>
    <w:rsid w:val="003C441A"/>
    <w:rsid w:val="003D1349"/>
    <w:rsid w:val="003D1F22"/>
    <w:rsid w:val="003D38E2"/>
    <w:rsid w:val="003D7FD9"/>
    <w:rsid w:val="003E071A"/>
    <w:rsid w:val="003E74D8"/>
    <w:rsid w:val="003E7E4F"/>
    <w:rsid w:val="003F36AF"/>
    <w:rsid w:val="003F3BF7"/>
    <w:rsid w:val="003F41C6"/>
    <w:rsid w:val="003F5669"/>
    <w:rsid w:val="003F6014"/>
    <w:rsid w:val="003F7794"/>
    <w:rsid w:val="00401FA7"/>
    <w:rsid w:val="00403A79"/>
    <w:rsid w:val="004049C4"/>
    <w:rsid w:val="00405880"/>
    <w:rsid w:val="00405A0C"/>
    <w:rsid w:val="004061AF"/>
    <w:rsid w:val="00406379"/>
    <w:rsid w:val="00406503"/>
    <w:rsid w:val="00406D07"/>
    <w:rsid w:val="004110D2"/>
    <w:rsid w:val="0041154D"/>
    <w:rsid w:val="00411822"/>
    <w:rsid w:val="00412020"/>
    <w:rsid w:val="00413447"/>
    <w:rsid w:val="00417936"/>
    <w:rsid w:val="00423041"/>
    <w:rsid w:val="004232D9"/>
    <w:rsid w:val="004268D5"/>
    <w:rsid w:val="004303C3"/>
    <w:rsid w:val="00431D53"/>
    <w:rsid w:val="00431EA7"/>
    <w:rsid w:val="00434926"/>
    <w:rsid w:val="0043494A"/>
    <w:rsid w:val="004351D8"/>
    <w:rsid w:val="0043742A"/>
    <w:rsid w:val="004415D4"/>
    <w:rsid w:val="00441E09"/>
    <w:rsid w:val="00451EC8"/>
    <w:rsid w:val="00453636"/>
    <w:rsid w:val="00455626"/>
    <w:rsid w:val="0045624E"/>
    <w:rsid w:val="00456850"/>
    <w:rsid w:val="00457B00"/>
    <w:rsid w:val="00463A64"/>
    <w:rsid w:val="00471036"/>
    <w:rsid w:val="00473B64"/>
    <w:rsid w:val="00477A11"/>
    <w:rsid w:val="00477F59"/>
    <w:rsid w:val="004812CB"/>
    <w:rsid w:val="004855FD"/>
    <w:rsid w:val="00486CB6"/>
    <w:rsid w:val="004944DB"/>
    <w:rsid w:val="00496213"/>
    <w:rsid w:val="00497FD9"/>
    <w:rsid w:val="004A0CD0"/>
    <w:rsid w:val="004C1A8E"/>
    <w:rsid w:val="004C4DBE"/>
    <w:rsid w:val="004C53CF"/>
    <w:rsid w:val="004C72E3"/>
    <w:rsid w:val="004D3913"/>
    <w:rsid w:val="004D48DF"/>
    <w:rsid w:val="004E2A9A"/>
    <w:rsid w:val="004E5922"/>
    <w:rsid w:val="004E59D9"/>
    <w:rsid w:val="004F5D70"/>
    <w:rsid w:val="00502CCA"/>
    <w:rsid w:val="005070D4"/>
    <w:rsid w:val="00510FAF"/>
    <w:rsid w:val="00511F01"/>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440B"/>
    <w:rsid w:val="005A58DC"/>
    <w:rsid w:val="005B033C"/>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4C"/>
    <w:rsid w:val="005F43BC"/>
    <w:rsid w:val="005F6E60"/>
    <w:rsid w:val="005F716F"/>
    <w:rsid w:val="005F7189"/>
    <w:rsid w:val="005F7C2E"/>
    <w:rsid w:val="006006FD"/>
    <w:rsid w:val="00602355"/>
    <w:rsid w:val="00607A95"/>
    <w:rsid w:val="00607F0B"/>
    <w:rsid w:val="00611188"/>
    <w:rsid w:val="00616D37"/>
    <w:rsid w:val="006204DB"/>
    <w:rsid w:val="00623E67"/>
    <w:rsid w:val="00624887"/>
    <w:rsid w:val="00626262"/>
    <w:rsid w:val="00630805"/>
    <w:rsid w:val="00635161"/>
    <w:rsid w:val="006367B6"/>
    <w:rsid w:val="0064055B"/>
    <w:rsid w:val="00642B5B"/>
    <w:rsid w:val="006463AB"/>
    <w:rsid w:val="006477FD"/>
    <w:rsid w:val="00656B2D"/>
    <w:rsid w:val="006640CB"/>
    <w:rsid w:val="00665F5E"/>
    <w:rsid w:val="0066704D"/>
    <w:rsid w:val="00671D68"/>
    <w:rsid w:val="0067474B"/>
    <w:rsid w:val="00683733"/>
    <w:rsid w:val="00683C44"/>
    <w:rsid w:val="00686D10"/>
    <w:rsid w:val="00692221"/>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5E12"/>
    <w:rsid w:val="006D70C6"/>
    <w:rsid w:val="006E0FF3"/>
    <w:rsid w:val="006E36F1"/>
    <w:rsid w:val="006E39B8"/>
    <w:rsid w:val="006F2163"/>
    <w:rsid w:val="006F5ACB"/>
    <w:rsid w:val="007003D6"/>
    <w:rsid w:val="0070262F"/>
    <w:rsid w:val="00704271"/>
    <w:rsid w:val="00713A1D"/>
    <w:rsid w:val="00715214"/>
    <w:rsid w:val="007156E4"/>
    <w:rsid w:val="00717F6C"/>
    <w:rsid w:val="0072067D"/>
    <w:rsid w:val="00721EED"/>
    <w:rsid w:val="007270D0"/>
    <w:rsid w:val="00733871"/>
    <w:rsid w:val="007339D5"/>
    <w:rsid w:val="00734285"/>
    <w:rsid w:val="00750401"/>
    <w:rsid w:val="00756E92"/>
    <w:rsid w:val="0076010E"/>
    <w:rsid w:val="00764696"/>
    <w:rsid w:val="0077353C"/>
    <w:rsid w:val="00775A12"/>
    <w:rsid w:val="00776D75"/>
    <w:rsid w:val="00783E51"/>
    <w:rsid w:val="0078643F"/>
    <w:rsid w:val="00790E9D"/>
    <w:rsid w:val="007944BB"/>
    <w:rsid w:val="0079453B"/>
    <w:rsid w:val="007962C2"/>
    <w:rsid w:val="00797822"/>
    <w:rsid w:val="00797D46"/>
    <w:rsid w:val="007A5462"/>
    <w:rsid w:val="007A54BE"/>
    <w:rsid w:val="007B1D6C"/>
    <w:rsid w:val="007B3243"/>
    <w:rsid w:val="007B3BF2"/>
    <w:rsid w:val="007B7E45"/>
    <w:rsid w:val="007C05A7"/>
    <w:rsid w:val="007C102C"/>
    <w:rsid w:val="007C1B12"/>
    <w:rsid w:val="007C34B0"/>
    <w:rsid w:val="007C5CDF"/>
    <w:rsid w:val="007C7752"/>
    <w:rsid w:val="007E1149"/>
    <w:rsid w:val="007E33CE"/>
    <w:rsid w:val="007E6398"/>
    <w:rsid w:val="007E754E"/>
    <w:rsid w:val="007E77C1"/>
    <w:rsid w:val="007F1EAE"/>
    <w:rsid w:val="007F5448"/>
    <w:rsid w:val="007F5590"/>
    <w:rsid w:val="007F7EDA"/>
    <w:rsid w:val="008002FF"/>
    <w:rsid w:val="008028E2"/>
    <w:rsid w:val="00802ED1"/>
    <w:rsid w:val="00803EC9"/>
    <w:rsid w:val="0080441F"/>
    <w:rsid w:val="00804996"/>
    <w:rsid w:val="0080713C"/>
    <w:rsid w:val="00811AE1"/>
    <w:rsid w:val="00815174"/>
    <w:rsid w:val="008151AA"/>
    <w:rsid w:val="00816221"/>
    <w:rsid w:val="00816507"/>
    <w:rsid w:val="00821976"/>
    <w:rsid w:val="0082335C"/>
    <w:rsid w:val="008233F9"/>
    <w:rsid w:val="00831D35"/>
    <w:rsid w:val="0083200C"/>
    <w:rsid w:val="00833DC2"/>
    <w:rsid w:val="00835CD6"/>
    <w:rsid w:val="008379EA"/>
    <w:rsid w:val="0084292A"/>
    <w:rsid w:val="00842DFD"/>
    <w:rsid w:val="008446CA"/>
    <w:rsid w:val="0084622B"/>
    <w:rsid w:val="00853371"/>
    <w:rsid w:val="0085429D"/>
    <w:rsid w:val="008543CD"/>
    <w:rsid w:val="00861F9C"/>
    <w:rsid w:val="00867F02"/>
    <w:rsid w:val="00872804"/>
    <w:rsid w:val="008749C8"/>
    <w:rsid w:val="0088059A"/>
    <w:rsid w:val="008818A0"/>
    <w:rsid w:val="00883936"/>
    <w:rsid w:val="00887F43"/>
    <w:rsid w:val="00891BFC"/>
    <w:rsid w:val="00893BBD"/>
    <w:rsid w:val="00894A9C"/>
    <w:rsid w:val="00897007"/>
    <w:rsid w:val="008A0AAD"/>
    <w:rsid w:val="008A0F72"/>
    <w:rsid w:val="008A2445"/>
    <w:rsid w:val="008A292E"/>
    <w:rsid w:val="008A4F01"/>
    <w:rsid w:val="008B2C85"/>
    <w:rsid w:val="008B5102"/>
    <w:rsid w:val="008B56C2"/>
    <w:rsid w:val="008B68BA"/>
    <w:rsid w:val="008C173B"/>
    <w:rsid w:val="008C2C8E"/>
    <w:rsid w:val="008D18C5"/>
    <w:rsid w:val="008D1B8D"/>
    <w:rsid w:val="008D1DB1"/>
    <w:rsid w:val="008D45D6"/>
    <w:rsid w:val="008E27E9"/>
    <w:rsid w:val="008E28FB"/>
    <w:rsid w:val="008E3915"/>
    <w:rsid w:val="008E74F8"/>
    <w:rsid w:val="008E7E92"/>
    <w:rsid w:val="008F0348"/>
    <w:rsid w:val="00902E96"/>
    <w:rsid w:val="009039E6"/>
    <w:rsid w:val="0090735D"/>
    <w:rsid w:val="00907F6E"/>
    <w:rsid w:val="00911D35"/>
    <w:rsid w:val="0091462A"/>
    <w:rsid w:val="009152F8"/>
    <w:rsid w:val="009158E2"/>
    <w:rsid w:val="0091691F"/>
    <w:rsid w:val="00920342"/>
    <w:rsid w:val="009208B2"/>
    <w:rsid w:val="00921BD2"/>
    <w:rsid w:val="00931AE5"/>
    <w:rsid w:val="009325E5"/>
    <w:rsid w:val="00932DC2"/>
    <w:rsid w:val="00933184"/>
    <w:rsid w:val="00936416"/>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A0436"/>
    <w:rsid w:val="009A093D"/>
    <w:rsid w:val="009A5599"/>
    <w:rsid w:val="009A68D0"/>
    <w:rsid w:val="009A7E6E"/>
    <w:rsid w:val="009B2CB2"/>
    <w:rsid w:val="009B7A6D"/>
    <w:rsid w:val="009C38EC"/>
    <w:rsid w:val="009C4D0C"/>
    <w:rsid w:val="009C53AB"/>
    <w:rsid w:val="009C7808"/>
    <w:rsid w:val="009D06FA"/>
    <w:rsid w:val="009D0C1A"/>
    <w:rsid w:val="009D6E05"/>
    <w:rsid w:val="009E0E57"/>
    <w:rsid w:val="009E2F00"/>
    <w:rsid w:val="009E6DA4"/>
    <w:rsid w:val="009E788E"/>
    <w:rsid w:val="009F6474"/>
    <w:rsid w:val="00A004BB"/>
    <w:rsid w:val="00A01278"/>
    <w:rsid w:val="00A017C1"/>
    <w:rsid w:val="00A03373"/>
    <w:rsid w:val="00A03471"/>
    <w:rsid w:val="00A034D1"/>
    <w:rsid w:val="00A036B8"/>
    <w:rsid w:val="00A10925"/>
    <w:rsid w:val="00A10EFD"/>
    <w:rsid w:val="00A10EFE"/>
    <w:rsid w:val="00A12C2C"/>
    <w:rsid w:val="00A14D06"/>
    <w:rsid w:val="00A22A2A"/>
    <w:rsid w:val="00A241C3"/>
    <w:rsid w:val="00A26C2E"/>
    <w:rsid w:val="00A26EF2"/>
    <w:rsid w:val="00A3221E"/>
    <w:rsid w:val="00A35938"/>
    <w:rsid w:val="00A36BBA"/>
    <w:rsid w:val="00A37145"/>
    <w:rsid w:val="00A40EC9"/>
    <w:rsid w:val="00A4220F"/>
    <w:rsid w:val="00A4381A"/>
    <w:rsid w:val="00A43E66"/>
    <w:rsid w:val="00A46705"/>
    <w:rsid w:val="00A467F7"/>
    <w:rsid w:val="00A47D6B"/>
    <w:rsid w:val="00A53763"/>
    <w:rsid w:val="00A538E3"/>
    <w:rsid w:val="00A542BD"/>
    <w:rsid w:val="00A55048"/>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0F9C"/>
    <w:rsid w:val="00AE72AF"/>
    <w:rsid w:val="00AF2C12"/>
    <w:rsid w:val="00AF50A8"/>
    <w:rsid w:val="00B012E8"/>
    <w:rsid w:val="00B02AB0"/>
    <w:rsid w:val="00B06912"/>
    <w:rsid w:val="00B073A7"/>
    <w:rsid w:val="00B13CEA"/>
    <w:rsid w:val="00B15C66"/>
    <w:rsid w:val="00B22946"/>
    <w:rsid w:val="00B25573"/>
    <w:rsid w:val="00B32122"/>
    <w:rsid w:val="00B33E2C"/>
    <w:rsid w:val="00B36FB3"/>
    <w:rsid w:val="00B44877"/>
    <w:rsid w:val="00B46BB7"/>
    <w:rsid w:val="00B47184"/>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97B22"/>
    <w:rsid w:val="00BA02C1"/>
    <w:rsid w:val="00BA2942"/>
    <w:rsid w:val="00BA4B96"/>
    <w:rsid w:val="00BA5509"/>
    <w:rsid w:val="00BA7BE0"/>
    <w:rsid w:val="00BB09A2"/>
    <w:rsid w:val="00BB0AE6"/>
    <w:rsid w:val="00BB1545"/>
    <w:rsid w:val="00BB16E4"/>
    <w:rsid w:val="00BB21AD"/>
    <w:rsid w:val="00BB46DF"/>
    <w:rsid w:val="00BB4B1A"/>
    <w:rsid w:val="00BB611D"/>
    <w:rsid w:val="00BC1480"/>
    <w:rsid w:val="00BC30E9"/>
    <w:rsid w:val="00BC4228"/>
    <w:rsid w:val="00BD6AF4"/>
    <w:rsid w:val="00BD6DF5"/>
    <w:rsid w:val="00BE175D"/>
    <w:rsid w:val="00BE2B19"/>
    <w:rsid w:val="00BE364F"/>
    <w:rsid w:val="00BE4BC7"/>
    <w:rsid w:val="00BE5EDE"/>
    <w:rsid w:val="00BE68B9"/>
    <w:rsid w:val="00BE71E9"/>
    <w:rsid w:val="00BE7737"/>
    <w:rsid w:val="00BF3543"/>
    <w:rsid w:val="00BF3A0C"/>
    <w:rsid w:val="00BF7018"/>
    <w:rsid w:val="00C03ACA"/>
    <w:rsid w:val="00C07674"/>
    <w:rsid w:val="00C077B4"/>
    <w:rsid w:val="00C13CAA"/>
    <w:rsid w:val="00C13CBB"/>
    <w:rsid w:val="00C14EC6"/>
    <w:rsid w:val="00C16177"/>
    <w:rsid w:val="00C201B9"/>
    <w:rsid w:val="00C22611"/>
    <w:rsid w:val="00C24302"/>
    <w:rsid w:val="00C243FF"/>
    <w:rsid w:val="00C25ADC"/>
    <w:rsid w:val="00C25D00"/>
    <w:rsid w:val="00C318C0"/>
    <w:rsid w:val="00C37F17"/>
    <w:rsid w:val="00C40E80"/>
    <w:rsid w:val="00C4710B"/>
    <w:rsid w:val="00C52E8E"/>
    <w:rsid w:val="00C5314B"/>
    <w:rsid w:val="00C6276A"/>
    <w:rsid w:val="00C62E1A"/>
    <w:rsid w:val="00C638DA"/>
    <w:rsid w:val="00C64BBF"/>
    <w:rsid w:val="00C64EB2"/>
    <w:rsid w:val="00C657EE"/>
    <w:rsid w:val="00C70729"/>
    <w:rsid w:val="00C7147B"/>
    <w:rsid w:val="00C71595"/>
    <w:rsid w:val="00C73FEA"/>
    <w:rsid w:val="00C863F7"/>
    <w:rsid w:val="00C86BA0"/>
    <w:rsid w:val="00C9084A"/>
    <w:rsid w:val="00CA2A06"/>
    <w:rsid w:val="00CA3CB2"/>
    <w:rsid w:val="00CA3F8B"/>
    <w:rsid w:val="00CA5798"/>
    <w:rsid w:val="00CA59F0"/>
    <w:rsid w:val="00CB0190"/>
    <w:rsid w:val="00CB5E62"/>
    <w:rsid w:val="00CB6567"/>
    <w:rsid w:val="00CB7672"/>
    <w:rsid w:val="00CB7CCD"/>
    <w:rsid w:val="00CC2C8B"/>
    <w:rsid w:val="00CC597D"/>
    <w:rsid w:val="00CD01A7"/>
    <w:rsid w:val="00CD04E4"/>
    <w:rsid w:val="00CD098D"/>
    <w:rsid w:val="00CD15C8"/>
    <w:rsid w:val="00CD6E42"/>
    <w:rsid w:val="00CE036F"/>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9C2"/>
    <w:rsid w:val="00DA2A5C"/>
    <w:rsid w:val="00DA5BBE"/>
    <w:rsid w:val="00DAE366"/>
    <w:rsid w:val="00DB00C3"/>
    <w:rsid w:val="00DB054A"/>
    <w:rsid w:val="00DB2BC9"/>
    <w:rsid w:val="00DB37C3"/>
    <w:rsid w:val="00DB5C1D"/>
    <w:rsid w:val="00DB6291"/>
    <w:rsid w:val="00DB701F"/>
    <w:rsid w:val="00DC740F"/>
    <w:rsid w:val="00DD0E84"/>
    <w:rsid w:val="00DD0F20"/>
    <w:rsid w:val="00DD4270"/>
    <w:rsid w:val="00DD551F"/>
    <w:rsid w:val="00DD7F74"/>
    <w:rsid w:val="00DE0161"/>
    <w:rsid w:val="00DE2E35"/>
    <w:rsid w:val="00DE6AB7"/>
    <w:rsid w:val="00DE7E3F"/>
    <w:rsid w:val="00DF4867"/>
    <w:rsid w:val="00DF7B4D"/>
    <w:rsid w:val="00E00223"/>
    <w:rsid w:val="00E0053E"/>
    <w:rsid w:val="00E01D38"/>
    <w:rsid w:val="00E023F8"/>
    <w:rsid w:val="00E02AF4"/>
    <w:rsid w:val="00E04BBC"/>
    <w:rsid w:val="00E04F0F"/>
    <w:rsid w:val="00E0648E"/>
    <w:rsid w:val="00E06E45"/>
    <w:rsid w:val="00E1258E"/>
    <w:rsid w:val="00E1668A"/>
    <w:rsid w:val="00E30DF6"/>
    <w:rsid w:val="00E33E37"/>
    <w:rsid w:val="00E44CB3"/>
    <w:rsid w:val="00E44ED4"/>
    <w:rsid w:val="00E450ED"/>
    <w:rsid w:val="00E50795"/>
    <w:rsid w:val="00E507AC"/>
    <w:rsid w:val="00E5592F"/>
    <w:rsid w:val="00E55EFC"/>
    <w:rsid w:val="00E57C02"/>
    <w:rsid w:val="00E57DBA"/>
    <w:rsid w:val="00E6031C"/>
    <w:rsid w:val="00E6198A"/>
    <w:rsid w:val="00E652C7"/>
    <w:rsid w:val="00E70C21"/>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E27ED"/>
    <w:rsid w:val="00EE2DD2"/>
    <w:rsid w:val="00EF3901"/>
    <w:rsid w:val="00EF430C"/>
    <w:rsid w:val="00EF4B60"/>
    <w:rsid w:val="00F0400A"/>
    <w:rsid w:val="00F05197"/>
    <w:rsid w:val="00F06256"/>
    <w:rsid w:val="00F063E8"/>
    <w:rsid w:val="00F06CEE"/>
    <w:rsid w:val="00F07006"/>
    <w:rsid w:val="00F13DB9"/>
    <w:rsid w:val="00F146A7"/>
    <w:rsid w:val="00F147F9"/>
    <w:rsid w:val="00F1697D"/>
    <w:rsid w:val="00F2080E"/>
    <w:rsid w:val="00F22AF9"/>
    <w:rsid w:val="00F339FB"/>
    <w:rsid w:val="00F37B8E"/>
    <w:rsid w:val="00F40E12"/>
    <w:rsid w:val="00F45331"/>
    <w:rsid w:val="00F47396"/>
    <w:rsid w:val="00F52927"/>
    <w:rsid w:val="00F55548"/>
    <w:rsid w:val="00F567E9"/>
    <w:rsid w:val="00F57495"/>
    <w:rsid w:val="00F57E7D"/>
    <w:rsid w:val="00F60D6B"/>
    <w:rsid w:val="00F63237"/>
    <w:rsid w:val="00F63983"/>
    <w:rsid w:val="00F70AE5"/>
    <w:rsid w:val="00F739A8"/>
    <w:rsid w:val="00F810B3"/>
    <w:rsid w:val="00F81790"/>
    <w:rsid w:val="00F847F3"/>
    <w:rsid w:val="00F84989"/>
    <w:rsid w:val="00F8521F"/>
    <w:rsid w:val="00F85428"/>
    <w:rsid w:val="00F870BF"/>
    <w:rsid w:val="00F87D4E"/>
    <w:rsid w:val="00F91073"/>
    <w:rsid w:val="00F91B39"/>
    <w:rsid w:val="00F93469"/>
    <w:rsid w:val="00F93F8E"/>
    <w:rsid w:val="00FA0E59"/>
    <w:rsid w:val="00FA1C6D"/>
    <w:rsid w:val="00FA317B"/>
    <w:rsid w:val="00FA3BE3"/>
    <w:rsid w:val="00FA473A"/>
    <w:rsid w:val="00FB022C"/>
    <w:rsid w:val="00FB0912"/>
    <w:rsid w:val="00FB21E2"/>
    <w:rsid w:val="00FC30CC"/>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BC514A8"/>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Default">
    <w:name w:val="Default"/>
    <w:rsid w:val="00FA317B"/>
    <w:pPr>
      <w:autoSpaceDE w:val="0"/>
      <w:autoSpaceDN w:val="0"/>
      <w:adjustRightInd w:val="0"/>
    </w:pPr>
    <w:rPr>
      <w:color w:val="000000"/>
      <w:sz w:val="24"/>
      <w:szCs w:val="24"/>
      <w:lang w:val="en-GB"/>
    </w:rPr>
  </w:style>
  <w:style w:type="paragraph" w:customStyle="1" w:styleId="titcomments">
    <w:name w:val="titcomments"/>
    <w:basedOn w:val="Normal"/>
    <w:uiPriority w:val="99"/>
    <w:rsid w:val="00936416"/>
    <w:pPr>
      <w:keepNext/>
      <w:spacing w:before="120" w:line="312" w:lineRule="auto"/>
      <w:jc w:val="both"/>
    </w:pPr>
    <w:rPr>
      <w:rFonts w:ascii="Times New Roman" w:eastAsiaTheme="minorHAnsi" w:hAnsi="Times New Roman"/>
      <w:b/>
      <w:bCs/>
      <w:sz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1614488">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S19-CL-C-0108/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S19-CL-C-0130/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2.xml><?xml version="1.0" encoding="utf-8"?>
<ds:datastoreItem xmlns:ds="http://schemas.openxmlformats.org/officeDocument/2006/customXml" ds:itemID="{0CBB7ADF-EB5F-4537-943F-279F722AEB45}">
  <ds:schemaRef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C2ABC76-D6DF-4A5C-9249-63511C944D87}">
  <ds:schemaRefs>
    <ds:schemaRef ds:uri="http://schemas.openxmlformats.org/officeDocument/2006/bibliography"/>
  </ds:schemaRefs>
</ds:datastoreItem>
</file>

<file path=customXml/itemProps5.xml><?xml version="1.0" encoding="utf-8"?>
<ds:datastoreItem xmlns:ds="http://schemas.openxmlformats.org/officeDocument/2006/customXml" ds:itemID="{0BAB195F-0C0A-4036-9BE6-32C45DBAA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1555</Words>
  <Characters>8645</Characters>
  <Application>Microsoft Office Word</Application>
  <DocSecurity>4</DocSecurity>
  <Lines>72</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CWG-FHR Report January 2018meeting</vt:lpstr>
      <vt:lpstr>ITU Normal.dot</vt:lpstr>
    </vt:vector>
  </TitlesOfParts>
  <Company>ITU</Company>
  <LinksUpToDate>false</LinksUpToDate>
  <CharactersWithSpaces>10180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CWG-FHR Report January 2018meeting</dc:title>
  <dc:subject>Council Working Group on Financial and Human Resources</dc:subject>
  <dc:creator>Brouard, Ricarda</dc:creator>
  <cp:keywords>CWG-FHR</cp:keywords>
  <cp:lastModifiedBy>Janin, Patricia</cp:lastModifiedBy>
  <cp:revision>2</cp:revision>
  <cp:lastPrinted>2013-07-15T09:23:00Z</cp:lastPrinted>
  <dcterms:created xsi:type="dcterms:W3CDTF">2019-09-09T13:50:00Z</dcterms:created>
  <dcterms:modified xsi:type="dcterms:W3CDTF">2019-09-09T13:50:00Z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