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28E1288B" w14:textId="77777777" w:rsidTr="000F2E67">
        <w:trPr>
          <w:cantSplit/>
        </w:trPr>
        <w:tc>
          <w:tcPr>
            <w:tcW w:w="6521" w:type="dxa"/>
          </w:tcPr>
          <w:p w14:paraId="3AB304B5" w14:textId="77777777" w:rsidR="004E5922" w:rsidRDefault="000F2E67" w:rsidP="00815174">
            <w:pPr>
              <w:spacing w:before="240" w:after="48"/>
              <w:rPr>
                <w:rFonts w:asciiTheme="minorHAnsi" w:hAnsiTheme="minorHAnsi"/>
                <w:b/>
                <w:position w:val="6"/>
                <w:sz w:val="30"/>
                <w:szCs w:val="30"/>
              </w:rPr>
            </w:pPr>
            <w:bookmarkStart w:id="0" w:name="dc06"/>
            <w:bookmarkStart w:id="1" w:name="_GoBack"/>
            <w:bookmarkEnd w:id="0"/>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00C85EFC" w14:textId="77777777" w:rsidR="005F153A" w:rsidRPr="00D613F6" w:rsidRDefault="002A1458" w:rsidP="002A1458">
            <w:pPr>
              <w:spacing w:after="120"/>
              <w:rPr>
                <w:rFonts w:asciiTheme="minorHAnsi" w:hAnsiTheme="minorHAnsi"/>
                <w:b/>
                <w:position w:val="6"/>
                <w:sz w:val="26"/>
                <w:szCs w:val="26"/>
              </w:rPr>
            </w:pPr>
            <w:r>
              <w:rPr>
                <w:rFonts w:asciiTheme="minorHAnsi" w:hAnsiTheme="minorHAnsi" w:cs="Times New Roman Bold"/>
                <w:b/>
                <w:sz w:val="24"/>
              </w:rPr>
              <w:t>Tenth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18 September</w:t>
            </w:r>
            <w:r w:rsidR="00756E92">
              <w:rPr>
                <w:rFonts w:asciiTheme="minorHAnsi" w:hAnsiTheme="minorHAnsi" w:cs="Times New Roman Bold"/>
                <w:b/>
                <w:sz w:val="24"/>
              </w:rPr>
              <w:t xml:space="preserve"> 2019</w:t>
            </w:r>
          </w:p>
        </w:tc>
        <w:tc>
          <w:tcPr>
            <w:tcW w:w="3793" w:type="dxa"/>
          </w:tcPr>
          <w:p w14:paraId="21F0AB1C" w14:textId="77777777" w:rsidR="005F153A" w:rsidRPr="00D613F6" w:rsidRDefault="002A1458" w:rsidP="001B506B">
            <w:pPr>
              <w:spacing w:before="120" w:line="240" w:lineRule="atLeast"/>
            </w:pPr>
            <w:bookmarkStart w:id="2" w:name="ditulogo"/>
            <w:bookmarkEnd w:id="2"/>
            <w:r>
              <w:rPr>
                <w:noProof/>
                <w:lang w:val="en-GB"/>
              </w:rPr>
              <w:drawing>
                <wp:inline distT="0" distB="0" distL="0" distR="0" wp14:anchorId="51DC1062" wp14:editId="026D6DC0">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5F153A" w:rsidRPr="00617BE4" w14:paraId="56089225" w14:textId="77777777" w:rsidTr="000F2E67">
        <w:trPr>
          <w:cantSplit/>
        </w:trPr>
        <w:tc>
          <w:tcPr>
            <w:tcW w:w="6521" w:type="dxa"/>
            <w:tcBorders>
              <w:top w:val="single" w:sz="12" w:space="0" w:color="auto"/>
            </w:tcBorders>
          </w:tcPr>
          <w:p w14:paraId="60DD1387" w14:textId="77777777" w:rsidR="005F153A" w:rsidRPr="00D613F6" w:rsidRDefault="005F153A" w:rsidP="000F2E67">
            <w:pPr>
              <w:snapToGrid w:val="0"/>
              <w:rPr>
                <w:b/>
                <w:smallCaps/>
              </w:rPr>
            </w:pPr>
          </w:p>
        </w:tc>
        <w:tc>
          <w:tcPr>
            <w:tcW w:w="3793" w:type="dxa"/>
            <w:tcBorders>
              <w:top w:val="single" w:sz="12" w:space="0" w:color="auto"/>
            </w:tcBorders>
          </w:tcPr>
          <w:p w14:paraId="1C431EFD" w14:textId="77777777" w:rsidR="005F153A" w:rsidRPr="00D613F6" w:rsidRDefault="005F153A" w:rsidP="000F2E67">
            <w:pPr>
              <w:snapToGrid w:val="0"/>
              <w:ind w:left="209"/>
              <w:rPr>
                <w:rFonts w:ascii="Verdana" w:hAnsi="Verdana"/>
              </w:rPr>
            </w:pPr>
          </w:p>
        </w:tc>
      </w:tr>
      <w:tr w:rsidR="005F153A" w:rsidRPr="001B506B" w14:paraId="234FDC7B" w14:textId="77777777" w:rsidTr="000F2E67">
        <w:trPr>
          <w:cantSplit/>
          <w:trHeight w:val="23"/>
        </w:trPr>
        <w:tc>
          <w:tcPr>
            <w:tcW w:w="6521" w:type="dxa"/>
            <w:vMerge w:val="restart"/>
          </w:tcPr>
          <w:p w14:paraId="21DB8529"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7D904910" w14:textId="0E8C4C4A" w:rsidR="005F153A" w:rsidRPr="000F2E67" w:rsidRDefault="005F153A" w:rsidP="00831587">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2A1458">
              <w:rPr>
                <w:rFonts w:asciiTheme="minorHAnsi" w:hAnsiTheme="minorHAnsi" w:cs="Times New Roman Bold"/>
                <w:b/>
                <w:spacing w:val="-4"/>
                <w:sz w:val="24"/>
                <w:lang w:val="de-CH"/>
              </w:rPr>
              <w:t>10</w:t>
            </w:r>
            <w:r w:rsidRPr="000F2E67">
              <w:rPr>
                <w:rFonts w:asciiTheme="minorHAnsi" w:hAnsiTheme="minorHAnsi" w:cs="Times New Roman Bold"/>
                <w:b/>
                <w:spacing w:val="-4"/>
                <w:sz w:val="24"/>
                <w:lang w:val="de-CH"/>
              </w:rPr>
              <w:t>/</w:t>
            </w:r>
            <w:r w:rsidR="00831587">
              <w:rPr>
                <w:rFonts w:asciiTheme="minorHAnsi" w:hAnsiTheme="minorHAnsi" w:cs="Times New Roman Bold"/>
                <w:b/>
                <w:spacing w:val="-4"/>
                <w:sz w:val="24"/>
                <w:lang w:val="de-CH"/>
              </w:rPr>
              <w:t>12</w:t>
            </w:r>
            <w:r w:rsidR="006B460D" w:rsidRPr="000F2E67">
              <w:rPr>
                <w:rFonts w:asciiTheme="minorHAnsi" w:hAnsiTheme="minorHAnsi" w:cs="Times New Roman Bold"/>
                <w:b/>
                <w:spacing w:val="-4"/>
                <w:sz w:val="24"/>
                <w:lang w:val="de-CH"/>
              </w:rPr>
              <w:t>-E</w:t>
            </w:r>
          </w:p>
        </w:tc>
      </w:tr>
      <w:tr w:rsidR="005F153A" w:rsidRPr="00E544AC" w14:paraId="4915953B" w14:textId="77777777" w:rsidTr="000F2E67">
        <w:trPr>
          <w:cantSplit/>
          <w:trHeight w:val="23"/>
        </w:trPr>
        <w:tc>
          <w:tcPr>
            <w:tcW w:w="6521" w:type="dxa"/>
            <w:vMerge/>
          </w:tcPr>
          <w:p w14:paraId="49CA234A"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6AB8A818" w14:textId="30323B42" w:rsidR="005F153A" w:rsidRPr="000F2E67" w:rsidRDefault="00831587" w:rsidP="002A1458">
            <w:pPr>
              <w:snapToGrid w:val="0"/>
              <w:ind w:left="57"/>
              <w:rPr>
                <w:rFonts w:asciiTheme="minorHAnsi" w:hAnsiTheme="minorHAnsi"/>
                <w:b/>
                <w:sz w:val="24"/>
              </w:rPr>
            </w:pPr>
            <w:r>
              <w:rPr>
                <w:rFonts w:asciiTheme="minorHAnsi" w:hAnsiTheme="minorHAnsi"/>
                <w:b/>
                <w:sz w:val="24"/>
              </w:rPr>
              <w:t>6</w:t>
            </w:r>
            <w:r w:rsidR="000F2E67">
              <w:rPr>
                <w:rFonts w:asciiTheme="minorHAnsi" w:hAnsiTheme="minorHAnsi"/>
                <w:b/>
                <w:sz w:val="24"/>
              </w:rPr>
              <w:t xml:space="preserve"> </w:t>
            </w:r>
            <w:r w:rsidR="007F4B3D">
              <w:rPr>
                <w:rFonts w:asciiTheme="minorHAnsi" w:hAnsiTheme="minorHAnsi"/>
                <w:b/>
                <w:sz w:val="24"/>
              </w:rPr>
              <w:t>Septembe</w:t>
            </w:r>
            <w:r w:rsidR="002A1458">
              <w:rPr>
                <w:rFonts w:asciiTheme="minorHAnsi" w:hAnsiTheme="minorHAnsi"/>
                <w:b/>
                <w:sz w:val="24"/>
              </w:rPr>
              <w:t>r</w:t>
            </w:r>
            <w:r w:rsidR="00756E92">
              <w:rPr>
                <w:rFonts w:asciiTheme="minorHAnsi" w:hAnsiTheme="minorHAnsi"/>
                <w:b/>
                <w:sz w:val="24"/>
              </w:rPr>
              <w:t xml:space="preserve"> 2019</w:t>
            </w:r>
          </w:p>
        </w:tc>
      </w:tr>
      <w:tr w:rsidR="005F153A" w:rsidRPr="00E544AC" w14:paraId="5954E094" w14:textId="77777777" w:rsidTr="000F2E67">
        <w:trPr>
          <w:cantSplit/>
          <w:trHeight w:val="80"/>
        </w:trPr>
        <w:tc>
          <w:tcPr>
            <w:tcW w:w="6521" w:type="dxa"/>
            <w:vMerge/>
          </w:tcPr>
          <w:p w14:paraId="5C0AE394"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28C99B3B"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14:paraId="1218196A" w14:textId="77777777" w:rsidR="00831587" w:rsidRDefault="00CC597D" w:rsidP="00073F35">
      <w:pPr>
        <w:spacing w:before="840" w:after="36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sidR="00A25371">
        <w:rPr>
          <w:rFonts w:asciiTheme="minorHAnsi" w:hAnsiTheme="minorHAnsi"/>
          <w:b/>
          <w:sz w:val="28"/>
          <w:szCs w:val="32"/>
        </w:rPr>
        <w:t xml:space="preserve"> Ghana</w:t>
      </w:r>
    </w:p>
    <w:p w14:paraId="283865CF" w14:textId="5797E84A" w:rsidR="00AF50A8" w:rsidRPr="00394C20" w:rsidRDefault="00A25371" w:rsidP="00831587">
      <w:pPr>
        <w:spacing w:before="480" w:after="360"/>
        <w:jc w:val="center"/>
        <w:rPr>
          <w:rFonts w:asciiTheme="minorHAnsi" w:hAnsiTheme="minorHAnsi"/>
          <w:b/>
          <w:sz w:val="28"/>
          <w:szCs w:val="32"/>
          <w:lang w:val="en-GB"/>
        </w:rPr>
      </w:pPr>
      <w:r>
        <w:rPr>
          <w:rFonts w:asciiTheme="minorHAnsi" w:hAnsiTheme="minorHAnsi"/>
          <w:bCs/>
          <w:sz w:val="28"/>
          <w:szCs w:val="32"/>
          <w:lang w:val="en-GB"/>
        </w:rPr>
        <w:t>PROPOSED AMENDMENTS TO MEASURES TO IMPROVE, PROMOTE AND STRENGTHEN ITU FELLOWSHIPS</w:t>
      </w:r>
    </w:p>
    <w:p w14:paraId="16A67A16" w14:textId="64936696" w:rsidR="00CC597D" w:rsidRPr="00831587" w:rsidRDefault="00A25371" w:rsidP="009A1A01">
      <w:pPr>
        <w:spacing w:before="240" w:after="120"/>
        <w:jc w:val="both"/>
        <w:rPr>
          <w:rFonts w:asciiTheme="minorHAnsi" w:hAnsiTheme="minorHAnsi" w:cstheme="majorBidi"/>
          <w:b/>
          <w:sz w:val="28"/>
          <w:szCs w:val="28"/>
        </w:rPr>
      </w:pPr>
      <w:r w:rsidRPr="00831587">
        <w:rPr>
          <w:rFonts w:asciiTheme="minorHAnsi" w:hAnsiTheme="minorHAnsi" w:cstheme="majorBidi"/>
          <w:b/>
          <w:sz w:val="28"/>
          <w:szCs w:val="28"/>
        </w:rPr>
        <w:t>Background</w:t>
      </w:r>
    </w:p>
    <w:p w14:paraId="1A78C51D" w14:textId="7DEC48D8" w:rsidR="0014328C" w:rsidRPr="00831587" w:rsidRDefault="00A25371" w:rsidP="00CC597D">
      <w:pPr>
        <w:spacing w:before="120" w:after="120"/>
        <w:jc w:val="both"/>
        <w:rPr>
          <w:rFonts w:asciiTheme="minorHAnsi" w:hAnsiTheme="minorHAnsi"/>
          <w:bCs/>
          <w:sz w:val="24"/>
        </w:rPr>
      </w:pPr>
      <w:r w:rsidRPr="00831587">
        <w:rPr>
          <w:rFonts w:asciiTheme="minorHAnsi" w:hAnsiTheme="minorHAnsi" w:cstheme="majorBidi"/>
          <w:sz w:val="24"/>
        </w:rPr>
        <w:t xml:space="preserve">Reference is made to </w:t>
      </w:r>
      <w:r w:rsidRPr="00831587">
        <w:rPr>
          <w:rFonts w:asciiTheme="minorHAnsi" w:hAnsiTheme="minorHAnsi" w:cs="Times New Roman Bold"/>
          <w:spacing w:val="-4"/>
          <w:sz w:val="24"/>
          <w:lang w:val="de-CH"/>
        </w:rPr>
        <w:t xml:space="preserve">Document CWG-FHR-10/3 which has Revision 1 to </w:t>
      </w:r>
      <w:r w:rsidRPr="00831587">
        <w:rPr>
          <w:rFonts w:asciiTheme="minorHAnsi" w:hAnsiTheme="minorHAnsi"/>
          <w:sz w:val="24"/>
        </w:rPr>
        <w:t xml:space="preserve">Document C19/31-E on </w:t>
      </w:r>
      <w:r w:rsidR="0014328C" w:rsidRPr="00831587">
        <w:rPr>
          <w:rFonts w:asciiTheme="minorHAnsi" w:hAnsiTheme="minorHAnsi"/>
          <w:bCs/>
          <w:sz w:val="24"/>
        </w:rPr>
        <w:t>Proposed revised policy for awarding fellowships for activities funded through the ITU regular budget.</w:t>
      </w:r>
    </w:p>
    <w:p w14:paraId="6CB381E0" w14:textId="7DF2ACDC" w:rsidR="0014328C" w:rsidRPr="00831587" w:rsidRDefault="0014328C" w:rsidP="009A1A01">
      <w:pPr>
        <w:spacing w:before="360" w:after="120"/>
        <w:jc w:val="both"/>
        <w:rPr>
          <w:rFonts w:asciiTheme="minorHAnsi" w:hAnsiTheme="minorHAnsi" w:cstheme="majorBidi"/>
          <w:b/>
          <w:sz w:val="28"/>
          <w:szCs w:val="28"/>
        </w:rPr>
      </w:pPr>
      <w:r w:rsidRPr="00831587">
        <w:rPr>
          <w:rFonts w:asciiTheme="minorHAnsi" w:hAnsiTheme="minorHAnsi" w:cstheme="majorBidi"/>
          <w:b/>
          <w:sz w:val="28"/>
          <w:szCs w:val="28"/>
        </w:rPr>
        <w:t>Proposals</w:t>
      </w:r>
    </w:p>
    <w:p w14:paraId="3D8A4E82" w14:textId="14C2DB81" w:rsidR="0014328C" w:rsidRPr="00831587" w:rsidRDefault="0014328C" w:rsidP="00CC597D">
      <w:pPr>
        <w:spacing w:before="120" w:after="120"/>
        <w:jc w:val="both"/>
        <w:rPr>
          <w:rFonts w:asciiTheme="minorHAnsi" w:hAnsiTheme="minorHAnsi" w:cstheme="minorHAnsi"/>
          <w:bCs/>
          <w:sz w:val="24"/>
        </w:rPr>
      </w:pPr>
      <w:r w:rsidRPr="00831587">
        <w:rPr>
          <w:rFonts w:asciiTheme="minorHAnsi" w:hAnsiTheme="minorHAnsi" w:cstheme="minorHAnsi"/>
          <w:bCs/>
          <w:sz w:val="24"/>
        </w:rPr>
        <w:t>Ghana proposes the following modifications and additions</w:t>
      </w:r>
      <w:r w:rsidR="007726A4" w:rsidRPr="00831587">
        <w:rPr>
          <w:rFonts w:asciiTheme="minorHAnsi" w:hAnsiTheme="minorHAnsi" w:cstheme="minorHAnsi"/>
          <w:bCs/>
          <w:sz w:val="24"/>
        </w:rPr>
        <w:t xml:space="preserve"> to enhance the clarity and objectives</w:t>
      </w:r>
      <w:r w:rsidRPr="00831587">
        <w:rPr>
          <w:rFonts w:asciiTheme="minorHAnsi" w:hAnsiTheme="minorHAnsi" w:cstheme="minorHAnsi"/>
          <w:bCs/>
          <w:sz w:val="24"/>
        </w:rPr>
        <w:t>:</w:t>
      </w:r>
    </w:p>
    <w:p w14:paraId="7BC01F89" w14:textId="2C235390" w:rsidR="0014328C" w:rsidRPr="00831587" w:rsidRDefault="007726A4" w:rsidP="007726A4">
      <w:pPr>
        <w:pStyle w:val="ListParagraph"/>
        <w:numPr>
          <w:ilvl w:val="0"/>
          <w:numId w:val="47"/>
        </w:numPr>
        <w:spacing w:before="120" w:after="120"/>
        <w:jc w:val="both"/>
        <w:rPr>
          <w:rFonts w:asciiTheme="minorHAnsi" w:hAnsiTheme="minorHAnsi" w:cstheme="minorHAnsi"/>
          <w:bCs/>
          <w:sz w:val="24"/>
        </w:rPr>
      </w:pPr>
      <w:r w:rsidRPr="00831587">
        <w:rPr>
          <w:rFonts w:asciiTheme="minorHAnsi" w:hAnsiTheme="minorHAnsi" w:cstheme="minorHAnsi"/>
          <w:bCs/>
          <w:sz w:val="24"/>
        </w:rPr>
        <w:t xml:space="preserve">The title in </w:t>
      </w:r>
      <w:r w:rsidR="0036415C" w:rsidRPr="00831587">
        <w:rPr>
          <w:rFonts w:asciiTheme="minorHAnsi" w:hAnsiTheme="minorHAnsi" w:cstheme="minorHAnsi"/>
          <w:bCs/>
          <w:sz w:val="24"/>
        </w:rPr>
        <w:t xml:space="preserve">Subsection </w:t>
      </w:r>
      <w:r w:rsidR="0014328C" w:rsidRPr="00831587">
        <w:rPr>
          <w:rFonts w:asciiTheme="minorHAnsi" w:hAnsiTheme="minorHAnsi" w:cstheme="minorHAnsi"/>
          <w:b/>
          <w:bCs/>
          <w:sz w:val="24"/>
        </w:rPr>
        <w:t>2.1</w:t>
      </w:r>
      <w:r w:rsidR="006458C9" w:rsidRPr="00831587">
        <w:rPr>
          <w:rFonts w:asciiTheme="minorHAnsi" w:hAnsiTheme="minorHAnsi" w:cstheme="minorHAnsi"/>
          <w:b/>
          <w:bCs/>
          <w:sz w:val="24"/>
        </w:rPr>
        <w:t xml:space="preserve"> Eligibility, awarding and selection criteria</w:t>
      </w:r>
      <w:r w:rsidR="0014328C" w:rsidRPr="00831587">
        <w:rPr>
          <w:rFonts w:asciiTheme="minorHAnsi" w:hAnsiTheme="minorHAnsi" w:cstheme="minorHAnsi"/>
          <w:bCs/>
          <w:sz w:val="24"/>
        </w:rPr>
        <w:t xml:space="preserve"> could be amended to read “Eligibility, application procedure, selection and awarding criteria”.</w:t>
      </w:r>
      <w:r w:rsidRPr="00831587">
        <w:rPr>
          <w:rFonts w:asciiTheme="minorHAnsi" w:hAnsiTheme="minorHAnsi" w:cstheme="minorHAnsi"/>
          <w:bCs/>
          <w:sz w:val="24"/>
        </w:rPr>
        <w:t xml:space="preserve"> </w:t>
      </w:r>
    </w:p>
    <w:p w14:paraId="48374CA2" w14:textId="7679858C" w:rsidR="007726A4" w:rsidRPr="00831587" w:rsidRDefault="00217265" w:rsidP="007726A4">
      <w:pPr>
        <w:pStyle w:val="ListParagraph"/>
        <w:numPr>
          <w:ilvl w:val="0"/>
          <w:numId w:val="47"/>
        </w:numPr>
        <w:spacing w:before="120" w:after="120"/>
        <w:jc w:val="both"/>
        <w:rPr>
          <w:rFonts w:asciiTheme="minorHAnsi" w:hAnsiTheme="minorHAnsi" w:cstheme="minorHAnsi"/>
          <w:bCs/>
          <w:sz w:val="24"/>
        </w:rPr>
      </w:pPr>
      <w:r w:rsidRPr="00831587">
        <w:rPr>
          <w:rFonts w:asciiTheme="minorHAnsi" w:hAnsiTheme="minorHAnsi" w:cstheme="minorHAnsi"/>
          <w:bCs/>
          <w:sz w:val="24"/>
        </w:rPr>
        <w:t xml:space="preserve">Under subsection </w:t>
      </w:r>
      <w:r w:rsidRPr="00831587">
        <w:rPr>
          <w:rFonts w:asciiTheme="minorHAnsi" w:hAnsiTheme="minorHAnsi" w:cstheme="minorHAnsi"/>
          <w:b/>
          <w:bCs/>
          <w:sz w:val="24"/>
        </w:rPr>
        <w:t>2.1 Eligibility, awarding and selection criteria;</w:t>
      </w:r>
    </w:p>
    <w:p w14:paraId="2F053A88" w14:textId="6F93A167" w:rsidR="00217265" w:rsidRPr="00831587" w:rsidRDefault="00217265" w:rsidP="00217265">
      <w:pPr>
        <w:pStyle w:val="ListParagraph"/>
        <w:spacing w:before="120" w:after="120"/>
        <w:jc w:val="both"/>
        <w:rPr>
          <w:rFonts w:asciiTheme="minorHAnsi" w:hAnsiTheme="minorHAnsi" w:cstheme="minorHAnsi"/>
          <w:sz w:val="24"/>
        </w:rPr>
      </w:pPr>
      <w:r w:rsidRPr="00831587">
        <w:rPr>
          <w:rFonts w:asciiTheme="minorHAnsi" w:hAnsiTheme="minorHAnsi" w:cstheme="minorHAnsi"/>
          <w:bCs/>
          <w:sz w:val="24"/>
        </w:rPr>
        <w:t>Paragraph 4) under 2.1 could be extended with additional text to read</w:t>
      </w:r>
      <w:r w:rsidRPr="00831587">
        <w:rPr>
          <w:rFonts w:asciiTheme="minorHAnsi" w:hAnsiTheme="minorHAnsi" w:cstheme="minorHAnsi"/>
          <w:b/>
          <w:bCs/>
          <w:sz w:val="24"/>
        </w:rPr>
        <w:t xml:space="preserve"> “</w:t>
      </w:r>
      <w:r w:rsidRPr="00831587">
        <w:rPr>
          <w:rFonts w:asciiTheme="minorHAnsi" w:hAnsiTheme="minorHAnsi" w:cstheme="minorHAnsi"/>
          <w:sz w:val="24"/>
        </w:rPr>
        <w:t xml:space="preserve">One full fellowship, or one or two partial fellowships can be granted per eligible Member State/entity </w:t>
      </w:r>
      <w:r w:rsidRPr="00831587">
        <w:rPr>
          <w:rFonts w:asciiTheme="minorHAnsi" w:hAnsiTheme="minorHAnsi" w:cstheme="minorHAnsi"/>
          <w:b/>
          <w:sz w:val="24"/>
        </w:rPr>
        <w:t>for an event or activity</w:t>
      </w:r>
      <w:r w:rsidRPr="00831587">
        <w:rPr>
          <w:rFonts w:asciiTheme="minorHAnsi" w:hAnsiTheme="minorHAnsi" w:cstheme="minorHAnsi"/>
          <w:sz w:val="24"/>
        </w:rPr>
        <w:t>.</w:t>
      </w:r>
      <w:proofErr w:type="gramStart"/>
      <w:r w:rsidRPr="00831587">
        <w:rPr>
          <w:rFonts w:asciiTheme="minorHAnsi" w:hAnsiTheme="minorHAnsi" w:cstheme="minorHAnsi"/>
          <w:sz w:val="24"/>
        </w:rPr>
        <w:t>”.</w:t>
      </w:r>
      <w:proofErr w:type="gramEnd"/>
    </w:p>
    <w:p w14:paraId="76A331D2" w14:textId="3B804C10" w:rsidR="00217265" w:rsidRPr="00831587" w:rsidRDefault="00217265" w:rsidP="00217265">
      <w:pPr>
        <w:pStyle w:val="enumlev1"/>
        <w:tabs>
          <w:tab w:val="clear" w:pos="567"/>
          <w:tab w:val="clear" w:pos="1134"/>
          <w:tab w:val="clear" w:pos="1701"/>
          <w:tab w:val="clear" w:pos="2268"/>
          <w:tab w:val="clear" w:pos="2835"/>
        </w:tabs>
        <w:spacing w:before="60"/>
        <w:ind w:left="720" w:firstLine="0"/>
        <w:jc w:val="both"/>
        <w:rPr>
          <w:rFonts w:asciiTheme="minorHAnsi" w:hAnsiTheme="minorHAnsi" w:cstheme="minorHAnsi"/>
          <w:color w:val="222222"/>
          <w:szCs w:val="24"/>
          <w:lang w:val="en-US"/>
        </w:rPr>
      </w:pPr>
      <w:r w:rsidRPr="00831587">
        <w:rPr>
          <w:rFonts w:asciiTheme="minorHAnsi" w:hAnsiTheme="minorHAnsi" w:cstheme="minorHAnsi"/>
          <w:bCs/>
          <w:szCs w:val="24"/>
        </w:rPr>
        <w:t xml:space="preserve">Paragraph </w:t>
      </w:r>
      <w:r w:rsidRPr="00831587">
        <w:rPr>
          <w:rFonts w:asciiTheme="minorHAnsi" w:hAnsiTheme="minorHAnsi" w:cstheme="minorHAnsi"/>
          <w:szCs w:val="24"/>
        </w:rPr>
        <w:t>5) could have the additional condition “ad</w:t>
      </w:r>
      <w:r w:rsidRPr="00831587">
        <w:rPr>
          <w:rFonts w:asciiTheme="minorHAnsi" w:hAnsiTheme="minorHAnsi" w:cstheme="minorHAnsi"/>
          <w:color w:val="222222"/>
          <w:szCs w:val="24"/>
          <w:lang w:val="en-US"/>
        </w:rPr>
        <w:t>vice of the Chair of the activity or event”.</w:t>
      </w:r>
    </w:p>
    <w:p w14:paraId="74274183" w14:textId="2972B451" w:rsidR="00217265" w:rsidRPr="00831587" w:rsidRDefault="00217265" w:rsidP="00263FA0">
      <w:pPr>
        <w:pStyle w:val="enumlev1"/>
        <w:tabs>
          <w:tab w:val="clear" w:pos="567"/>
          <w:tab w:val="clear" w:pos="1134"/>
          <w:tab w:val="clear" w:pos="1701"/>
          <w:tab w:val="clear" w:pos="2268"/>
          <w:tab w:val="clear" w:pos="2835"/>
        </w:tabs>
        <w:spacing w:before="60"/>
        <w:ind w:left="720" w:firstLine="0"/>
        <w:jc w:val="both"/>
        <w:rPr>
          <w:rFonts w:asciiTheme="minorHAnsi" w:hAnsiTheme="minorHAnsi" w:cstheme="minorHAnsi"/>
          <w:szCs w:val="24"/>
          <w:lang w:val="en-US"/>
        </w:rPr>
      </w:pPr>
      <w:r w:rsidRPr="00831587">
        <w:rPr>
          <w:rFonts w:asciiTheme="minorHAnsi" w:hAnsiTheme="minorHAnsi" w:cstheme="minorHAnsi"/>
          <w:bCs/>
          <w:szCs w:val="24"/>
        </w:rPr>
        <w:t xml:space="preserve">Paragraph </w:t>
      </w:r>
      <w:r w:rsidR="00263FA0" w:rsidRPr="00831587">
        <w:rPr>
          <w:rFonts w:asciiTheme="minorHAnsi" w:hAnsiTheme="minorHAnsi" w:cstheme="minorHAnsi"/>
          <w:color w:val="222222"/>
          <w:szCs w:val="24"/>
          <w:lang w:val="en-US"/>
        </w:rPr>
        <w:t xml:space="preserve">7) could </w:t>
      </w:r>
      <w:r w:rsidRPr="00831587">
        <w:rPr>
          <w:rFonts w:asciiTheme="minorHAnsi" w:hAnsiTheme="minorHAnsi" w:cstheme="minorHAnsi"/>
          <w:color w:val="222222"/>
          <w:szCs w:val="24"/>
          <w:lang w:val="en-US"/>
        </w:rPr>
        <w:t>be amended to implement electronic working methods for application f</w:t>
      </w:r>
      <w:r w:rsidR="00263FA0" w:rsidRPr="00831587">
        <w:rPr>
          <w:rFonts w:asciiTheme="minorHAnsi" w:hAnsiTheme="minorHAnsi" w:cstheme="minorHAnsi"/>
          <w:color w:val="222222"/>
          <w:szCs w:val="24"/>
          <w:lang w:val="en-US"/>
        </w:rPr>
        <w:t>or fellowships and</w:t>
      </w:r>
      <w:r w:rsidRPr="00831587">
        <w:rPr>
          <w:rFonts w:asciiTheme="minorHAnsi" w:hAnsiTheme="minorHAnsi" w:cstheme="minorHAnsi"/>
          <w:color w:val="222222"/>
          <w:szCs w:val="24"/>
          <w:lang w:val="en-US"/>
        </w:rPr>
        <w:t xml:space="preserve"> to read “</w:t>
      </w:r>
      <w:r w:rsidRPr="00831587">
        <w:rPr>
          <w:rFonts w:asciiTheme="minorHAnsi" w:hAnsiTheme="minorHAnsi" w:cstheme="minorHAnsi"/>
          <w:szCs w:val="24"/>
          <w:lang w:val="en-US"/>
        </w:rPr>
        <w:t>A fellowship application shall be made online during registration and duly approved by a National Designated Focal Point of a Member State or, as the case may be, from a Sector Member (with the exception of profit-making entities) or from Academia.”</w:t>
      </w:r>
    </w:p>
    <w:p w14:paraId="0C31B524" w14:textId="4448D6EC" w:rsidR="007726A4" w:rsidRPr="00831587" w:rsidRDefault="007726A4" w:rsidP="00FE0350">
      <w:pPr>
        <w:pStyle w:val="ListParagraph"/>
        <w:numPr>
          <w:ilvl w:val="0"/>
          <w:numId w:val="47"/>
        </w:numPr>
        <w:spacing w:before="120" w:after="120"/>
        <w:jc w:val="both"/>
        <w:rPr>
          <w:rFonts w:asciiTheme="minorHAnsi" w:hAnsiTheme="minorHAnsi" w:cstheme="minorHAnsi"/>
          <w:bCs/>
          <w:sz w:val="24"/>
        </w:rPr>
      </w:pPr>
      <w:r w:rsidRPr="00831587">
        <w:rPr>
          <w:rFonts w:asciiTheme="minorHAnsi" w:hAnsiTheme="minorHAnsi" w:cstheme="minorHAnsi"/>
          <w:bCs/>
          <w:sz w:val="24"/>
        </w:rPr>
        <w:t xml:space="preserve">The conditions under modified </w:t>
      </w:r>
      <w:r w:rsidRPr="00831587">
        <w:rPr>
          <w:rFonts w:asciiTheme="minorHAnsi" w:hAnsiTheme="minorHAnsi" w:cstheme="minorHAnsi"/>
          <w:b/>
          <w:bCs/>
          <w:sz w:val="24"/>
        </w:rPr>
        <w:t xml:space="preserve">2.1 </w:t>
      </w:r>
      <w:r w:rsidR="00D51B09" w:rsidRPr="00831587">
        <w:rPr>
          <w:rFonts w:asciiTheme="minorHAnsi" w:hAnsiTheme="minorHAnsi" w:cstheme="minorHAnsi"/>
          <w:b/>
          <w:bCs/>
          <w:sz w:val="24"/>
        </w:rPr>
        <w:t>Eligibility, application procedure, selection and awarding criteria</w:t>
      </w:r>
      <w:r w:rsidR="00D51B09" w:rsidRPr="00831587">
        <w:rPr>
          <w:rFonts w:asciiTheme="minorHAnsi" w:hAnsiTheme="minorHAnsi" w:cstheme="minorHAnsi"/>
          <w:bCs/>
          <w:sz w:val="24"/>
        </w:rPr>
        <w:t xml:space="preserve"> </w:t>
      </w:r>
      <w:r w:rsidRPr="00831587">
        <w:rPr>
          <w:rFonts w:asciiTheme="minorHAnsi" w:hAnsiTheme="minorHAnsi" w:cstheme="minorHAnsi"/>
          <w:bCs/>
          <w:sz w:val="24"/>
        </w:rPr>
        <w:t xml:space="preserve">could be re-arranged </w:t>
      </w:r>
      <w:r w:rsidR="00FE0350" w:rsidRPr="00831587">
        <w:rPr>
          <w:rFonts w:asciiTheme="minorHAnsi" w:hAnsiTheme="minorHAnsi" w:cstheme="minorHAnsi"/>
          <w:bCs/>
          <w:sz w:val="24"/>
        </w:rPr>
        <w:t xml:space="preserve">for modified paragraph 7) to be moved as new paragraph 2) </w:t>
      </w:r>
      <w:r w:rsidRPr="00831587">
        <w:rPr>
          <w:rFonts w:asciiTheme="minorHAnsi" w:hAnsiTheme="minorHAnsi" w:cstheme="minorHAnsi"/>
          <w:bCs/>
          <w:sz w:val="24"/>
        </w:rPr>
        <w:t>in an order to be consistent with the flow as suggested below:</w:t>
      </w:r>
    </w:p>
    <w:p w14:paraId="3A869D85" w14:textId="77777777" w:rsidR="00FE0350" w:rsidRPr="00831587" w:rsidRDefault="00FE0350" w:rsidP="00FE0350">
      <w:pPr>
        <w:pStyle w:val="enumlev1"/>
        <w:numPr>
          <w:ilvl w:val="1"/>
          <w:numId w:val="49"/>
        </w:numPr>
        <w:spacing w:before="120" w:after="120"/>
        <w:jc w:val="both"/>
        <w:rPr>
          <w:rFonts w:asciiTheme="minorHAnsi" w:hAnsiTheme="minorHAnsi" w:cstheme="minorHAnsi"/>
          <w:szCs w:val="24"/>
          <w:lang w:val="en-US"/>
        </w:rPr>
      </w:pPr>
      <w:r w:rsidRPr="00831587">
        <w:rPr>
          <w:rFonts w:asciiTheme="minorHAnsi" w:hAnsiTheme="minorHAnsi" w:cstheme="minorHAnsi"/>
          <w:szCs w:val="24"/>
          <w:lang w:val="en-US"/>
        </w:rPr>
        <w:lastRenderedPageBreak/>
        <w:t>Member States eligible to receive ITU fellowships are those listed by the United Nations as developing countries, which also include the least developed countries, small island developing states, landlocked developing countries (</w:t>
      </w:r>
      <w:r w:rsidRPr="00831587">
        <w:rPr>
          <w:rFonts w:asciiTheme="minorHAnsi" w:hAnsiTheme="minorHAnsi" w:cstheme="minorHAnsi"/>
          <w:b/>
          <w:bCs/>
          <w:szCs w:val="24"/>
          <w:lang w:val="en-US"/>
        </w:rPr>
        <w:t>Table 1 in Annex</w:t>
      </w:r>
      <w:r w:rsidRPr="00831587">
        <w:rPr>
          <w:rFonts w:asciiTheme="minorHAnsi" w:hAnsiTheme="minorHAnsi" w:cstheme="minorHAnsi"/>
          <w:szCs w:val="24"/>
          <w:lang w:val="en-US"/>
        </w:rPr>
        <w:t>) and countries with economies in transition (</w:t>
      </w:r>
      <w:r w:rsidRPr="00831587">
        <w:rPr>
          <w:rFonts w:asciiTheme="minorHAnsi" w:hAnsiTheme="minorHAnsi" w:cstheme="minorHAnsi"/>
          <w:b/>
          <w:bCs/>
          <w:szCs w:val="24"/>
          <w:lang w:val="en-US"/>
        </w:rPr>
        <w:t>Table 2 in Annex</w:t>
      </w:r>
      <w:r w:rsidRPr="00831587">
        <w:rPr>
          <w:rFonts w:asciiTheme="minorHAnsi" w:hAnsiTheme="minorHAnsi" w:cstheme="minorHAnsi"/>
          <w:szCs w:val="24"/>
          <w:lang w:val="en-US"/>
        </w:rPr>
        <w:t xml:space="preserve">). </w:t>
      </w:r>
    </w:p>
    <w:p w14:paraId="5955DC2B" w14:textId="77777777" w:rsidR="00FE0350" w:rsidRPr="00831587" w:rsidRDefault="00FE0350" w:rsidP="00FE0350">
      <w:pPr>
        <w:pStyle w:val="enumlev1"/>
        <w:numPr>
          <w:ilvl w:val="1"/>
          <w:numId w:val="49"/>
        </w:numPr>
        <w:spacing w:before="120" w:after="120"/>
        <w:jc w:val="both"/>
        <w:rPr>
          <w:rFonts w:asciiTheme="minorHAnsi" w:hAnsiTheme="minorHAnsi" w:cstheme="minorHAnsi"/>
          <w:szCs w:val="24"/>
          <w:lang w:val="en-US"/>
        </w:rPr>
      </w:pPr>
      <w:r w:rsidRPr="00831587">
        <w:rPr>
          <w:rFonts w:asciiTheme="minorHAnsi" w:hAnsiTheme="minorHAnsi" w:cstheme="minorHAnsi"/>
          <w:szCs w:val="24"/>
          <w:lang w:val="en-US"/>
        </w:rPr>
        <w:t>A fellowship application shall be made online during registration and duly approved by a National Designated Focal Point of a Member State or, as the case may be, from a Sector Member (with the exception of profit-making entities) or from Academia.</w:t>
      </w:r>
    </w:p>
    <w:p w14:paraId="4DEC4A31" w14:textId="77777777" w:rsidR="00FE0350" w:rsidRPr="00831587" w:rsidRDefault="00FE0350" w:rsidP="00FE0350">
      <w:pPr>
        <w:pStyle w:val="enumlev1"/>
        <w:numPr>
          <w:ilvl w:val="1"/>
          <w:numId w:val="49"/>
        </w:numPr>
        <w:spacing w:before="120" w:after="120"/>
        <w:jc w:val="both"/>
        <w:rPr>
          <w:rFonts w:asciiTheme="minorHAnsi" w:hAnsiTheme="minorHAnsi" w:cstheme="minorHAnsi"/>
          <w:szCs w:val="24"/>
          <w:lang w:val="en-US"/>
        </w:rPr>
      </w:pPr>
      <w:r w:rsidRPr="00831587">
        <w:rPr>
          <w:rFonts w:asciiTheme="minorHAnsi" w:hAnsiTheme="minorHAnsi" w:cstheme="minorHAnsi"/>
          <w:szCs w:val="24"/>
          <w:lang w:val="en-US"/>
        </w:rPr>
        <w:t>Consideration to grant fellowships to high-income developing countries on the list shall only be made subject to available resources and after first fulfilling requests from other eligible Member States listed as low-income, lower-middle-income, and upper-middle-income developing countries.</w:t>
      </w:r>
    </w:p>
    <w:p w14:paraId="6F94E2CC" w14:textId="749D5363" w:rsidR="004D12E4" w:rsidRPr="00831587" w:rsidRDefault="00FE0350" w:rsidP="00FE0350">
      <w:pPr>
        <w:pStyle w:val="ListParagraph"/>
        <w:spacing w:before="120" w:after="120"/>
        <w:jc w:val="both"/>
        <w:rPr>
          <w:rFonts w:asciiTheme="minorHAnsi" w:hAnsiTheme="minorHAnsi" w:cstheme="minorHAnsi"/>
          <w:bCs/>
          <w:sz w:val="24"/>
        </w:rPr>
      </w:pPr>
      <w:r w:rsidRPr="00831587">
        <w:rPr>
          <w:rFonts w:asciiTheme="minorHAnsi" w:hAnsiTheme="minorHAnsi" w:cstheme="minorHAnsi"/>
          <w:bCs/>
          <w:sz w:val="24"/>
        </w:rPr>
        <w:t>The remainder of the paragraphs can follow and accordingly re-numbered in order.</w:t>
      </w:r>
    </w:p>
    <w:p w14:paraId="2308F2F2" w14:textId="33104392" w:rsidR="0036415C" w:rsidRPr="00831587" w:rsidRDefault="00D835E3" w:rsidP="0036415C">
      <w:pPr>
        <w:pStyle w:val="ListParagraph"/>
        <w:numPr>
          <w:ilvl w:val="0"/>
          <w:numId w:val="47"/>
        </w:numPr>
        <w:spacing w:before="120" w:after="120"/>
        <w:jc w:val="both"/>
        <w:rPr>
          <w:rFonts w:asciiTheme="minorHAnsi" w:hAnsiTheme="minorHAnsi" w:cstheme="minorHAnsi"/>
          <w:bCs/>
          <w:sz w:val="24"/>
        </w:rPr>
      </w:pPr>
      <w:r w:rsidRPr="00831587">
        <w:rPr>
          <w:rFonts w:asciiTheme="minorHAnsi" w:hAnsiTheme="minorHAnsi" w:cstheme="minorHAnsi"/>
          <w:bCs/>
          <w:sz w:val="24"/>
        </w:rPr>
        <w:t>To facilitate effective planning and implementation</w:t>
      </w:r>
      <w:r w:rsidR="0036415C" w:rsidRPr="00831587">
        <w:rPr>
          <w:rFonts w:asciiTheme="minorHAnsi" w:hAnsiTheme="minorHAnsi" w:cstheme="minorHAnsi"/>
          <w:bCs/>
          <w:sz w:val="24"/>
        </w:rPr>
        <w:t xml:space="preserve">, Sub-section </w:t>
      </w:r>
      <w:r w:rsidR="0036415C" w:rsidRPr="00831587">
        <w:rPr>
          <w:rFonts w:asciiTheme="minorHAnsi" w:hAnsiTheme="minorHAnsi" w:cstheme="minorHAnsi"/>
          <w:b/>
          <w:bCs/>
          <w:sz w:val="24"/>
        </w:rPr>
        <w:t xml:space="preserve">2.4 </w:t>
      </w:r>
      <w:r w:rsidRPr="00831587">
        <w:rPr>
          <w:rFonts w:asciiTheme="minorHAnsi" w:hAnsiTheme="minorHAnsi" w:cstheme="minorHAnsi"/>
          <w:b/>
          <w:bCs/>
          <w:sz w:val="24"/>
        </w:rPr>
        <w:t>Ensuring adequate control over the use of fellowships</w:t>
      </w:r>
      <w:r w:rsidRPr="00831587">
        <w:rPr>
          <w:rFonts w:asciiTheme="minorHAnsi" w:hAnsiTheme="minorHAnsi" w:cstheme="minorHAnsi"/>
          <w:bCs/>
          <w:sz w:val="24"/>
        </w:rPr>
        <w:t xml:space="preserve"> </w:t>
      </w:r>
      <w:r w:rsidR="0036415C" w:rsidRPr="00831587">
        <w:rPr>
          <w:rFonts w:asciiTheme="minorHAnsi" w:hAnsiTheme="minorHAnsi" w:cstheme="minorHAnsi"/>
          <w:bCs/>
          <w:sz w:val="24"/>
        </w:rPr>
        <w:t xml:space="preserve">could have the additional text: </w:t>
      </w:r>
      <w:r w:rsidR="0036415C" w:rsidRPr="00831587">
        <w:rPr>
          <w:rFonts w:asciiTheme="minorHAnsi" w:hAnsiTheme="minorHAnsi" w:cstheme="minorHAnsi"/>
          <w:sz w:val="24"/>
        </w:rPr>
        <w:t xml:space="preserve">The operational budget for a financial year </w:t>
      </w:r>
      <w:r w:rsidRPr="00831587">
        <w:rPr>
          <w:rFonts w:asciiTheme="minorHAnsi" w:hAnsiTheme="minorHAnsi" w:cstheme="minorHAnsi"/>
          <w:sz w:val="24"/>
        </w:rPr>
        <w:t xml:space="preserve">would </w:t>
      </w:r>
      <w:r w:rsidR="0036415C" w:rsidRPr="00831587">
        <w:rPr>
          <w:rFonts w:asciiTheme="minorHAnsi" w:hAnsiTheme="minorHAnsi" w:cstheme="minorHAnsi"/>
          <w:sz w:val="24"/>
        </w:rPr>
        <w:t>capture fellowships allocated for Conferences, Assemblies, Advisory Group meetings, Study Group meetings, Regional Study Group meetings, Workshops, Seminars, Fora and Symposia.</w:t>
      </w:r>
    </w:p>
    <w:p w14:paraId="7DBAE243" w14:textId="77777777" w:rsidR="0014328C" w:rsidRPr="00B90C9C" w:rsidRDefault="0014328C" w:rsidP="00CC597D">
      <w:pPr>
        <w:spacing w:before="120" w:after="120"/>
        <w:jc w:val="both"/>
        <w:rPr>
          <w:rFonts w:asciiTheme="minorHAnsi" w:hAnsiTheme="minorHAnsi"/>
          <w:b/>
          <w:bCs/>
          <w:szCs w:val="22"/>
        </w:rPr>
      </w:pPr>
    </w:p>
    <w:p w14:paraId="4A2C4109" w14:textId="61628058" w:rsidR="00414B19" w:rsidRPr="00831587" w:rsidRDefault="00831587" w:rsidP="00831587">
      <w:pPr>
        <w:spacing w:before="120" w:after="120"/>
        <w:jc w:val="center"/>
        <w:rPr>
          <w:b/>
          <w:bCs/>
          <w:sz w:val="26"/>
          <w:szCs w:val="26"/>
          <w:u w:val="single"/>
        </w:rPr>
      </w:pPr>
      <w:r>
        <w:rPr>
          <w:b/>
          <w:bCs/>
          <w:sz w:val="26"/>
          <w:szCs w:val="26"/>
          <w:u w:val="single"/>
        </w:rPr>
        <w:t>                                </w:t>
      </w:r>
    </w:p>
    <w:p w14:paraId="09D1D4C4" w14:textId="2EE5C84B" w:rsidR="004049C4" w:rsidRPr="00EA5FFD" w:rsidRDefault="004049C4" w:rsidP="00263FA0">
      <w:pPr>
        <w:rPr>
          <w:rFonts w:asciiTheme="minorHAnsi" w:hAnsiTheme="minorHAnsi" w:cstheme="majorBidi"/>
        </w:rPr>
      </w:pPr>
    </w:p>
    <w:sectPr w:rsidR="004049C4" w:rsidRPr="00EA5FFD" w:rsidSect="002A1458">
      <w:headerReference w:type="default" r:id="rId13"/>
      <w:footerReference w:type="first" r:id="rId14"/>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4E0DA" w14:textId="77777777" w:rsidR="00930A0A" w:rsidRDefault="00930A0A">
      <w:r>
        <w:separator/>
      </w:r>
    </w:p>
  </w:endnote>
  <w:endnote w:type="continuationSeparator" w:id="0">
    <w:p w14:paraId="562856F5" w14:textId="77777777" w:rsidR="00930A0A" w:rsidRDefault="00930A0A">
      <w:r>
        <w:continuationSeparator/>
      </w:r>
    </w:p>
  </w:endnote>
  <w:endnote w:type="continuationNotice" w:id="1">
    <w:p w14:paraId="6D9B72F1" w14:textId="77777777" w:rsidR="00930A0A" w:rsidRDefault="0093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03D2"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6B666707" w14:textId="77777777" w:rsidR="00756E92" w:rsidRPr="00756E92" w:rsidRDefault="00756E92" w:rsidP="0075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36FB" w14:textId="77777777" w:rsidR="00930A0A" w:rsidRDefault="00930A0A">
      <w:r>
        <w:separator/>
      </w:r>
    </w:p>
  </w:footnote>
  <w:footnote w:type="continuationSeparator" w:id="0">
    <w:p w14:paraId="290B78FC" w14:textId="77777777" w:rsidR="00930A0A" w:rsidRDefault="00930A0A">
      <w:r>
        <w:continuationSeparator/>
      </w:r>
    </w:p>
  </w:footnote>
  <w:footnote w:type="continuationNotice" w:id="1">
    <w:p w14:paraId="3435E463" w14:textId="77777777" w:rsidR="00930A0A" w:rsidRDefault="00930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9790" w14:textId="58C938ED" w:rsidR="00831587" w:rsidRPr="00831587" w:rsidRDefault="002A1458" w:rsidP="00831587">
    <w:pPr>
      <w:pStyle w:val="Header"/>
      <w:jc w:val="center"/>
      <w:rPr>
        <w:rFonts w:asciiTheme="minorHAnsi" w:hAnsiTheme="minorHAnsi" w:cstheme="minorHAnsi"/>
        <w:sz w:val="20"/>
        <w:szCs w:val="20"/>
        <w:lang w:val="es-ES"/>
      </w:rPr>
    </w:pPr>
    <w:r w:rsidRPr="002A1458">
      <w:rPr>
        <w:sz w:val="18"/>
        <w:szCs w:val="20"/>
      </w:rPr>
      <w:fldChar w:fldCharType="begin"/>
    </w:r>
    <w:r w:rsidRPr="00831587">
      <w:rPr>
        <w:sz w:val="18"/>
        <w:szCs w:val="20"/>
        <w:lang w:val="es-ES"/>
      </w:rPr>
      <w:instrText xml:space="preserve"> PAGE   \* MERGEFORMAT </w:instrText>
    </w:r>
    <w:r w:rsidRPr="002A1458">
      <w:rPr>
        <w:sz w:val="18"/>
        <w:szCs w:val="20"/>
      </w:rPr>
      <w:fldChar w:fldCharType="separate"/>
    </w:r>
    <w:r w:rsidR="009A1A01">
      <w:rPr>
        <w:noProof/>
        <w:sz w:val="18"/>
        <w:szCs w:val="20"/>
        <w:lang w:val="es-ES"/>
      </w:rPr>
      <w:t>2</w:t>
    </w:r>
    <w:r w:rsidRPr="002A1458">
      <w:rPr>
        <w:noProof/>
        <w:sz w:val="18"/>
        <w:szCs w:val="20"/>
      </w:rPr>
      <w:fldChar w:fldCharType="end"/>
    </w:r>
    <w:r w:rsidR="00831587" w:rsidRPr="00831587">
      <w:rPr>
        <w:noProof/>
        <w:sz w:val="18"/>
        <w:szCs w:val="20"/>
        <w:lang w:val="es-ES"/>
      </w:rPr>
      <w:br/>
    </w:r>
    <w:r w:rsidR="00831587" w:rsidRPr="00831587">
      <w:rPr>
        <w:rFonts w:asciiTheme="minorHAnsi" w:hAnsiTheme="minorHAnsi" w:cstheme="minorHAnsi"/>
        <w:noProof/>
        <w:sz w:val="20"/>
        <w:szCs w:val="20"/>
        <w:lang w:val="es-ES"/>
      </w:rPr>
      <w:t>CWG-FHR\1</w:t>
    </w:r>
    <w:r w:rsidR="00831587">
      <w:rPr>
        <w:rFonts w:asciiTheme="minorHAnsi" w:hAnsiTheme="minorHAnsi" w:cstheme="minorHAnsi"/>
        <w:noProof/>
        <w:sz w:val="20"/>
        <w:szCs w:val="20"/>
        <w:lang w:val="es-ES"/>
      </w:rPr>
      <w:t>2</w:t>
    </w:r>
    <w:r w:rsidR="00831587" w:rsidRPr="00831587">
      <w:rPr>
        <w:rFonts w:asciiTheme="minorHAnsi" w:hAnsiTheme="minorHAnsi" w:cstheme="minorHAnsi"/>
        <w:noProof/>
        <w:sz w:val="20"/>
        <w:szCs w:val="20"/>
        <w:lang w:val="es-ES"/>
      </w:rPr>
      <w:t>-E</w:t>
    </w:r>
  </w:p>
  <w:p w14:paraId="7220F093" w14:textId="77777777" w:rsidR="002A1458" w:rsidRPr="00831587" w:rsidRDefault="002A1458" w:rsidP="002A1458">
    <w:pPr>
      <w:pStyle w:val="Header"/>
      <w:jc w:val="center"/>
      <w:rPr>
        <w:sz w:val="18"/>
        <w:szCs w:val="2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703E9"/>
    <w:multiLevelType w:val="hybridMultilevel"/>
    <w:tmpl w:val="F7AC1CE6"/>
    <w:lvl w:ilvl="0" w:tplc="873444F6">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D42D1"/>
    <w:multiLevelType w:val="hybridMultilevel"/>
    <w:tmpl w:val="30C0A39E"/>
    <w:lvl w:ilvl="0" w:tplc="0809000F">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6"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9075E"/>
    <w:multiLevelType w:val="hybridMultilevel"/>
    <w:tmpl w:val="42228E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33"/>
  </w:num>
  <w:num w:numId="4">
    <w:abstractNumId w:val="15"/>
  </w:num>
  <w:num w:numId="5">
    <w:abstractNumId w:val="28"/>
  </w:num>
  <w:num w:numId="6">
    <w:abstractNumId w:val="27"/>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43"/>
  </w:num>
  <w:num w:numId="14">
    <w:abstractNumId w:val="23"/>
  </w:num>
  <w:num w:numId="15">
    <w:abstractNumId w:val="26"/>
  </w:num>
  <w:num w:numId="16">
    <w:abstractNumId w:val="30"/>
  </w:num>
  <w:num w:numId="17">
    <w:abstractNumId w:val="39"/>
  </w:num>
  <w:num w:numId="18">
    <w:abstractNumId w:val="44"/>
  </w:num>
  <w:num w:numId="19">
    <w:abstractNumId w:val="4"/>
  </w:num>
  <w:num w:numId="20">
    <w:abstractNumId w:val="42"/>
  </w:num>
  <w:num w:numId="21">
    <w:abstractNumId w:val="45"/>
  </w:num>
  <w:num w:numId="22">
    <w:abstractNumId w:val="38"/>
  </w:num>
  <w:num w:numId="23">
    <w:abstractNumId w:val="18"/>
  </w:num>
  <w:num w:numId="24">
    <w:abstractNumId w:val="35"/>
  </w:num>
  <w:num w:numId="25">
    <w:abstractNumId w:val="46"/>
  </w:num>
  <w:num w:numId="26">
    <w:abstractNumId w:val="1"/>
  </w:num>
  <w:num w:numId="27">
    <w:abstractNumId w:val="22"/>
  </w:num>
  <w:num w:numId="28">
    <w:abstractNumId w:val="32"/>
  </w:num>
  <w:num w:numId="29">
    <w:abstractNumId w:val="12"/>
  </w:num>
  <w:num w:numId="30">
    <w:abstractNumId w:val="19"/>
  </w:num>
  <w:num w:numId="31">
    <w:abstractNumId w:val="5"/>
  </w:num>
  <w:num w:numId="32">
    <w:abstractNumId w:val="13"/>
  </w:num>
  <w:num w:numId="33">
    <w:abstractNumId w:val="34"/>
  </w:num>
  <w:num w:numId="34">
    <w:abstractNumId w:val="10"/>
  </w:num>
  <w:num w:numId="35">
    <w:abstractNumId w:val="2"/>
  </w:num>
  <w:num w:numId="36">
    <w:abstractNumId w:val="11"/>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6"/>
  </w:num>
  <w:num w:numId="44">
    <w:abstractNumId w:val="0"/>
  </w:num>
  <w:num w:numId="45">
    <w:abstractNumId w:val="20"/>
  </w:num>
  <w:num w:numId="46">
    <w:abstractNumId w:val="25"/>
  </w:num>
  <w:num w:numId="47">
    <w:abstractNumId w:val="40"/>
  </w:num>
  <w:num w:numId="48">
    <w:abstractNumId w:val="1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45DC"/>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28C"/>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17265"/>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3FA0"/>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415C"/>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4B19"/>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12E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58C9"/>
    <w:rsid w:val="006463AB"/>
    <w:rsid w:val="006477FD"/>
    <w:rsid w:val="00656B2D"/>
    <w:rsid w:val="00665F5E"/>
    <w:rsid w:val="00666975"/>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32B2"/>
    <w:rsid w:val="007270D0"/>
    <w:rsid w:val="00733871"/>
    <w:rsid w:val="007339D5"/>
    <w:rsid w:val="00734285"/>
    <w:rsid w:val="00750401"/>
    <w:rsid w:val="00756E92"/>
    <w:rsid w:val="0076010E"/>
    <w:rsid w:val="00764696"/>
    <w:rsid w:val="007726A4"/>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4B3D"/>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587"/>
    <w:rsid w:val="00831D35"/>
    <w:rsid w:val="0083200C"/>
    <w:rsid w:val="00833DC2"/>
    <w:rsid w:val="00835CD6"/>
    <w:rsid w:val="0084292A"/>
    <w:rsid w:val="0084295C"/>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0A0A"/>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1A01"/>
    <w:rsid w:val="009A5599"/>
    <w:rsid w:val="009A68D0"/>
    <w:rsid w:val="009A7E6E"/>
    <w:rsid w:val="009B2CB2"/>
    <w:rsid w:val="009B7A6D"/>
    <w:rsid w:val="009C38EC"/>
    <w:rsid w:val="009C53AB"/>
    <w:rsid w:val="009C7808"/>
    <w:rsid w:val="009D06FA"/>
    <w:rsid w:val="009D6E05"/>
    <w:rsid w:val="009E0E57"/>
    <w:rsid w:val="009E6DA4"/>
    <w:rsid w:val="009E788E"/>
    <w:rsid w:val="009F1DB6"/>
    <w:rsid w:val="009F6474"/>
    <w:rsid w:val="00A004BB"/>
    <w:rsid w:val="00A01278"/>
    <w:rsid w:val="00A017C1"/>
    <w:rsid w:val="00A03373"/>
    <w:rsid w:val="00A034D1"/>
    <w:rsid w:val="00A036B8"/>
    <w:rsid w:val="00A10925"/>
    <w:rsid w:val="00A10EFD"/>
    <w:rsid w:val="00A10EFE"/>
    <w:rsid w:val="00A12C2C"/>
    <w:rsid w:val="00A14D06"/>
    <w:rsid w:val="00A241C3"/>
    <w:rsid w:val="00A25371"/>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5314"/>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16965"/>
    <w:rsid w:val="00B22946"/>
    <w:rsid w:val="00B25573"/>
    <w:rsid w:val="00B32122"/>
    <w:rsid w:val="00B33E2C"/>
    <w:rsid w:val="00B3690D"/>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0C9C"/>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1B09"/>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35E3"/>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0350"/>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D1AF16"/>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enumlev1">
    <w:name w:val="enumlev1"/>
    <w:basedOn w:val="Normal"/>
    <w:rsid w:val="00414B19"/>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eastAsia="Times New Roman" w:hAnsi="Calibri"/>
      <w:sz w:val="24"/>
      <w:szCs w:val="20"/>
      <w:lang w:val="en-GB" w:eastAsia="en-US"/>
    </w:rPr>
  </w:style>
  <w:style w:type="character" w:customStyle="1" w:styleId="HeaderChar">
    <w:name w:val="Header Char"/>
    <w:basedOn w:val="DefaultParagraphFont"/>
    <w:link w:val="Header"/>
    <w:rsid w:val="00831587"/>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F9AD-1307-4226-93D0-E1710B61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aaea1ea-72e4-4374-b05e-72e2f16fb7ae"/>
    <ds:schemaRef ds:uri="http://www.w3.org/XML/1998/namespace"/>
    <ds:schemaRef ds:uri="http://purl.org/dc/terms/"/>
  </ds:schemaRefs>
</ds:datastoreItem>
</file>

<file path=customXml/itemProps4.xml><?xml version="1.0" encoding="utf-8"?>
<ds:datastoreItem xmlns:ds="http://schemas.openxmlformats.org/officeDocument/2006/customXml" ds:itemID="{F97F907E-C685-445D-8585-30B7CBB9E48A}">
  <ds:schemaRefs>
    <ds:schemaRef ds:uri="http://schemas.openxmlformats.org/officeDocument/2006/bibliography"/>
  </ds:schemaRefs>
</ds:datastoreItem>
</file>

<file path=customXml/itemProps5.xml><?xml version="1.0" encoding="utf-8"?>
<ds:datastoreItem xmlns:ds="http://schemas.openxmlformats.org/officeDocument/2006/customXml" ds:itemID="{76401D83-DE94-4080-A050-7F8E3F75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CWG-FHR Sept 2019 meeting</vt:lpstr>
    </vt:vector>
  </TitlesOfParts>
  <Company>ITU</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Sept 2019 meeting</dc:title>
  <dc:subject>Council Working Group on Financial and Human Resources</dc:subject>
  <dc:creator>Brouard, Ricarda</dc:creator>
  <cp:keywords>CWG-FHR</cp:keywords>
  <cp:lastModifiedBy>Janin, Patricia</cp:lastModifiedBy>
  <cp:revision>3</cp:revision>
  <cp:lastPrinted>2013-07-15T09:23:00Z</cp:lastPrinted>
  <dcterms:created xsi:type="dcterms:W3CDTF">2019-09-06T13:26:00Z</dcterms:created>
  <dcterms:modified xsi:type="dcterms:W3CDTF">2019-09-06T13:27:00Z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