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923A1B" w14:paraId="6E1681AE" w14:textId="77777777" w:rsidTr="002238C4">
        <w:trPr>
          <w:cantSplit/>
          <w:trHeight w:val="851"/>
        </w:trPr>
        <w:tc>
          <w:tcPr>
            <w:tcW w:w="6345" w:type="dxa"/>
            <w:vAlign w:val="center"/>
          </w:tcPr>
          <w:p w14:paraId="61794B1F" w14:textId="77777777" w:rsidR="00923A1B" w:rsidRDefault="0045747E" w:rsidP="0045747E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on </w:t>
            </w:r>
            <w:r>
              <w:rPr>
                <w:b/>
                <w:position w:val="6"/>
                <w:sz w:val="30"/>
                <w:szCs w:val="30"/>
              </w:rPr>
              <w:br/>
              <w:t>Financial and Human Resources</w:t>
            </w:r>
          </w:p>
          <w:p w14:paraId="29D32417" w14:textId="0543D03D" w:rsidR="0045747E" w:rsidRPr="003737DE" w:rsidRDefault="0045747E" w:rsidP="0045747E">
            <w:pPr>
              <w:spacing w:after="48"/>
              <w:rPr>
                <w:rFonts w:cs="Times"/>
                <w:b/>
              </w:rPr>
            </w:pPr>
            <w:r>
              <w:rPr>
                <w:rFonts w:cs="Times New Roman Bold"/>
                <w:b/>
                <w:sz w:val="24"/>
              </w:rPr>
              <w:t>Tenth meeting</w:t>
            </w:r>
            <w:r w:rsidRPr="001B506B">
              <w:rPr>
                <w:rFonts w:cs="Times New Roman Bold"/>
                <w:b/>
                <w:sz w:val="24"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Pr="000F2E67">
              <w:rPr>
                <w:rFonts w:cs="Times New Roman Bold"/>
                <w:b/>
                <w:sz w:val="24"/>
              </w:rPr>
              <w:t xml:space="preserve"> Geneva, </w:t>
            </w:r>
            <w:r>
              <w:rPr>
                <w:rFonts w:cs="Times New Roman Bold"/>
                <w:b/>
                <w:sz w:val="24"/>
              </w:rPr>
              <w:t>18 September 2019</w:t>
            </w:r>
          </w:p>
        </w:tc>
        <w:tc>
          <w:tcPr>
            <w:tcW w:w="3492" w:type="dxa"/>
          </w:tcPr>
          <w:p w14:paraId="241C55DB" w14:textId="785EB79F" w:rsidR="00923A1B" w:rsidRDefault="00B36E39" w:rsidP="0045747E">
            <w:pPr>
              <w:pStyle w:val="dnum"/>
              <w:framePr w:hSpace="0" w:wrap="auto" w:vAnchor="margin" w:hAnchor="text" w:yAlign="inline"/>
              <w:spacing w:before="120" w:after="0"/>
            </w:pPr>
            <w:r>
              <w:rPr>
                <w:noProof/>
              </w:rPr>
              <w:drawing>
                <wp:inline distT="0" distB="0" distL="0" distR="0" wp14:anchorId="64B7344A" wp14:editId="355BEC31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406D6FB1" w14:textId="77777777" w:rsidTr="00923A1B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14:paraId="1D6AF3F8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2B1E31E9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A42823" w14:paraId="1BBCA794" w14:textId="77777777" w:rsidTr="00923A1B">
        <w:trPr>
          <w:cantSplit/>
          <w:trHeight w:val="138"/>
        </w:trPr>
        <w:tc>
          <w:tcPr>
            <w:tcW w:w="6345" w:type="dxa"/>
          </w:tcPr>
          <w:p w14:paraId="4162AE0B" w14:textId="31302F2B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01BBC68C" w14:textId="389E93A7" w:rsidR="00923A1B" w:rsidRPr="002238C4" w:rsidRDefault="0045747E" w:rsidP="0045747E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9C49A2">
              <w:rPr>
                <w:rFonts w:cs="Times New Roman Bold"/>
                <w:b/>
                <w:spacing w:val="-4"/>
                <w:sz w:val="24"/>
                <w:lang w:val="it-CH"/>
              </w:rPr>
              <w:t>Document CWG-FHR-10</w:t>
            </w:r>
            <w:r>
              <w:rPr>
                <w:rFonts w:cs="Times New Roman Bold"/>
                <w:b/>
                <w:spacing w:val="-4"/>
                <w:sz w:val="24"/>
                <w:lang w:val="it-CH"/>
              </w:rPr>
              <w:t>/11</w:t>
            </w:r>
            <w:r>
              <w:rPr>
                <w:rFonts w:cs="Times New Roman Bold"/>
                <w:b/>
                <w:spacing w:val="-4"/>
                <w:sz w:val="24"/>
                <w:lang w:val="it-CH"/>
              </w:rPr>
              <w:t>-E</w:t>
            </w:r>
          </w:p>
        </w:tc>
      </w:tr>
      <w:tr w:rsidR="00923A1B" w:rsidRPr="003737DE" w14:paraId="100AEFFF" w14:textId="77777777" w:rsidTr="00923A1B">
        <w:trPr>
          <w:cantSplit/>
          <w:trHeight w:val="138"/>
        </w:trPr>
        <w:tc>
          <w:tcPr>
            <w:tcW w:w="6345" w:type="dxa"/>
          </w:tcPr>
          <w:p w14:paraId="2F758D85" w14:textId="77777777" w:rsidR="00923A1B" w:rsidRDefault="00923A1B" w:rsidP="0025471D">
            <w:pPr>
              <w:shd w:val="solid" w:color="FFFFFF" w:fill="FFFFFF"/>
              <w:spacing w:after="0"/>
              <w:ind w:right="284"/>
              <w:rPr>
                <w:lang w:val="es-ES"/>
              </w:rPr>
            </w:pPr>
          </w:p>
        </w:tc>
        <w:tc>
          <w:tcPr>
            <w:tcW w:w="3492" w:type="dxa"/>
          </w:tcPr>
          <w:p w14:paraId="4BC2ED00" w14:textId="65447E9B" w:rsidR="00923A1B" w:rsidRPr="002238C4" w:rsidRDefault="0045747E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854C6">
              <w:rPr>
                <w:b/>
                <w:sz w:val="24"/>
                <w:szCs w:val="24"/>
              </w:rPr>
              <w:t xml:space="preserve"> September </w:t>
            </w:r>
            <w:r w:rsidR="00923A1B" w:rsidRPr="002238C4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14:paraId="71FD0A17" w14:textId="77777777" w:rsidTr="00923A1B">
        <w:trPr>
          <w:cantSplit/>
          <w:trHeight w:val="138"/>
        </w:trPr>
        <w:tc>
          <w:tcPr>
            <w:tcW w:w="6345" w:type="dxa"/>
          </w:tcPr>
          <w:p w14:paraId="0EA5B8B2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492" w:type="dxa"/>
          </w:tcPr>
          <w:p w14:paraId="06AB3AD7" w14:textId="0FB9FAD2" w:rsidR="00923A1B" w:rsidRPr="002238C4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45747E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2CF60B2A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B7E725C" w14:textId="6CD7FD17" w:rsidR="000854C6" w:rsidRDefault="00CB5F63" w:rsidP="000854C6">
            <w:pPr>
              <w:pStyle w:val="Source"/>
            </w:pPr>
            <w:r>
              <w:t>United States of America</w:t>
            </w:r>
          </w:p>
        </w:tc>
      </w:tr>
      <w:tr w:rsidR="000854C6" w:rsidRPr="003737DE" w14:paraId="27824CBA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11774442" w14:textId="121686F0" w:rsidR="00CB5F63" w:rsidRPr="00CB5F63" w:rsidRDefault="0082269F" w:rsidP="0045747E">
            <w:pPr>
              <w:pStyle w:val="Title2"/>
            </w:pPr>
            <w:r>
              <w:t>Proposal for a sub-working group in response to council Decision 613</w:t>
            </w:r>
          </w:p>
        </w:tc>
      </w:tr>
    </w:tbl>
    <w:p w14:paraId="60710F68" w14:textId="18188D25" w:rsidR="0082269F" w:rsidRPr="00C501AB" w:rsidRDefault="00CB5F63" w:rsidP="00BD13BA">
      <w:pPr>
        <w:spacing w:before="360" w:line="240" w:lineRule="auto"/>
        <w:rPr>
          <w:rFonts w:cstheme="minorHAnsi"/>
          <w:b/>
          <w:sz w:val="28"/>
          <w:szCs w:val="28"/>
        </w:rPr>
      </w:pPr>
      <w:r w:rsidRPr="00C501AB">
        <w:rPr>
          <w:rFonts w:cstheme="minorHAnsi"/>
          <w:b/>
          <w:sz w:val="28"/>
          <w:szCs w:val="28"/>
        </w:rPr>
        <w:t>Introduction</w:t>
      </w:r>
    </w:p>
    <w:p w14:paraId="6C68F0DB" w14:textId="7DB34F43" w:rsidR="0082269F" w:rsidRPr="00C501AB" w:rsidRDefault="00475E96" w:rsidP="0082269F">
      <w:pPr>
        <w:spacing w:after="0" w:line="240" w:lineRule="auto"/>
        <w:rPr>
          <w:rFonts w:cstheme="minorHAnsi"/>
          <w:b/>
          <w:sz w:val="24"/>
          <w:szCs w:val="24"/>
        </w:rPr>
      </w:pPr>
      <w:r w:rsidRPr="00C501AB">
        <w:rPr>
          <w:rFonts w:cstheme="minorHAnsi"/>
          <w:sz w:val="24"/>
          <w:szCs w:val="24"/>
        </w:rPr>
        <w:t>The United States is pleased to submit this contribution to the ITU Council Working Group on Finance and Human Resources issues (CWG-FHR) for consi</w:t>
      </w:r>
      <w:r w:rsidR="00422EEC" w:rsidRPr="00C501AB">
        <w:rPr>
          <w:rFonts w:cstheme="minorHAnsi"/>
          <w:sz w:val="24"/>
          <w:szCs w:val="24"/>
        </w:rPr>
        <w:t>deration during its September 18</w:t>
      </w:r>
      <w:r w:rsidRPr="00C501AB">
        <w:rPr>
          <w:rFonts w:cstheme="minorHAnsi"/>
          <w:sz w:val="24"/>
          <w:szCs w:val="24"/>
        </w:rPr>
        <w:t>, 2019</w:t>
      </w:r>
      <w:r w:rsidR="00522504" w:rsidRPr="00C501AB">
        <w:rPr>
          <w:rFonts w:cstheme="minorHAnsi"/>
          <w:sz w:val="24"/>
          <w:szCs w:val="24"/>
        </w:rPr>
        <w:t xml:space="preserve"> meeting based on the 2019 Council decision on </w:t>
      </w:r>
      <w:r w:rsidR="00522504" w:rsidRPr="00C501AB">
        <w:rPr>
          <w:rFonts w:cstheme="minorHAnsi"/>
          <w:i/>
          <w:sz w:val="24"/>
          <w:szCs w:val="24"/>
        </w:rPr>
        <w:t xml:space="preserve">General Audit Following the Case of Fraud at a Regional Office </w:t>
      </w:r>
      <w:r w:rsidR="00522504" w:rsidRPr="00C501AB">
        <w:rPr>
          <w:rFonts w:cstheme="minorHAnsi"/>
          <w:sz w:val="24"/>
          <w:szCs w:val="24"/>
        </w:rPr>
        <w:t>(</w:t>
      </w:r>
      <w:hyperlink r:id="rId12" w:history="1">
        <w:r w:rsidR="00522504" w:rsidRPr="00C501AB">
          <w:rPr>
            <w:rStyle w:val="Hyperlink"/>
            <w:rFonts w:cstheme="minorHAnsi"/>
            <w:sz w:val="24"/>
            <w:szCs w:val="24"/>
          </w:rPr>
          <w:t>Decision 613</w:t>
        </w:r>
      </w:hyperlink>
      <w:r w:rsidR="00522504" w:rsidRPr="00C501AB">
        <w:rPr>
          <w:rFonts w:cstheme="minorHAnsi"/>
          <w:sz w:val="24"/>
          <w:szCs w:val="24"/>
        </w:rPr>
        <w:t>).</w:t>
      </w:r>
    </w:p>
    <w:p w14:paraId="6B6175F0" w14:textId="77777777" w:rsidR="0082269F" w:rsidRPr="00C501AB" w:rsidRDefault="0082269F" w:rsidP="00C501AB">
      <w:pPr>
        <w:spacing w:before="240" w:line="240" w:lineRule="auto"/>
        <w:rPr>
          <w:rFonts w:cstheme="minorHAnsi"/>
          <w:b/>
          <w:sz w:val="28"/>
          <w:szCs w:val="28"/>
        </w:rPr>
      </w:pPr>
      <w:r w:rsidRPr="00C501AB">
        <w:rPr>
          <w:rFonts w:cstheme="minorHAnsi"/>
          <w:b/>
          <w:sz w:val="28"/>
          <w:szCs w:val="28"/>
        </w:rPr>
        <w:t>Discussion</w:t>
      </w:r>
    </w:p>
    <w:p w14:paraId="3581FC5C" w14:textId="199C64DD" w:rsidR="00B00DE6" w:rsidRPr="00C501AB" w:rsidRDefault="001904A6" w:rsidP="0082269F">
      <w:pPr>
        <w:spacing w:after="0" w:line="240" w:lineRule="auto"/>
        <w:rPr>
          <w:rFonts w:cstheme="minorHAnsi"/>
          <w:sz w:val="24"/>
          <w:szCs w:val="24"/>
        </w:rPr>
      </w:pPr>
      <w:r w:rsidRPr="00C501AB">
        <w:rPr>
          <w:rFonts w:cstheme="minorHAnsi"/>
          <w:sz w:val="24"/>
          <w:szCs w:val="24"/>
        </w:rPr>
        <w:t>During</w:t>
      </w:r>
      <w:r w:rsidR="0097356A" w:rsidRPr="00C501AB">
        <w:rPr>
          <w:rFonts w:cstheme="minorHAnsi"/>
          <w:sz w:val="24"/>
          <w:szCs w:val="24"/>
        </w:rPr>
        <w:t xml:space="preserve"> the 2019 Council session, members were </w:t>
      </w:r>
      <w:r w:rsidR="0055581D" w:rsidRPr="00C501AB">
        <w:rPr>
          <w:rFonts w:cstheme="minorHAnsi"/>
          <w:sz w:val="24"/>
          <w:szCs w:val="24"/>
        </w:rPr>
        <w:t xml:space="preserve">provided details </w:t>
      </w:r>
      <w:r w:rsidR="0097356A" w:rsidRPr="00C501AB">
        <w:rPr>
          <w:rFonts w:cstheme="minorHAnsi"/>
          <w:sz w:val="24"/>
          <w:szCs w:val="24"/>
        </w:rPr>
        <w:t>of fraud and misconduct that occurred at the ITU Regional Office for Asia and the Pacific.</w:t>
      </w:r>
      <w:r w:rsidR="0097356A" w:rsidRPr="00C501AB">
        <w:rPr>
          <w:rStyle w:val="FootnoteReference"/>
          <w:rFonts w:asciiTheme="minorHAnsi" w:hAnsiTheme="minorHAnsi" w:cstheme="minorHAnsi"/>
          <w:sz w:val="20"/>
          <w:szCs w:val="20"/>
        </w:rPr>
        <w:footnoteReference w:id="1"/>
      </w:r>
      <w:r w:rsidR="00CF33A4" w:rsidRPr="00C501AB">
        <w:rPr>
          <w:rFonts w:cstheme="minorHAnsi"/>
          <w:sz w:val="24"/>
          <w:szCs w:val="24"/>
        </w:rPr>
        <w:t xml:space="preserve"> </w:t>
      </w:r>
      <w:r w:rsidR="0097356A" w:rsidRPr="00C501AB">
        <w:rPr>
          <w:rFonts w:cstheme="minorHAnsi"/>
          <w:sz w:val="24"/>
          <w:szCs w:val="24"/>
        </w:rPr>
        <w:t xml:space="preserve">The fraud and misconduct that </w:t>
      </w:r>
      <w:r w:rsidR="0055581D" w:rsidRPr="00C501AB">
        <w:rPr>
          <w:rFonts w:cstheme="minorHAnsi"/>
          <w:sz w:val="24"/>
          <w:szCs w:val="24"/>
        </w:rPr>
        <w:t xml:space="preserve">were uncovered in this incident </w:t>
      </w:r>
      <w:r w:rsidR="0097356A" w:rsidRPr="00C501AB">
        <w:rPr>
          <w:rFonts w:cstheme="minorHAnsi"/>
          <w:sz w:val="24"/>
          <w:szCs w:val="24"/>
        </w:rPr>
        <w:t>exposed shortcomings in the organization’s internal controls framework and</w:t>
      </w:r>
      <w:r w:rsidR="00CF33A4" w:rsidRPr="00C501AB">
        <w:rPr>
          <w:rFonts w:cstheme="minorHAnsi"/>
          <w:sz w:val="24"/>
          <w:szCs w:val="24"/>
        </w:rPr>
        <w:t xml:space="preserve"> its oversight mechanisms</w:t>
      </w:r>
      <w:r w:rsidR="0097356A" w:rsidRPr="00C501AB">
        <w:rPr>
          <w:rFonts w:cstheme="minorHAnsi"/>
          <w:sz w:val="24"/>
          <w:szCs w:val="24"/>
        </w:rPr>
        <w:t>.</w:t>
      </w:r>
      <w:r w:rsidR="00CF33A4" w:rsidRPr="00C501AB">
        <w:rPr>
          <w:rFonts w:cstheme="minorHAnsi"/>
          <w:sz w:val="24"/>
          <w:szCs w:val="24"/>
        </w:rPr>
        <w:t xml:space="preserve">  For example, according to current investigation procedures,</w:t>
      </w:r>
      <w:r w:rsidR="001E2A51" w:rsidRPr="00C501AB">
        <w:rPr>
          <w:rFonts w:cstheme="minorHAnsi"/>
          <w:sz w:val="24"/>
          <w:szCs w:val="24"/>
        </w:rPr>
        <w:t xml:space="preserve"> neither the Ethics Officer nor ITU’s Internal Audit Unit</w:t>
      </w:r>
      <w:r w:rsidR="00CF33A4" w:rsidRPr="00C501AB">
        <w:rPr>
          <w:rFonts w:cstheme="minorHAnsi"/>
          <w:sz w:val="24"/>
          <w:szCs w:val="24"/>
        </w:rPr>
        <w:t xml:space="preserve"> </w:t>
      </w:r>
      <w:r w:rsidR="00473B4F" w:rsidRPr="00C501AB">
        <w:rPr>
          <w:rFonts w:cstheme="minorHAnsi"/>
          <w:sz w:val="24"/>
          <w:szCs w:val="24"/>
        </w:rPr>
        <w:t xml:space="preserve">(IAU) </w:t>
      </w:r>
      <w:r w:rsidR="00CF33A4" w:rsidRPr="00C501AB">
        <w:rPr>
          <w:rFonts w:cstheme="minorHAnsi"/>
          <w:sz w:val="24"/>
          <w:szCs w:val="24"/>
        </w:rPr>
        <w:t>have the authority to initiate investigation</w:t>
      </w:r>
      <w:r w:rsidR="001E2A51" w:rsidRPr="00C501AB">
        <w:rPr>
          <w:rFonts w:cstheme="minorHAnsi"/>
          <w:sz w:val="24"/>
          <w:szCs w:val="24"/>
        </w:rPr>
        <w:t>s</w:t>
      </w:r>
      <w:r w:rsidR="00CF33A4" w:rsidRPr="00C501AB">
        <w:rPr>
          <w:rFonts w:cstheme="minorHAnsi"/>
          <w:sz w:val="24"/>
          <w:szCs w:val="24"/>
        </w:rPr>
        <w:t xml:space="preserve"> into</w:t>
      </w:r>
      <w:r w:rsidR="001E2A51" w:rsidRPr="00C501AB">
        <w:rPr>
          <w:rFonts w:cstheme="minorHAnsi"/>
          <w:sz w:val="24"/>
          <w:szCs w:val="24"/>
        </w:rPr>
        <w:t xml:space="preserve"> </w:t>
      </w:r>
      <w:r w:rsidR="00CF33A4" w:rsidRPr="00C501AB">
        <w:rPr>
          <w:rFonts w:cstheme="minorHAnsi"/>
          <w:sz w:val="24"/>
          <w:szCs w:val="24"/>
        </w:rPr>
        <w:t>allegation</w:t>
      </w:r>
      <w:r w:rsidR="001E2A51" w:rsidRPr="00C501AB">
        <w:rPr>
          <w:rFonts w:cstheme="minorHAnsi"/>
          <w:sz w:val="24"/>
          <w:szCs w:val="24"/>
        </w:rPr>
        <w:t>s</w:t>
      </w:r>
      <w:r w:rsidR="00CF33A4" w:rsidRPr="00C501AB">
        <w:rPr>
          <w:rFonts w:cstheme="minorHAnsi"/>
          <w:sz w:val="24"/>
          <w:szCs w:val="24"/>
        </w:rPr>
        <w:t xml:space="preserve"> of misconduct</w:t>
      </w:r>
      <w:r w:rsidR="001E2A51" w:rsidRPr="00C501AB">
        <w:rPr>
          <w:rFonts w:cstheme="minorHAnsi"/>
          <w:sz w:val="24"/>
          <w:szCs w:val="24"/>
        </w:rPr>
        <w:t>,</w:t>
      </w:r>
      <w:r w:rsidR="00CF33A4" w:rsidRPr="00C501AB">
        <w:rPr>
          <w:rFonts w:cstheme="minorHAnsi"/>
          <w:sz w:val="24"/>
          <w:szCs w:val="24"/>
        </w:rPr>
        <w:t xml:space="preserve"> as is best practice in the UN system</w:t>
      </w:r>
      <w:r w:rsidR="001E2A51" w:rsidRPr="00C501AB">
        <w:rPr>
          <w:rFonts w:cstheme="minorHAnsi"/>
          <w:sz w:val="24"/>
          <w:szCs w:val="24"/>
        </w:rPr>
        <w:t>,</w:t>
      </w:r>
      <w:r w:rsidR="00CF33A4" w:rsidRPr="00C501AB">
        <w:rPr>
          <w:rFonts w:cstheme="minorHAnsi"/>
          <w:sz w:val="24"/>
          <w:szCs w:val="24"/>
        </w:rPr>
        <w:t xml:space="preserve"> and a recommendation of the UN Joint Inspection Unit</w:t>
      </w:r>
      <w:r w:rsidR="0048622A" w:rsidRPr="00C501AB">
        <w:rPr>
          <w:rFonts w:cstheme="minorHAnsi"/>
          <w:sz w:val="24"/>
          <w:szCs w:val="24"/>
        </w:rPr>
        <w:t xml:space="preserve"> (JIU)</w:t>
      </w:r>
      <w:r w:rsidR="00CF33A4" w:rsidRPr="00C501AB">
        <w:rPr>
          <w:rFonts w:cstheme="minorHAnsi"/>
          <w:sz w:val="24"/>
          <w:szCs w:val="24"/>
        </w:rPr>
        <w:t>.</w:t>
      </w:r>
      <w:r w:rsidR="001E2A51" w:rsidRPr="00C501AB">
        <w:rPr>
          <w:rStyle w:val="FootnoteReference"/>
          <w:rFonts w:asciiTheme="minorHAnsi" w:hAnsiTheme="minorHAnsi" w:cstheme="minorHAnsi"/>
          <w:sz w:val="20"/>
          <w:szCs w:val="20"/>
        </w:rPr>
        <w:footnoteReference w:id="2"/>
      </w:r>
      <w:r w:rsidR="00CF33A4" w:rsidRPr="00C501AB">
        <w:rPr>
          <w:rFonts w:cstheme="minorHAnsi"/>
          <w:sz w:val="24"/>
          <w:szCs w:val="24"/>
        </w:rPr>
        <w:t xml:space="preserve">  </w:t>
      </w:r>
      <w:r w:rsidR="004259FC" w:rsidRPr="00C501AB">
        <w:rPr>
          <w:rFonts w:cstheme="minorHAnsi"/>
          <w:sz w:val="24"/>
          <w:szCs w:val="24"/>
        </w:rPr>
        <w:t>C</w:t>
      </w:r>
      <w:r w:rsidR="00CF33A4" w:rsidRPr="00C501AB">
        <w:rPr>
          <w:rFonts w:cstheme="minorHAnsi"/>
          <w:sz w:val="24"/>
          <w:szCs w:val="24"/>
        </w:rPr>
        <w:t>oncerns</w:t>
      </w:r>
      <w:r w:rsidR="004259FC" w:rsidRPr="00C501AB">
        <w:rPr>
          <w:rFonts w:cstheme="minorHAnsi"/>
          <w:sz w:val="24"/>
          <w:szCs w:val="24"/>
        </w:rPr>
        <w:t xml:space="preserve"> were also</w:t>
      </w:r>
      <w:r w:rsidR="00CF33A4" w:rsidRPr="00C501AB">
        <w:rPr>
          <w:rFonts w:cstheme="minorHAnsi"/>
          <w:sz w:val="24"/>
          <w:szCs w:val="24"/>
        </w:rPr>
        <w:t xml:space="preserve"> raised about how the allegat</w:t>
      </w:r>
      <w:r w:rsidR="004D5081" w:rsidRPr="00C501AB">
        <w:rPr>
          <w:rFonts w:cstheme="minorHAnsi"/>
          <w:sz w:val="24"/>
          <w:szCs w:val="24"/>
        </w:rPr>
        <w:t>ions were handled, including maintaining the confidentiality of the</w:t>
      </w:r>
      <w:r w:rsidR="004259FC" w:rsidRPr="00C501AB">
        <w:rPr>
          <w:rFonts w:cstheme="minorHAnsi"/>
          <w:sz w:val="24"/>
          <w:szCs w:val="24"/>
        </w:rPr>
        <w:t xml:space="preserve"> information provided by the</w:t>
      </w:r>
      <w:r w:rsidR="004D5081" w:rsidRPr="00C501AB">
        <w:rPr>
          <w:rFonts w:cstheme="minorHAnsi"/>
          <w:sz w:val="24"/>
          <w:szCs w:val="24"/>
        </w:rPr>
        <w:t xml:space="preserve"> complainant</w:t>
      </w:r>
      <w:r w:rsidR="004E4ED0" w:rsidRPr="00C501AB">
        <w:rPr>
          <w:rFonts w:cstheme="minorHAnsi"/>
          <w:sz w:val="24"/>
          <w:szCs w:val="24"/>
        </w:rPr>
        <w:t>, and therefore</w:t>
      </w:r>
      <w:r w:rsidRPr="00C501AB">
        <w:rPr>
          <w:rFonts w:cstheme="minorHAnsi"/>
          <w:sz w:val="24"/>
          <w:szCs w:val="24"/>
        </w:rPr>
        <w:t>,</w:t>
      </w:r>
      <w:r w:rsidR="004E4ED0" w:rsidRPr="00C501AB">
        <w:rPr>
          <w:rFonts w:cstheme="minorHAnsi"/>
          <w:sz w:val="24"/>
          <w:szCs w:val="24"/>
        </w:rPr>
        <w:t xml:space="preserve"> whether ITU’s</w:t>
      </w:r>
      <w:r w:rsidR="004D5081" w:rsidRPr="00C501AB">
        <w:rPr>
          <w:rFonts w:cstheme="minorHAnsi"/>
          <w:sz w:val="24"/>
          <w:szCs w:val="24"/>
        </w:rPr>
        <w:t xml:space="preserve"> </w:t>
      </w:r>
      <w:r w:rsidR="004E4ED0" w:rsidRPr="00C501AB">
        <w:rPr>
          <w:rFonts w:cstheme="minorHAnsi"/>
          <w:sz w:val="24"/>
          <w:szCs w:val="24"/>
        </w:rPr>
        <w:t>policy to protect staff from retaliation for reporting misconduct (Service Order 11/04) was effectively implemented.</w:t>
      </w:r>
      <w:r w:rsidR="004259FC" w:rsidRPr="00C501AB">
        <w:rPr>
          <w:rStyle w:val="FootnoteReference"/>
          <w:rFonts w:asciiTheme="minorHAnsi" w:hAnsiTheme="minorHAnsi" w:cstheme="minorHAnsi"/>
          <w:sz w:val="20"/>
          <w:szCs w:val="20"/>
        </w:rPr>
        <w:footnoteReference w:id="3"/>
      </w:r>
      <w:r w:rsidR="004D5081" w:rsidRPr="00C501AB">
        <w:rPr>
          <w:rFonts w:cstheme="minorHAnsi"/>
          <w:sz w:val="24"/>
          <w:szCs w:val="24"/>
        </w:rPr>
        <w:t xml:space="preserve"> </w:t>
      </w:r>
      <w:r w:rsidR="0097356A" w:rsidRPr="00C501AB">
        <w:rPr>
          <w:rFonts w:cstheme="minorHAnsi"/>
          <w:sz w:val="24"/>
          <w:szCs w:val="24"/>
        </w:rPr>
        <w:t xml:space="preserve"> </w:t>
      </w:r>
    </w:p>
    <w:p w14:paraId="4BE323C4" w14:textId="561F4FC2" w:rsidR="0082269F" w:rsidRPr="00C501AB" w:rsidRDefault="001904A6" w:rsidP="00BD13BA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sz w:val="24"/>
          <w:szCs w:val="24"/>
        </w:rPr>
      </w:pPr>
      <w:r w:rsidRPr="00C501AB">
        <w:rPr>
          <w:rFonts w:cstheme="minorHAnsi"/>
          <w:sz w:val="24"/>
          <w:szCs w:val="24"/>
        </w:rPr>
        <w:t xml:space="preserve">In Council </w:t>
      </w:r>
      <w:r w:rsidR="0097356A" w:rsidRPr="00C501AB">
        <w:rPr>
          <w:rFonts w:cstheme="minorHAnsi"/>
          <w:sz w:val="24"/>
          <w:szCs w:val="24"/>
        </w:rPr>
        <w:t>Decision 613</w:t>
      </w:r>
      <w:r w:rsidR="0082269F" w:rsidRPr="00C501AB">
        <w:rPr>
          <w:rFonts w:cstheme="minorHAnsi"/>
          <w:sz w:val="24"/>
          <w:szCs w:val="24"/>
        </w:rPr>
        <w:t>,</w:t>
      </w:r>
      <w:r w:rsidRPr="00C501AB">
        <w:rPr>
          <w:rFonts w:cstheme="minorHAnsi"/>
          <w:sz w:val="24"/>
          <w:szCs w:val="24"/>
        </w:rPr>
        <w:t xml:space="preserve"> the council members acknowledged the need for effective oversight mechanism</w:t>
      </w:r>
      <w:r w:rsidR="00A42457" w:rsidRPr="00C501AB">
        <w:rPr>
          <w:rFonts w:cstheme="minorHAnsi"/>
          <w:sz w:val="24"/>
          <w:szCs w:val="24"/>
        </w:rPr>
        <w:t>s, policies and procedures through the implementation of best practices as it relates to the independence of the investigation process and strong ethics functions.  This decision and Resolution 48 (</w:t>
      </w:r>
      <w:r w:rsidR="00EC7909" w:rsidRPr="00C501AB">
        <w:rPr>
          <w:rFonts w:cstheme="minorHAnsi"/>
          <w:sz w:val="24"/>
          <w:szCs w:val="24"/>
        </w:rPr>
        <w:t>Rev. Dubai, 2018)</w:t>
      </w:r>
      <w:r w:rsidR="00A42457" w:rsidRPr="00C501AB">
        <w:rPr>
          <w:rFonts w:cstheme="minorHAnsi"/>
          <w:sz w:val="24"/>
          <w:szCs w:val="24"/>
        </w:rPr>
        <w:t xml:space="preserve"> recognize</w:t>
      </w:r>
      <w:r w:rsidR="00A51B76" w:rsidRPr="00C501AB">
        <w:rPr>
          <w:rFonts w:cstheme="minorHAnsi"/>
          <w:sz w:val="24"/>
          <w:szCs w:val="24"/>
        </w:rPr>
        <w:t>d</w:t>
      </w:r>
      <w:r w:rsidR="00A42457" w:rsidRPr="00C501AB">
        <w:rPr>
          <w:rFonts w:cstheme="minorHAnsi"/>
          <w:sz w:val="24"/>
          <w:szCs w:val="24"/>
        </w:rPr>
        <w:t xml:space="preserve"> that</w:t>
      </w:r>
      <w:r w:rsidR="00EC7909" w:rsidRPr="00C501AB">
        <w:rPr>
          <w:rFonts w:cstheme="minorHAnsi"/>
          <w:sz w:val="24"/>
          <w:szCs w:val="24"/>
        </w:rPr>
        <w:t xml:space="preserve"> the organization needs to take further steps to strengthen </w:t>
      </w:r>
      <w:proofErr w:type="spellStart"/>
      <w:r w:rsidR="00EC7909" w:rsidRPr="00C501AB">
        <w:rPr>
          <w:rFonts w:cstheme="minorHAnsi"/>
          <w:sz w:val="24"/>
          <w:szCs w:val="24"/>
        </w:rPr>
        <w:t>whistleblower</w:t>
      </w:r>
      <w:proofErr w:type="spellEnd"/>
      <w:r w:rsidR="00EC7909" w:rsidRPr="00C501AB">
        <w:rPr>
          <w:rFonts w:cstheme="minorHAnsi"/>
          <w:sz w:val="24"/>
          <w:szCs w:val="24"/>
        </w:rPr>
        <w:t xml:space="preserve"> protections, including addressing the findings and recommendations from the JIU report on </w:t>
      </w:r>
      <w:r w:rsidR="00EC7909" w:rsidRPr="00C501AB">
        <w:rPr>
          <w:rFonts w:eastAsia="SimSun" w:cstheme="minorHAnsi"/>
          <w:sz w:val="24"/>
          <w:szCs w:val="24"/>
        </w:rPr>
        <w:t>"Review of Whistle-Blower Policies and Practices in United Nations System Organizations" with respect to the Union.</w:t>
      </w:r>
      <w:r w:rsidR="00554443" w:rsidRPr="00C501AB">
        <w:rPr>
          <w:rFonts w:eastAsia="SimSun" w:cstheme="minorHAnsi"/>
          <w:sz w:val="24"/>
          <w:szCs w:val="24"/>
        </w:rPr>
        <w:t xml:space="preserve"> The Council instructed the CWG-FHR, in consultation with the Ethics Office and the Internal Audit Unit, to </w:t>
      </w:r>
      <w:r w:rsidR="00554443" w:rsidRPr="00C501AB">
        <w:rPr>
          <w:rFonts w:eastAsia="SimSun" w:cstheme="minorHAnsi"/>
          <w:sz w:val="24"/>
          <w:szCs w:val="24"/>
        </w:rPr>
        <w:lastRenderedPageBreak/>
        <w:t>recommend actions for ITU Council to strengthen the independence of ITU</w:t>
      </w:r>
      <w:r w:rsidR="0048622A" w:rsidRPr="00C501AB">
        <w:rPr>
          <w:rFonts w:eastAsia="SimSun" w:cstheme="minorHAnsi"/>
          <w:sz w:val="24"/>
          <w:szCs w:val="24"/>
        </w:rPr>
        <w:t>’s</w:t>
      </w:r>
      <w:r w:rsidR="00554443" w:rsidRPr="00C501AB">
        <w:rPr>
          <w:rFonts w:eastAsia="SimSun" w:cstheme="minorHAnsi"/>
          <w:sz w:val="24"/>
          <w:szCs w:val="24"/>
        </w:rPr>
        <w:t xml:space="preserve"> oversight and audit functions,</w:t>
      </w:r>
      <w:r w:rsidR="008105A0" w:rsidRPr="00C501AB">
        <w:rPr>
          <w:rFonts w:eastAsia="SimSun" w:cstheme="minorHAnsi"/>
          <w:sz w:val="24"/>
          <w:szCs w:val="24"/>
        </w:rPr>
        <w:t xml:space="preserve"> </w:t>
      </w:r>
      <w:r w:rsidR="00554443" w:rsidRPr="00C501AB">
        <w:rPr>
          <w:rFonts w:eastAsia="SimSun" w:cstheme="minorHAnsi"/>
          <w:sz w:val="24"/>
          <w:szCs w:val="24"/>
        </w:rPr>
        <w:t xml:space="preserve">ethics framework, and investigation procedures in view of UN system-wide best practice and UN </w:t>
      </w:r>
      <w:r w:rsidR="0048622A" w:rsidRPr="00C501AB">
        <w:rPr>
          <w:rFonts w:eastAsia="SimSun" w:cstheme="minorHAnsi"/>
          <w:sz w:val="24"/>
          <w:szCs w:val="24"/>
        </w:rPr>
        <w:t xml:space="preserve">JIU </w:t>
      </w:r>
      <w:r w:rsidR="00554443" w:rsidRPr="00C501AB">
        <w:rPr>
          <w:rFonts w:eastAsia="SimSun" w:cstheme="minorHAnsi"/>
          <w:sz w:val="24"/>
          <w:szCs w:val="24"/>
        </w:rPr>
        <w:t xml:space="preserve">recommendations as appropriate.  </w:t>
      </w:r>
      <w:r w:rsidR="00EC7909" w:rsidRPr="00C501AB">
        <w:rPr>
          <w:rFonts w:cstheme="minorHAnsi"/>
          <w:sz w:val="24"/>
          <w:szCs w:val="24"/>
        </w:rPr>
        <w:t>T</w:t>
      </w:r>
      <w:r w:rsidR="00C656CC" w:rsidRPr="00C501AB">
        <w:rPr>
          <w:rFonts w:cstheme="minorHAnsi"/>
          <w:sz w:val="24"/>
          <w:szCs w:val="24"/>
        </w:rPr>
        <w:t>he United States believes</w:t>
      </w:r>
      <w:r w:rsidR="00A51B76" w:rsidRPr="00C501AB">
        <w:rPr>
          <w:rFonts w:cstheme="minorHAnsi"/>
          <w:sz w:val="24"/>
          <w:szCs w:val="24"/>
        </w:rPr>
        <w:t xml:space="preserve"> t</w:t>
      </w:r>
      <w:r w:rsidR="00E814AB" w:rsidRPr="00C501AB">
        <w:rPr>
          <w:rFonts w:cstheme="minorHAnsi"/>
          <w:sz w:val="24"/>
          <w:szCs w:val="24"/>
        </w:rPr>
        <w:t>hat this decision of Council should be implemented immediately</w:t>
      </w:r>
      <w:r w:rsidR="00571372" w:rsidRPr="00C501AB">
        <w:rPr>
          <w:rFonts w:cstheme="minorHAnsi"/>
          <w:sz w:val="24"/>
          <w:szCs w:val="24"/>
        </w:rPr>
        <w:t xml:space="preserve"> to minimize the risk of f</w:t>
      </w:r>
      <w:r w:rsidR="007077FC" w:rsidRPr="00C501AB">
        <w:rPr>
          <w:rFonts w:cstheme="minorHAnsi"/>
          <w:sz w:val="24"/>
          <w:szCs w:val="24"/>
        </w:rPr>
        <w:t>urther fraud/misconduct and cultivate an ethical culture.</w:t>
      </w:r>
    </w:p>
    <w:p w14:paraId="20C0CAE7" w14:textId="77777777" w:rsidR="0082269F" w:rsidRPr="00C501AB" w:rsidRDefault="0082269F" w:rsidP="00C501AB">
      <w:pPr>
        <w:spacing w:before="240" w:line="240" w:lineRule="auto"/>
        <w:rPr>
          <w:rFonts w:cstheme="minorHAnsi"/>
          <w:b/>
          <w:sz w:val="28"/>
          <w:szCs w:val="28"/>
        </w:rPr>
      </w:pPr>
      <w:r w:rsidRPr="00C501AB">
        <w:rPr>
          <w:rFonts w:cstheme="minorHAnsi"/>
          <w:b/>
          <w:sz w:val="28"/>
          <w:szCs w:val="28"/>
        </w:rPr>
        <w:t>Proposal</w:t>
      </w:r>
    </w:p>
    <w:p w14:paraId="7E7B3EAA" w14:textId="327958F2" w:rsidR="00AA511C" w:rsidRPr="00C501AB" w:rsidRDefault="00467C09" w:rsidP="00467C09">
      <w:pPr>
        <w:spacing w:after="0" w:line="240" w:lineRule="auto"/>
        <w:rPr>
          <w:rFonts w:cstheme="minorHAnsi"/>
          <w:sz w:val="24"/>
          <w:szCs w:val="24"/>
        </w:rPr>
      </w:pPr>
      <w:r w:rsidRPr="00C501AB">
        <w:rPr>
          <w:rFonts w:cstheme="minorHAnsi"/>
          <w:sz w:val="24"/>
          <w:szCs w:val="24"/>
        </w:rPr>
        <w:t>Pursuant to Council Decision 613</w:t>
      </w:r>
      <w:r w:rsidR="00295AE8" w:rsidRPr="00C501AB">
        <w:rPr>
          <w:rFonts w:cstheme="minorHAnsi"/>
          <w:sz w:val="24"/>
          <w:szCs w:val="24"/>
        </w:rPr>
        <w:t>,</w:t>
      </w:r>
      <w:r w:rsidRPr="00C501AB">
        <w:rPr>
          <w:rFonts w:cstheme="minorHAnsi"/>
          <w:sz w:val="24"/>
          <w:szCs w:val="24"/>
        </w:rPr>
        <w:t xml:space="preserve"> and</w:t>
      </w:r>
      <w:r w:rsidR="00295AE8" w:rsidRPr="00C501AB">
        <w:rPr>
          <w:rFonts w:cstheme="minorHAnsi"/>
          <w:sz w:val="24"/>
          <w:szCs w:val="24"/>
        </w:rPr>
        <w:t xml:space="preserve"> taking into account Resolution 48 (Rev. Dubai, 2018)</w:t>
      </w:r>
      <w:r w:rsidRPr="00C501AB">
        <w:rPr>
          <w:rFonts w:cstheme="minorHAnsi"/>
          <w:sz w:val="24"/>
          <w:szCs w:val="24"/>
        </w:rPr>
        <w:t>, the United States proposes</w:t>
      </w:r>
      <w:r w:rsidR="0082269F" w:rsidRPr="00C501AB">
        <w:rPr>
          <w:rFonts w:cstheme="minorHAnsi"/>
          <w:sz w:val="24"/>
          <w:szCs w:val="24"/>
        </w:rPr>
        <w:t xml:space="preserve"> </w:t>
      </w:r>
      <w:r w:rsidRPr="00C501AB">
        <w:rPr>
          <w:rFonts w:cstheme="minorHAnsi"/>
          <w:sz w:val="24"/>
          <w:szCs w:val="24"/>
        </w:rPr>
        <w:t xml:space="preserve">that the CWG-FHR </w:t>
      </w:r>
      <w:r w:rsidR="0055581D" w:rsidRPr="00C501AB">
        <w:rPr>
          <w:rFonts w:cstheme="minorHAnsi"/>
          <w:sz w:val="24"/>
          <w:szCs w:val="24"/>
        </w:rPr>
        <w:t>establish</w:t>
      </w:r>
      <w:r w:rsidR="006773EE" w:rsidRPr="00C501AB">
        <w:rPr>
          <w:rFonts w:cstheme="minorHAnsi"/>
          <w:sz w:val="24"/>
          <w:szCs w:val="24"/>
        </w:rPr>
        <w:t xml:space="preserve"> a sub-working group to recommend actions for ITU Council that would strengthen the independence of ITU</w:t>
      </w:r>
      <w:r w:rsidR="0048622A" w:rsidRPr="00C501AB">
        <w:rPr>
          <w:rFonts w:cstheme="minorHAnsi"/>
          <w:sz w:val="24"/>
          <w:szCs w:val="24"/>
        </w:rPr>
        <w:t>’s</w:t>
      </w:r>
      <w:r w:rsidR="006773EE" w:rsidRPr="00C501AB">
        <w:rPr>
          <w:rFonts w:cstheme="minorHAnsi"/>
          <w:sz w:val="24"/>
          <w:szCs w:val="24"/>
        </w:rPr>
        <w:t xml:space="preserve"> oversight and audit functions, ethics framework, and investigation procedures in view of UN system-wide best practice and UN Joint Inspection Unit r</w:t>
      </w:r>
      <w:r w:rsidR="000B160A" w:rsidRPr="00C501AB">
        <w:rPr>
          <w:rFonts w:cstheme="minorHAnsi"/>
          <w:sz w:val="24"/>
          <w:szCs w:val="24"/>
        </w:rPr>
        <w:t xml:space="preserve">ecommendations as appropriate.  </w:t>
      </w:r>
      <w:r w:rsidR="006773EE" w:rsidRPr="00C501AB">
        <w:rPr>
          <w:rFonts w:cstheme="minorHAnsi"/>
          <w:sz w:val="24"/>
          <w:szCs w:val="24"/>
        </w:rPr>
        <w:t>Even though the</w:t>
      </w:r>
      <w:r w:rsidR="00813B11" w:rsidRPr="00C501AB">
        <w:rPr>
          <w:rFonts w:cstheme="minorHAnsi"/>
          <w:sz w:val="24"/>
          <w:szCs w:val="24"/>
        </w:rPr>
        <w:t xml:space="preserve"> forensic</w:t>
      </w:r>
      <w:r w:rsidR="006773EE" w:rsidRPr="00C501AB">
        <w:rPr>
          <w:rFonts w:cstheme="minorHAnsi"/>
          <w:sz w:val="24"/>
          <w:szCs w:val="24"/>
        </w:rPr>
        <w:t xml:space="preserve"> audit is not complete</w:t>
      </w:r>
      <w:r w:rsidR="00813B11" w:rsidRPr="00C501AB">
        <w:rPr>
          <w:rFonts w:cstheme="minorHAnsi"/>
          <w:sz w:val="24"/>
          <w:szCs w:val="24"/>
        </w:rPr>
        <w:t>,</w:t>
      </w:r>
      <w:r w:rsidR="006773EE" w:rsidRPr="00C501AB">
        <w:rPr>
          <w:rFonts w:cstheme="minorHAnsi"/>
          <w:sz w:val="24"/>
          <w:szCs w:val="24"/>
        </w:rPr>
        <w:t xml:space="preserve"> the sub</w:t>
      </w:r>
      <w:r w:rsidR="00813B11" w:rsidRPr="00C501AB">
        <w:rPr>
          <w:rFonts w:cstheme="minorHAnsi"/>
          <w:sz w:val="24"/>
          <w:szCs w:val="24"/>
        </w:rPr>
        <w:t xml:space="preserve"> working-group should</w:t>
      </w:r>
      <w:r w:rsidR="006773EE" w:rsidRPr="00C501AB">
        <w:rPr>
          <w:rFonts w:cstheme="minorHAnsi"/>
          <w:sz w:val="24"/>
          <w:szCs w:val="24"/>
        </w:rPr>
        <w:t xml:space="preserve"> be established </w:t>
      </w:r>
      <w:r w:rsidR="00CF0ACB" w:rsidRPr="00C501AB">
        <w:rPr>
          <w:rFonts w:cstheme="minorHAnsi"/>
          <w:sz w:val="24"/>
          <w:szCs w:val="24"/>
        </w:rPr>
        <w:t xml:space="preserve">as soon as possible </w:t>
      </w:r>
      <w:r w:rsidR="00813B11" w:rsidRPr="00C501AB">
        <w:rPr>
          <w:rFonts w:cstheme="minorHAnsi"/>
          <w:sz w:val="24"/>
          <w:szCs w:val="24"/>
        </w:rPr>
        <w:t>in order to start the consultation pro</w:t>
      </w:r>
      <w:r w:rsidR="001A3270" w:rsidRPr="00C501AB">
        <w:rPr>
          <w:rFonts w:cstheme="minorHAnsi"/>
          <w:sz w:val="24"/>
          <w:szCs w:val="24"/>
        </w:rPr>
        <w:t>cess with t</w:t>
      </w:r>
      <w:r w:rsidR="008107E8" w:rsidRPr="00C501AB">
        <w:rPr>
          <w:rFonts w:cstheme="minorHAnsi"/>
          <w:sz w:val="24"/>
          <w:szCs w:val="24"/>
        </w:rPr>
        <w:t>he Ethics Office and the IAU.  This subgroup can also begin making</w:t>
      </w:r>
      <w:r w:rsidR="006773EE" w:rsidRPr="00C501AB">
        <w:rPr>
          <w:rFonts w:cstheme="minorHAnsi"/>
          <w:sz w:val="24"/>
          <w:szCs w:val="24"/>
        </w:rPr>
        <w:t xml:space="preserve"> recommendation</w:t>
      </w:r>
      <w:r w:rsidR="001434C1" w:rsidRPr="00C501AB">
        <w:rPr>
          <w:rFonts w:cstheme="minorHAnsi"/>
          <w:sz w:val="24"/>
          <w:szCs w:val="24"/>
        </w:rPr>
        <w:t>s to the Council</w:t>
      </w:r>
      <w:r w:rsidR="008107E8" w:rsidRPr="00C501AB">
        <w:rPr>
          <w:rFonts w:cstheme="minorHAnsi"/>
          <w:sz w:val="24"/>
          <w:szCs w:val="24"/>
        </w:rPr>
        <w:t xml:space="preserve"> to address current oversight weaknesses in the organization due to</w:t>
      </w:r>
      <w:r w:rsidR="00733630" w:rsidRPr="00C501AB">
        <w:rPr>
          <w:rFonts w:cstheme="minorHAnsi"/>
          <w:sz w:val="24"/>
          <w:szCs w:val="24"/>
        </w:rPr>
        <w:t xml:space="preserve"> the lack of implementation of</w:t>
      </w:r>
      <w:r w:rsidR="00C656CC" w:rsidRPr="00C501AB">
        <w:rPr>
          <w:rFonts w:cstheme="minorHAnsi"/>
          <w:sz w:val="24"/>
          <w:szCs w:val="24"/>
        </w:rPr>
        <w:t xml:space="preserve"> any</w:t>
      </w:r>
      <w:r w:rsidR="00733630" w:rsidRPr="00C501AB">
        <w:rPr>
          <w:rFonts w:cstheme="minorHAnsi"/>
          <w:sz w:val="24"/>
          <w:szCs w:val="24"/>
        </w:rPr>
        <w:t xml:space="preserve"> </w:t>
      </w:r>
      <w:r w:rsidR="000B160A" w:rsidRPr="00C501AB">
        <w:rPr>
          <w:rFonts w:cstheme="minorHAnsi"/>
          <w:sz w:val="24"/>
          <w:szCs w:val="24"/>
        </w:rPr>
        <w:t>UN s</w:t>
      </w:r>
      <w:r w:rsidR="00C656CC" w:rsidRPr="00C501AB">
        <w:rPr>
          <w:rFonts w:cstheme="minorHAnsi"/>
          <w:sz w:val="24"/>
          <w:szCs w:val="24"/>
        </w:rPr>
        <w:t>ystem best practices or</w:t>
      </w:r>
      <w:r w:rsidR="000B160A" w:rsidRPr="00C501AB">
        <w:rPr>
          <w:rFonts w:cstheme="minorHAnsi"/>
          <w:sz w:val="24"/>
          <w:szCs w:val="24"/>
        </w:rPr>
        <w:t xml:space="preserve"> UN JIU recommend</w:t>
      </w:r>
      <w:r w:rsidR="008107E8" w:rsidRPr="00C501AB">
        <w:rPr>
          <w:rFonts w:cstheme="minorHAnsi"/>
          <w:sz w:val="24"/>
          <w:szCs w:val="24"/>
        </w:rPr>
        <w:t>ations.</w:t>
      </w:r>
      <w:r w:rsidR="00AA511C" w:rsidRPr="00C501AB">
        <w:rPr>
          <w:rFonts w:cstheme="minorHAnsi"/>
          <w:sz w:val="24"/>
          <w:szCs w:val="24"/>
        </w:rPr>
        <w:t xml:space="preserve">  We propose that the sub-group conduct its work as follows:</w:t>
      </w:r>
    </w:p>
    <w:p w14:paraId="1DF0704F" w14:textId="7CCE4E71" w:rsidR="00AA511C" w:rsidRPr="00C501AB" w:rsidRDefault="00AA511C" w:rsidP="00C501AB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C501AB">
        <w:rPr>
          <w:rFonts w:cstheme="minorHAnsi"/>
          <w:sz w:val="24"/>
          <w:szCs w:val="24"/>
        </w:rPr>
        <w:t xml:space="preserve">Consult with the </w:t>
      </w:r>
      <w:r w:rsidR="004259FC" w:rsidRPr="00C501AB">
        <w:rPr>
          <w:rFonts w:cstheme="minorHAnsi"/>
          <w:sz w:val="24"/>
          <w:szCs w:val="24"/>
        </w:rPr>
        <w:t>E</w:t>
      </w:r>
      <w:r w:rsidRPr="00C501AB">
        <w:rPr>
          <w:rFonts w:cstheme="minorHAnsi"/>
          <w:sz w:val="24"/>
          <w:szCs w:val="24"/>
        </w:rPr>
        <w:t>thics Office and IAU to identify current weaknesses in ITU’s ethics framework and oversight mechanisms</w:t>
      </w:r>
      <w:r w:rsidR="00322A99" w:rsidRPr="00C501AB">
        <w:rPr>
          <w:rFonts w:cstheme="minorHAnsi"/>
          <w:sz w:val="24"/>
          <w:szCs w:val="24"/>
        </w:rPr>
        <w:t>;</w:t>
      </w:r>
    </w:p>
    <w:p w14:paraId="05030595" w14:textId="6DE7BED6" w:rsidR="00AA511C" w:rsidRPr="00C501AB" w:rsidRDefault="00AA511C" w:rsidP="00AA511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C501AB">
        <w:rPr>
          <w:rFonts w:cstheme="minorHAnsi"/>
          <w:sz w:val="24"/>
          <w:szCs w:val="24"/>
        </w:rPr>
        <w:t>With</w:t>
      </w:r>
      <w:r w:rsidR="00322A99" w:rsidRPr="00C501AB">
        <w:rPr>
          <w:rFonts w:cstheme="minorHAnsi"/>
          <w:sz w:val="24"/>
          <w:szCs w:val="24"/>
        </w:rPr>
        <w:t xml:space="preserve"> the assistance of IAU and the E</w:t>
      </w:r>
      <w:r w:rsidRPr="00C501AB">
        <w:rPr>
          <w:rFonts w:cstheme="minorHAnsi"/>
          <w:sz w:val="24"/>
          <w:szCs w:val="24"/>
        </w:rPr>
        <w:t>thics Office,</w:t>
      </w:r>
      <w:r w:rsidR="00322A99" w:rsidRPr="00C501AB">
        <w:rPr>
          <w:rFonts w:cstheme="minorHAnsi"/>
          <w:sz w:val="24"/>
          <w:szCs w:val="24"/>
        </w:rPr>
        <w:t xml:space="preserve"> or</w:t>
      </w:r>
      <w:r w:rsidRPr="00C501AB">
        <w:rPr>
          <w:rFonts w:cstheme="minorHAnsi"/>
          <w:sz w:val="24"/>
          <w:szCs w:val="24"/>
        </w:rPr>
        <w:t xml:space="preserve"> any other relevant office in the Union, evaluate </w:t>
      </w:r>
      <w:r w:rsidR="00322A99" w:rsidRPr="00C501AB">
        <w:rPr>
          <w:rFonts w:cstheme="minorHAnsi"/>
          <w:sz w:val="24"/>
          <w:szCs w:val="24"/>
        </w:rPr>
        <w:t>current UN system best practices in the areas of audit, investigation, and ethics;</w:t>
      </w:r>
    </w:p>
    <w:p w14:paraId="7C081A22" w14:textId="0C7F3566" w:rsidR="00322A99" w:rsidRPr="00C501AB" w:rsidRDefault="008105A0" w:rsidP="00AA511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C501AB">
        <w:rPr>
          <w:rFonts w:cstheme="minorHAnsi"/>
          <w:sz w:val="24"/>
          <w:szCs w:val="24"/>
        </w:rPr>
        <w:t>Evaluate and determine</w:t>
      </w:r>
      <w:r w:rsidR="00322A99" w:rsidRPr="00C501AB">
        <w:rPr>
          <w:rFonts w:cstheme="minorHAnsi"/>
          <w:sz w:val="24"/>
          <w:szCs w:val="24"/>
        </w:rPr>
        <w:t xml:space="preserve"> which UN JIU recommendations in the areas of audit, investigation</w:t>
      </w:r>
      <w:r w:rsidRPr="00C501AB">
        <w:rPr>
          <w:rFonts w:cstheme="minorHAnsi"/>
          <w:sz w:val="24"/>
          <w:szCs w:val="24"/>
        </w:rPr>
        <w:t>,</w:t>
      </w:r>
      <w:r w:rsidR="00322A99" w:rsidRPr="00C501AB">
        <w:rPr>
          <w:rFonts w:cstheme="minorHAnsi"/>
          <w:sz w:val="24"/>
          <w:szCs w:val="24"/>
        </w:rPr>
        <w:t xml:space="preserve"> and ethics have not been implemented by the Union.</w:t>
      </w:r>
    </w:p>
    <w:p w14:paraId="67EB18E0" w14:textId="13C24F16" w:rsidR="00AB2815" w:rsidRPr="00C501AB" w:rsidRDefault="00322A99" w:rsidP="009655FA">
      <w:pPr>
        <w:pStyle w:val="ListParagraph"/>
        <w:numPr>
          <w:ilvl w:val="0"/>
          <w:numId w:val="22"/>
        </w:numPr>
        <w:tabs>
          <w:tab w:val="left" w:pos="3555"/>
        </w:tabs>
        <w:spacing w:after="0" w:line="240" w:lineRule="auto"/>
        <w:rPr>
          <w:rFonts w:cstheme="minorHAnsi"/>
          <w:sz w:val="24"/>
          <w:szCs w:val="24"/>
        </w:rPr>
      </w:pPr>
      <w:r w:rsidRPr="00C501AB">
        <w:rPr>
          <w:rFonts w:cstheme="minorHAnsi"/>
          <w:sz w:val="24"/>
          <w:szCs w:val="24"/>
        </w:rPr>
        <w:t>Once the forensic audit is complete, evaluate the results and any recommendations from the audit to determine whether CWG-FHR should make any further recommendations to the Council.</w:t>
      </w:r>
    </w:p>
    <w:p w14:paraId="2655EABA" w14:textId="77777777" w:rsidR="00C501AB" w:rsidRPr="00C501AB" w:rsidRDefault="00C501AB" w:rsidP="00C501AB">
      <w:pPr>
        <w:tabs>
          <w:tab w:val="left" w:pos="3555"/>
        </w:tabs>
        <w:spacing w:after="0" w:line="240" w:lineRule="auto"/>
        <w:rPr>
          <w:rFonts w:cstheme="minorHAnsi"/>
          <w:sz w:val="24"/>
          <w:szCs w:val="24"/>
        </w:rPr>
      </w:pPr>
    </w:p>
    <w:p w14:paraId="749DCEAF" w14:textId="650EF852" w:rsidR="00C501AB" w:rsidRPr="00C501AB" w:rsidRDefault="00C501AB" w:rsidP="00C501AB">
      <w:pPr>
        <w:tabs>
          <w:tab w:val="left" w:pos="3555"/>
        </w:tabs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C501AB">
        <w:rPr>
          <w:rFonts w:cstheme="minorHAnsi"/>
          <w:sz w:val="24"/>
          <w:szCs w:val="24"/>
          <w:u w:val="single"/>
        </w:rPr>
        <w:t>                                        </w:t>
      </w:r>
    </w:p>
    <w:sectPr w:rsidR="00C501AB" w:rsidRPr="00C501AB" w:rsidSect="004D1851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D02E5" w14:textId="77777777" w:rsidR="001122E9" w:rsidRDefault="001122E9">
      <w:r>
        <w:separator/>
      </w:r>
    </w:p>
  </w:endnote>
  <w:endnote w:type="continuationSeparator" w:id="0">
    <w:p w14:paraId="1C9BC6D6" w14:textId="77777777" w:rsidR="001122E9" w:rsidRDefault="001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D372F" w14:textId="69646D29" w:rsidR="00591917" w:rsidRDefault="00591917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4CBCAED0" wp14:editId="783FEEBB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0945" cy="266700"/>
              <wp:effectExtent l="0" t="0" r="0" b="0"/>
              <wp:wrapNone/>
              <wp:docPr id="2" name="MSIPCMd4894d969fd3e0379fc7958a" descr="{&quot;HashCode&quot;:-107656116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761962" w14:textId="161AC2C5" w:rsidR="00591917" w:rsidRPr="00591917" w:rsidRDefault="00591917" w:rsidP="0059191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191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CAED0" id="_x0000_t202" coordsize="21600,21600" o:spt="202" path="m,l,21600r21600,l21600,xe">
              <v:stroke joinstyle="miter"/>
              <v:path gradientshapeok="t" o:connecttype="rect"/>
            </v:shapetype>
            <v:shape id="MSIPCMd4894d969fd3e0379fc7958a" o:spid="_x0000_s1026" type="#_x0000_t202" alt="{&quot;HashCode&quot;:-1076561164,&quot;Height&quot;:841.0,&quot;Width&quot;:595.0,&quot;Placement&quot;:&quot;Footer&quot;,&quot;Index&quot;:&quot;Primary&quot;,&quot;Section&quot;:1,&quot;Top&quot;:0.0,&quot;Left&quot;:0.0}" style="position:absolute;margin-left:0;margin-top:805.7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" o:allowincell="f" filled="f" stroked="f" strokeweight=".5pt">
              <v:textbox inset="20pt,0,,0">
                <w:txbxContent>
                  <w:p w14:paraId="22761962" w14:textId="161AC2C5" w:rsidR="00591917" w:rsidRPr="00591917" w:rsidRDefault="00591917" w:rsidP="0059191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1917">
                      <w:rPr>
                        <w:rFonts w:ascii="Calibri" w:hAnsi="Calibri" w:cs="Calibri"/>
                        <w:color w:val="000000"/>
                        <w:sz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3082" w14:textId="267AA28D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31B8" w14:textId="77777777" w:rsidR="001122E9" w:rsidRDefault="001122E9">
      <w:r>
        <w:t>____________________</w:t>
      </w:r>
    </w:p>
  </w:footnote>
  <w:footnote w:type="continuationSeparator" w:id="0">
    <w:p w14:paraId="0CF3DE32" w14:textId="77777777" w:rsidR="001122E9" w:rsidRDefault="001122E9">
      <w:r>
        <w:continuationSeparator/>
      </w:r>
    </w:p>
  </w:footnote>
  <w:footnote w:id="1">
    <w:p w14:paraId="4AF3BADE" w14:textId="0E63B624" w:rsidR="0097356A" w:rsidRPr="00363B5C" w:rsidRDefault="0097356A" w:rsidP="00BD13BA">
      <w:pPr>
        <w:pStyle w:val="FootnoteText"/>
        <w:spacing w:after="40"/>
        <w:ind w:left="255" w:hanging="255"/>
        <w:rPr>
          <w:sz w:val="20"/>
          <w:szCs w:val="20"/>
        </w:rPr>
      </w:pPr>
      <w:r w:rsidRPr="00363B5C">
        <w:rPr>
          <w:rStyle w:val="FootnoteReference"/>
          <w:sz w:val="20"/>
          <w:szCs w:val="20"/>
        </w:rPr>
        <w:footnoteRef/>
      </w:r>
      <w:r w:rsidRPr="00363B5C">
        <w:rPr>
          <w:sz w:val="20"/>
          <w:szCs w:val="20"/>
        </w:rPr>
        <w:t xml:space="preserve"> </w:t>
      </w:r>
      <w:bookmarkStart w:id="0" w:name="_GoBack"/>
      <w:r w:rsidR="00BD13BA">
        <w:rPr>
          <w:rStyle w:val="Hyperlink"/>
          <w:sz w:val="20"/>
          <w:szCs w:val="20"/>
        </w:rPr>
        <w:fldChar w:fldCharType="begin"/>
      </w:r>
      <w:r w:rsidR="00BD13BA">
        <w:rPr>
          <w:rStyle w:val="Hyperlink"/>
          <w:sz w:val="20"/>
          <w:szCs w:val="20"/>
        </w:rPr>
        <w:instrText xml:space="preserve"> HYPERLINK "https://www.itu.int/md/S19-CL-C-0106/en" </w:instrText>
      </w:r>
      <w:r w:rsidR="00BD13BA">
        <w:rPr>
          <w:rStyle w:val="Hyperlink"/>
          <w:sz w:val="20"/>
          <w:szCs w:val="20"/>
        </w:rPr>
        <w:fldChar w:fldCharType="separate"/>
      </w:r>
      <w:r w:rsidRPr="00363B5C">
        <w:rPr>
          <w:rStyle w:val="Hyperlink"/>
          <w:sz w:val="20"/>
          <w:szCs w:val="20"/>
        </w:rPr>
        <w:t>Special Report by the External Auditor – addressing fraud at ITU</w:t>
      </w:r>
      <w:r w:rsidR="00BD13BA">
        <w:rPr>
          <w:rStyle w:val="Hyperlink"/>
          <w:sz w:val="20"/>
          <w:szCs w:val="20"/>
        </w:rPr>
        <w:fldChar w:fldCharType="end"/>
      </w:r>
    </w:p>
  </w:footnote>
  <w:footnote w:id="2">
    <w:p w14:paraId="5C91F1EB" w14:textId="3735D058" w:rsidR="001E2A51" w:rsidRDefault="001E2A51" w:rsidP="00BD13BA">
      <w:pPr>
        <w:pStyle w:val="FootnoteText"/>
        <w:spacing w:after="40"/>
        <w:ind w:left="255" w:hanging="255"/>
      </w:pPr>
      <w:r w:rsidRPr="00363B5C">
        <w:rPr>
          <w:rStyle w:val="FootnoteReference"/>
          <w:sz w:val="20"/>
          <w:szCs w:val="20"/>
        </w:rPr>
        <w:footnoteRef/>
      </w:r>
      <w:r w:rsidRPr="00363B5C">
        <w:rPr>
          <w:sz w:val="20"/>
          <w:szCs w:val="20"/>
        </w:rPr>
        <w:t xml:space="preserve"> </w:t>
      </w:r>
      <w:r w:rsidR="004E4ED0" w:rsidRPr="00363B5C">
        <w:rPr>
          <w:sz w:val="20"/>
          <w:szCs w:val="20"/>
        </w:rPr>
        <w:t xml:space="preserve">In </w:t>
      </w:r>
      <w:r w:rsidR="00363B5C">
        <w:rPr>
          <w:sz w:val="20"/>
          <w:szCs w:val="20"/>
        </w:rPr>
        <w:t xml:space="preserve">the </w:t>
      </w:r>
      <w:r w:rsidR="004E4ED0" w:rsidRPr="00363B5C">
        <w:rPr>
          <w:sz w:val="20"/>
          <w:szCs w:val="20"/>
        </w:rPr>
        <w:t>JIU report</w:t>
      </w:r>
      <w:r w:rsidR="00363B5C" w:rsidRPr="00363B5C">
        <w:rPr>
          <w:sz w:val="20"/>
          <w:szCs w:val="20"/>
        </w:rPr>
        <w:t xml:space="preserve">, </w:t>
      </w:r>
      <w:hyperlink r:id="rId1" w:history="1">
        <w:r w:rsidR="00363B5C" w:rsidRPr="000E752D">
          <w:rPr>
            <w:rStyle w:val="Hyperlink"/>
            <w:i/>
            <w:sz w:val="20"/>
            <w:szCs w:val="20"/>
          </w:rPr>
          <w:t>The Investigations Function in the United Nations System (A/67/140)</w:t>
        </w:r>
      </w:hyperlink>
      <w:r w:rsidR="00363B5C">
        <w:rPr>
          <w:i/>
          <w:sz w:val="20"/>
          <w:szCs w:val="20"/>
        </w:rPr>
        <w:t xml:space="preserve">, </w:t>
      </w:r>
      <w:r w:rsidR="00363B5C">
        <w:rPr>
          <w:sz w:val="20"/>
          <w:szCs w:val="20"/>
        </w:rPr>
        <w:t>the JIU</w:t>
      </w:r>
      <w:r w:rsidR="004E4ED0" w:rsidRPr="00363B5C">
        <w:rPr>
          <w:sz w:val="20"/>
          <w:szCs w:val="20"/>
        </w:rPr>
        <w:t xml:space="preserve"> recom</w:t>
      </w:r>
      <w:r w:rsidR="00363B5C">
        <w:rPr>
          <w:sz w:val="20"/>
          <w:szCs w:val="20"/>
        </w:rPr>
        <w:t xml:space="preserve">mended that </w:t>
      </w:r>
      <w:r w:rsidR="000E752D" w:rsidRPr="000E752D">
        <w:rPr>
          <w:sz w:val="20"/>
          <w:szCs w:val="20"/>
        </w:rPr>
        <w:t>internal oversight ent</w:t>
      </w:r>
      <w:r w:rsidR="000E752D">
        <w:rPr>
          <w:sz w:val="20"/>
          <w:szCs w:val="20"/>
        </w:rPr>
        <w:t>ities or investigation units have authorization</w:t>
      </w:r>
      <w:r w:rsidR="000E752D" w:rsidRPr="000E752D">
        <w:rPr>
          <w:sz w:val="20"/>
          <w:szCs w:val="20"/>
        </w:rPr>
        <w:t xml:space="preserve"> to initiate investigations without the executive head's prior approval</w:t>
      </w:r>
      <w:r w:rsidR="000E752D">
        <w:rPr>
          <w:sz w:val="20"/>
          <w:szCs w:val="20"/>
        </w:rPr>
        <w:t xml:space="preserve"> </w:t>
      </w:r>
      <w:r w:rsidR="00B372C7">
        <w:rPr>
          <w:sz w:val="20"/>
          <w:szCs w:val="20"/>
        </w:rPr>
        <w:t>as it undermines</w:t>
      </w:r>
      <w:r w:rsidR="004E4ED0" w:rsidRPr="00363B5C">
        <w:rPr>
          <w:sz w:val="20"/>
          <w:szCs w:val="20"/>
        </w:rPr>
        <w:t xml:space="preserve"> the independence of the investigation process.</w:t>
      </w:r>
    </w:p>
  </w:footnote>
  <w:footnote w:id="3">
    <w:p w14:paraId="30B02D31" w14:textId="3160201F" w:rsidR="004259FC" w:rsidRPr="004259FC" w:rsidRDefault="004259FC" w:rsidP="00BD13BA">
      <w:pPr>
        <w:pStyle w:val="FootnoteText"/>
        <w:spacing w:after="40"/>
        <w:ind w:left="255" w:hanging="255"/>
        <w:rPr>
          <w:sz w:val="20"/>
          <w:szCs w:val="20"/>
        </w:rPr>
      </w:pPr>
      <w:r w:rsidRPr="004259FC">
        <w:rPr>
          <w:rStyle w:val="FootnoteReference"/>
          <w:sz w:val="20"/>
          <w:szCs w:val="20"/>
        </w:rPr>
        <w:footnoteRef/>
      </w:r>
      <w:r w:rsidRPr="004259FC">
        <w:rPr>
          <w:sz w:val="20"/>
          <w:szCs w:val="20"/>
        </w:rPr>
        <w:t xml:space="preserve"> </w:t>
      </w:r>
      <w:hyperlink r:id="rId2" w:history="1">
        <w:r w:rsidRPr="004259FC">
          <w:rPr>
            <w:rStyle w:val="Hyperlink"/>
            <w:sz w:val="20"/>
            <w:szCs w:val="20"/>
          </w:rPr>
          <w:t>Special Report by the External Auditor – addressing fraud at ITU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970D" w14:textId="330F4B0C" w:rsidR="00542BAB" w:rsidRDefault="00542BAB" w:rsidP="00C501AB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BD13BA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82269F">
      <w:rPr>
        <w:noProof/>
      </w:rPr>
      <w:t>CWG-FHR</w:t>
    </w:r>
    <w:r w:rsidR="000854C6">
      <w:rPr>
        <w:noProof/>
      </w:rPr>
      <w:t>\</w:t>
    </w:r>
    <w:r w:rsidR="00C501AB">
      <w:rPr>
        <w:noProof/>
      </w:rPr>
      <w:t>11-E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94AAC"/>
    <w:multiLevelType w:val="hybridMultilevel"/>
    <w:tmpl w:val="5660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57EB7"/>
    <w:multiLevelType w:val="hybridMultilevel"/>
    <w:tmpl w:val="7B46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5"/>
  </w:num>
  <w:num w:numId="5">
    <w:abstractNumId w:val="21"/>
  </w:num>
  <w:num w:numId="6">
    <w:abstractNumId w:val="13"/>
  </w:num>
  <w:num w:numId="7">
    <w:abstractNumId w:val="20"/>
  </w:num>
  <w:num w:numId="8">
    <w:abstractNumId w:val="18"/>
  </w:num>
  <w:num w:numId="9">
    <w:abstractNumId w:val="14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ze3MDExNbcwsjBV0lEKTi0uzszPAykwrAUAKR+uYSwAAAA="/>
  </w:docVars>
  <w:rsids>
    <w:rsidRoot w:val="00E378C5"/>
    <w:rsid w:val="0000609D"/>
    <w:rsid w:val="00030247"/>
    <w:rsid w:val="00032637"/>
    <w:rsid w:val="0003420F"/>
    <w:rsid w:val="0005540C"/>
    <w:rsid w:val="00063016"/>
    <w:rsid w:val="00065E5F"/>
    <w:rsid w:val="000660A3"/>
    <w:rsid w:val="00066DF5"/>
    <w:rsid w:val="00067C7C"/>
    <w:rsid w:val="00076AF6"/>
    <w:rsid w:val="00083635"/>
    <w:rsid w:val="000854C6"/>
    <w:rsid w:val="00085CF2"/>
    <w:rsid w:val="000915E5"/>
    <w:rsid w:val="00093186"/>
    <w:rsid w:val="000A3AE8"/>
    <w:rsid w:val="000A69A5"/>
    <w:rsid w:val="000B160A"/>
    <w:rsid w:val="000B1705"/>
    <w:rsid w:val="000C0529"/>
    <w:rsid w:val="000C2903"/>
    <w:rsid w:val="000C2F74"/>
    <w:rsid w:val="000C37C9"/>
    <w:rsid w:val="000D7112"/>
    <w:rsid w:val="000D75B2"/>
    <w:rsid w:val="000E59AD"/>
    <w:rsid w:val="000E752D"/>
    <w:rsid w:val="000F1F57"/>
    <w:rsid w:val="001121F5"/>
    <w:rsid w:val="001122E9"/>
    <w:rsid w:val="00121A83"/>
    <w:rsid w:val="00140CE1"/>
    <w:rsid w:val="001434C1"/>
    <w:rsid w:val="00143690"/>
    <w:rsid w:val="00144165"/>
    <w:rsid w:val="0016020C"/>
    <w:rsid w:val="00161A09"/>
    <w:rsid w:val="00171F42"/>
    <w:rsid w:val="00172EE6"/>
    <w:rsid w:val="0017539C"/>
    <w:rsid w:val="00175AC2"/>
    <w:rsid w:val="0017609F"/>
    <w:rsid w:val="00181554"/>
    <w:rsid w:val="001904A6"/>
    <w:rsid w:val="00195328"/>
    <w:rsid w:val="001A3270"/>
    <w:rsid w:val="001A5E88"/>
    <w:rsid w:val="001C628E"/>
    <w:rsid w:val="001E0F7B"/>
    <w:rsid w:val="001E2A51"/>
    <w:rsid w:val="001E3DD3"/>
    <w:rsid w:val="001E4DC5"/>
    <w:rsid w:val="001E716D"/>
    <w:rsid w:val="001F4FF7"/>
    <w:rsid w:val="001F6412"/>
    <w:rsid w:val="0020687F"/>
    <w:rsid w:val="002119FD"/>
    <w:rsid w:val="002130E0"/>
    <w:rsid w:val="00213431"/>
    <w:rsid w:val="00221C8F"/>
    <w:rsid w:val="002238C4"/>
    <w:rsid w:val="002509B2"/>
    <w:rsid w:val="0025471D"/>
    <w:rsid w:val="00256D0F"/>
    <w:rsid w:val="00257BDE"/>
    <w:rsid w:val="002606D7"/>
    <w:rsid w:val="00265875"/>
    <w:rsid w:val="002667C5"/>
    <w:rsid w:val="00271044"/>
    <w:rsid w:val="0027303B"/>
    <w:rsid w:val="0028109B"/>
    <w:rsid w:val="00293DE5"/>
    <w:rsid w:val="00295397"/>
    <w:rsid w:val="00295AE8"/>
    <w:rsid w:val="002A701B"/>
    <w:rsid w:val="002B1870"/>
    <w:rsid w:val="002B1F58"/>
    <w:rsid w:val="002C1C7A"/>
    <w:rsid w:val="002C5285"/>
    <w:rsid w:val="002D1E7F"/>
    <w:rsid w:val="002D494F"/>
    <w:rsid w:val="0030160F"/>
    <w:rsid w:val="0032195E"/>
    <w:rsid w:val="00322A99"/>
    <w:rsid w:val="00322D0D"/>
    <w:rsid w:val="00326D48"/>
    <w:rsid w:val="0033276E"/>
    <w:rsid w:val="00337854"/>
    <w:rsid w:val="00337CE2"/>
    <w:rsid w:val="003439CB"/>
    <w:rsid w:val="00363B5C"/>
    <w:rsid w:val="00364D79"/>
    <w:rsid w:val="003662CE"/>
    <w:rsid w:val="0036751D"/>
    <w:rsid w:val="003735DF"/>
    <w:rsid w:val="0037461E"/>
    <w:rsid w:val="003757EC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3F225D"/>
    <w:rsid w:val="003F3E65"/>
    <w:rsid w:val="0040435A"/>
    <w:rsid w:val="00407B9C"/>
    <w:rsid w:val="00415736"/>
    <w:rsid w:val="00416A24"/>
    <w:rsid w:val="00416CA6"/>
    <w:rsid w:val="00422EEC"/>
    <w:rsid w:val="004259FC"/>
    <w:rsid w:val="00431D9E"/>
    <w:rsid w:val="00433805"/>
    <w:rsid w:val="00433CE8"/>
    <w:rsid w:val="0043412A"/>
    <w:rsid w:val="00434145"/>
    <w:rsid w:val="00434A5C"/>
    <w:rsid w:val="00437504"/>
    <w:rsid w:val="004449F3"/>
    <w:rsid w:val="004473BA"/>
    <w:rsid w:val="00451A5A"/>
    <w:rsid w:val="0045337A"/>
    <w:rsid w:val="004535DE"/>
    <w:rsid w:val="004544D9"/>
    <w:rsid w:val="0045747E"/>
    <w:rsid w:val="004617B3"/>
    <w:rsid w:val="0046438A"/>
    <w:rsid w:val="004648CF"/>
    <w:rsid w:val="00466C07"/>
    <w:rsid w:val="00467C09"/>
    <w:rsid w:val="00473B4F"/>
    <w:rsid w:val="00475E96"/>
    <w:rsid w:val="00480571"/>
    <w:rsid w:val="004841B7"/>
    <w:rsid w:val="00484F0A"/>
    <w:rsid w:val="0048622A"/>
    <w:rsid w:val="00490E72"/>
    <w:rsid w:val="00491C4E"/>
    <w:rsid w:val="004921C8"/>
    <w:rsid w:val="004931B4"/>
    <w:rsid w:val="0049335F"/>
    <w:rsid w:val="004977C7"/>
    <w:rsid w:val="004A29FF"/>
    <w:rsid w:val="004A45DD"/>
    <w:rsid w:val="004B5D1C"/>
    <w:rsid w:val="004D0B58"/>
    <w:rsid w:val="004D0C40"/>
    <w:rsid w:val="004D1851"/>
    <w:rsid w:val="004D5081"/>
    <w:rsid w:val="004D599D"/>
    <w:rsid w:val="004E2EA5"/>
    <w:rsid w:val="004E3AEB"/>
    <w:rsid w:val="004E4ED0"/>
    <w:rsid w:val="00500C7D"/>
    <w:rsid w:val="00501014"/>
    <w:rsid w:val="0050223C"/>
    <w:rsid w:val="005119E7"/>
    <w:rsid w:val="00522504"/>
    <w:rsid w:val="005243FF"/>
    <w:rsid w:val="00534240"/>
    <w:rsid w:val="00542AE7"/>
    <w:rsid w:val="00542BAB"/>
    <w:rsid w:val="00544CA6"/>
    <w:rsid w:val="005467AE"/>
    <w:rsid w:val="005471D2"/>
    <w:rsid w:val="00554443"/>
    <w:rsid w:val="0055581D"/>
    <w:rsid w:val="00564FBC"/>
    <w:rsid w:val="00571372"/>
    <w:rsid w:val="0057569B"/>
    <w:rsid w:val="00581820"/>
    <w:rsid w:val="00582442"/>
    <w:rsid w:val="0058499C"/>
    <w:rsid w:val="00591917"/>
    <w:rsid w:val="00593888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05B1"/>
    <w:rsid w:val="00662984"/>
    <w:rsid w:val="00670287"/>
    <w:rsid w:val="00670AD1"/>
    <w:rsid w:val="006716BB"/>
    <w:rsid w:val="006771E7"/>
    <w:rsid w:val="006773EE"/>
    <w:rsid w:val="00690A26"/>
    <w:rsid w:val="006B26EF"/>
    <w:rsid w:val="006B6DCC"/>
    <w:rsid w:val="006B7318"/>
    <w:rsid w:val="006D3B24"/>
    <w:rsid w:val="006D3B29"/>
    <w:rsid w:val="006F33B8"/>
    <w:rsid w:val="007077FC"/>
    <w:rsid w:val="00711EA7"/>
    <w:rsid w:val="00733630"/>
    <w:rsid w:val="00733B71"/>
    <w:rsid w:val="00741793"/>
    <w:rsid w:val="0075051B"/>
    <w:rsid w:val="00763E73"/>
    <w:rsid w:val="007640E3"/>
    <w:rsid w:val="00764917"/>
    <w:rsid w:val="00777C2D"/>
    <w:rsid w:val="00782C0B"/>
    <w:rsid w:val="00790142"/>
    <w:rsid w:val="007901DA"/>
    <w:rsid w:val="00794D34"/>
    <w:rsid w:val="007A34B1"/>
    <w:rsid w:val="007B08E5"/>
    <w:rsid w:val="007C116C"/>
    <w:rsid w:val="007C2E8B"/>
    <w:rsid w:val="007D134F"/>
    <w:rsid w:val="007D7FD5"/>
    <w:rsid w:val="007F025C"/>
    <w:rsid w:val="0080458D"/>
    <w:rsid w:val="008105A0"/>
    <w:rsid w:val="008107E8"/>
    <w:rsid w:val="00813B11"/>
    <w:rsid w:val="00813E5E"/>
    <w:rsid w:val="0081547A"/>
    <w:rsid w:val="00820BAF"/>
    <w:rsid w:val="00820EF5"/>
    <w:rsid w:val="0082269F"/>
    <w:rsid w:val="008251CA"/>
    <w:rsid w:val="00827009"/>
    <w:rsid w:val="008349FC"/>
    <w:rsid w:val="0083581B"/>
    <w:rsid w:val="008479D9"/>
    <w:rsid w:val="00855BA7"/>
    <w:rsid w:val="00864AFF"/>
    <w:rsid w:val="008662BD"/>
    <w:rsid w:val="008911FB"/>
    <w:rsid w:val="00893975"/>
    <w:rsid w:val="0089474C"/>
    <w:rsid w:val="008A16A8"/>
    <w:rsid w:val="008B4A6A"/>
    <w:rsid w:val="008C7E27"/>
    <w:rsid w:val="008E3733"/>
    <w:rsid w:val="008E63CD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5825"/>
    <w:rsid w:val="00944BC2"/>
    <w:rsid w:val="00961B0B"/>
    <w:rsid w:val="0097356A"/>
    <w:rsid w:val="00987D95"/>
    <w:rsid w:val="00996E42"/>
    <w:rsid w:val="009A4E24"/>
    <w:rsid w:val="009A56C8"/>
    <w:rsid w:val="009B38C3"/>
    <w:rsid w:val="009B659B"/>
    <w:rsid w:val="009C6A0F"/>
    <w:rsid w:val="009D629C"/>
    <w:rsid w:val="009E17BD"/>
    <w:rsid w:val="00A04CEC"/>
    <w:rsid w:val="00A160C2"/>
    <w:rsid w:val="00A27F92"/>
    <w:rsid w:val="00A30574"/>
    <w:rsid w:val="00A32257"/>
    <w:rsid w:val="00A36066"/>
    <w:rsid w:val="00A36D20"/>
    <w:rsid w:val="00A42457"/>
    <w:rsid w:val="00A42823"/>
    <w:rsid w:val="00A462B5"/>
    <w:rsid w:val="00A51B76"/>
    <w:rsid w:val="00A54FD8"/>
    <w:rsid w:val="00A550D1"/>
    <w:rsid w:val="00A55622"/>
    <w:rsid w:val="00A56000"/>
    <w:rsid w:val="00A620DA"/>
    <w:rsid w:val="00A83502"/>
    <w:rsid w:val="00A94349"/>
    <w:rsid w:val="00AA4C49"/>
    <w:rsid w:val="00AA511C"/>
    <w:rsid w:val="00AA65F3"/>
    <w:rsid w:val="00AB2815"/>
    <w:rsid w:val="00AB393C"/>
    <w:rsid w:val="00AC393D"/>
    <w:rsid w:val="00AD7B63"/>
    <w:rsid w:val="00AF6E49"/>
    <w:rsid w:val="00B00DE6"/>
    <w:rsid w:val="00B04A67"/>
    <w:rsid w:val="00B0583C"/>
    <w:rsid w:val="00B110A2"/>
    <w:rsid w:val="00B1480D"/>
    <w:rsid w:val="00B2035F"/>
    <w:rsid w:val="00B2180F"/>
    <w:rsid w:val="00B319D9"/>
    <w:rsid w:val="00B36E39"/>
    <w:rsid w:val="00B372C7"/>
    <w:rsid w:val="00B40A81"/>
    <w:rsid w:val="00B447F3"/>
    <w:rsid w:val="00B44910"/>
    <w:rsid w:val="00B47B8F"/>
    <w:rsid w:val="00B61544"/>
    <w:rsid w:val="00B71F52"/>
    <w:rsid w:val="00B72267"/>
    <w:rsid w:val="00B769F8"/>
    <w:rsid w:val="00B76EB6"/>
    <w:rsid w:val="00B824C8"/>
    <w:rsid w:val="00B83681"/>
    <w:rsid w:val="00B85905"/>
    <w:rsid w:val="00B96E41"/>
    <w:rsid w:val="00B97DAB"/>
    <w:rsid w:val="00BA74C0"/>
    <w:rsid w:val="00BB1653"/>
    <w:rsid w:val="00BC0583"/>
    <w:rsid w:val="00BC251A"/>
    <w:rsid w:val="00BD032B"/>
    <w:rsid w:val="00BD13BA"/>
    <w:rsid w:val="00BD5F0B"/>
    <w:rsid w:val="00BD6810"/>
    <w:rsid w:val="00BD6C39"/>
    <w:rsid w:val="00BE2640"/>
    <w:rsid w:val="00BE30A1"/>
    <w:rsid w:val="00BF06EC"/>
    <w:rsid w:val="00BF27F0"/>
    <w:rsid w:val="00C01189"/>
    <w:rsid w:val="00C03DBE"/>
    <w:rsid w:val="00C10E06"/>
    <w:rsid w:val="00C11946"/>
    <w:rsid w:val="00C374DE"/>
    <w:rsid w:val="00C37D85"/>
    <w:rsid w:val="00C413A2"/>
    <w:rsid w:val="00C47AD4"/>
    <w:rsid w:val="00C501AB"/>
    <w:rsid w:val="00C52D81"/>
    <w:rsid w:val="00C55198"/>
    <w:rsid w:val="00C656CC"/>
    <w:rsid w:val="00C664FA"/>
    <w:rsid w:val="00C8040F"/>
    <w:rsid w:val="00C822C7"/>
    <w:rsid w:val="00C975ED"/>
    <w:rsid w:val="00CA6393"/>
    <w:rsid w:val="00CB18FF"/>
    <w:rsid w:val="00CB5F63"/>
    <w:rsid w:val="00CC5EF0"/>
    <w:rsid w:val="00CD0C08"/>
    <w:rsid w:val="00CE03A4"/>
    <w:rsid w:val="00CE03FB"/>
    <w:rsid w:val="00CE433C"/>
    <w:rsid w:val="00CE5FC1"/>
    <w:rsid w:val="00CF0ACB"/>
    <w:rsid w:val="00CF33A4"/>
    <w:rsid w:val="00CF33F3"/>
    <w:rsid w:val="00D00FA2"/>
    <w:rsid w:val="00D0338D"/>
    <w:rsid w:val="00D06183"/>
    <w:rsid w:val="00D22C42"/>
    <w:rsid w:val="00D3608E"/>
    <w:rsid w:val="00D65041"/>
    <w:rsid w:val="00D65EC8"/>
    <w:rsid w:val="00D84B5D"/>
    <w:rsid w:val="00D856CB"/>
    <w:rsid w:val="00D9148E"/>
    <w:rsid w:val="00D93916"/>
    <w:rsid w:val="00D945E6"/>
    <w:rsid w:val="00D9644E"/>
    <w:rsid w:val="00DA51F3"/>
    <w:rsid w:val="00DE2B20"/>
    <w:rsid w:val="00DF0F5D"/>
    <w:rsid w:val="00E00F7D"/>
    <w:rsid w:val="00E05E37"/>
    <w:rsid w:val="00E10E80"/>
    <w:rsid w:val="00E124F0"/>
    <w:rsid w:val="00E378C5"/>
    <w:rsid w:val="00E51741"/>
    <w:rsid w:val="00E60F04"/>
    <w:rsid w:val="00E71363"/>
    <w:rsid w:val="00E8113B"/>
    <w:rsid w:val="00E814AB"/>
    <w:rsid w:val="00E9013A"/>
    <w:rsid w:val="00EA48F9"/>
    <w:rsid w:val="00EB0D6F"/>
    <w:rsid w:val="00EB2232"/>
    <w:rsid w:val="00EB52A2"/>
    <w:rsid w:val="00EC1A42"/>
    <w:rsid w:val="00EC5337"/>
    <w:rsid w:val="00EC6661"/>
    <w:rsid w:val="00EC7027"/>
    <w:rsid w:val="00EC7909"/>
    <w:rsid w:val="00EE2A3B"/>
    <w:rsid w:val="00F0294C"/>
    <w:rsid w:val="00F105B0"/>
    <w:rsid w:val="00F2150A"/>
    <w:rsid w:val="00F231D8"/>
    <w:rsid w:val="00F307F4"/>
    <w:rsid w:val="00F44ED7"/>
    <w:rsid w:val="00F46C5F"/>
    <w:rsid w:val="00F54A63"/>
    <w:rsid w:val="00F56D59"/>
    <w:rsid w:val="00F70098"/>
    <w:rsid w:val="00F8235B"/>
    <w:rsid w:val="00F856EC"/>
    <w:rsid w:val="00F86970"/>
    <w:rsid w:val="00F87130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7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574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747E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25471D"/>
    <w:pPr>
      <w:spacing w:before="48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C3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484F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84F0A"/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127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S19-CL-C-0106/en" TargetMode="External"/><Relationship Id="rId1" Type="http://schemas.openxmlformats.org/officeDocument/2006/relationships/hyperlink" Target="https://www.unjiu.org/content/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12" ma:contentTypeDescription="Create a new document." ma:contentTypeScope="" ma:versionID="ef224b1eef41ffd2827e66b59d0a5f97">
  <xsd:schema xmlns:xsd="http://www.w3.org/2001/XMLSchema" xmlns:xs="http://www.w3.org/2001/XMLSchema" xmlns:p="http://schemas.microsoft.com/office/2006/metadata/properties" xmlns:ns1="http://schemas.microsoft.com/sharepoint/v3" xmlns:ns3="63cd4b08-1e1e-4154-b8f6-beaff3d9baa2" xmlns:ns4="f9ed9578-d32b-44f4-833c-23a98eae8c72" targetNamespace="http://schemas.microsoft.com/office/2006/metadata/properties" ma:root="true" ma:fieldsID="d91159da510c86f07f6cdaf08119c8a6" ns1:_="" ns3:_="" ns4:_="">
    <xsd:import namespace="http://schemas.microsoft.com/sharepoint/v3"/>
    <xsd:import namespace="63cd4b08-1e1e-4154-b8f6-beaff3d9baa2"/>
    <xsd:import namespace="f9ed9578-d32b-44f4-833c-23a98eae8c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4b08-1e1e-4154-b8f6-beaff3d9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D361-57E9-4D14-9E91-2CAEBE4DDBFE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cd4b08-1e1e-4154-b8f6-beaff3d9baa2"/>
    <ds:schemaRef ds:uri="http://schemas.microsoft.com/office/infopath/2007/PartnerControls"/>
    <ds:schemaRef ds:uri="http://purl.org/dc/elements/1.1/"/>
    <ds:schemaRef ds:uri="f9ed9578-d32b-44f4-833c-23a98eae8c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50B736-356C-4BED-8811-AD6E31395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9DE8A-F4CD-417B-8E9A-C09238605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cd4b08-1e1e-4154-b8f6-beaff3d9baa2"/>
    <ds:schemaRef ds:uri="f9ed9578-d32b-44f4-833c-23a98eae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D6A8F-26D9-4219-986C-648BDA24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4281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4</cp:revision>
  <cp:lastPrinted>2019-08-13T14:03:00Z</cp:lastPrinted>
  <dcterms:created xsi:type="dcterms:W3CDTF">2019-09-06T08:36:00Z</dcterms:created>
  <dcterms:modified xsi:type="dcterms:W3CDTF">2019-09-06T08:43:00Z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0x010100AF4B01F029692041A7486645BF369C0F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Owner">
    <vt:lpwstr>GordonMR@state.gov</vt:lpwstr>
  </property>
  <property fmtid="{D5CDD505-2E9C-101B-9397-08002B2CF9AE}" pid="12" name="MSIP_Label_1665d9ee-429a-4d5f-97cc-cfb56e044a6e_SetDate">
    <vt:lpwstr>2019-08-26T18:00:15.9240716Z</vt:lpwstr>
  </property>
  <property fmtid="{D5CDD505-2E9C-101B-9397-08002B2CF9AE}" pid="13" name="MSIP_Label_1665d9ee-429a-4d5f-97cc-cfb56e044a6e_Name">
    <vt:lpwstr>Unclassified</vt:lpwstr>
  </property>
  <property fmtid="{D5CDD505-2E9C-101B-9397-08002B2CF9AE}" pid="14" name="MSIP_Label_1665d9ee-429a-4d5f-97cc-cfb56e044a6e_Application">
    <vt:lpwstr>Microsoft Azure Information Protection</vt:lpwstr>
  </property>
  <property fmtid="{D5CDD505-2E9C-101B-9397-08002B2CF9AE}" pid="15" name="MSIP_Label_1665d9ee-429a-4d5f-97cc-cfb56e044a6e_ActionId">
    <vt:lpwstr>2a8f6296-48ce-4797-ad58-404a605db773</vt:lpwstr>
  </property>
  <property fmtid="{D5CDD505-2E9C-101B-9397-08002B2CF9AE}" pid="16" name="MSIP_Label_1665d9ee-429a-4d5f-97cc-cfb56e044a6e_Extended_MSFT_Method">
    <vt:lpwstr>Manual</vt:lpwstr>
  </property>
  <property fmtid="{D5CDD505-2E9C-101B-9397-08002B2CF9AE}" pid="17" name="Sensitivity">
    <vt:lpwstr>Unclassified</vt:lpwstr>
  </property>
</Properties>
</file>