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C1" w:rsidRDefault="00B915C1" w:rsidP="00B915C1">
      <w:pPr>
        <w:rPr>
          <w:rFonts w:cs="Arial"/>
          <w:sz w:val="20"/>
          <w:szCs w:val="20"/>
        </w:rPr>
      </w:pPr>
    </w:p>
    <w:tbl>
      <w:tblPr>
        <w:tblpPr w:leftFromText="181" w:rightFromText="181" w:horzAnchor="margin" w:tblpY="-674"/>
        <w:tblW w:w="10314" w:type="dxa"/>
        <w:tblLayout w:type="fixed"/>
        <w:tblLook w:val="0000" w:firstRow="0" w:lastRow="0" w:firstColumn="0" w:lastColumn="0" w:noHBand="0" w:noVBand="0"/>
      </w:tblPr>
      <w:tblGrid>
        <w:gridCol w:w="6521"/>
        <w:gridCol w:w="3793"/>
      </w:tblGrid>
      <w:tr w:rsidR="005F153A" w:rsidTr="000F2E67">
        <w:trPr>
          <w:cantSplit/>
        </w:trPr>
        <w:tc>
          <w:tcPr>
            <w:tcW w:w="6521" w:type="dxa"/>
          </w:tcPr>
          <w:p w:rsidR="004E5922" w:rsidRDefault="000F2E67" w:rsidP="00815174">
            <w:pPr>
              <w:spacing w:before="240" w:after="48"/>
              <w:rPr>
                <w:rFonts w:asciiTheme="minorHAnsi" w:hAnsiTheme="minorHAnsi"/>
                <w:b/>
                <w:position w:val="6"/>
                <w:sz w:val="30"/>
                <w:szCs w:val="30"/>
              </w:rPr>
            </w:pPr>
            <w:bookmarkStart w:id="0" w:name="dc06"/>
            <w:bookmarkEnd w:id="0"/>
            <w:r w:rsidRPr="000F2E67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 xml:space="preserve">Council Working Group on </w:t>
            </w:r>
            <w:r w:rsidR="00815174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br/>
              <w:t>Financial and Human Resources</w:t>
            </w:r>
          </w:p>
          <w:p w:rsidR="005F153A" w:rsidRPr="00D613F6" w:rsidRDefault="002A1458" w:rsidP="002A1458">
            <w:pPr>
              <w:spacing w:after="120"/>
              <w:rPr>
                <w:rFonts w:asciiTheme="minorHAnsi" w:hAnsiTheme="minorHAnsi"/>
                <w:b/>
                <w:position w:val="6"/>
                <w:sz w:val="26"/>
                <w:szCs w:val="26"/>
              </w:rPr>
            </w:pPr>
            <w:r>
              <w:rPr>
                <w:rFonts w:asciiTheme="minorHAnsi" w:hAnsiTheme="minorHAnsi" w:cs="Times New Roman Bold"/>
                <w:b/>
                <w:sz w:val="24"/>
              </w:rPr>
              <w:t>Tenth</w:t>
            </w:r>
            <w:r w:rsidR="001B506B">
              <w:rPr>
                <w:rFonts w:asciiTheme="minorHAnsi" w:hAnsiTheme="minorHAnsi" w:cs="Times New Roman Bold"/>
                <w:b/>
                <w:sz w:val="24"/>
              </w:rPr>
              <w:t xml:space="preserve"> meeting</w:t>
            </w:r>
            <w:r w:rsidR="001B506B" w:rsidRPr="001B506B">
              <w:rPr>
                <w:rFonts w:asciiTheme="minorHAnsi" w:hAnsiTheme="minorHAnsi" w:cs="Times New Roman Bold"/>
                <w:b/>
                <w:sz w:val="24"/>
              </w:rPr>
              <w:t xml:space="preserve"> </w:t>
            </w:r>
            <w:r w:rsidR="001B506B" w:rsidRPr="001B506B">
              <w:rPr>
                <w:rFonts w:ascii="Calibri" w:eastAsia="Calibri" w:hAnsi="Calibri" w:cs="Calibri"/>
                <w:b/>
                <w:color w:val="000000"/>
                <w:sz w:val="24"/>
              </w:rPr>
              <w:t>–</w:t>
            </w:r>
            <w:r w:rsidR="005F153A" w:rsidRPr="000F2E67">
              <w:rPr>
                <w:rFonts w:asciiTheme="minorHAnsi" w:hAnsiTheme="minorHAnsi" w:cs="Times New Roman Bold"/>
                <w:b/>
                <w:sz w:val="24"/>
              </w:rPr>
              <w:t xml:space="preserve"> Geneva, </w:t>
            </w:r>
            <w:r>
              <w:rPr>
                <w:rFonts w:asciiTheme="minorHAnsi" w:hAnsiTheme="minorHAnsi" w:cs="Times New Roman Bold"/>
                <w:b/>
                <w:sz w:val="24"/>
              </w:rPr>
              <w:t>18 September</w:t>
            </w:r>
            <w:r w:rsidR="00756E92">
              <w:rPr>
                <w:rFonts w:asciiTheme="minorHAnsi" w:hAnsiTheme="minorHAnsi" w:cs="Times New Roman Bold"/>
                <w:b/>
                <w:sz w:val="24"/>
              </w:rPr>
              <w:t xml:space="preserve"> 2019</w:t>
            </w:r>
          </w:p>
        </w:tc>
        <w:tc>
          <w:tcPr>
            <w:tcW w:w="3793" w:type="dxa"/>
          </w:tcPr>
          <w:p w:rsidR="005F153A" w:rsidRPr="00D613F6" w:rsidRDefault="002A1458" w:rsidP="001B506B">
            <w:pPr>
              <w:spacing w:before="120" w:line="240" w:lineRule="atLeast"/>
            </w:pPr>
            <w:bookmarkStart w:id="1" w:name="ditulogo"/>
            <w:bookmarkEnd w:id="1"/>
            <w:r>
              <w:rPr>
                <w:noProof/>
                <w:lang w:val="en-GB"/>
              </w:rPr>
              <w:drawing>
                <wp:inline distT="0" distB="0" distL="0" distR="0" wp14:anchorId="602796BB" wp14:editId="69CE7333">
                  <wp:extent cx="682417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1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53A" w:rsidRPr="00617BE4" w:rsidTr="000F2E67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F153A" w:rsidRPr="00D613F6" w:rsidRDefault="005F153A" w:rsidP="000F2E67">
            <w:pPr>
              <w:snapToGrid w:val="0"/>
              <w:rPr>
                <w:b/>
                <w:smallCaps/>
              </w:rPr>
            </w:pPr>
          </w:p>
        </w:tc>
        <w:tc>
          <w:tcPr>
            <w:tcW w:w="3793" w:type="dxa"/>
            <w:tcBorders>
              <w:top w:val="single" w:sz="12" w:space="0" w:color="auto"/>
            </w:tcBorders>
          </w:tcPr>
          <w:p w:rsidR="005F153A" w:rsidRPr="00D613F6" w:rsidRDefault="005F153A" w:rsidP="000F2E67">
            <w:pPr>
              <w:snapToGrid w:val="0"/>
              <w:ind w:left="209"/>
              <w:rPr>
                <w:rFonts w:ascii="Verdana" w:hAnsi="Verdana"/>
              </w:rPr>
            </w:pPr>
          </w:p>
        </w:tc>
      </w:tr>
      <w:tr w:rsidR="005F153A" w:rsidRPr="00157B22" w:rsidTr="000F2E67">
        <w:trPr>
          <w:cantSplit/>
          <w:trHeight w:val="23"/>
        </w:trPr>
        <w:tc>
          <w:tcPr>
            <w:tcW w:w="6521" w:type="dxa"/>
            <w:vMerge w:val="restart"/>
          </w:tcPr>
          <w:p w:rsidR="005F153A" w:rsidRPr="00D613F6" w:rsidRDefault="005F153A" w:rsidP="000F2E67">
            <w:pPr>
              <w:snapToGrid w:val="0"/>
              <w:rPr>
                <w:rFonts w:asciiTheme="minorHAnsi" w:hAnsiTheme="minorHAnsi"/>
                <w:b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793" w:type="dxa"/>
          </w:tcPr>
          <w:p w:rsidR="005F153A" w:rsidRPr="009C49A2" w:rsidRDefault="005F153A" w:rsidP="00A36E09">
            <w:pPr>
              <w:snapToGrid w:val="0"/>
              <w:ind w:left="57"/>
              <w:rPr>
                <w:rFonts w:asciiTheme="minorHAnsi" w:hAnsiTheme="minorHAnsi" w:cs="Times New Roman Bold"/>
                <w:b/>
                <w:spacing w:val="-4"/>
                <w:sz w:val="24"/>
                <w:lang w:val="it-CH"/>
              </w:rPr>
            </w:pPr>
            <w:r w:rsidRPr="009C49A2">
              <w:rPr>
                <w:rFonts w:asciiTheme="minorHAnsi" w:hAnsiTheme="minorHAnsi" w:cs="Times New Roman Bold"/>
                <w:b/>
                <w:spacing w:val="-4"/>
                <w:sz w:val="24"/>
                <w:lang w:val="it-CH"/>
              </w:rPr>
              <w:t xml:space="preserve">Document </w:t>
            </w:r>
            <w:r w:rsidR="00F45331" w:rsidRPr="009C49A2">
              <w:rPr>
                <w:rFonts w:asciiTheme="minorHAnsi" w:hAnsiTheme="minorHAnsi" w:cs="Times New Roman Bold"/>
                <w:b/>
                <w:spacing w:val="-4"/>
                <w:sz w:val="24"/>
                <w:lang w:val="it-CH"/>
              </w:rPr>
              <w:t>C</w:t>
            </w:r>
            <w:r w:rsidRPr="009C49A2">
              <w:rPr>
                <w:rFonts w:asciiTheme="minorHAnsi" w:hAnsiTheme="minorHAnsi" w:cs="Times New Roman Bold"/>
                <w:b/>
                <w:spacing w:val="-4"/>
                <w:sz w:val="24"/>
                <w:lang w:val="it-CH"/>
              </w:rPr>
              <w:t>WG-</w:t>
            </w:r>
            <w:r w:rsidR="00815174" w:rsidRPr="009C49A2">
              <w:rPr>
                <w:rFonts w:asciiTheme="minorHAnsi" w:hAnsiTheme="minorHAnsi" w:cs="Times New Roman Bold"/>
                <w:b/>
                <w:spacing w:val="-4"/>
                <w:sz w:val="24"/>
                <w:lang w:val="it-CH"/>
              </w:rPr>
              <w:t>FHR-</w:t>
            </w:r>
            <w:r w:rsidR="002A1458" w:rsidRPr="009C49A2">
              <w:rPr>
                <w:rFonts w:asciiTheme="minorHAnsi" w:hAnsiTheme="minorHAnsi" w:cs="Times New Roman Bold"/>
                <w:b/>
                <w:spacing w:val="-4"/>
                <w:sz w:val="24"/>
                <w:lang w:val="it-CH"/>
              </w:rPr>
              <w:t>10</w:t>
            </w:r>
            <w:r w:rsidRPr="009C49A2">
              <w:rPr>
                <w:rFonts w:asciiTheme="minorHAnsi" w:hAnsiTheme="minorHAnsi" w:cs="Times New Roman Bold"/>
                <w:b/>
                <w:spacing w:val="-4"/>
                <w:sz w:val="24"/>
                <w:lang w:val="it-CH"/>
              </w:rPr>
              <w:t>/</w:t>
            </w:r>
            <w:r w:rsidR="00A36E09">
              <w:rPr>
                <w:rFonts w:asciiTheme="minorHAnsi" w:hAnsiTheme="minorHAnsi" w:cs="Times New Roman Bold"/>
                <w:b/>
                <w:spacing w:val="-4"/>
                <w:sz w:val="24"/>
                <w:lang w:val="it-CH"/>
              </w:rPr>
              <w:t>9-E</w:t>
            </w:r>
          </w:p>
        </w:tc>
      </w:tr>
      <w:tr w:rsidR="005F153A" w:rsidRPr="00E544AC" w:rsidTr="000F2E67">
        <w:trPr>
          <w:cantSplit/>
          <w:trHeight w:val="23"/>
        </w:trPr>
        <w:tc>
          <w:tcPr>
            <w:tcW w:w="6521" w:type="dxa"/>
            <w:vMerge/>
          </w:tcPr>
          <w:p w:rsidR="005F153A" w:rsidRPr="009C49A2" w:rsidRDefault="005F153A" w:rsidP="000F2E67">
            <w:pPr>
              <w:snapToGrid w:val="0"/>
              <w:rPr>
                <w:rFonts w:asciiTheme="minorHAnsi" w:hAnsiTheme="minorHAnsi"/>
                <w:b/>
                <w:lang w:val="it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793" w:type="dxa"/>
          </w:tcPr>
          <w:p w:rsidR="005F153A" w:rsidRPr="000F2E67" w:rsidRDefault="009C49A2" w:rsidP="003852D2">
            <w:pPr>
              <w:snapToGrid w:val="0"/>
              <w:ind w:left="57"/>
              <w:rPr>
                <w:rFonts w:asciiTheme="minorHAnsi" w:hAnsiTheme="minorHAnsi"/>
                <w:b/>
                <w:sz w:val="24"/>
              </w:rPr>
            </w:pPr>
            <w:r w:rsidRPr="003852D2">
              <w:rPr>
                <w:rFonts w:asciiTheme="minorHAnsi" w:hAnsiTheme="minorHAnsi"/>
                <w:b/>
                <w:sz w:val="24"/>
              </w:rPr>
              <w:t>6</w:t>
            </w:r>
            <w:r w:rsidR="000F2E67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241E36">
              <w:rPr>
                <w:rFonts w:asciiTheme="minorHAnsi" w:hAnsiTheme="minorHAnsi"/>
                <w:b/>
                <w:sz w:val="24"/>
              </w:rPr>
              <w:t>Septembe</w:t>
            </w:r>
            <w:r w:rsidR="002A1458">
              <w:rPr>
                <w:rFonts w:asciiTheme="minorHAnsi" w:hAnsiTheme="minorHAnsi"/>
                <w:b/>
                <w:sz w:val="24"/>
              </w:rPr>
              <w:t>r</w:t>
            </w:r>
            <w:r w:rsidR="00756E92">
              <w:rPr>
                <w:rFonts w:asciiTheme="minorHAnsi" w:hAnsiTheme="minorHAnsi"/>
                <w:b/>
                <w:sz w:val="24"/>
              </w:rPr>
              <w:t xml:space="preserve"> 2019</w:t>
            </w:r>
          </w:p>
        </w:tc>
      </w:tr>
      <w:tr w:rsidR="005F153A" w:rsidRPr="00E544AC" w:rsidTr="000F2E67">
        <w:trPr>
          <w:cantSplit/>
          <w:trHeight w:val="80"/>
        </w:trPr>
        <w:tc>
          <w:tcPr>
            <w:tcW w:w="6521" w:type="dxa"/>
            <w:vMerge/>
          </w:tcPr>
          <w:p w:rsidR="005F153A" w:rsidRPr="00E544AC" w:rsidRDefault="005F153A" w:rsidP="000F2E67">
            <w:pPr>
              <w:snapToGrid w:val="0"/>
              <w:rPr>
                <w:rFonts w:asciiTheme="minorHAnsi" w:hAnsiTheme="minorHAnsi"/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793" w:type="dxa"/>
          </w:tcPr>
          <w:p w:rsidR="005F153A" w:rsidRPr="000F2E67" w:rsidRDefault="005F153A" w:rsidP="000F2E67">
            <w:pPr>
              <w:snapToGrid w:val="0"/>
              <w:ind w:left="57"/>
              <w:rPr>
                <w:rFonts w:asciiTheme="minorHAnsi" w:hAnsiTheme="minorHAnsi"/>
                <w:b/>
                <w:sz w:val="24"/>
              </w:rPr>
            </w:pPr>
            <w:r w:rsidRPr="000F2E67">
              <w:rPr>
                <w:rFonts w:asciiTheme="minorHAnsi" w:hAnsiTheme="minorHAnsi"/>
                <w:b/>
                <w:sz w:val="24"/>
              </w:rPr>
              <w:t>English only</w:t>
            </w:r>
          </w:p>
        </w:tc>
      </w:tr>
    </w:tbl>
    <w:p w:rsidR="009C49A2" w:rsidRDefault="000523C4" w:rsidP="00073F35">
      <w:pPr>
        <w:spacing w:before="840" w:after="360"/>
        <w:jc w:val="center"/>
        <w:rPr>
          <w:rFonts w:asciiTheme="minorHAnsi" w:hAnsiTheme="minorHAnsi"/>
          <w:b/>
          <w:sz w:val="28"/>
          <w:szCs w:val="32"/>
        </w:rPr>
      </w:pPr>
      <w:bookmarkStart w:id="6" w:name="_GoBack"/>
      <w:bookmarkEnd w:id="5"/>
      <w:bookmarkEnd w:id="6"/>
      <w:r>
        <w:rPr>
          <w:rFonts w:asciiTheme="minorHAnsi" w:hAnsiTheme="minorHAnsi"/>
          <w:b/>
          <w:sz w:val="28"/>
          <w:szCs w:val="32"/>
        </w:rPr>
        <w:t xml:space="preserve">Canada, </w:t>
      </w:r>
      <w:r w:rsidR="005C0392" w:rsidRPr="005C0392">
        <w:rPr>
          <w:rFonts w:asciiTheme="minorHAnsi" w:hAnsiTheme="minorHAnsi"/>
          <w:b/>
          <w:sz w:val="28"/>
          <w:szCs w:val="32"/>
        </w:rPr>
        <w:t xml:space="preserve">Czech Republic, </w:t>
      </w:r>
      <w:r w:rsidR="00157B22">
        <w:rPr>
          <w:rFonts w:asciiTheme="minorHAnsi" w:hAnsiTheme="minorHAnsi"/>
          <w:b/>
          <w:sz w:val="28"/>
          <w:szCs w:val="32"/>
        </w:rPr>
        <w:t xml:space="preserve">Denmark, France, </w:t>
      </w:r>
      <w:r w:rsidR="005C0392" w:rsidRPr="005C0392">
        <w:rPr>
          <w:rFonts w:asciiTheme="minorHAnsi" w:hAnsiTheme="minorHAnsi"/>
          <w:b/>
          <w:sz w:val="28"/>
          <w:szCs w:val="32"/>
        </w:rPr>
        <w:t xml:space="preserve">Germany, </w:t>
      </w:r>
      <w:r w:rsidR="00036445">
        <w:rPr>
          <w:rFonts w:asciiTheme="minorHAnsi" w:hAnsiTheme="minorHAnsi"/>
          <w:b/>
          <w:sz w:val="28"/>
          <w:szCs w:val="32"/>
        </w:rPr>
        <w:br/>
      </w:r>
      <w:r w:rsidR="005C0392" w:rsidRPr="005C0392">
        <w:rPr>
          <w:rFonts w:asciiTheme="minorHAnsi" w:hAnsiTheme="minorHAnsi"/>
          <w:b/>
          <w:sz w:val="28"/>
          <w:szCs w:val="32"/>
        </w:rPr>
        <w:t xml:space="preserve">The Netherlands, </w:t>
      </w:r>
      <w:r w:rsidR="00157B22">
        <w:rPr>
          <w:rFonts w:asciiTheme="minorHAnsi" w:hAnsiTheme="minorHAnsi"/>
          <w:b/>
          <w:sz w:val="28"/>
          <w:szCs w:val="32"/>
        </w:rPr>
        <w:t xml:space="preserve">Poland, </w:t>
      </w:r>
      <w:r w:rsidR="008F6EBD">
        <w:rPr>
          <w:rFonts w:asciiTheme="minorHAnsi" w:hAnsiTheme="minorHAnsi"/>
          <w:b/>
          <w:sz w:val="28"/>
          <w:szCs w:val="32"/>
        </w:rPr>
        <w:t xml:space="preserve">Romania, </w:t>
      </w:r>
      <w:r w:rsidR="005C0392" w:rsidRPr="005C0392">
        <w:rPr>
          <w:rFonts w:asciiTheme="minorHAnsi" w:hAnsiTheme="minorHAnsi"/>
          <w:b/>
          <w:sz w:val="28"/>
          <w:szCs w:val="32"/>
        </w:rPr>
        <w:t xml:space="preserve">Sweden, </w:t>
      </w:r>
      <w:r w:rsidR="009C49A2" w:rsidRPr="005C0392">
        <w:rPr>
          <w:rFonts w:asciiTheme="minorHAnsi" w:hAnsiTheme="minorHAnsi"/>
          <w:b/>
          <w:sz w:val="28"/>
          <w:szCs w:val="32"/>
        </w:rPr>
        <w:t>Switzerland</w:t>
      </w:r>
      <w:r w:rsidR="005C0392" w:rsidRPr="005C0392">
        <w:rPr>
          <w:rFonts w:asciiTheme="minorHAnsi" w:hAnsiTheme="minorHAnsi"/>
          <w:b/>
          <w:sz w:val="28"/>
          <w:szCs w:val="32"/>
        </w:rPr>
        <w:t xml:space="preserve">, </w:t>
      </w:r>
      <w:r>
        <w:rPr>
          <w:rFonts w:asciiTheme="minorHAnsi" w:hAnsiTheme="minorHAnsi"/>
          <w:b/>
          <w:sz w:val="28"/>
          <w:szCs w:val="32"/>
        </w:rPr>
        <w:t xml:space="preserve">and </w:t>
      </w:r>
      <w:r w:rsidR="005C0392" w:rsidRPr="005C0392">
        <w:rPr>
          <w:rFonts w:asciiTheme="minorHAnsi" w:hAnsiTheme="minorHAnsi"/>
          <w:b/>
          <w:sz w:val="28"/>
          <w:szCs w:val="32"/>
        </w:rPr>
        <w:t>United Kingdom</w:t>
      </w:r>
    </w:p>
    <w:p w:rsidR="009C49A2" w:rsidRPr="00394C20" w:rsidRDefault="009C49A2" w:rsidP="00A36E09">
      <w:pPr>
        <w:spacing w:before="480" w:after="360"/>
        <w:jc w:val="center"/>
        <w:rPr>
          <w:rFonts w:asciiTheme="minorHAnsi" w:hAnsiTheme="minorHAnsi"/>
          <w:b/>
          <w:sz w:val="28"/>
          <w:szCs w:val="32"/>
          <w:lang w:val="en-GB"/>
        </w:rPr>
      </w:pPr>
      <w:r w:rsidRPr="00BA3EE3">
        <w:rPr>
          <w:rFonts w:asciiTheme="minorHAnsi" w:hAnsiTheme="minorHAnsi"/>
          <w:bCs/>
          <w:sz w:val="28"/>
          <w:szCs w:val="32"/>
          <w:lang w:val="en-GB"/>
        </w:rPr>
        <w:t xml:space="preserve">ACCELERATING THE </w:t>
      </w:r>
      <w:r w:rsidR="006D3668">
        <w:rPr>
          <w:rFonts w:asciiTheme="minorHAnsi" w:hAnsiTheme="minorHAnsi"/>
          <w:bCs/>
          <w:sz w:val="28"/>
          <w:szCs w:val="32"/>
          <w:lang w:val="en-GB"/>
        </w:rPr>
        <w:t>IMPLEMENTATION</w:t>
      </w:r>
      <w:r w:rsidRPr="00BA3EE3">
        <w:rPr>
          <w:rFonts w:asciiTheme="minorHAnsi" w:hAnsiTheme="minorHAnsi"/>
          <w:bCs/>
          <w:sz w:val="28"/>
          <w:szCs w:val="32"/>
          <w:lang w:val="en-GB"/>
        </w:rPr>
        <w:t xml:space="preserve"> </w:t>
      </w:r>
      <w:r w:rsidR="000B34D8">
        <w:rPr>
          <w:rFonts w:asciiTheme="minorHAnsi" w:hAnsiTheme="minorHAnsi"/>
          <w:bCs/>
          <w:sz w:val="28"/>
          <w:szCs w:val="32"/>
          <w:lang w:val="en-GB"/>
        </w:rPr>
        <w:t xml:space="preserve">OF </w:t>
      </w:r>
      <w:r w:rsidRPr="00BA3EE3">
        <w:rPr>
          <w:rFonts w:asciiTheme="minorHAnsi" w:hAnsiTheme="minorHAnsi"/>
          <w:bCs/>
          <w:sz w:val="28"/>
          <w:szCs w:val="32"/>
          <w:lang w:val="en-GB"/>
        </w:rPr>
        <w:t>RISK MANAGEMENT ARRANGEMENTS</w:t>
      </w:r>
      <w:r w:rsidR="000B34D8">
        <w:rPr>
          <w:rFonts w:asciiTheme="minorHAnsi" w:hAnsiTheme="minorHAnsi"/>
          <w:bCs/>
          <w:sz w:val="28"/>
          <w:szCs w:val="32"/>
          <w:lang w:val="en-GB"/>
        </w:rPr>
        <w:t xml:space="preserve"> AND ENSURING ONGOING ACCOUNTABILITY FOR RISK</w:t>
      </w:r>
      <w:r w:rsidR="00806053">
        <w:rPr>
          <w:rFonts w:asciiTheme="minorHAnsi" w:hAnsiTheme="minorHAnsi"/>
          <w:bCs/>
          <w:sz w:val="28"/>
          <w:szCs w:val="32"/>
          <w:lang w:val="en-GB"/>
        </w:rPr>
        <w:t>S</w:t>
      </w:r>
    </w:p>
    <w:p w:rsidR="00433F07" w:rsidRPr="00E864C0" w:rsidRDefault="00433F07" w:rsidP="00CC597D">
      <w:pPr>
        <w:spacing w:before="120" w:after="120"/>
        <w:jc w:val="both"/>
        <w:rPr>
          <w:rFonts w:asciiTheme="minorHAnsi" w:hAnsiTheme="minorHAnsi" w:cstheme="minorHAnsi"/>
          <w:b/>
        </w:rPr>
      </w:pPr>
    </w:p>
    <w:p w:rsidR="00CC597D" w:rsidRPr="00E864C0" w:rsidRDefault="009C49A2" w:rsidP="00CC597D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E864C0">
        <w:rPr>
          <w:rFonts w:asciiTheme="minorHAnsi" w:hAnsiTheme="minorHAnsi" w:cstheme="minorHAnsi"/>
          <w:b/>
        </w:rPr>
        <w:t>Introduction</w:t>
      </w:r>
    </w:p>
    <w:p w:rsidR="00E864C0" w:rsidRPr="00A725D4" w:rsidRDefault="00E864C0" w:rsidP="00CC597D">
      <w:pPr>
        <w:spacing w:before="120" w:after="120"/>
        <w:jc w:val="both"/>
        <w:rPr>
          <w:rFonts w:asciiTheme="minorHAnsi" w:hAnsiTheme="minorHAnsi" w:cstheme="minorHAnsi"/>
        </w:rPr>
      </w:pPr>
      <w:r w:rsidRPr="00E864C0">
        <w:rPr>
          <w:rFonts w:asciiTheme="minorHAnsi" w:hAnsiTheme="minorHAnsi" w:cstheme="minorHAnsi"/>
        </w:rPr>
        <w:t xml:space="preserve">With respect to </w:t>
      </w:r>
      <w:r w:rsidRPr="00A725D4">
        <w:rPr>
          <w:rFonts w:asciiTheme="minorHAnsi" w:hAnsiTheme="minorHAnsi" w:cstheme="minorHAnsi"/>
          <w:i/>
        </w:rPr>
        <w:t>strategic</w:t>
      </w:r>
      <w:r w:rsidRPr="00E864C0">
        <w:rPr>
          <w:rFonts w:asciiTheme="minorHAnsi" w:hAnsiTheme="minorHAnsi" w:cstheme="minorHAnsi"/>
        </w:rPr>
        <w:t xml:space="preserve"> risk management</w:t>
      </w:r>
      <w:r w:rsidR="00894BC5" w:rsidRPr="00BA3EE3">
        <w:rPr>
          <w:rStyle w:val="FootnoteReference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 xml:space="preserve">, IMAC noted in 2013 that there was </w:t>
      </w:r>
      <w:r w:rsidRPr="00E864C0">
        <w:rPr>
          <w:rFonts w:asciiTheme="minorHAnsi" w:hAnsiTheme="minorHAnsi" w:cstheme="minorHAnsi"/>
        </w:rPr>
        <w:t>progress towards systematic integrated risk management.</w:t>
      </w:r>
      <w:r>
        <w:rPr>
          <w:rFonts w:asciiTheme="minorHAnsi" w:hAnsiTheme="minorHAnsi" w:cstheme="minorHAnsi"/>
        </w:rPr>
        <w:t xml:space="preserve"> </w:t>
      </w:r>
      <w:r w:rsidRPr="00E864C0">
        <w:rPr>
          <w:rFonts w:asciiTheme="minorHAnsi" w:hAnsiTheme="minorHAnsi" w:cstheme="minorHAnsi"/>
        </w:rPr>
        <w:t>IMAC recommend</w:t>
      </w:r>
      <w:r>
        <w:rPr>
          <w:rFonts w:asciiTheme="minorHAnsi" w:hAnsiTheme="minorHAnsi" w:cstheme="minorHAnsi"/>
        </w:rPr>
        <w:t>ed</w:t>
      </w:r>
      <w:r w:rsidRPr="00E864C0">
        <w:rPr>
          <w:rFonts w:asciiTheme="minorHAnsi" w:hAnsiTheme="minorHAnsi" w:cstheme="minorHAnsi"/>
        </w:rPr>
        <w:t xml:space="preserve"> that ITU pursue development of systematic, enterprise-wide</w:t>
      </w:r>
      <w:r>
        <w:rPr>
          <w:rFonts w:asciiTheme="minorHAnsi" w:hAnsiTheme="minorHAnsi" w:cstheme="minorHAnsi"/>
        </w:rPr>
        <w:t xml:space="preserve"> </w:t>
      </w:r>
      <w:r w:rsidRPr="00A725D4">
        <w:rPr>
          <w:rFonts w:asciiTheme="minorHAnsi" w:hAnsiTheme="minorHAnsi" w:cstheme="minorHAnsi"/>
          <w:i/>
        </w:rPr>
        <w:t>strategic</w:t>
      </w:r>
      <w:r w:rsidRPr="00E864C0">
        <w:rPr>
          <w:rFonts w:asciiTheme="minorHAnsi" w:hAnsiTheme="minorHAnsi" w:cstheme="minorHAnsi"/>
        </w:rPr>
        <w:t xml:space="preserve"> risk management arrangements as a matter of priority so that risk management can be incorporated in the strategic planning p</w:t>
      </w:r>
      <w:r w:rsidR="00A725D4">
        <w:rPr>
          <w:rFonts w:asciiTheme="minorHAnsi" w:hAnsiTheme="minorHAnsi" w:cstheme="minorHAnsi"/>
        </w:rPr>
        <w:t>rocess for the period 2016-2019</w:t>
      </w:r>
      <w:r w:rsidRPr="00E864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E864C0">
        <w:rPr>
          <w:rFonts w:asciiTheme="minorHAnsi" w:hAnsiTheme="minorHAnsi" w:cstheme="minorHAnsi"/>
        </w:rPr>
        <w:t xml:space="preserve">Document </w:t>
      </w:r>
      <w:hyperlink r:id="rId13" w:history="1">
        <w:r w:rsidRPr="00E864C0">
          <w:rPr>
            <w:rStyle w:val="Hyperlink"/>
            <w:rFonts w:asciiTheme="minorHAnsi" w:hAnsiTheme="minorHAnsi" w:cstheme="minorHAnsi"/>
          </w:rPr>
          <w:t>C13/65</w:t>
        </w:r>
      </w:hyperlink>
      <w:r w:rsidR="00A725D4">
        <w:rPr>
          <w:rFonts w:asciiTheme="minorHAnsi" w:hAnsiTheme="minorHAnsi" w:cstheme="minorHAnsi"/>
        </w:rPr>
        <w:t>).</w:t>
      </w:r>
      <w:r w:rsidRPr="00A725D4">
        <w:rPr>
          <w:rFonts w:asciiTheme="minorHAnsi" w:hAnsiTheme="minorHAnsi" w:cstheme="minorHAnsi"/>
        </w:rPr>
        <w:t xml:space="preserve"> </w:t>
      </w:r>
      <w:r w:rsidR="00A725D4">
        <w:rPr>
          <w:rFonts w:asciiTheme="minorHAnsi" w:hAnsiTheme="minorHAnsi" w:cstheme="minorHAnsi"/>
        </w:rPr>
        <w:t>In the following years the organization carried out the</w:t>
      </w:r>
      <w:r w:rsidR="00BA3EE3">
        <w:rPr>
          <w:rFonts w:asciiTheme="minorHAnsi" w:hAnsiTheme="minorHAnsi" w:cstheme="minorHAnsi"/>
        </w:rPr>
        <w:t xml:space="preserve"> strategic</w:t>
      </w:r>
      <w:r w:rsidRPr="00A725D4">
        <w:rPr>
          <w:rFonts w:asciiTheme="minorHAnsi" w:hAnsiTheme="minorHAnsi" w:cstheme="minorHAnsi"/>
        </w:rPr>
        <w:t xml:space="preserve"> risk analysis </w:t>
      </w:r>
      <w:r w:rsidR="00A725D4">
        <w:rPr>
          <w:rFonts w:asciiTheme="minorHAnsi" w:hAnsiTheme="minorHAnsi" w:cstheme="minorHAnsi"/>
        </w:rPr>
        <w:t>that</w:t>
      </w:r>
      <w:r w:rsidRPr="00A725D4">
        <w:rPr>
          <w:rFonts w:asciiTheme="minorHAnsi" w:hAnsiTheme="minorHAnsi" w:cstheme="minorHAnsi"/>
        </w:rPr>
        <w:t xml:space="preserve"> </w:t>
      </w:r>
      <w:r w:rsidR="00A725D4">
        <w:rPr>
          <w:rFonts w:asciiTheme="minorHAnsi" w:hAnsiTheme="minorHAnsi" w:cstheme="minorHAnsi"/>
        </w:rPr>
        <w:t xml:space="preserve">is now </w:t>
      </w:r>
      <w:r w:rsidRPr="00A725D4">
        <w:rPr>
          <w:rFonts w:asciiTheme="minorHAnsi" w:hAnsiTheme="minorHAnsi" w:cstheme="minorHAnsi"/>
        </w:rPr>
        <w:t xml:space="preserve">reported yearly </w:t>
      </w:r>
      <w:r w:rsidR="00455DE8">
        <w:rPr>
          <w:rFonts w:asciiTheme="minorHAnsi" w:hAnsiTheme="minorHAnsi" w:cstheme="minorHAnsi"/>
        </w:rPr>
        <w:t xml:space="preserve">to Council </w:t>
      </w:r>
      <w:r w:rsidRPr="00A725D4">
        <w:rPr>
          <w:rFonts w:asciiTheme="minorHAnsi" w:hAnsiTheme="minorHAnsi" w:cstheme="minorHAnsi"/>
        </w:rPr>
        <w:t xml:space="preserve">in the </w:t>
      </w:r>
      <w:r w:rsidR="00A725D4">
        <w:rPr>
          <w:rFonts w:asciiTheme="minorHAnsi" w:hAnsiTheme="minorHAnsi" w:cstheme="minorHAnsi"/>
        </w:rPr>
        <w:t>rolling four-year operational p</w:t>
      </w:r>
      <w:r w:rsidRPr="00A725D4">
        <w:rPr>
          <w:rFonts w:asciiTheme="minorHAnsi" w:hAnsiTheme="minorHAnsi" w:cstheme="minorHAnsi"/>
        </w:rPr>
        <w:t>lan</w:t>
      </w:r>
      <w:r w:rsidR="00A725D4">
        <w:rPr>
          <w:rFonts w:asciiTheme="minorHAnsi" w:hAnsiTheme="minorHAnsi" w:cstheme="minorHAnsi"/>
        </w:rPr>
        <w:t xml:space="preserve">s (see </w:t>
      </w:r>
      <w:r w:rsidR="002E705B">
        <w:rPr>
          <w:rFonts w:asciiTheme="minorHAnsi" w:hAnsiTheme="minorHAnsi" w:cstheme="minorHAnsi"/>
        </w:rPr>
        <w:t xml:space="preserve">pages 11 to 13 of </w:t>
      </w:r>
      <w:r w:rsidR="00A725D4">
        <w:rPr>
          <w:rFonts w:asciiTheme="minorHAnsi" w:hAnsiTheme="minorHAnsi" w:cstheme="minorHAnsi"/>
        </w:rPr>
        <w:t xml:space="preserve">Document </w:t>
      </w:r>
      <w:hyperlink r:id="rId14" w:history="1">
        <w:r w:rsidR="00A725D4" w:rsidRPr="00A725D4">
          <w:rPr>
            <w:rStyle w:val="Hyperlink"/>
            <w:rFonts w:asciiTheme="minorHAnsi" w:hAnsiTheme="minorHAnsi" w:cstheme="minorHAnsi"/>
          </w:rPr>
          <w:t>C19/28</w:t>
        </w:r>
      </w:hyperlink>
      <w:r w:rsidR="00A725D4">
        <w:rPr>
          <w:rFonts w:asciiTheme="minorHAnsi" w:hAnsiTheme="minorHAnsi" w:cstheme="minorHAnsi"/>
        </w:rPr>
        <w:t xml:space="preserve"> for the latest version)</w:t>
      </w:r>
      <w:r w:rsidRPr="00A725D4">
        <w:rPr>
          <w:rFonts w:asciiTheme="minorHAnsi" w:hAnsiTheme="minorHAnsi" w:cstheme="minorHAnsi"/>
        </w:rPr>
        <w:t xml:space="preserve">. </w:t>
      </w:r>
      <w:r w:rsidR="00894BC5" w:rsidRPr="00A725D4">
        <w:rPr>
          <w:rFonts w:asciiTheme="minorHAnsi" w:hAnsiTheme="minorHAnsi" w:cstheme="minorHAnsi"/>
        </w:rPr>
        <w:t xml:space="preserve">This achievement was welcomed by Member States </w:t>
      </w:r>
      <w:r w:rsidR="00A725D4">
        <w:rPr>
          <w:rFonts w:asciiTheme="minorHAnsi" w:hAnsiTheme="minorHAnsi" w:cstheme="minorHAnsi"/>
        </w:rPr>
        <w:t>who expressed their appreciation to</w:t>
      </w:r>
      <w:r w:rsidR="00894BC5" w:rsidRPr="00A725D4">
        <w:rPr>
          <w:rFonts w:asciiTheme="minorHAnsi" w:hAnsiTheme="minorHAnsi" w:cstheme="minorHAnsi"/>
        </w:rPr>
        <w:t xml:space="preserve"> the </w:t>
      </w:r>
      <w:r w:rsidR="002E705B">
        <w:rPr>
          <w:rFonts w:asciiTheme="minorHAnsi" w:hAnsiTheme="minorHAnsi" w:cstheme="minorHAnsi"/>
        </w:rPr>
        <w:t>management</w:t>
      </w:r>
      <w:r w:rsidR="00894BC5" w:rsidRPr="00A725D4">
        <w:rPr>
          <w:rFonts w:asciiTheme="minorHAnsi" w:hAnsiTheme="minorHAnsi" w:cstheme="minorHAnsi"/>
        </w:rPr>
        <w:t xml:space="preserve"> </w:t>
      </w:r>
      <w:r w:rsidR="00A725D4">
        <w:rPr>
          <w:rFonts w:asciiTheme="minorHAnsi" w:hAnsiTheme="minorHAnsi" w:cstheme="minorHAnsi"/>
        </w:rPr>
        <w:t>on</w:t>
      </w:r>
      <w:r w:rsidR="00894BC5" w:rsidRPr="00A725D4">
        <w:rPr>
          <w:rFonts w:asciiTheme="minorHAnsi" w:hAnsiTheme="minorHAnsi" w:cstheme="minorHAnsi"/>
        </w:rPr>
        <w:t xml:space="preserve"> </w:t>
      </w:r>
      <w:r w:rsidR="00BA3EE3">
        <w:rPr>
          <w:rFonts w:asciiTheme="minorHAnsi" w:hAnsiTheme="minorHAnsi" w:cstheme="minorHAnsi"/>
        </w:rPr>
        <w:t xml:space="preserve">recent </w:t>
      </w:r>
      <w:r w:rsidR="00894BC5" w:rsidRPr="00A725D4">
        <w:rPr>
          <w:rFonts w:asciiTheme="minorHAnsi" w:hAnsiTheme="minorHAnsi" w:cstheme="minorHAnsi"/>
        </w:rPr>
        <w:t>Council sessions.</w:t>
      </w:r>
    </w:p>
    <w:p w:rsidR="00C81AB5" w:rsidRDefault="00E864C0" w:rsidP="00CC597D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However</w:t>
      </w:r>
      <w:r w:rsidR="00894BC5">
        <w:rPr>
          <w:rFonts w:asciiTheme="minorHAnsi" w:hAnsiTheme="minorHAnsi" w:cstheme="minorHAnsi"/>
        </w:rPr>
        <w:t xml:space="preserve">, the fraud case </w:t>
      </w:r>
      <w:r w:rsidR="0078701F">
        <w:rPr>
          <w:rFonts w:asciiTheme="minorHAnsi" w:hAnsiTheme="minorHAnsi" w:cstheme="minorHAnsi"/>
        </w:rPr>
        <w:t xml:space="preserve">of which the organization was victim </w:t>
      </w:r>
      <w:r w:rsidR="00BA3EE3">
        <w:rPr>
          <w:rFonts w:asciiTheme="minorHAnsi" w:hAnsiTheme="minorHAnsi" w:cstheme="minorHAnsi"/>
        </w:rPr>
        <w:t xml:space="preserve">lately </w:t>
      </w:r>
      <w:r w:rsidR="00894BC5">
        <w:rPr>
          <w:rFonts w:asciiTheme="minorHAnsi" w:hAnsiTheme="minorHAnsi" w:cstheme="minorHAnsi"/>
        </w:rPr>
        <w:t>(</w:t>
      </w:r>
      <w:r w:rsidR="00894BC5" w:rsidRPr="00A725D4">
        <w:rPr>
          <w:rFonts w:asciiTheme="minorHAnsi" w:hAnsiTheme="minorHAnsi" w:cstheme="minorHAnsi"/>
        </w:rPr>
        <w:t>Document</w:t>
      </w:r>
      <w:r w:rsidR="00A725D4" w:rsidRPr="00A725D4">
        <w:rPr>
          <w:rFonts w:asciiTheme="minorHAnsi" w:hAnsiTheme="minorHAnsi" w:cstheme="minorHAnsi"/>
        </w:rPr>
        <w:t>s</w:t>
      </w:r>
      <w:r w:rsidR="00894BC5" w:rsidRPr="00A725D4">
        <w:rPr>
          <w:rFonts w:asciiTheme="minorHAnsi" w:hAnsiTheme="minorHAnsi" w:cstheme="minorHAnsi"/>
        </w:rPr>
        <w:t xml:space="preserve"> </w:t>
      </w:r>
      <w:hyperlink r:id="rId15" w:history="1">
        <w:r w:rsidR="00894BC5" w:rsidRPr="00A725D4">
          <w:rPr>
            <w:rStyle w:val="Hyperlink"/>
            <w:rFonts w:asciiTheme="minorHAnsi" w:hAnsiTheme="minorHAnsi" w:cstheme="minorHAnsi"/>
          </w:rPr>
          <w:t>C19/</w:t>
        </w:r>
        <w:r w:rsidR="00A725D4" w:rsidRPr="00A725D4">
          <w:rPr>
            <w:rStyle w:val="Hyperlink"/>
            <w:rFonts w:asciiTheme="minorHAnsi" w:hAnsiTheme="minorHAnsi" w:cstheme="minorHAnsi"/>
          </w:rPr>
          <w:t>106</w:t>
        </w:r>
      </w:hyperlink>
      <w:r w:rsidR="00A725D4" w:rsidRPr="00A725D4">
        <w:rPr>
          <w:rFonts w:asciiTheme="minorHAnsi" w:hAnsiTheme="minorHAnsi" w:cstheme="minorHAnsi"/>
        </w:rPr>
        <w:t xml:space="preserve"> and </w:t>
      </w:r>
      <w:hyperlink r:id="rId16" w:history="1">
        <w:r w:rsidR="00A725D4" w:rsidRPr="00A725D4">
          <w:rPr>
            <w:rStyle w:val="Hyperlink"/>
            <w:rFonts w:asciiTheme="minorHAnsi" w:hAnsiTheme="minorHAnsi" w:cstheme="minorHAnsi"/>
          </w:rPr>
          <w:t>C19/108</w:t>
        </w:r>
      </w:hyperlink>
      <w:r w:rsidR="00894BC5">
        <w:rPr>
          <w:rFonts w:asciiTheme="minorHAnsi" w:hAnsiTheme="minorHAnsi" w:cstheme="minorHAnsi"/>
        </w:rPr>
        <w:t xml:space="preserve">) brought to light </w:t>
      </w:r>
      <w:r w:rsidR="00455DE8">
        <w:rPr>
          <w:rFonts w:asciiTheme="minorHAnsi" w:hAnsiTheme="minorHAnsi" w:cstheme="minorHAnsi"/>
        </w:rPr>
        <w:t xml:space="preserve">serious </w:t>
      </w:r>
      <w:r w:rsidR="00894BC5">
        <w:rPr>
          <w:rFonts w:asciiTheme="minorHAnsi" w:hAnsiTheme="minorHAnsi" w:cstheme="minorHAnsi"/>
        </w:rPr>
        <w:t xml:space="preserve">weaknesses of aspects of the risk management arrangements of the organization. In </w:t>
      </w:r>
      <w:r w:rsidR="00AB5C08">
        <w:rPr>
          <w:rFonts w:asciiTheme="minorHAnsi" w:hAnsiTheme="minorHAnsi" w:cstheme="minorHAnsi"/>
        </w:rPr>
        <w:t>particular,</w:t>
      </w:r>
      <w:r w:rsidR="00894BC5">
        <w:rPr>
          <w:rFonts w:asciiTheme="minorHAnsi" w:hAnsiTheme="minorHAnsi" w:cstheme="minorHAnsi"/>
        </w:rPr>
        <w:t xml:space="preserve"> it seems that many arrangements </w:t>
      </w:r>
      <w:r w:rsidR="00BA3EE3">
        <w:rPr>
          <w:rFonts w:asciiTheme="minorHAnsi" w:hAnsiTheme="minorHAnsi" w:cstheme="minorHAnsi"/>
        </w:rPr>
        <w:t>for the management of</w:t>
      </w:r>
      <w:r w:rsidR="00894BC5">
        <w:rPr>
          <w:rFonts w:asciiTheme="minorHAnsi" w:hAnsiTheme="minorHAnsi" w:cstheme="minorHAnsi"/>
        </w:rPr>
        <w:t xml:space="preserve"> </w:t>
      </w:r>
      <w:r w:rsidR="00894BC5" w:rsidRPr="00BA3EE3">
        <w:rPr>
          <w:rFonts w:asciiTheme="minorHAnsi" w:hAnsiTheme="minorHAnsi" w:cstheme="minorHAnsi"/>
          <w:i/>
        </w:rPr>
        <w:t>operational</w:t>
      </w:r>
      <w:r w:rsidR="00894BC5">
        <w:rPr>
          <w:rFonts w:asciiTheme="minorHAnsi" w:hAnsiTheme="minorHAnsi" w:cstheme="minorHAnsi"/>
        </w:rPr>
        <w:t xml:space="preserve"> risks</w:t>
      </w:r>
      <w:r w:rsidR="00C83D4D" w:rsidRPr="00BA3EE3">
        <w:rPr>
          <w:rStyle w:val="FootnoteReference"/>
          <w:rFonts w:asciiTheme="minorHAnsi" w:hAnsiTheme="minorHAnsi" w:cstheme="minorHAnsi"/>
        </w:rPr>
        <w:footnoteReference w:id="3"/>
      </w:r>
      <w:r w:rsidR="00894BC5">
        <w:rPr>
          <w:rFonts w:asciiTheme="minorHAnsi" w:hAnsiTheme="minorHAnsi" w:cstheme="minorHAnsi"/>
        </w:rPr>
        <w:t xml:space="preserve"> are missing or incomplete.</w:t>
      </w:r>
      <w:r w:rsidR="00BA3EE3">
        <w:rPr>
          <w:rFonts w:asciiTheme="minorHAnsi" w:hAnsiTheme="minorHAnsi" w:cstheme="minorHAnsi"/>
        </w:rPr>
        <w:t xml:space="preserve"> </w:t>
      </w:r>
    </w:p>
    <w:p w:rsidR="00A4419B" w:rsidRDefault="00A4419B" w:rsidP="00CC597D">
      <w:pPr>
        <w:spacing w:before="120" w:after="120"/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In the wake of the fraud case, </w:t>
      </w:r>
      <w:r w:rsidR="00BA3EE3" w:rsidRPr="00BA3EE3">
        <w:rPr>
          <w:rFonts w:asciiTheme="minorHAnsi" w:hAnsiTheme="minorHAnsi" w:cstheme="majorBidi"/>
        </w:rPr>
        <w:t>IMAC urge</w:t>
      </w:r>
      <w:r w:rsidR="00BA3EE3">
        <w:rPr>
          <w:rFonts w:asciiTheme="minorHAnsi" w:hAnsiTheme="minorHAnsi" w:cstheme="majorBidi"/>
        </w:rPr>
        <w:t>d</w:t>
      </w:r>
      <w:r w:rsidR="00BA3EE3" w:rsidRPr="00BA3EE3">
        <w:rPr>
          <w:rFonts w:asciiTheme="minorHAnsi" w:hAnsiTheme="minorHAnsi" w:cstheme="majorBidi"/>
        </w:rPr>
        <w:t xml:space="preserve"> Council to </w:t>
      </w:r>
      <w:r w:rsidR="00BA3EE3" w:rsidRPr="00AB5C08">
        <w:rPr>
          <w:rFonts w:asciiTheme="minorHAnsi" w:hAnsiTheme="minorHAnsi" w:cstheme="majorBidi"/>
        </w:rPr>
        <w:t>ensure prompt and effective remedial action</w:t>
      </w:r>
      <w:r w:rsidR="00BA3EE3" w:rsidRPr="00BA3EE3">
        <w:rPr>
          <w:rFonts w:asciiTheme="minorHAnsi" w:hAnsiTheme="minorHAnsi" w:cstheme="majorBidi"/>
        </w:rPr>
        <w:t xml:space="preserve"> and follow-up on the implem</w:t>
      </w:r>
      <w:r>
        <w:rPr>
          <w:rFonts w:asciiTheme="minorHAnsi" w:hAnsiTheme="minorHAnsi" w:cstheme="majorBidi"/>
        </w:rPr>
        <w:t xml:space="preserve">entation of, amongst others, its </w:t>
      </w:r>
      <w:r w:rsidRPr="00A4419B">
        <w:rPr>
          <w:rFonts w:asciiTheme="minorHAnsi" w:hAnsiTheme="minorHAnsi" w:cstheme="majorBidi"/>
          <w:bCs/>
        </w:rPr>
        <w:t>Recommendation 2 (2019)</w:t>
      </w:r>
      <w:r w:rsidRPr="00433F07">
        <w:rPr>
          <w:rFonts w:asciiTheme="minorHAnsi" w:hAnsiTheme="minorHAnsi" w:cstheme="majorBidi"/>
        </w:rPr>
        <w:t xml:space="preserve"> </w:t>
      </w:r>
      <w:r>
        <w:rPr>
          <w:rFonts w:asciiTheme="minorHAnsi" w:hAnsiTheme="minorHAnsi" w:cstheme="majorBidi"/>
        </w:rPr>
        <w:t>according to which the</w:t>
      </w:r>
      <w:r w:rsidRPr="00433F07">
        <w:rPr>
          <w:rFonts w:asciiTheme="minorHAnsi" w:hAnsiTheme="minorHAnsi" w:cstheme="majorBidi"/>
        </w:rPr>
        <w:t xml:space="preserve"> secretariat prepare a risk register identifying clear risk owners across Sectors, regions and the General Secretariat</w:t>
      </w:r>
      <w:r w:rsidR="00BA3EE3" w:rsidRPr="00BA3EE3">
        <w:rPr>
          <w:rFonts w:asciiTheme="minorHAnsi" w:hAnsiTheme="minorHAnsi" w:cstheme="minorHAnsi"/>
        </w:rPr>
        <w:t xml:space="preserve"> </w:t>
      </w:r>
      <w:r w:rsidR="00BA3EE3">
        <w:rPr>
          <w:rFonts w:asciiTheme="minorHAnsi" w:hAnsiTheme="minorHAnsi" w:cstheme="minorHAnsi"/>
        </w:rPr>
        <w:t>(</w:t>
      </w:r>
      <w:r w:rsidR="00BA3EE3">
        <w:rPr>
          <w:rFonts w:asciiTheme="minorHAnsi" w:hAnsiTheme="minorHAnsi" w:cstheme="majorBidi"/>
        </w:rPr>
        <w:t xml:space="preserve">Documents </w:t>
      </w:r>
      <w:hyperlink r:id="rId17" w:history="1">
        <w:r w:rsidR="00BA3EE3" w:rsidRPr="00433F07">
          <w:rPr>
            <w:rStyle w:val="Hyperlink"/>
            <w:rFonts w:asciiTheme="minorHAnsi" w:hAnsiTheme="minorHAnsi" w:cstheme="majorBidi"/>
          </w:rPr>
          <w:t>C19/22</w:t>
        </w:r>
      </w:hyperlink>
      <w:r w:rsidR="00BA3EE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ajorBidi"/>
        </w:rPr>
        <w:t>.</w:t>
      </w:r>
    </w:p>
    <w:p w:rsidR="00BA3EE3" w:rsidRDefault="00455DE8" w:rsidP="00CC597D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ajorBidi"/>
        </w:rPr>
        <w:t>T</w:t>
      </w:r>
      <w:r w:rsidR="00A4419B">
        <w:rPr>
          <w:rFonts w:asciiTheme="minorHAnsi" w:hAnsiTheme="minorHAnsi" w:cstheme="majorBidi"/>
        </w:rPr>
        <w:t xml:space="preserve">he external auditor examined </w:t>
      </w:r>
      <w:r w:rsidR="00A4419B" w:rsidRPr="002545C3">
        <w:rPr>
          <w:rFonts w:asciiTheme="minorHAnsi" w:hAnsiTheme="minorHAnsi" w:cstheme="majorBidi"/>
        </w:rPr>
        <w:t xml:space="preserve">the ability of the existing internal control frameworks to </w:t>
      </w:r>
      <w:r w:rsidR="00A4419B" w:rsidRPr="00AB5C08">
        <w:rPr>
          <w:rFonts w:asciiTheme="minorHAnsi" w:hAnsiTheme="minorHAnsi" w:cstheme="majorBidi"/>
        </w:rPr>
        <w:t>ensure effective risk mitigation and to protect the resources of the organization</w:t>
      </w:r>
      <w:r w:rsidR="00A4419B" w:rsidRPr="002545C3">
        <w:rPr>
          <w:rFonts w:asciiTheme="minorHAnsi" w:hAnsiTheme="minorHAnsi" w:cstheme="majorBidi"/>
        </w:rPr>
        <w:t xml:space="preserve">. </w:t>
      </w:r>
      <w:r w:rsidR="00A4419B">
        <w:rPr>
          <w:rFonts w:asciiTheme="minorHAnsi" w:hAnsiTheme="minorHAnsi" w:cstheme="majorBidi"/>
        </w:rPr>
        <w:t>It</w:t>
      </w:r>
      <w:r w:rsidR="00A4419B" w:rsidRPr="002545C3">
        <w:rPr>
          <w:rFonts w:asciiTheme="minorHAnsi" w:hAnsiTheme="minorHAnsi" w:cstheme="majorBidi"/>
        </w:rPr>
        <w:t xml:space="preserve"> identified a number of</w:t>
      </w:r>
      <w:r w:rsidR="00A4419B">
        <w:rPr>
          <w:rFonts w:asciiTheme="minorHAnsi" w:hAnsiTheme="minorHAnsi" w:cstheme="majorBidi"/>
        </w:rPr>
        <w:t xml:space="preserve"> significant</w:t>
      </w:r>
      <w:r w:rsidR="00A4419B" w:rsidRPr="002545C3">
        <w:rPr>
          <w:rFonts w:asciiTheme="minorHAnsi" w:hAnsiTheme="minorHAnsi" w:cstheme="majorBidi"/>
        </w:rPr>
        <w:t xml:space="preserve"> shortcomings </w:t>
      </w:r>
      <w:r w:rsidR="00A4419B" w:rsidRPr="00AB5C08">
        <w:rPr>
          <w:rFonts w:asciiTheme="minorHAnsi" w:hAnsiTheme="minorHAnsi" w:cstheme="majorBidi"/>
        </w:rPr>
        <w:t>in the internal control system, with particular regard to risk management and controls</w:t>
      </w:r>
      <w:r w:rsidR="00A4419B" w:rsidRPr="002545C3">
        <w:rPr>
          <w:rFonts w:asciiTheme="minorHAnsi" w:hAnsiTheme="minorHAnsi" w:cstheme="majorBidi"/>
        </w:rPr>
        <w:t xml:space="preserve"> and poor accountability mechanisms.</w:t>
      </w:r>
      <w:r w:rsidR="00A4419B" w:rsidRPr="00AB5C08">
        <w:rPr>
          <w:rFonts w:asciiTheme="minorHAnsi" w:hAnsiTheme="minorHAnsi" w:cstheme="majorBidi"/>
        </w:rPr>
        <w:t xml:space="preserve"> The </w:t>
      </w:r>
      <w:r w:rsidR="00A4419B">
        <w:rPr>
          <w:rFonts w:asciiTheme="minorHAnsi" w:hAnsiTheme="minorHAnsi" w:cstheme="majorBidi"/>
        </w:rPr>
        <w:t xml:space="preserve">Corte </w:t>
      </w:r>
      <w:proofErr w:type="spellStart"/>
      <w:r w:rsidR="00A4419B">
        <w:rPr>
          <w:rFonts w:asciiTheme="minorHAnsi" w:hAnsiTheme="minorHAnsi" w:cstheme="majorBidi"/>
        </w:rPr>
        <w:t>dei</w:t>
      </w:r>
      <w:proofErr w:type="spellEnd"/>
      <w:r w:rsidR="00A4419B">
        <w:rPr>
          <w:rFonts w:asciiTheme="minorHAnsi" w:hAnsiTheme="minorHAnsi" w:cstheme="majorBidi"/>
        </w:rPr>
        <w:t xml:space="preserve"> Conti</w:t>
      </w:r>
      <w:r w:rsidR="00A4419B" w:rsidRPr="00AB5C08">
        <w:rPr>
          <w:rFonts w:asciiTheme="minorHAnsi" w:hAnsiTheme="minorHAnsi" w:cstheme="majorBidi"/>
        </w:rPr>
        <w:t xml:space="preserve"> judged that </w:t>
      </w:r>
      <w:r w:rsidR="005C0392">
        <w:rPr>
          <w:rFonts w:asciiTheme="minorHAnsi" w:hAnsiTheme="minorHAnsi" w:cstheme="majorBidi"/>
        </w:rPr>
        <w:t>if</w:t>
      </w:r>
      <w:r w:rsidR="005C0392" w:rsidRPr="00AB5C08">
        <w:rPr>
          <w:rFonts w:asciiTheme="minorHAnsi" w:hAnsiTheme="minorHAnsi" w:cstheme="majorBidi"/>
        </w:rPr>
        <w:t xml:space="preserve"> </w:t>
      </w:r>
      <w:r w:rsidR="00AB5C08" w:rsidRPr="00AB5C08">
        <w:rPr>
          <w:rFonts w:asciiTheme="minorHAnsi" w:hAnsiTheme="minorHAnsi" w:cstheme="majorBidi"/>
        </w:rPr>
        <w:t xml:space="preserve">its </w:t>
      </w:r>
      <w:r w:rsidR="00A4419B" w:rsidRPr="00AB5C08">
        <w:rPr>
          <w:rFonts w:asciiTheme="minorHAnsi" w:hAnsiTheme="minorHAnsi" w:cstheme="majorBidi"/>
        </w:rPr>
        <w:t xml:space="preserve">recommendations provided in </w:t>
      </w:r>
      <w:r w:rsidR="002E705B">
        <w:rPr>
          <w:rFonts w:asciiTheme="minorHAnsi" w:hAnsiTheme="minorHAnsi" w:cstheme="majorBidi"/>
        </w:rPr>
        <w:t>previous r</w:t>
      </w:r>
      <w:r w:rsidR="00A4419B" w:rsidRPr="00AB5C08">
        <w:rPr>
          <w:rFonts w:asciiTheme="minorHAnsi" w:hAnsiTheme="minorHAnsi" w:cstheme="majorBidi"/>
        </w:rPr>
        <w:t xml:space="preserve">eports </w:t>
      </w:r>
      <w:r w:rsidR="005C0392">
        <w:rPr>
          <w:rFonts w:asciiTheme="minorHAnsi" w:hAnsiTheme="minorHAnsi" w:cstheme="majorBidi"/>
        </w:rPr>
        <w:t xml:space="preserve">had </w:t>
      </w:r>
      <w:r w:rsidR="00AB5C08">
        <w:rPr>
          <w:rFonts w:asciiTheme="minorHAnsi" w:hAnsiTheme="minorHAnsi" w:cstheme="majorBidi"/>
        </w:rPr>
        <w:t xml:space="preserve">been </w:t>
      </w:r>
      <w:r w:rsidR="00A4419B" w:rsidRPr="00AB5C08">
        <w:rPr>
          <w:rFonts w:asciiTheme="minorHAnsi" w:hAnsiTheme="minorHAnsi" w:cstheme="majorBidi"/>
        </w:rPr>
        <w:t>promptly implemented the risk of fraud</w:t>
      </w:r>
      <w:r w:rsidR="00AB5C08" w:rsidRPr="00AB5C08">
        <w:rPr>
          <w:rFonts w:asciiTheme="minorHAnsi" w:hAnsiTheme="minorHAnsi" w:cstheme="majorBidi"/>
        </w:rPr>
        <w:t xml:space="preserve"> might have been limited</w:t>
      </w:r>
      <w:r w:rsidR="00A4419B">
        <w:rPr>
          <w:rFonts w:asciiTheme="minorHAnsi" w:hAnsiTheme="minorHAnsi" w:cstheme="majorBidi"/>
        </w:rPr>
        <w:t xml:space="preserve"> </w:t>
      </w:r>
      <w:r w:rsidR="00BA3EE3" w:rsidRPr="00AB5C08">
        <w:rPr>
          <w:rFonts w:asciiTheme="minorHAnsi" w:hAnsiTheme="minorHAnsi" w:cstheme="majorBidi"/>
        </w:rPr>
        <w:t>(D</w:t>
      </w:r>
      <w:r w:rsidR="00BA3EE3">
        <w:rPr>
          <w:rFonts w:asciiTheme="minorHAnsi" w:hAnsiTheme="minorHAnsi" w:cstheme="minorHAnsi"/>
        </w:rPr>
        <w:t xml:space="preserve">ocument </w:t>
      </w:r>
      <w:hyperlink r:id="rId18" w:history="1">
        <w:r w:rsidR="00BA3EE3" w:rsidRPr="002545C3">
          <w:rPr>
            <w:rStyle w:val="Hyperlink"/>
            <w:rFonts w:asciiTheme="minorHAnsi" w:hAnsiTheme="minorHAnsi" w:cstheme="majorBidi"/>
          </w:rPr>
          <w:t>C19/40</w:t>
        </w:r>
      </w:hyperlink>
      <w:r w:rsidR="00BA3EE3">
        <w:rPr>
          <w:rFonts w:asciiTheme="minorHAnsi" w:hAnsiTheme="minorHAnsi" w:cstheme="minorHAnsi"/>
        </w:rPr>
        <w:t>)</w:t>
      </w:r>
      <w:r w:rsidR="00AB5C08">
        <w:rPr>
          <w:rFonts w:asciiTheme="minorHAnsi" w:hAnsiTheme="minorHAnsi" w:cstheme="minorHAnsi"/>
        </w:rPr>
        <w:t>.</w:t>
      </w:r>
    </w:p>
    <w:p w:rsidR="007E6563" w:rsidRDefault="00F66BA8" w:rsidP="00CC597D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7E6563">
        <w:rPr>
          <w:rFonts w:asciiTheme="minorHAnsi" w:hAnsiTheme="minorHAnsi" w:cstheme="minorHAnsi"/>
        </w:rPr>
        <w:t xml:space="preserve">ffective risk management would </w:t>
      </w:r>
      <w:r>
        <w:rPr>
          <w:rFonts w:asciiTheme="minorHAnsi" w:hAnsiTheme="minorHAnsi" w:cstheme="minorHAnsi"/>
        </w:rPr>
        <w:t xml:space="preserve">also </w:t>
      </w:r>
      <w:r w:rsidR="007E6563">
        <w:rPr>
          <w:rFonts w:asciiTheme="minorHAnsi" w:hAnsiTheme="minorHAnsi" w:cstheme="minorHAnsi"/>
        </w:rPr>
        <w:t xml:space="preserve">be helpful in the ongoing </w:t>
      </w:r>
      <w:r>
        <w:rPr>
          <w:rFonts w:asciiTheme="minorHAnsi" w:hAnsiTheme="minorHAnsi" w:cstheme="minorHAnsi"/>
        </w:rPr>
        <w:t xml:space="preserve">navigation of challenges around </w:t>
      </w:r>
      <w:r w:rsidR="007E6563">
        <w:rPr>
          <w:rFonts w:asciiTheme="minorHAnsi" w:hAnsiTheme="minorHAnsi" w:cstheme="minorHAnsi"/>
        </w:rPr>
        <w:t>the new ITU building.</w:t>
      </w:r>
      <w:r>
        <w:rPr>
          <w:rFonts w:asciiTheme="minorHAnsi" w:hAnsiTheme="minorHAnsi" w:cstheme="minorHAnsi"/>
        </w:rPr>
        <w:t xml:space="preserve"> However, a systematic approach to risk management should be comprehensive.</w:t>
      </w:r>
    </w:p>
    <w:p w:rsidR="00E363DC" w:rsidRPr="003F5E5E" w:rsidRDefault="00E363DC" w:rsidP="002F4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</w:rPr>
      </w:pPr>
      <w:r w:rsidRPr="003F5E5E">
        <w:rPr>
          <w:rFonts w:asciiTheme="minorHAnsi" w:hAnsiTheme="minorHAnsi" w:cstheme="minorHAnsi"/>
        </w:rPr>
        <w:lastRenderedPageBreak/>
        <w:t xml:space="preserve">We welcome and fully support the organization’s objective to become a leading organization in the sense of the maturity model for </w:t>
      </w:r>
      <w:r w:rsidRPr="003F5E5E">
        <w:rPr>
          <w:rFonts w:asciiTheme="minorHAnsi" w:hAnsiTheme="minorHAnsi" w:cstheme="minorHAnsi"/>
          <w:lang w:val="en-GB"/>
        </w:rPr>
        <w:t xml:space="preserve">risk management in the UN system (Document </w:t>
      </w:r>
      <w:hyperlink r:id="rId19" w:history="1">
        <w:r w:rsidRPr="003F5E5E">
          <w:rPr>
            <w:rStyle w:val="Hyperlink"/>
            <w:rFonts w:asciiTheme="minorHAnsi" w:hAnsiTheme="minorHAnsi" w:cstheme="minorHAnsi"/>
            <w:lang w:val="en-GB"/>
          </w:rPr>
          <w:t>CWG-FHR-10/8</w:t>
        </w:r>
      </w:hyperlink>
      <w:r w:rsidRPr="003F5E5E">
        <w:rPr>
          <w:rFonts w:asciiTheme="minorHAnsi" w:hAnsiTheme="minorHAnsi" w:cstheme="minorHAnsi"/>
          <w:lang w:val="en-GB"/>
        </w:rPr>
        <w:t xml:space="preserve">). </w:t>
      </w:r>
      <w:r w:rsidR="002F4C7B" w:rsidRPr="003F5E5E">
        <w:rPr>
          <w:rFonts w:asciiTheme="minorHAnsi" w:hAnsiTheme="minorHAnsi" w:cstheme="minorHAnsi"/>
          <w:lang w:val="en-GB"/>
        </w:rPr>
        <w:t>However, we believe that setting up a risk governance structure in the organization and implement staff accountability for managing risks cannot wait until Council 2021</w:t>
      </w:r>
      <w:r w:rsidR="00806053" w:rsidRPr="003F5E5E">
        <w:rPr>
          <w:rFonts w:asciiTheme="minorHAnsi" w:hAnsiTheme="minorHAnsi" w:cstheme="minorHAnsi"/>
          <w:lang w:val="en-GB"/>
        </w:rPr>
        <w:t xml:space="preserve"> and PP-22.</w:t>
      </w:r>
      <w:r w:rsidR="002F4C7B" w:rsidRPr="003F5E5E">
        <w:rPr>
          <w:rFonts w:asciiTheme="minorHAnsi" w:hAnsiTheme="minorHAnsi" w:cstheme="minorHAnsi"/>
          <w:lang w:val="en-GB"/>
        </w:rPr>
        <w:t xml:space="preserve"> </w:t>
      </w:r>
      <w:r w:rsidR="00F66BA8" w:rsidRPr="003F5E5E">
        <w:rPr>
          <w:rFonts w:asciiTheme="minorHAnsi" w:hAnsiTheme="minorHAnsi" w:cstheme="minorHAnsi"/>
          <w:lang w:val="en-GB"/>
        </w:rPr>
        <w:t xml:space="preserve">While a broader model is being </w:t>
      </w:r>
      <w:r w:rsidR="003F5E5E">
        <w:rPr>
          <w:rFonts w:asciiTheme="minorHAnsi" w:hAnsiTheme="minorHAnsi" w:cstheme="minorHAnsi"/>
          <w:lang w:val="en-GB"/>
        </w:rPr>
        <w:t>implemented</w:t>
      </w:r>
      <w:r w:rsidR="00F66BA8" w:rsidRPr="003F5E5E">
        <w:rPr>
          <w:rFonts w:asciiTheme="minorHAnsi" w:hAnsiTheme="minorHAnsi" w:cstheme="minorHAnsi"/>
          <w:lang w:val="en-GB"/>
        </w:rPr>
        <w:t>, ITU members should have a clear understanding of the current risks faced by the organisation, and the accountability of specific individuals for managing these risks.</w:t>
      </w:r>
    </w:p>
    <w:p w:rsidR="00AB5C08" w:rsidRDefault="00E363DC" w:rsidP="00CC597D">
      <w:pPr>
        <w:spacing w:before="120" w:after="120"/>
        <w:jc w:val="both"/>
        <w:rPr>
          <w:rFonts w:asciiTheme="minorHAnsi" w:hAnsiTheme="minorHAnsi" w:cstheme="majorBidi"/>
        </w:rPr>
      </w:pPr>
      <w:r w:rsidRPr="003F5E5E">
        <w:rPr>
          <w:rFonts w:asciiTheme="minorHAnsi" w:hAnsiTheme="minorHAnsi" w:cstheme="minorHAnsi"/>
        </w:rPr>
        <w:t>Due to the necessity to</w:t>
      </w:r>
      <w:r w:rsidRPr="003F5E5E">
        <w:rPr>
          <w:rFonts w:asciiTheme="minorHAnsi" w:hAnsiTheme="minorHAnsi" w:cstheme="majorBidi"/>
        </w:rPr>
        <w:t xml:space="preserve"> initiate immediately effective remedial actions relating to risk management, controls and accountability, </w:t>
      </w:r>
      <w:r w:rsidR="006D3668" w:rsidRPr="003F5E5E">
        <w:rPr>
          <w:rFonts w:asciiTheme="minorHAnsi" w:hAnsiTheme="minorHAnsi" w:cstheme="majorBidi"/>
        </w:rPr>
        <w:t xml:space="preserve">it is proposed </w:t>
      </w:r>
      <w:r w:rsidR="002E705B" w:rsidRPr="003F5E5E">
        <w:rPr>
          <w:rFonts w:asciiTheme="minorHAnsi" w:hAnsiTheme="minorHAnsi" w:cstheme="majorBidi"/>
        </w:rPr>
        <w:t>to accelerate</w:t>
      </w:r>
      <w:r w:rsidR="00AB5C08" w:rsidRPr="003F5E5E">
        <w:rPr>
          <w:rFonts w:asciiTheme="minorHAnsi" w:hAnsiTheme="minorHAnsi" w:cstheme="majorBidi"/>
        </w:rPr>
        <w:t xml:space="preserve"> </w:t>
      </w:r>
      <w:r w:rsidRPr="003F5E5E">
        <w:rPr>
          <w:rFonts w:asciiTheme="minorHAnsi" w:hAnsiTheme="minorHAnsi" w:cstheme="majorBidi"/>
        </w:rPr>
        <w:t xml:space="preserve">the </w:t>
      </w:r>
      <w:r w:rsidR="006D3668" w:rsidRPr="003F5E5E">
        <w:rPr>
          <w:rFonts w:asciiTheme="minorHAnsi" w:hAnsiTheme="minorHAnsi" w:cstheme="majorBidi"/>
        </w:rPr>
        <w:t>implementation</w:t>
      </w:r>
      <w:r w:rsidRPr="003F5E5E">
        <w:rPr>
          <w:rFonts w:asciiTheme="minorHAnsi" w:hAnsiTheme="minorHAnsi" w:cstheme="majorBidi"/>
        </w:rPr>
        <w:t xml:space="preserve"> of </w:t>
      </w:r>
      <w:r w:rsidR="002E705B" w:rsidRPr="003F5E5E">
        <w:rPr>
          <w:rFonts w:asciiTheme="minorHAnsi" w:hAnsiTheme="minorHAnsi" w:cstheme="majorBidi"/>
        </w:rPr>
        <w:t>systematic, enterprise-wide</w:t>
      </w:r>
      <w:r w:rsidR="003852D2" w:rsidRPr="003F5E5E">
        <w:rPr>
          <w:rFonts w:asciiTheme="minorHAnsi" w:hAnsiTheme="minorHAnsi" w:cstheme="majorBidi"/>
        </w:rPr>
        <w:t>, and integrated</w:t>
      </w:r>
      <w:r w:rsidR="002E705B" w:rsidRPr="003F5E5E">
        <w:rPr>
          <w:rFonts w:asciiTheme="minorHAnsi" w:hAnsiTheme="minorHAnsi" w:cstheme="majorBidi"/>
        </w:rPr>
        <w:t xml:space="preserve"> </w:t>
      </w:r>
      <w:r w:rsidR="00AB5C08" w:rsidRPr="003F5E5E">
        <w:rPr>
          <w:rFonts w:asciiTheme="minorHAnsi" w:hAnsiTheme="minorHAnsi" w:cstheme="majorBidi"/>
        </w:rPr>
        <w:t>operational risk management and controls</w:t>
      </w:r>
      <w:r w:rsidR="002E705B" w:rsidRPr="003F5E5E">
        <w:rPr>
          <w:rFonts w:asciiTheme="minorHAnsi" w:hAnsiTheme="minorHAnsi" w:cstheme="majorBidi"/>
        </w:rPr>
        <w:t xml:space="preserve"> for ITU. </w:t>
      </w:r>
      <w:r w:rsidR="006D3668" w:rsidRPr="003F5E5E">
        <w:rPr>
          <w:rFonts w:asciiTheme="minorHAnsi" w:hAnsiTheme="minorHAnsi" w:cstheme="majorBidi"/>
        </w:rPr>
        <w:t>In particular the Governance and Organizational Structure shall be proposed as being at advanced level by Council 2020.</w:t>
      </w:r>
    </w:p>
    <w:p w:rsidR="002E705B" w:rsidRDefault="002E705B" w:rsidP="00CC597D">
      <w:pPr>
        <w:spacing w:before="120" w:after="120"/>
        <w:jc w:val="both"/>
        <w:rPr>
          <w:rFonts w:asciiTheme="minorHAnsi" w:hAnsiTheme="minorHAnsi" w:cstheme="majorBidi"/>
        </w:rPr>
      </w:pPr>
    </w:p>
    <w:p w:rsidR="009C49A2" w:rsidRPr="009C49A2" w:rsidRDefault="009C49A2" w:rsidP="00CC597D">
      <w:pPr>
        <w:spacing w:before="120" w:after="120"/>
        <w:jc w:val="both"/>
        <w:rPr>
          <w:rFonts w:asciiTheme="minorHAnsi" w:hAnsiTheme="minorHAnsi" w:cstheme="majorBidi"/>
          <w:b/>
        </w:rPr>
      </w:pPr>
      <w:r w:rsidRPr="009C49A2">
        <w:rPr>
          <w:rFonts w:asciiTheme="minorHAnsi" w:hAnsiTheme="minorHAnsi" w:cstheme="majorBidi"/>
          <w:b/>
        </w:rPr>
        <w:t>Proposal</w:t>
      </w:r>
    </w:p>
    <w:p w:rsidR="00241E36" w:rsidRDefault="00BF6093" w:rsidP="002E705B">
      <w:pPr>
        <w:spacing w:before="120" w:after="120"/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>CWG-FHR to i</w:t>
      </w:r>
      <w:r w:rsidR="00A65FBC">
        <w:rPr>
          <w:rFonts w:asciiTheme="minorHAnsi" w:hAnsiTheme="minorHAnsi" w:cstheme="majorBidi"/>
        </w:rPr>
        <w:t>nvite Secretary General to:</w:t>
      </w:r>
    </w:p>
    <w:p w:rsidR="006E7F2B" w:rsidRPr="00036445" w:rsidRDefault="00A65FBC" w:rsidP="002E705B">
      <w:pPr>
        <w:pStyle w:val="ListParagraph"/>
        <w:numPr>
          <w:ilvl w:val="0"/>
          <w:numId w:val="7"/>
        </w:numPr>
        <w:spacing w:before="120" w:after="120"/>
        <w:jc w:val="both"/>
        <w:rPr>
          <w:rFonts w:asciiTheme="minorHAnsi" w:hAnsiTheme="minorHAnsi" w:cstheme="majorBidi"/>
        </w:rPr>
      </w:pPr>
      <w:r w:rsidRPr="00036445">
        <w:rPr>
          <w:rFonts w:asciiTheme="minorHAnsi" w:hAnsiTheme="minorHAnsi" w:cstheme="majorBidi"/>
        </w:rPr>
        <w:t>P</w:t>
      </w:r>
      <w:r w:rsidR="002E705B" w:rsidRPr="00036445">
        <w:rPr>
          <w:rFonts w:asciiTheme="minorHAnsi" w:hAnsiTheme="minorHAnsi" w:cstheme="majorBidi"/>
        </w:rPr>
        <w:t xml:space="preserve">resent </w:t>
      </w:r>
      <w:r w:rsidR="007627FF" w:rsidRPr="00036445">
        <w:rPr>
          <w:rFonts w:asciiTheme="minorHAnsi" w:hAnsiTheme="minorHAnsi" w:cstheme="majorBidi"/>
        </w:rPr>
        <w:t xml:space="preserve">to the CWG-FHR meeting in </w:t>
      </w:r>
      <w:r w:rsidR="006D3668" w:rsidRPr="00036445">
        <w:rPr>
          <w:rFonts w:asciiTheme="minorHAnsi" w:hAnsiTheme="minorHAnsi" w:cstheme="majorBidi"/>
        </w:rPr>
        <w:t xml:space="preserve">February </w:t>
      </w:r>
      <w:r w:rsidR="007627FF" w:rsidRPr="00036445">
        <w:rPr>
          <w:rFonts w:asciiTheme="minorHAnsi" w:hAnsiTheme="minorHAnsi" w:cstheme="majorBidi"/>
        </w:rPr>
        <w:t xml:space="preserve">2020 </w:t>
      </w:r>
      <w:r w:rsidR="004B6649" w:rsidRPr="00036445">
        <w:rPr>
          <w:rFonts w:asciiTheme="minorHAnsi" w:hAnsiTheme="minorHAnsi" w:cstheme="majorBidi"/>
        </w:rPr>
        <w:t>a</w:t>
      </w:r>
      <w:r w:rsidR="002F4C7B" w:rsidRPr="00036445">
        <w:rPr>
          <w:rFonts w:asciiTheme="minorHAnsi" w:hAnsiTheme="minorHAnsi" w:cstheme="majorBidi"/>
        </w:rPr>
        <w:t xml:space="preserve"> detailed</w:t>
      </w:r>
      <w:r w:rsidR="004B6649" w:rsidRPr="00036445">
        <w:rPr>
          <w:rFonts w:asciiTheme="minorHAnsi" w:hAnsiTheme="minorHAnsi" w:cstheme="majorBidi"/>
        </w:rPr>
        <w:t xml:space="preserve"> </w:t>
      </w:r>
      <w:r w:rsidR="00C84023" w:rsidRPr="00036445">
        <w:rPr>
          <w:rFonts w:asciiTheme="minorHAnsi" w:hAnsiTheme="minorHAnsi" w:cstheme="majorBidi"/>
        </w:rPr>
        <w:t>action plan</w:t>
      </w:r>
      <w:r w:rsidRPr="00036445">
        <w:rPr>
          <w:rFonts w:asciiTheme="minorHAnsi" w:hAnsiTheme="minorHAnsi" w:cstheme="majorBidi"/>
        </w:rPr>
        <w:t xml:space="preserve"> (</w:t>
      </w:r>
      <w:r w:rsidR="008C0483" w:rsidRPr="00036445">
        <w:rPr>
          <w:rFonts w:asciiTheme="minorHAnsi" w:hAnsiTheme="minorHAnsi" w:cstheme="majorBidi"/>
        </w:rPr>
        <w:t xml:space="preserve">including </w:t>
      </w:r>
      <w:r w:rsidRPr="00036445">
        <w:rPr>
          <w:rFonts w:asciiTheme="minorHAnsi" w:hAnsiTheme="minorHAnsi" w:cstheme="majorBidi"/>
        </w:rPr>
        <w:t>project milestones</w:t>
      </w:r>
      <w:r w:rsidR="008C0483" w:rsidRPr="00036445">
        <w:rPr>
          <w:rFonts w:asciiTheme="minorHAnsi" w:hAnsiTheme="minorHAnsi" w:cstheme="majorBidi"/>
        </w:rPr>
        <w:t xml:space="preserve"> and deliverable dates for these</w:t>
      </w:r>
      <w:r w:rsidRPr="00036445">
        <w:rPr>
          <w:rFonts w:asciiTheme="minorHAnsi" w:hAnsiTheme="minorHAnsi" w:cstheme="majorBidi"/>
        </w:rPr>
        <w:t>)</w:t>
      </w:r>
      <w:r w:rsidR="004B6649" w:rsidRPr="00036445">
        <w:rPr>
          <w:rFonts w:asciiTheme="minorHAnsi" w:hAnsiTheme="minorHAnsi" w:cstheme="majorBidi"/>
        </w:rPr>
        <w:t xml:space="preserve"> </w:t>
      </w:r>
      <w:r w:rsidR="006D3668" w:rsidRPr="00036445">
        <w:rPr>
          <w:rFonts w:asciiTheme="minorHAnsi" w:hAnsiTheme="minorHAnsi" w:cstheme="majorBidi"/>
        </w:rPr>
        <w:t>for the implementation of a</w:t>
      </w:r>
      <w:r w:rsidR="002E705B" w:rsidRPr="00036445">
        <w:rPr>
          <w:rFonts w:asciiTheme="minorHAnsi" w:hAnsiTheme="minorHAnsi" w:cstheme="majorBidi"/>
        </w:rPr>
        <w:t xml:space="preserve"> </w:t>
      </w:r>
      <w:r w:rsidRPr="00036445">
        <w:rPr>
          <w:rFonts w:asciiTheme="minorHAnsi" w:hAnsiTheme="minorHAnsi" w:cstheme="majorBidi"/>
        </w:rPr>
        <w:t>systematic</w:t>
      </w:r>
      <w:r w:rsidR="002E705B" w:rsidRPr="00036445">
        <w:rPr>
          <w:rFonts w:asciiTheme="minorHAnsi" w:hAnsiTheme="minorHAnsi" w:cstheme="majorBidi"/>
        </w:rPr>
        <w:t>,</w:t>
      </w:r>
      <w:r w:rsidRPr="00036445">
        <w:rPr>
          <w:rFonts w:asciiTheme="minorHAnsi" w:hAnsiTheme="minorHAnsi" w:cstheme="majorBidi"/>
        </w:rPr>
        <w:t xml:space="preserve"> enterprise-wide</w:t>
      </w:r>
      <w:r w:rsidR="003852D2" w:rsidRPr="00036445">
        <w:rPr>
          <w:rFonts w:asciiTheme="minorHAnsi" w:hAnsiTheme="minorHAnsi" w:cstheme="majorBidi"/>
        </w:rPr>
        <w:t>, and integrated</w:t>
      </w:r>
      <w:r w:rsidRPr="00036445">
        <w:rPr>
          <w:rFonts w:asciiTheme="minorHAnsi" w:hAnsiTheme="minorHAnsi" w:cstheme="majorBidi"/>
        </w:rPr>
        <w:t xml:space="preserve"> </w:t>
      </w:r>
      <w:r w:rsidR="004B6649" w:rsidRPr="00036445">
        <w:rPr>
          <w:rFonts w:asciiTheme="minorHAnsi" w:hAnsiTheme="minorHAnsi" w:cstheme="majorBidi"/>
        </w:rPr>
        <w:t>operational risk</w:t>
      </w:r>
      <w:r w:rsidR="002E705B" w:rsidRPr="00036445">
        <w:rPr>
          <w:rFonts w:asciiTheme="minorHAnsi" w:hAnsiTheme="minorHAnsi" w:cstheme="majorBidi"/>
        </w:rPr>
        <w:t xml:space="preserve"> policies</w:t>
      </w:r>
      <w:r w:rsidR="00953456" w:rsidRPr="00036445">
        <w:rPr>
          <w:rFonts w:asciiTheme="minorHAnsi" w:hAnsiTheme="minorHAnsi" w:cstheme="majorBidi"/>
        </w:rPr>
        <w:t>,</w:t>
      </w:r>
      <w:r w:rsidR="002E705B" w:rsidRPr="00036445">
        <w:rPr>
          <w:rFonts w:asciiTheme="minorHAnsi" w:hAnsiTheme="minorHAnsi" w:cstheme="majorBidi"/>
        </w:rPr>
        <w:t xml:space="preserve"> processes</w:t>
      </w:r>
      <w:r w:rsidR="00953456" w:rsidRPr="00036445">
        <w:rPr>
          <w:rFonts w:asciiTheme="minorHAnsi" w:hAnsiTheme="minorHAnsi" w:cstheme="majorBidi"/>
        </w:rPr>
        <w:t>, and accountabilities</w:t>
      </w:r>
      <w:r w:rsidR="002E705B" w:rsidRPr="00036445">
        <w:rPr>
          <w:rFonts w:asciiTheme="minorHAnsi" w:hAnsiTheme="minorHAnsi" w:cstheme="majorBidi"/>
        </w:rPr>
        <w:t xml:space="preserve">; </w:t>
      </w:r>
    </w:p>
    <w:p w:rsidR="00241E36" w:rsidRDefault="00A072D1" w:rsidP="002E705B">
      <w:pPr>
        <w:pStyle w:val="ListParagraph"/>
        <w:numPr>
          <w:ilvl w:val="0"/>
          <w:numId w:val="7"/>
        </w:numPr>
        <w:spacing w:before="120" w:after="120"/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>Strongly c</w:t>
      </w:r>
      <w:r w:rsidR="00A65FBC">
        <w:rPr>
          <w:rFonts w:asciiTheme="minorHAnsi" w:hAnsiTheme="minorHAnsi" w:cstheme="majorBidi"/>
        </w:rPr>
        <w:t xml:space="preserve">onsider </w:t>
      </w:r>
      <w:r w:rsidR="007627FF">
        <w:rPr>
          <w:rFonts w:asciiTheme="minorHAnsi" w:hAnsiTheme="minorHAnsi" w:cstheme="majorBidi"/>
        </w:rPr>
        <w:t xml:space="preserve">calling in </w:t>
      </w:r>
      <w:r w:rsidR="004B6649" w:rsidRPr="00A65FBC">
        <w:rPr>
          <w:rFonts w:asciiTheme="minorHAnsi" w:hAnsiTheme="minorHAnsi" w:cstheme="majorBidi"/>
        </w:rPr>
        <w:t>external expert</w:t>
      </w:r>
      <w:r w:rsidR="007627FF">
        <w:rPr>
          <w:rFonts w:asciiTheme="minorHAnsi" w:hAnsiTheme="minorHAnsi" w:cstheme="majorBidi"/>
        </w:rPr>
        <w:t>ise (consultan</w:t>
      </w:r>
      <w:r w:rsidR="006D3668">
        <w:rPr>
          <w:rFonts w:asciiTheme="minorHAnsi" w:hAnsiTheme="minorHAnsi" w:cstheme="majorBidi"/>
        </w:rPr>
        <w:t>cy</w:t>
      </w:r>
      <w:r w:rsidR="007627FF">
        <w:rPr>
          <w:rFonts w:asciiTheme="minorHAnsi" w:hAnsiTheme="minorHAnsi" w:cstheme="majorBidi"/>
        </w:rPr>
        <w:t>)</w:t>
      </w:r>
      <w:r w:rsidR="004B6649" w:rsidRPr="00A65FBC">
        <w:rPr>
          <w:rFonts w:asciiTheme="minorHAnsi" w:hAnsiTheme="minorHAnsi" w:cstheme="majorBidi"/>
        </w:rPr>
        <w:t xml:space="preserve"> in order to </w:t>
      </w:r>
      <w:r w:rsidR="00C84023">
        <w:rPr>
          <w:rFonts w:asciiTheme="minorHAnsi" w:hAnsiTheme="minorHAnsi" w:cstheme="majorBidi"/>
        </w:rPr>
        <w:t xml:space="preserve">be </w:t>
      </w:r>
      <w:r w:rsidR="004B6649" w:rsidRPr="00A65FBC">
        <w:rPr>
          <w:rFonts w:asciiTheme="minorHAnsi" w:hAnsiTheme="minorHAnsi" w:cstheme="majorBidi"/>
        </w:rPr>
        <w:t>assist</w:t>
      </w:r>
      <w:r w:rsidR="00C84023">
        <w:rPr>
          <w:rFonts w:asciiTheme="minorHAnsi" w:hAnsiTheme="minorHAnsi" w:cstheme="majorBidi"/>
        </w:rPr>
        <w:t>ed</w:t>
      </w:r>
      <w:r w:rsidR="004B6649" w:rsidRPr="00A65FBC">
        <w:rPr>
          <w:rFonts w:asciiTheme="minorHAnsi" w:hAnsiTheme="minorHAnsi" w:cstheme="majorBidi"/>
        </w:rPr>
        <w:t xml:space="preserve"> in </w:t>
      </w:r>
      <w:r w:rsidR="007627FF">
        <w:rPr>
          <w:rFonts w:asciiTheme="minorHAnsi" w:hAnsiTheme="minorHAnsi" w:cstheme="majorBidi"/>
        </w:rPr>
        <w:t xml:space="preserve">the </w:t>
      </w:r>
      <w:r w:rsidR="00C84023" w:rsidRPr="00C84023">
        <w:rPr>
          <w:rFonts w:asciiTheme="minorHAnsi" w:hAnsiTheme="minorHAnsi" w:cstheme="majorBidi"/>
        </w:rPr>
        <w:t>implementation of best practices</w:t>
      </w:r>
      <w:r w:rsidR="002E705B" w:rsidRPr="002E705B">
        <w:rPr>
          <w:rFonts w:asciiTheme="minorHAnsi" w:hAnsiTheme="minorHAnsi" w:cstheme="majorBidi"/>
        </w:rPr>
        <w:t xml:space="preserve"> </w:t>
      </w:r>
      <w:r w:rsidR="002E705B">
        <w:rPr>
          <w:rFonts w:asciiTheme="minorHAnsi" w:hAnsiTheme="minorHAnsi" w:cstheme="majorBidi"/>
        </w:rPr>
        <w:t xml:space="preserve">in an </w:t>
      </w:r>
      <w:r w:rsidR="002E705B" w:rsidRPr="004B6649">
        <w:rPr>
          <w:rFonts w:asciiTheme="minorHAnsi" w:hAnsiTheme="minorHAnsi" w:cstheme="majorBidi"/>
        </w:rPr>
        <w:t>integrated manner across the</w:t>
      </w:r>
      <w:r w:rsidR="002E705B">
        <w:rPr>
          <w:rFonts w:asciiTheme="minorHAnsi" w:hAnsiTheme="minorHAnsi" w:cstheme="majorBidi"/>
        </w:rPr>
        <w:t xml:space="preserve"> organization; </w:t>
      </w:r>
    </w:p>
    <w:p w:rsidR="008C0483" w:rsidRDefault="00A65FBC" w:rsidP="002F4C7B">
      <w:pPr>
        <w:pStyle w:val="ListParagraph"/>
        <w:numPr>
          <w:ilvl w:val="0"/>
          <w:numId w:val="7"/>
        </w:numPr>
        <w:spacing w:before="120" w:after="120"/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Associate IMAC </w:t>
      </w:r>
      <w:r w:rsidR="002F4C7B">
        <w:rPr>
          <w:rFonts w:asciiTheme="minorHAnsi" w:hAnsiTheme="minorHAnsi" w:cstheme="majorBidi"/>
        </w:rPr>
        <w:t xml:space="preserve">as closely as possible </w:t>
      </w:r>
      <w:r>
        <w:rPr>
          <w:rFonts w:asciiTheme="minorHAnsi" w:hAnsiTheme="minorHAnsi" w:cstheme="majorBidi"/>
        </w:rPr>
        <w:t>to this</w:t>
      </w:r>
      <w:r w:rsidR="00C84023" w:rsidRPr="00C84023">
        <w:rPr>
          <w:rFonts w:asciiTheme="minorHAnsi" w:hAnsiTheme="minorHAnsi" w:cstheme="majorBidi"/>
        </w:rPr>
        <w:t xml:space="preserve"> </w:t>
      </w:r>
      <w:r w:rsidR="002E705B">
        <w:rPr>
          <w:rFonts w:asciiTheme="minorHAnsi" w:hAnsiTheme="minorHAnsi" w:cstheme="majorBidi"/>
        </w:rPr>
        <w:t>process</w:t>
      </w:r>
      <w:r w:rsidR="002F4C7B">
        <w:rPr>
          <w:rFonts w:asciiTheme="minorHAnsi" w:hAnsiTheme="minorHAnsi" w:cstheme="majorBidi"/>
        </w:rPr>
        <w:t xml:space="preserve"> drawing on its </w:t>
      </w:r>
      <w:r w:rsidR="002F4C7B" w:rsidRPr="002F4C7B">
        <w:rPr>
          <w:rFonts w:asciiTheme="minorHAnsi" w:hAnsiTheme="minorHAnsi" w:cstheme="majorBidi"/>
        </w:rPr>
        <w:t>expert advisory capacity</w:t>
      </w:r>
      <w:r w:rsidR="008C0483">
        <w:rPr>
          <w:rFonts w:asciiTheme="minorHAnsi" w:hAnsiTheme="minorHAnsi" w:cstheme="majorBidi"/>
        </w:rPr>
        <w:t>; and</w:t>
      </w:r>
    </w:p>
    <w:p w:rsidR="00A65FBC" w:rsidRPr="00A65FBC" w:rsidRDefault="008C0483" w:rsidP="002F4C7B">
      <w:pPr>
        <w:pStyle w:val="ListParagraph"/>
        <w:numPr>
          <w:ilvl w:val="0"/>
          <w:numId w:val="7"/>
        </w:numPr>
        <w:spacing w:before="120" w:after="120"/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>Ensure that while these policies, processes and accoun</w:t>
      </w:r>
      <w:r w:rsidR="006D3668">
        <w:rPr>
          <w:rFonts w:asciiTheme="minorHAnsi" w:hAnsiTheme="minorHAnsi" w:cstheme="majorBidi"/>
        </w:rPr>
        <w:t>t</w:t>
      </w:r>
      <w:r>
        <w:rPr>
          <w:rFonts w:asciiTheme="minorHAnsi" w:hAnsiTheme="minorHAnsi" w:cstheme="majorBidi"/>
        </w:rPr>
        <w:t xml:space="preserve">abilities are being </w:t>
      </w:r>
      <w:r w:rsidR="00806053">
        <w:rPr>
          <w:rFonts w:asciiTheme="minorHAnsi" w:hAnsiTheme="minorHAnsi" w:cstheme="majorBidi"/>
        </w:rPr>
        <w:t>implement</w:t>
      </w:r>
      <w:r>
        <w:rPr>
          <w:rFonts w:asciiTheme="minorHAnsi" w:hAnsiTheme="minorHAnsi" w:cstheme="majorBidi"/>
        </w:rPr>
        <w:t xml:space="preserve">ed, ITU </w:t>
      </w:r>
      <w:r w:rsidR="006D3668">
        <w:rPr>
          <w:rFonts w:asciiTheme="minorHAnsi" w:hAnsiTheme="minorHAnsi" w:cstheme="majorBidi"/>
        </w:rPr>
        <w:t>M</w:t>
      </w:r>
      <w:r>
        <w:rPr>
          <w:rFonts w:asciiTheme="minorHAnsi" w:hAnsiTheme="minorHAnsi" w:cstheme="majorBidi"/>
        </w:rPr>
        <w:t>embers are kept informed of how current risks are being managed, including who is accountable for specific risks</w:t>
      </w:r>
      <w:r w:rsidR="00C84023">
        <w:rPr>
          <w:rFonts w:asciiTheme="minorHAnsi" w:hAnsiTheme="minorHAnsi" w:cstheme="majorBidi"/>
        </w:rPr>
        <w:t>.</w:t>
      </w:r>
    </w:p>
    <w:p w:rsidR="007627FF" w:rsidRPr="007627FF" w:rsidRDefault="007627FF" w:rsidP="007627FF">
      <w:pPr>
        <w:ind w:left="360"/>
        <w:jc w:val="center"/>
        <w:rPr>
          <w:rFonts w:cstheme="minorHAnsi"/>
        </w:rPr>
      </w:pPr>
      <w:bookmarkStart w:id="7" w:name="_Toc126493802"/>
      <w:bookmarkStart w:id="8" w:name="_Toc126505976"/>
      <w:r w:rsidRPr="007627FF">
        <w:rPr>
          <w:rFonts w:cstheme="minorHAnsi"/>
        </w:rPr>
        <w:t>__________________</w:t>
      </w:r>
      <w:bookmarkEnd w:id="7"/>
      <w:bookmarkEnd w:id="8"/>
    </w:p>
    <w:sectPr w:rsidR="007627FF" w:rsidRPr="007627FF" w:rsidSect="002A1458">
      <w:headerReference w:type="default" r:id="rId20"/>
      <w:footerReference w:type="first" r:id="rId21"/>
      <w:pgSz w:w="11901" w:h="16840" w:code="9"/>
      <w:pgMar w:top="1418" w:right="1077" w:bottom="851" w:left="1077" w:header="68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DDE" w:rsidRDefault="00C00DDE">
      <w:r>
        <w:separator/>
      </w:r>
    </w:p>
  </w:endnote>
  <w:endnote w:type="continuationSeparator" w:id="0">
    <w:p w:rsidR="00C00DDE" w:rsidRDefault="00C00DDE">
      <w:r>
        <w:continuationSeparator/>
      </w:r>
    </w:p>
  </w:endnote>
  <w:endnote w:type="continuationNotice" w:id="1">
    <w:p w:rsidR="00C00DDE" w:rsidRDefault="00C00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093" w:rsidRPr="00756E92" w:rsidRDefault="00BF6093" w:rsidP="002A1458">
    <w:pPr>
      <w:jc w:val="center"/>
      <w:rPr>
        <w:rFonts w:asciiTheme="minorHAnsi" w:hAnsiTheme="minorHAnsi"/>
        <w:szCs w:val="22"/>
      </w:rPr>
    </w:pPr>
    <w:r w:rsidRPr="00756E92">
      <w:rPr>
        <w:rFonts w:asciiTheme="minorHAnsi" w:hAnsiTheme="minorHAnsi"/>
        <w:szCs w:val="22"/>
      </w:rPr>
      <w:t xml:space="preserve">• </w:t>
    </w:r>
    <w:hyperlink r:id="rId1" w:history="1">
      <w:r w:rsidRPr="00756E92">
        <w:rPr>
          <w:rStyle w:val="Hyperlink"/>
          <w:rFonts w:asciiTheme="minorHAnsi" w:hAnsiTheme="minorHAnsi"/>
          <w:szCs w:val="22"/>
        </w:rPr>
        <w:t>http://www.itu.int/council</w:t>
      </w:r>
    </w:hyperlink>
    <w:r w:rsidRPr="00756E92">
      <w:rPr>
        <w:rFonts w:asciiTheme="minorHAnsi" w:hAnsiTheme="minorHAnsi"/>
        <w:szCs w:val="22"/>
      </w:rPr>
      <w:t xml:space="preserve"> •</w:t>
    </w:r>
  </w:p>
  <w:p w:rsidR="00BF6093" w:rsidRPr="00756E92" w:rsidRDefault="00BF6093" w:rsidP="00756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DDE" w:rsidRDefault="00C00DDE">
      <w:r>
        <w:separator/>
      </w:r>
    </w:p>
  </w:footnote>
  <w:footnote w:type="continuationSeparator" w:id="0">
    <w:p w:rsidR="00C00DDE" w:rsidRDefault="00C00DDE">
      <w:r>
        <w:continuationSeparator/>
      </w:r>
    </w:p>
  </w:footnote>
  <w:footnote w:type="continuationNotice" w:id="1">
    <w:p w:rsidR="00C00DDE" w:rsidRDefault="00C00DDE"/>
  </w:footnote>
  <w:footnote w:id="2">
    <w:p w:rsidR="00894BC5" w:rsidRPr="00C83D4D" w:rsidRDefault="00894BC5">
      <w:pPr>
        <w:pStyle w:val="FootnoteText"/>
        <w:rPr>
          <w:rFonts w:asciiTheme="minorHAnsi" w:hAnsiTheme="minorHAnsi" w:cstheme="minorHAnsi"/>
        </w:rPr>
      </w:pPr>
      <w:r w:rsidRPr="00C83D4D">
        <w:rPr>
          <w:rStyle w:val="FootnoteReference"/>
          <w:rFonts w:asciiTheme="minorHAnsi" w:hAnsiTheme="minorHAnsi" w:cstheme="minorHAnsi"/>
        </w:rPr>
        <w:footnoteRef/>
      </w:r>
      <w:r w:rsidRPr="00C83D4D">
        <w:rPr>
          <w:rFonts w:asciiTheme="minorHAnsi" w:hAnsiTheme="minorHAnsi" w:cstheme="minorHAnsi"/>
        </w:rPr>
        <w:t xml:space="preserve"> </w:t>
      </w:r>
      <w:r w:rsidR="00C83D4D" w:rsidRPr="00C83D4D">
        <w:rPr>
          <w:rFonts w:asciiTheme="minorHAnsi" w:hAnsiTheme="minorHAnsi" w:cstheme="minorHAnsi"/>
        </w:rPr>
        <w:t>Strategic risk management is focused on the most consequential and significant risks</w:t>
      </w:r>
      <w:r w:rsidR="00C83D4D">
        <w:rPr>
          <w:rFonts w:asciiTheme="minorHAnsi" w:hAnsiTheme="minorHAnsi" w:cstheme="minorHAnsi"/>
        </w:rPr>
        <w:t xml:space="preserve"> for an organization </w:t>
      </w:r>
      <w:r w:rsidR="00C83D4D" w:rsidRPr="00C83D4D">
        <w:rPr>
          <w:rFonts w:asciiTheme="minorHAnsi" w:hAnsiTheme="minorHAnsi" w:cstheme="minorHAnsi"/>
        </w:rPr>
        <w:t xml:space="preserve">deserving the time and attention of </w:t>
      </w:r>
      <w:r w:rsidR="00BA3EE3">
        <w:rPr>
          <w:rFonts w:asciiTheme="minorHAnsi" w:hAnsiTheme="minorHAnsi" w:cstheme="minorHAnsi"/>
        </w:rPr>
        <w:t xml:space="preserve">the </w:t>
      </w:r>
      <w:r w:rsidR="00C83D4D" w:rsidRPr="00C83D4D">
        <w:rPr>
          <w:rFonts w:asciiTheme="minorHAnsi" w:hAnsiTheme="minorHAnsi" w:cstheme="minorHAnsi"/>
        </w:rPr>
        <w:t>executive manage</w:t>
      </w:r>
      <w:r w:rsidR="00C83D4D">
        <w:rPr>
          <w:rFonts w:asciiTheme="minorHAnsi" w:hAnsiTheme="minorHAnsi" w:cstheme="minorHAnsi"/>
        </w:rPr>
        <w:t>ment and the board of directors.</w:t>
      </w:r>
    </w:p>
  </w:footnote>
  <w:footnote w:id="3">
    <w:p w:rsidR="00C83D4D" w:rsidRPr="00C83D4D" w:rsidRDefault="00C83D4D" w:rsidP="00C83D4D">
      <w:pPr>
        <w:pStyle w:val="FootnoteText"/>
        <w:rPr>
          <w:rFonts w:asciiTheme="minorHAnsi" w:hAnsiTheme="minorHAnsi" w:cstheme="minorHAnsi"/>
        </w:rPr>
      </w:pPr>
      <w:r w:rsidRPr="00C83D4D">
        <w:rPr>
          <w:rStyle w:val="FootnoteReference"/>
          <w:rFonts w:asciiTheme="minorHAnsi" w:hAnsiTheme="minorHAnsi" w:cstheme="minorHAnsi"/>
        </w:rPr>
        <w:footnoteRef/>
      </w:r>
      <w:r w:rsidRPr="00C83D4D">
        <w:rPr>
          <w:rFonts w:asciiTheme="minorHAnsi" w:hAnsiTheme="minorHAnsi" w:cstheme="minorHAnsi"/>
        </w:rPr>
        <w:t xml:space="preserve"> Operational risk </w:t>
      </w:r>
      <w:r>
        <w:rPr>
          <w:rFonts w:asciiTheme="minorHAnsi" w:hAnsiTheme="minorHAnsi" w:cstheme="minorHAnsi"/>
        </w:rPr>
        <w:t>focuses on</w:t>
      </w:r>
      <w:r w:rsidRPr="00C83D4D">
        <w:rPr>
          <w:rFonts w:asciiTheme="minorHAnsi" w:hAnsiTheme="minorHAnsi" w:cstheme="minorHAnsi"/>
        </w:rPr>
        <w:t xml:space="preserve"> the risk</w:t>
      </w:r>
      <w:r>
        <w:rPr>
          <w:rFonts w:asciiTheme="minorHAnsi" w:hAnsiTheme="minorHAnsi" w:cstheme="minorHAnsi"/>
        </w:rPr>
        <w:t>s</w:t>
      </w:r>
      <w:r w:rsidRPr="00C83D4D">
        <w:rPr>
          <w:rFonts w:asciiTheme="minorHAnsi" w:hAnsiTheme="minorHAnsi" w:cstheme="minorHAnsi"/>
        </w:rPr>
        <w:t xml:space="preserve"> resulting from inadequate or failed internal processes, people and systems or from external events.</w:t>
      </w:r>
      <w:r>
        <w:rPr>
          <w:rFonts w:asciiTheme="minorHAnsi" w:hAnsiTheme="minorHAnsi" w:cstheme="minorHAnsi"/>
        </w:rPr>
        <w:t xml:space="preserve"> </w:t>
      </w:r>
      <w:r w:rsidR="00BA3EE3">
        <w:rPr>
          <w:rFonts w:asciiTheme="minorHAnsi" w:hAnsiTheme="minorHAnsi" w:cstheme="minorHAnsi"/>
        </w:rPr>
        <w:t>Typically, the</w:t>
      </w:r>
      <w:r w:rsidRPr="00C83D4D">
        <w:rPr>
          <w:rFonts w:asciiTheme="minorHAnsi" w:hAnsiTheme="minorHAnsi" w:cstheme="minorHAnsi"/>
        </w:rPr>
        <w:t xml:space="preserve"> line management is responsible </w:t>
      </w:r>
      <w:r w:rsidR="00BA3EE3">
        <w:rPr>
          <w:rFonts w:asciiTheme="minorHAnsi" w:hAnsiTheme="minorHAnsi" w:cstheme="minorHAnsi"/>
        </w:rPr>
        <w:t xml:space="preserve">for </w:t>
      </w:r>
      <w:r w:rsidRPr="00C83D4D">
        <w:rPr>
          <w:rFonts w:asciiTheme="minorHAnsi" w:hAnsiTheme="minorHAnsi" w:cstheme="minorHAnsi"/>
        </w:rPr>
        <w:t>managing the</w:t>
      </w:r>
      <w:r w:rsidR="00BA3EE3">
        <w:rPr>
          <w:rFonts w:asciiTheme="minorHAnsi" w:hAnsiTheme="minorHAnsi" w:cstheme="minorHAnsi"/>
        </w:rPr>
        <w:t>se</w:t>
      </w:r>
      <w:r w:rsidRPr="00C83D4D">
        <w:rPr>
          <w:rFonts w:asciiTheme="minorHAnsi" w:hAnsiTheme="minorHAnsi" w:cstheme="minorHAnsi"/>
        </w:rPr>
        <w:t xml:space="preserve"> risks</w:t>
      </w:r>
      <w:r w:rsidR="00BA3EE3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093" w:rsidRPr="002A1458" w:rsidRDefault="00BF6093" w:rsidP="002A1458">
    <w:pPr>
      <w:pStyle w:val="Header"/>
      <w:jc w:val="center"/>
      <w:rPr>
        <w:sz w:val="18"/>
        <w:szCs w:val="20"/>
      </w:rPr>
    </w:pPr>
    <w:r w:rsidRPr="002A1458">
      <w:rPr>
        <w:sz w:val="18"/>
        <w:szCs w:val="20"/>
      </w:rPr>
      <w:fldChar w:fldCharType="begin"/>
    </w:r>
    <w:r w:rsidRPr="002A1458">
      <w:rPr>
        <w:sz w:val="18"/>
        <w:szCs w:val="20"/>
      </w:rPr>
      <w:instrText xml:space="preserve"> PAGE   \* MERGEFORMAT </w:instrText>
    </w:r>
    <w:r w:rsidRPr="002A1458">
      <w:rPr>
        <w:sz w:val="18"/>
        <w:szCs w:val="20"/>
      </w:rPr>
      <w:fldChar w:fldCharType="separate"/>
    </w:r>
    <w:r w:rsidR="00792D41">
      <w:rPr>
        <w:noProof/>
        <w:sz w:val="18"/>
        <w:szCs w:val="20"/>
      </w:rPr>
      <w:t>2</w:t>
    </w:r>
    <w:r w:rsidRPr="002A1458">
      <w:rPr>
        <w:noProof/>
        <w:sz w:val="18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C0888"/>
    <w:multiLevelType w:val="hybridMultilevel"/>
    <w:tmpl w:val="F12E02FE"/>
    <w:styleLink w:val="Punkte"/>
    <w:lvl w:ilvl="0" w:tplc="3C5ABC00">
      <w:start w:val="1"/>
      <w:numFmt w:val="bullet"/>
      <w:lvlText w:val="•"/>
      <w:lvlJc w:val="left"/>
      <w:pPr>
        <w:tabs>
          <w:tab w:val="num" w:pos="841"/>
        </w:tabs>
        <w:ind w:left="189" w:firstLine="4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3861988">
      <w:start w:val="1"/>
      <w:numFmt w:val="bullet"/>
      <w:lvlText w:val="•"/>
      <w:lvlJc w:val="left"/>
      <w:pPr>
        <w:tabs>
          <w:tab w:val="num" w:pos="1440"/>
        </w:tabs>
        <w:ind w:left="788" w:firstLine="6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C46CAB0">
      <w:start w:val="1"/>
      <w:numFmt w:val="bullet"/>
      <w:lvlText w:val="•"/>
      <w:lvlJc w:val="left"/>
      <w:pPr>
        <w:tabs>
          <w:tab w:val="num" w:pos="2040"/>
        </w:tabs>
        <w:ind w:left="1388" w:hanging="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08042A2">
      <w:start w:val="1"/>
      <w:numFmt w:val="bullet"/>
      <w:lvlText w:val="•"/>
      <w:lvlJc w:val="left"/>
      <w:pPr>
        <w:ind w:left="1988" w:hanging="17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9E686B8">
      <w:start w:val="1"/>
      <w:numFmt w:val="bullet"/>
      <w:lvlText w:val="•"/>
      <w:lvlJc w:val="left"/>
      <w:pPr>
        <w:tabs>
          <w:tab w:val="num" w:pos="3240"/>
        </w:tabs>
        <w:ind w:left="2588" w:firstLine="42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88A0BE">
      <w:start w:val="1"/>
      <w:numFmt w:val="bullet"/>
      <w:lvlText w:val="•"/>
      <w:lvlJc w:val="left"/>
      <w:pPr>
        <w:tabs>
          <w:tab w:val="num" w:pos="3840"/>
        </w:tabs>
        <w:ind w:left="3188" w:firstLine="30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7F8CE58">
      <w:start w:val="1"/>
      <w:numFmt w:val="bullet"/>
      <w:lvlText w:val="•"/>
      <w:lvlJc w:val="left"/>
      <w:pPr>
        <w:tabs>
          <w:tab w:val="num" w:pos="4440"/>
        </w:tabs>
        <w:ind w:left="3788" w:firstLine="1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8EA0316">
      <w:start w:val="1"/>
      <w:numFmt w:val="bullet"/>
      <w:lvlText w:val="•"/>
      <w:lvlJc w:val="left"/>
      <w:pPr>
        <w:tabs>
          <w:tab w:val="num" w:pos="5040"/>
        </w:tabs>
        <w:ind w:left="4388" w:firstLine="6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5E0B8E2">
      <w:start w:val="1"/>
      <w:numFmt w:val="bullet"/>
      <w:lvlText w:val="•"/>
      <w:lvlJc w:val="left"/>
      <w:pPr>
        <w:tabs>
          <w:tab w:val="num" w:pos="5640"/>
        </w:tabs>
        <w:ind w:left="4988" w:hanging="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31F49AD"/>
    <w:multiLevelType w:val="multilevel"/>
    <w:tmpl w:val="E3B8961A"/>
    <w:styleLink w:val="ImportierterSti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4911C4"/>
    <w:multiLevelType w:val="multilevel"/>
    <w:tmpl w:val="8FA4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B7CB0"/>
    <w:multiLevelType w:val="hybridMultilevel"/>
    <w:tmpl w:val="622A5F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C3EFA"/>
    <w:multiLevelType w:val="hybridMultilevel"/>
    <w:tmpl w:val="6CBAA844"/>
    <w:lvl w:ilvl="0" w:tplc="BF00E5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7CAC4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32EC52">
      <w:start w:val="1"/>
      <w:numFmt w:val="bullet"/>
      <w:lvlText w:val="▪"/>
      <w:lvlJc w:val="left"/>
      <w:pPr>
        <w:ind w:left="1701" w:hanging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212D41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9CE8B8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F38FCE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CA4D0B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EAC005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73445E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4A030924"/>
    <w:multiLevelType w:val="multilevel"/>
    <w:tmpl w:val="E3B8961A"/>
    <w:numStyleLink w:val="ImportierterStil1"/>
  </w:abstractNum>
  <w:abstractNum w:abstractNumId="6" w15:restartNumberingAfterBreak="0">
    <w:nsid w:val="55E85C72"/>
    <w:multiLevelType w:val="hybridMultilevel"/>
    <w:tmpl w:val="F12E02FE"/>
    <w:numStyleLink w:val="Punkte"/>
  </w:abstractNum>
  <w:abstractNum w:abstractNumId="7" w15:restartNumberingAfterBreak="0">
    <w:nsid w:val="6D7B4E3C"/>
    <w:multiLevelType w:val="multilevel"/>
    <w:tmpl w:val="1724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lvl w:ilvl="0" w:tplc="FB908FD8">
        <w:start w:val="1"/>
        <w:numFmt w:val="bullet"/>
        <w:lvlText w:val="•"/>
        <w:lvlJc w:val="left"/>
        <w:pPr>
          <w:tabs>
            <w:tab w:val="num" w:pos="841"/>
          </w:tabs>
          <w:ind w:left="189" w:firstLine="4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BEE00D16">
        <w:start w:val="1"/>
        <w:numFmt w:val="bullet"/>
        <w:lvlText w:val="•"/>
        <w:lvlJc w:val="left"/>
        <w:pPr>
          <w:tabs>
            <w:tab w:val="num" w:pos="1440"/>
          </w:tabs>
          <w:ind w:left="788" w:firstLine="20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D268674">
        <w:start w:val="1"/>
        <w:numFmt w:val="bullet"/>
        <w:lvlText w:val="•"/>
        <w:lvlJc w:val="left"/>
        <w:pPr>
          <w:tabs>
            <w:tab w:val="num" w:pos="2040"/>
          </w:tabs>
          <w:ind w:left="1388" w:firstLine="8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8D03E26">
        <w:start w:val="1"/>
        <w:numFmt w:val="bullet"/>
        <w:lvlText w:val="•"/>
        <w:lvlJc w:val="left"/>
        <w:pPr>
          <w:tabs>
            <w:tab w:val="num" w:pos="2640"/>
          </w:tabs>
          <w:ind w:left="1988" w:hanging="3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83E0909A">
        <w:start w:val="1"/>
        <w:numFmt w:val="bullet"/>
        <w:lvlText w:val="•"/>
        <w:lvlJc w:val="left"/>
        <w:pPr>
          <w:ind w:left="2588" w:hanging="15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F8E4E1E4">
        <w:start w:val="1"/>
        <w:numFmt w:val="bullet"/>
        <w:lvlText w:val="•"/>
        <w:lvlJc w:val="left"/>
        <w:pPr>
          <w:tabs>
            <w:tab w:val="num" w:pos="3840"/>
          </w:tabs>
          <w:ind w:left="3188" w:firstLine="44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9DEC1882">
        <w:start w:val="1"/>
        <w:numFmt w:val="bullet"/>
        <w:lvlText w:val="•"/>
        <w:lvlJc w:val="left"/>
        <w:pPr>
          <w:tabs>
            <w:tab w:val="num" w:pos="4440"/>
          </w:tabs>
          <w:ind w:left="3788" w:firstLine="3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4289BF6">
        <w:start w:val="1"/>
        <w:numFmt w:val="bullet"/>
        <w:lvlText w:val="•"/>
        <w:lvlJc w:val="left"/>
        <w:pPr>
          <w:tabs>
            <w:tab w:val="num" w:pos="5040"/>
          </w:tabs>
          <w:ind w:left="4388" w:firstLine="20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DB54CEC6">
        <w:start w:val="1"/>
        <w:numFmt w:val="bullet"/>
        <w:lvlText w:val="•"/>
        <w:lvlJc w:val="left"/>
        <w:pPr>
          <w:tabs>
            <w:tab w:val="num" w:pos="5640"/>
          </w:tabs>
          <w:ind w:left="4988" w:firstLine="8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C6"/>
    <w:rsid w:val="00000257"/>
    <w:rsid w:val="00001A9C"/>
    <w:rsid w:val="000038C4"/>
    <w:rsid w:val="00007F7F"/>
    <w:rsid w:val="00010C32"/>
    <w:rsid w:val="00010F48"/>
    <w:rsid w:val="000147CA"/>
    <w:rsid w:val="0001781D"/>
    <w:rsid w:val="0002197D"/>
    <w:rsid w:val="00021DF9"/>
    <w:rsid w:val="0002607F"/>
    <w:rsid w:val="000264BE"/>
    <w:rsid w:val="000268B0"/>
    <w:rsid w:val="00027767"/>
    <w:rsid w:val="0003282D"/>
    <w:rsid w:val="00036445"/>
    <w:rsid w:val="00047F0D"/>
    <w:rsid w:val="000523C4"/>
    <w:rsid w:val="00052578"/>
    <w:rsid w:val="00052886"/>
    <w:rsid w:val="00052EB0"/>
    <w:rsid w:val="00053C26"/>
    <w:rsid w:val="00053FE3"/>
    <w:rsid w:val="00054724"/>
    <w:rsid w:val="000548E3"/>
    <w:rsid w:val="0006023C"/>
    <w:rsid w:val="00060990"/>
    <w:rsid w:val="0006108F"/>
    <w:rsid w:val="00061780"/>
    <w:rsid w:val="00065E3D"/>
    <w:rsid w:val="000720AB"/>
    <w:rsid w:val="00073F35"/>
    <w:rsid w:val="0007733F"/>
    <w:rsid w:val="000811C5"/>
    <w:rsid w:val="0008236A"/>
    <w:rsid w:val="000929FF"/>
    <w:rsid w:val="00093ACA"/>
    <w:rsid w:val="000A1688"/>
    <w:rsid w:val="000A5071"/>
    <w:rsid w:val="000B34D8"/>
    <w:rsid w:val="000B4C95"/>
    <w:rsid w:val="000C20DC"/>
    <w:rsid w:val="000C2A2E"/>
    <w:rsid w:val="000C2C28"/>
    <w:rsid w:val="000C4839"/>
    <w:rsid w:val="000D1EC9"/>
    <w:rsid w:val="000D746E"/>
    <w:rsid w:val="000E0B2E"/>
    <w:rsid w:val="000E5FFC"/>
    <w:rsid w:val="000E6444"/>
    <w:rsid w:val="000E6F49"/>
    <w:rsid w:val="000E738E"/>
    <w:rsid w:val="000F2E67"/>
    <w:rsid w:val="000F366F"/>
    <w:rsid w:val="000F7587"/>
    <w:rsid w:val="0010077D"/>
    <w:rsid w:val="00100FFB"/>
    <w:rsid w:val="001012BC"/>
    <w:rsid w:val="0010361A"/>
    <w:rsid w:val="0010375B"/>
    <w:rsid w:val="001054A9"/>
    <w:rsid w:val="00111A8A"/>
    <w:rsid w:val="001158FB"/>
    <w:rsid w:val="001164E6"/>
    <w:rsid w:val="001217CF"/>
    <w:rsid w:val="00121D0F"/>
    <w:rsid w:val="00122205"/>
    <w:rsid w:val="0012767B"/>
    <w:rsid w:val="00130BEC"/>
    <w:rsid w:val="0014173E"/>
    <w:rsid w:val="00143AFF"/>
    <w:rsid w:val="00151F6B"/>
    <w:rsid w:val="00157B22"/>
    <w:rsid w:val="001668F0"/>
    <w:rsid w:val="0017057A"/>
    <w:rsid w:val="001743A1"/>
    <w:rsid w:val="00193826"/>
    <w:rsid w:val="00194AC8"/>
    <w:rsid w:val="001962CD"/>
    <w:rsid w:val="001A1E52"/>
    <w:rsid w:val="001B0D22"/>
    <w:rsid w:val="001B17B9"/>
    <w:rsid w:val="001B3FBE"/>
    <w:rsid w:val="001B506B"/>
    <w:rsid w:val="001B5EDA"/>
    <w:rsid w:val="001B776D"/>
    <w:rsid w:val="001B7A37"/>
    <w:rsid w:val="001C230E"/>
    <w:rsid w:val="001C2863"/>
    <w:rsid w:val="001C36A8"/>
    <w:rsid w:val="001C4440"/>
    <w:rsid w:val="001C533D"/>
    <w:rsid w:val="001D16E1"/>
    <w:rsid w:val="001D27FE"/>
    <w:rsid w:val="001D6882"/>
    <w:rsid w:val="001D69BE"/>
    <w:rsid w:val="001D6BE4"/>
    <w:rsid w:val="001E4BD2"/>
    <w:rsid w:val="001E5885"/>
    <w:rsid w:val="001E5B3B"/>
    <w:rsid w:val="00200486"/>
    <w:rsid w:val="00200CD5"/>
    <w:rsid w:val="0020692F"/>
    <w:rsid w:val="002070AD"/>
    <w:rsid w:val="00207123"/>
    <w:rsid w:val="002079BE"/>
    <w:rsid w:val="0021145F"/>
    <w:rsid w:val="00212BF7"/>
    <w:rsid w:val="00214150"/>
    <w:rsid w:val="0022078A"/>
    <w:rsid w:val="002228D5"/>
    <w:rsid w:val="0022556C"/>
    <w:rsid w:val="00231E1D"/>
    <w:rsid w:val="00234D49"/>
    <w:rsid w:val="00236174"/>
    <w:rsid w:val="00241E36"/>
    <w:rsid w:val="0024200E"/>
    <w:rsid w:val="002427C0"/>
    <w:rsid w:val="00243040"/>
    <w:rsid w:val="00251AC8"/>
    <w:rsid w:val="00253185"/>
    <w:rsid w:val="00253744"/>
    <w:rsid w:val="002545C3"/>
    <w:rsid w:val="0026019F"/>
    <w:rsid w:val="00260D49"/>
    <w:rsid w:val="00261ACE"/>
    <w:rsid w:val="0026646E"/>
    <w:rsid w:val="00266D8D"/>
    <w:rsid w:val="002773E1"/>
    <w:rsid w:val="0028438C"/>
    <w:rsid w:val="00287A13"/>
    <w:rsid w:val="00291555"/>
    <w:rsid w:val="00291F7C"/>
    <w:rsid w:val="00292EB7"/>
    <w:rsid w:val="002A09B4"/>
    <w:rsid w:val="002A1458"/>
    <w:rsid w:val="002A173B"/>
    <w:rsid w:val="002A264E"/>
    <w:rsid w:val="002A6B9A"/>
    <w:rsid w:val="002B4498"/>
    <w:rsid w:val="002B4C20"/>
    <w:rsid w:val="002B7F6E"/>
    <w:rsid w:val="002D0596"/>
    <w:rsid w:val="002D0F7E"/>
    <w:rsid w:val="002E04CE"/>
    <w:rsid w:val="002E581D"/>
    <w:rsid w:val="002E5B9B"/>
    <w:rsid w:val="002E705B"/>
    <w:rsid w:val="002F150A"/>
    <w:rsid w:val="002F4C7B"/>
    <w:rsid w:val="003010A1"/>
    <w:rsid w:val="00302584"/>
    <w:rsid w:val="00302B27"/>
    <w:rsid w:val="00306388"/>
    <w:rsid w:val="00307AF2"/>
    <w:rsid w:val="00312766"/>
    <w:rsid w:val="00315C60"/>
    <w:rsid w:val="0031621F"/>
    <w:rsid w:val="003321BA"/>
    <w:rsid w:val="00332B82"/>
    <w:rsid w:val="003341A5"/>
    <w:rsid w:val="00342898"/>
    <w:rsid w:val="00344CAA"/>
    <w:rsid w:val="00344DC5"/>
    <w:rsid w:val="0034736F"/>
    <w:rsid w:val="00347E04"/>
    <w:rsid w:val="003573BA"/>
    <w:rsid w:val="00366DC6"/>
    <w:rsid w:val="00374C2C"/>
    <w:rsid w:val="0037552B"/>
    <w:rsid w:val="0038108B"/>
    <w:rsid w:val="003834F8"/>
    <w:rsid w:val="00383935"/>
    <w:rsid w:val="003852D2"/>
    <w:rsid w:val="0038562C"/>
    <w:rsid w:val="00390067"/>
    <w:rsid w:val="00391655"/>
    <w:rsid w:val="003917D7"/>
    <w:rsid w:val="00394C20"/>
    <w:rsid w:val="003A4FC0"/>
    <w:rsid w:val="003B306B"/>
    <w:rsid w:val="003B63AE"/>
    <w:rsid w:val="003C1B04"/>
    <w:rsid w:val="003C441A"/>
    <w:rsid w:val="003D1349"/>
    <w:rsid w:val="003D1F22"/>
    <w:rsid w:val="003D38E2"/>
    <w:rsid w:val="003D69BD"/>
    <w:rsid w:val="003D7FD9"/>
    <w:rsid w:val="003E071A"/>
    <w:rsid w:val="003E74D8"/>
    <w:rsid w:val="003E7E4F"/>
    <w:rsid w:val="003F36AF"/>
    <w:rsid w:val="003F5E5E"/>
    <w:rsid w:val="003F6014"/>
    <w:rsid w:val="003F7794"/>
    <w:rsid w:val="00401FA7"/>
    <w:rsid w:val="00403A79"/>
    <w:rsid w:val="004049C4"/>
    <w:rsid w:val="00405880"/>
    <w:rsid w:val="00405A0C"/>
    <w:rsid w:val="004061AF"/>
    <w:rsid w:val="00406379"/>
    <w:rsid w:val="00406503"/>
    <w:rsid w:val="00406D07"/>
    <w:rsid w:val="004110D2"/>
    <w:rsid w:val="0041154D"/>
    <w:rsid w:val="00412020"/>
    <w:rsid w:val="00417936"/>
    <w:rsid w:val="00423041"/>
    <w:rsid w:val="004232D9"/>
    <w:rsid w:val="004268D5"/>
    <w:rsid w:val="004303C3"/>
    <w:rsid w:val="00431D53"/>
    <w:rsid w:val="00431EA7"/>
    <w:rsid w:val="00433F07"/>
    <w:rsid w:val="00434926"/>
    <w:rsid w:val="0043494A"/>
    <w:rsid w:val="004351D8"/>
    <w:rsid w:val="0043742A"/>
    <w:rsid w:val="00441E09"/>
    <w:rsid w:val="00453636"/>
    <w:rsid w:val="00455626"/>
    <w:rsid w:val="00455DE8"/>
    <w:rsid w:val="0045624E"/>
    <w:rsid w:val="00457B00"/>
    <w:rsid w:val="00463A64"/>
    <w:rsid w:val="00471036"/>
    <w:rsid w:val="00473B64"/>
    <w:rsid w:val="00477A11"/>
    <w:rsid w:val="004812CB"/>
    <w:rsid w:val="004855FD"/>
    <w:rsid w:val="00486CB6"/>
    <w:rsid w:val="00486FDB"/>
    <w:rsid w:val="004944DB"/>
    <w:rsid w:val="00496213"/>
    <w:rsid w:val="004A0CD0"/>
    <w:rsid w:val="004B6649"/>
    <w:rsid w:val="004C1A8E"/>
    <w:rsid w:val="004C4DBE"/>
    <w:rsid w:val="004C53CF"/>
    <w:rsid w:val="004C72E3"/>
    <w:rsid w:val="004D3913"/>
    <w:rsid w:val="004D48DF"/>
    <w:rsid w:val="004E2A9A"/>
    <w:rsid w:val="004E5922"/>
    <w:rsid w:val="004E59D9"/>
    <w:rsid w:val="004F5D70"/>
    <w:rsid w:val="00502CCA"/>
    <w:rsid w:val="005070D4"/>
    <w:rsid w:val="00510FAF"/>
    <w:rsid w:val="00513A75"/>
    <w:rsid w:val="00524EF4"/>
    <w:rsid w:val="00530D10"/>
    <w:rsid w:val="005325DA"/>
    <w:rsid w:val="00532C41"/>
    <w:rsid w:val="00533490"/>
    <w:rsid w:val="00533519"/>
    <w:rsid w:val="0053382F"/>
    <w:rsid w:val="005364C3"/>
    <w:rsid w:val="00536CF3"/>
    <w:rsid w:val="0054047D"/>
    <w:rsid w:val="00545DD0"/>
    <w:rsid w:val="005523DF"/>
    <w:rsid w:val="00555C6E"/>
    <w:rsid w:val="00566BFF"/>
    <w:rsid w:val="00570FC0"/>
    <w:rsid w:val="00571DB9"/>
    <w:rsid w:val="00575631"/>
    <w:rsid w:val="0057653D"/>
    <w:rsid w:val="00580A4A"/>
    <w:rsid w:val="00581062"/>
    <w:rsid w:val="005816C5"/>
    <w:rsid w:val="00582047"/>
    <w:rsid w:val="00586ABC"/>
    <w:rsid w:val="005940F0"/>
    <w:rsid w:val="0059492C"/>
    <w:rsid w:val="005A000B"/>
    <w:rsid w:val="005A09AC"/>
    <w:rsid w:val="005A39BB"/>
    <w:rsid w:val="005A3ABC"/>
    <w:rsid w:val="005A58DC"/>
    <w:rsid w:val="005B231B"/>
    <w:rsid w:val="005B5D4C"/>
    <w:rsid w:val="005C0392"/>
    <w:rsid w:val="005C295A"/>
    <w:rsid w:val="005C3310"/>
    <w:rsid w:val="005C3678"/>
    <w:rsid w:val="005C510E"/>
    <w:rsid w:val="005C51C0"/>
    <w:rsid w:val="005C55D0"/>
    <w:rsid w:val="005C6602"/>
    <w:rsid w:val="005D010A"/>
    <w:rsid w:val="005D23BD"/>
    <w:rsid w:val="005D55E2"/>
    <w:rsid w:val="005D676E"/>
    <w:rsid w:val="005D7FBC"/>
    <w:rsid w:val="005E4B0A"/>
    <w:rsid w:val="005E6248"/>
    <w:rsid w:val="005F0233"/>
    <w:rsid w:val="005F0DAC"/>
    <w:rsid w:val="005F153A"/>
    <w:rsid w:val="005F3C9A"/>
    <w:rsid w:val="005F42CA"/>
    <w:rsid w:val="005F43BC"/>
    <w:rsid w:val="005F6E60"/>
    <w:rsid w:val="005F716F"/>
    <w:rsid w:val="005F7189"/>
    <w:rsid w:val="005F7C2E"/>
    <w:rsid w:val="006006FD"/>
    <w:rsid w:val="00602355"/>
    <w:rsid w:val="00607F0B"/>
    <w:rsid w:val="00611188"/>
    <w:rsid w:val="00616D37"/>
    <w:rsid w:val="006204DB"/>
    <w:rsid w:val="00623E67"/>
    <w:rsid w:val="00624887"/>
    <w:rsid w:val="00626262"/>
    <w:rsid w:val="00630805"/>
    <w:rsid w:val="00635161"/>
    <w:rsid w:val="006367B6"/>
    <w:rsid w:val="0064055B"/>
    <w:rsid w:val="00642B5B"/>
    <w:rsid w:val="006463AB"/>
    <w:rsid w:val="006477FD"/>
    <w:rsid w:val="00656B2D"/>
    <w:rsid w:val="00665F5E"/>
    <w:rsid w:val="0066704D"/>
    <w:rsid w:val="00671D68"/>
    <w:rsid w:val="0067474B"/>
    <w:rsid w:val="00683733"/>
    <w:rsid w:val="00683C44"/>
    <w:rsid w:val="00692A3E"/>
    <w:rsid w:val="00692FA4"/>
    <w:rsid w:val="00696709"/>
    <w:rsid w:val="006978E5"/>
    <w:rsid w:val="006A02E2"/>
    <w:rsid w:val="006A079F"/>
    <w:rsid w:val="006A0E15"/>
    <w:rsid w:val="006A15AC"/>
    <w:rsid w:val="006A2F0C"/>
    <w:rsid w:val="006A6D99"/>
    <w:rsid w:val="006B361F"/>
    <w:rsid w:val="006B39E1"/>
    <w:rsid w:val="006B460D"/>
    <w:rsid w:val="006C1682"/>
    <w:rsid w:val="006C2B40"/>
    <w:rsid w:val="006C364F"/>
    <w:rsid w:val="006C5D53"/>
    <w:rsid w:val="006D18A0"/>
    <w:rsid w:val="006D3668"/>
    <w:rsid w:val="006D42F1"/>
    <w:rsid w:val="006D48EA"/>
    <w:rsid w:val="006D5D09"/>
    <w:rsid w:val="006D70C6"/>
    <w:rsid w:val="006E0FF3"/>
    <w:rsid w:val="006E36F1"/>
    <w:rsid w:val="006E39B8"/>
    <w:rsid w:val="006E7F2B"/>
    <w:rsid w:val="006F2163"/>
    <w:rsid w:val="006F5ACB"/>
    <w:rsid w:val="007003D6"/>
    <w:rsid w:val="0070262F"/>
    <w:rsid w:val="00704271"/>
    <w:rsid w:val="00713A1D"/>
    <w:rsid w:val="007156E4"/>
    <w:rsid w:val="00717F6C"/>
    <w:rsid w:val="0072067D"/>
    <w:rsid w:val="00721EED"/>
    <w:rsid w:val="007270D0"/>
    <w:rsid w:val="00733871"/>
    <w:rsid w:val="007339D5"/>
    <w:rsid w:val="00734285"/>
    <w:rsid w:val="00750401"/>
    <w:rsid w:val="00756E92"/>
    <w:rsid w:val="0076010E"/>
    <w:rsid w:val="007627FF"/>
    <w:rsid w:val="00764696"/>
    <w:rsid w:val="0077353C"/>
    <w:rsid w:val="00775A12"/>
    <w:rsid w:val="00776D75"/>
    <w:rsid w:val="00783E51"/>
    <w:rsid w:val="0078643F"/>
    <w:rsid w:val="0078701F"/>
    <w:rsid w:val="00790E9D"/>
    <w:rsid w:val="00792D41"/>
    <w:rsid w:val="007944BB"/>
    <w:rsid w:val="0079453B"/>
    <w:rsid w:val="007962C2"/>
    <w:rsid w:val="00797D46"/>
    <w:rsid w:val="007A5462"/>
    <w:rsid w:val="007A54BE"/>
    <w:rsid w:val="007B1D6C"/>
    <w:rsid w:val="007B3243"/>
    <w:rsid w:val="007B3BF2"/>
    <w:rsid w:val="007B7E45"/>
    <w:rsid w:val="007C05A7"/>
    <w:rsid w:val="007C102C"/>
    <w:rsid w:val="007C34B0"/>
    <w:rsid w:val="007C5CDF"/>
    <w:rsid w:val="007C7752"/>
    <w:rsid w:val="007D3F85"/>
    <w:rsid w:val="007E1149"/>
    <w:rsid w:val="007E33CE"/>
    <w:rsid w:val="007E6398"/>
    <w:rsid w:val="007E6563"/>
    <w:rsid w:val="007E754E"/>
    <w:rsid w:val="007E77C1"/>
    <w:rsid w:val="007F1EAE"/>
    <w:rsid w:val="007F5448"/>
    <w:rsid w:val="007F5590"/>
    <w:rsid w:val="007F7EDA"/>
    <w:rsid w:val="008002FF"/>
    <w:rsid w:val="00802ED1"/>
    <w:rsid w:val="00803EC9"/>
    <w:rsid w:val="0080441F"/>
    <w:rsid w:val="00804996"/>
    <w:rsid w:val="00806053"/>
    <w:rsid w:val="0080713C"/>
    <w:rsid w:val="00811AE1"/>
    <w:rsid w:val="00815174"/>
    <w:rsid w:val="008151AA"/>
    <w:rsid w:val="00816221"/>
    <w:rsid w:val="00816507"/>
    <w:rsid w:val="00821976"/>
    <w:rsid w:val="0082335C"/>
    <w:rsid w:val="008233F9"/>
    <w:rsid w:val="00831D35"/>
    <w:rsid w:val="0083200C"/>
    <w:rsid w:val="00833DC2"/>
    <w:rsid w:val="00835CD6"/>
    <w:rsid w:val="0084292A"/>
    <w:rsid w:val="00842DFD"/>
    <w:rsid w:val="008446CA"/>
    <w:rsid w:val="0084622B"/>
    <w:rsid w:val="00853371"/>
    <w:rsid w:val="008543CD"/>
    <w:rsid w:val="00861F9C"/>
    <w:rsid w:val="00872804"/>
    <w:rsid w:val="008749C8"/>
    <w:rsid w:val="0088059A"/>
    <w:rsid w:val="00883936"/>
    <w:rsid w:val="00887F43"/>
    <w:rsid w:val="00891BFC"/>
    <w:rsid w:val="00892393"/>
    <w:rsid w:val="00893BBD"/>
    <w:rsid w:val="00894A9C"/>
    <w:rsid w:val="00894BC5"/>
    <w:rsid w:val="00897007"/>
    <w:rsid w:val="008A0AAD"/>
    <w:rsid w:val="008A0F72"/>
    <w:rsid w:val="008A2445"/>
    <w:rsid w:val="008A292E"/>
    <w:rsid w:val="008A4F01"/>
    <w:rsid w:val="008B2C85"/>
    <w:rsid w:val="008B56C2"/>
    <w:rsid w:val="008C0483"/>
    <w:rsid w:val="008C173B"/>
    <w:rsid w:val="008C2C8E"/>
    <w:rsid w:val="008D18C5"/>
    <w:rsid w:val="008D1B8D"/>
    <w:rsid w:val="008D1DB1"/>
    <w:rsid w:val="008D45D6"/>
    <w:rsid w:val="008E27E9"/>
    <w:rsid w:val="008E28FB"/>
    <w:rsid w:val="008E3915"/>
    <w:rsid w:val="008E74F8"/>
    <w:rsid w:val="008F0348"/>
    <w:rsid w:val="008F6EBD"/>
    <w:rsid w:val="00902E96"/>
    <w:rsid w:val="009039E6"/>
    <w:rsid w:val="0090735D"/>
    <w:rsid w:val="00907F6E"/>
    <w:rsid w:val="00911D35"/>
    <w:rsid w:val="0091462A"/>
    <w:rsid w:val="009152F8"/>
    <w:rsid w:val="009158E2"/>
    <w:rsid w:val="0091691F"/>
    <w:rsid w:val="009208B2"/>
    <w:rsid w:val="00921BD2"/>
    <w:rsid w:val="009325E5"/>
    <w:rsid w:val="00932DC2"/>
    <w:rsid w:val="00933184"/>
    <w:rsid w:val="00941F8F"/>
    <w:rsid w:val="009468B8"/>
    <w:rsid w:val="00946B12"/>
    <w:rsid w:val="00946D2C"/>
    <w:rsid w:val="00952D9C"/>
    <w:rsid w:val="00953456"/>
    <w:rsid w:val="009537F8"/>
    <w:rsid w:val="009538DC"/>
    <w:rsid w:val="009579CD"/>
    <w:rsid w:val="00957F67"/>
    <w:rsid w:val="009605B2"/>
    <w:rsid w:val="00960A81"/>
    <w:rsid w:val="00962DE5"/>
    <w:rsid w:val="00964048"/>
    <w:rsid w:val="009640AB"/>
    <w:rsid w:val="00967173"/>
    <w:rsid w:val="00973FB5"/>
    <w:rsid w:val="00977945"/>
    <w:rsid w:val="00981751"/>
    <w:rsid w:val="00981C18"/>
    <w:rsid w:val="00990CB4"/>
    <w:rsid w:val="009914AD"/>
    <w:rsid w:val="009A0436"/>
    <w:rsid w:val="009A5599"/>
    <w:rsid w:val="009A68D0"/>
    <w:rsid w:val="009A7E6E"/>
    <w:rsid w:val="009B2CB2"/>
    <w:rsid w:val="009B7A6D"/>
    <w:rsid w:val="009C38EC"/>
    <w:rsid w:val="009C49A2"/>
    <w:rsid w:val="009C53AB"/>
    <w:rsid w:val="009C7808"/>
    <w:rsid w:val="009D06FA"/>
    <w:rsid w:val="009D6E05"/>
    <w:rsid w:val="009E0E57"/>
    <w:rsid w:val="009E6DA4"/>
    <w:rsid w:val="009E788E"/>
    <w:rsid w:val="009F6474"/>
    <w:rsid w:val="00A004BB"/>
    <w:rsid w:val="00A01278"/>
    <w:rsid w:val="00A017C1"/>
    <w:rsid w:val="00A03373"/>
    <w:rsid w:val="00A034D1"/>
    <w:rsid w:val="00A036B8"/>
    <w:rsid w:val="00A072D1"/>
    <w:rsid w:val="00A07407"/>
    <w:rsid w:val="00A10925"/>
    <w:rsid w:val="00A10EFD"/>
    <w:rsid w:val="00A10EFE"/>
    <w:rsid w:val="00A12C2C"/>
    <w:rsid w:val="00A14D06"/>
    <w:rsid w:val="00A241C3"/>
    <w:rsid w:val="00A26C2E"/>
    <w:rsid w:val="00A26EF2"/>
    <w:rsid w:val="00A3221E"/>
    <w:rsid w:val="00A36E09"/>
    <w:rsid w:val="00A37145"/>
    <w:rsid w:val="00A40EC9"/>
    <w:rsid w:val="00A4220F"/>
    <w:rsid w:val="00A4381A"/>
    <w:rsid w:val="00A43E66"/>
    <w:rsid w:val="00A4419B"/>
    <w:rsid w:val="00A46705"/>
    <w:rsid w:val="00A467F7"/>
    <w:rsid w:val="00A47D6B"/>
    <w:rsid w:val="00A53763"/>
    <w:rsid w:val="00A538E3"/>
    <w:rsid w:val="00A5763D"/>
    <w:rsid w:val="00A60890"/>
    <w:rsid w:val="00A609FB"/>
    <w:rsid w:val="00A62722"/>
    <w:rsid w:val="00A65FBC"/>
    <w:rsid w:val="00A66A91"/>
    <w:rsid w:val="00A66CCC"/>
    <w:rsid w:val="00A70CB6"/>
    <w:rsid w:val="00A714BD"/>
    <w:rsid w:val="00A725D4"/>
    <w:rsid w:val="00A77A06"/>
    <w:rsid w:val="00A819C3"/>
    <w:rsid w:val="00A8726B"/>
    <w:rsid w:val="00A93C72"/>
    <w:rsid w:val="00A95D42"/>
    <w:rsid w:val="00A962C3"/>
    <w:rsid w:val="00A973E2"/>
    <w:rsid w:val="00AA5CFE"/>
    <w:rsid w:val="00AB1A29"/>
    <w:rsid w:val="00AB5C08"/>
    <w:rsid w:val="00AC37B1"/>
    <w:rsid w:val="00AC6047"/>
    <w:rsid w:val="00AC7956"/>
    <w:rsid w:val="00AD6268"/>
    <w:rsid w:val="00AE72AF"/>
    <w:rsid w:val="00AF2C12"/>
    <w:rsid w:val="00AF49C6"/>
    <w:rsid w:val="00AF50A8"/>
    <w:rsid w:val="00B012E8"/>
    <w:rsid w:val="00B02AB0"/>
    <w:rsid w:val="00B13CEA"/>
    <w:rsid w:val="00B15C66"/>
    <w:rsid w:val="00B22946"/>
    <w:rsid w:val="00B25573"/>
    <w:rsid w:val="00B32122"/>
    <w:rsid w:val="00B33E2C"/>
    <w:rsid w:val="00B36FB3"/>
    <w:rsid w:val="00B46BB7"/>
    <w:rsid w:val="00B50536"/>
    <w:rsid w:val="00B52617"/>
    <w:rsid w:val="00B548BE"/>
    <w:rsid w:val="00B60E2E"/>
    <w:rsid w:val="00B628B6"/>
    <w:rsid w:val="00B648E7"/>
    <w:rsid w:val="00B660AC"/>
    <w:rsid w:val="00B70A2D"/>
    <w:rsid w:val="00B70AF5"/>
    <w:rsid w:val="00B70B6B"/>
    <w:rsid w:val="00B71491"/>
    <w:rsid w:val="00B7485F"/>
    <w:rsid w:val="00B83F99"/>
    <w:rsid w:val="00B915C1"/>
    <w:rsid w:val="00B921B1"/>
    <w:rsid w:val="00B92D6B"/>
    <w:rsid w:val="00B9352F"/>
    <w:rsid w:val="00B97A98"/>
    <w:rsid w:val="00BA02C1"/>
    <w:rsid w:val="00BA3EE3"/>
    <w:rsid w:val="00BA4B96"/>
    <w:rsid w:val="00BA7BE0"/>
    <w:rsid w:val="00BB09A2"/>
    <w:rsid w:val="00BB0AE6"/>
    <w:rsid w:val="00BB1545"/>
    <w:rsid w:val="00BB16E4"/>
    <w:rsid w:val="00BB21AD"/>
    <w:rsid w:val="00BB46DF"/>
    <w:rsid w:val="00BB4B1A"/>
    <w:rsid w:val="00BB611D"/>
    <w:rsid w:val="00BC1480"/>
    <w:rsid w:val="00BC30E9"/>
    <w:rsid w:val="00BC4228"/>
    <w:rsid w:val="00BD6AF4"/>
    <w:rsid w:val="00BD6DF5"/>
    <w:rsid w:val="00BE175D"/>
    <w:rsid w:val="00BE364F"/>
    <w:rsid w:val="00BE4BC7"/>
    <w:rsid w:val="00BE5EDE"/>
    <w:rsid w:val="00BE71E9"/>
    <w:rsid w:val="00BE7737"/>
    <w:rsid w:val="00BF3063"/>
    <w:rsid w:val="00BF3543"/>
    <w:rsid w:val="00BF3A0C"/>
    <w:rsid w:val="00BF6093"/>
    <w:rsid w:val="00C00DDE"/>
    <w:rsid w:val="00C03ACA"/>
    <w:rsid w:val="00C04B33"/>
    <w:rsid w:val="00C07674"/>
    <w:rsid w:val="00C077B4"/>
    <w:rsid w:val="00C13CAA"/>
    <w:rsid w:val="00C13CBB"/>
    <w:rsid w:val="00C16177"/>
    <w:rsid w:val="00C201B9"/>
    <w:rsid w:val="00C24302"/>
    <w:rsid w:val="00C243FF"/>
    <w:rsid w:val="00C25ADC"/>
    <w:rsid w:val="00C25D00"/>
    <w:rsid w:val="00C318C0"/>
    <w:rsid w:val="00C37F17"/>
    <w:rsid w:val="00C40E80"/>
    <w:rsid w:val="00C4710B"/>
    <w:rsid w:val="00C62E1A"/>
    <w:rsid w:val="00C64BBF"/>
    <w:rsid w:val="00C64EB2"/>
    <w:rsid w:val="00C657EE"/>
    <w:rsid w:val="00C70729"/>
    <w:rsid w:val="00C71595"/>
    <w:rsid w:val="00C73FEA"/>
    <w:rsid w:val="00C81AB5"/>
    <w:rsid w:val="00C83D4D"/>
    <w:rsid w:val="00C84023"/>
    <w:rsid w:val="00C863F7"/>
    <w:rsid w:val="00C86BA0"/>
    <w:rsid w:val="00C9084A"/>
    <w:rsid w:val="00C95BC8"/>
    <w:rsid w:val="00CA2A06"/>
    <w:rsid w:val="00CA3CB2"/>
    <w:rsid w:val="00CA3F8B"/>
    <w:rsid w:val="00CA5798"/>
    <w:rsid w:val="00CA59F0"/>
    <w:rsid w:val="00CB0190"/>
    <w:rsid w:val="00CB5E62"/>
    <w:rsid w:val="00CB6567"/>
    <w:rsid w:val="00CB7672"/>
    <w:rsid w:val="00CB7CCD"/>
    <w:rsid w:val="00CC2C8B"/>
    <w:rsid w:val="00CC597D"/>
    <w:rsid w:val="00CD01A7"/>
    <w:rsid w:val="00CD04E4"/>
    <w:rsid w:val="00CD098D"/>
    <w:rsid w:val="00CD6E42"/>
    <w:rsid w:val="00CE036F"/>
    <w:rsid w:val="00CE7DD7"/>
    <w:rsid w:val="00CF049D"/>
    <w:rsid w:val="00CF1CD3"/>
    <w:rsid w:val="00CF3EA5"/>
    <w:rsid w:val="00D02CC5"/>
    <w:rsid w:val="00D03809"/>
    <w:rsid w:val="00D03FE6"/>
    <w:rsid w:val="00D078F2"/>
    <w:rsid w:val="00D13E8A"/>
    <w:rsid w:val="00D14744"/>
    <w:rsid w:val="00D15326"/>
    <w:rsid w:val="00D15F1E"/>
    <w:rsid w:val="00D1632D"/>
    <w:rsid w:val="00D24CF3"/>
    <w:rsid w:val="00D35A9D"/>
    <w:rsid w:val="00D44BB2"/>
    <w:rsid w:val="00D45050"/>
    <w:rsid w:val="00D452A3"/>
    <w:rsid w:val="00D50491"/>
    <w:rsid w:val="00D5205D"/>
    <w:rsid w:val="00D55BA5"/>
    <w:rsid w:val="00D565B5"/>
    <w:rsid w:val="00D56BEF"/>
    <w:rsid w:val="00D57D04"/>
    <w:rsid w:val="00D60A90"/>
    <w:rsid w:val="00D626A2"/>
    <w:rsid w:val="00D65D0F"/>
    <w:rsid w:val="00D67FAE"/>
    <w:rsid w:val="00D70819"/>
    <w:rsid w:val="00D70C72"/>
    <w:rsid w:val="00D70EE0"/>
    <w:rsid w:val="00D73265"/>
    <w:rsid w:val="00D82F11"/>
    <w:rsid w:val="00D834CC"/>
    <w:rsid w:val="00D8573B"/>
    <w:rsid w:val="00D91684"/>
    <w:rsid w:val="00D93F41"/>
    <w:rsid w:val="00D96222"/>
    <w:rsid w:val="00D97EE0"/>
    <w:rsid w:val="00DA0B97"/>
    <w:rsid w:val="00DA2A5C"/>
    <w:rsid w:val="00DA5BBE"/>
    <w:rsid w:val="00DAE366"/>
    <w:rsid w:val="00DB00C3"/>
    <w:rsid w:val="00DB054A"/>
    <w:rsid w:val="00DB37C3"/>
    <w:rsid w:val="00DB5C1D"/>
    <w:rsid w:val="00DB6291"/>
    <w:rsid w:val="00DB701F"/>
    <w:rsid w:val="00DC6899"/>
    <w:rsid w:val="00DC740F"/>
    <w:rsid w:val="00DD0E84"/>
    <w:rsid w:val="00DD0F20"/>
    <w:rsid w:val="00DD4270"/>
    <w:rsid w:val="00DD551F"/>
    <w:rsid w:val="00DD7F74"/>
    <w:rsid w:val="00DE0161"/>
    <w:rsid w:val="00DE2E35"/>
    <w:rsid w:val="00DE6AB7"/>
    <w:rsid w:val="00DF7B4D"/>
    <w:rsid w:val="00E00223"/>
    <w:rsid w:val="00E01D38"/>
    <w:rsid w:val="00E023F8"/>
    <w:rsid w:val="00E02AF4"/>
    <w:rsid w:val="00E04BBC"/>
    <w:rsid w:val="00E0648E"/>
    <w:rsid w:val="00E06E45"/>
    <w:rsid w:val="00E1258E"/>
    <w:rsid w:val="00E1668A"/>
    <w:rsid w:val="00E30DF6"/>
    <w:rsid w:val="00E33E37"/>
    <w:rsid w:val="00E342C8"/>
    <w:rsid w:val="00E363DC"/>
    <w:rsid w:val="00E44ED4"/>
    <w:rsid w:val="00E450ED"/>
    <w:rsid w:val="00E50795"/>
    <w:rsid w:val="00E507AC"/>
    <w:rsid w:val="00E5592F"/>
    <w:rsid w:val="00E55EFC"/>
    <w:rsid w:val="00E57DBA"/>
    <w:rsid w:val="00E6031C"/>
    <w:rsid w:val="00E6198A"/>
    <w:rsid w:val="00E652C7"/>
    <w:rsid w:val="00E8066A"/>
    <w:rsid w:val="00E864C0"/>
    <w:rsid w:val="00E87721"/>
    <w:rsid w:val="00E90EA7"/>
    <w:rsid w:val="00E950B1"/>
    <w:rsid w:val="00E95A03"/>
    <w:rsid w:val="00E97D5E"/>
    <w:rsid w:val="00EA1E39"/>
    <w:rsid w:val="00EA3A6C"/>
    <w:rsid w:val="00EA5FFD"/>
    <w:rsid w:val="00EA751F"/>
    <w:rsid w:val="00EB1578"/>
    <w:rsid w:val="00EB47FF"/>
    <w:rsid w:val="00EB6302"/>
    <w:rsid w:val="00EB67D1"/>
    <w:rsid w:val="00EB7CDE"/>
    <w:rsid w:val="00EC7457"/>
    <w:rsid w:val="00ED49FE"/>
    <w:rsid w:val="00EE263D"/>
    <w:rsid w:val="00EE27ED"/>
    <w:rsid w:val="00EE2DD2"/>
    <w:rsid w:val="00EF3901"/>
    <w:rsid w:val="00EF430C"/>
    <w:rsid w:val="00EF4B60"/>
    <w:rsid w:val="00F0400A"/>
    <w:rsid w:val="00F05197"/>
    <w:rsid w:val="00F06256"/>
    <w:rsid w:val="00F063E8"/>
    <w:rsid w:val="00F06CEE"/>
    <w:rsid w:val="00F07006"/>
    <w:rsid w:val="00F13DB9"/>
    <w:rsid w:val="00F147F9"/>
    <w:rsid w:val="00F1697D"/>
    <w:rsid w:val="00F2080E"/>
    <w:rsid w:val="00F22AF9"/>
    <w:rsid w:val="00F339FB"/>
    <w:rsid w:val="00F37B8E"/>
    <w:rsid w:val="00F40E12"/>
    <w:rsid w:val="00F45331"/>
    <w:rsid w:val="00F47396"/>
    <w:rsid w:val="00F52927"/>
    <w:rsid w:val="00F55548"/>
    <w:rsid w:val="00F567E9"/>
    <w:rsid w:val="00F57E7D"/>
    <w:rsid w:val="00F60D6B"/>
    <w:rsid w:val="00F63237"/>
    <w:rsid w:val="00F63983"/>
    <w:rsid w:val="00F66BA8"/>
    <w:rsid w:val="00F70AE5"/>
    <w:rsid w:val="00F739A8"/>
    <w:rsid w:val="00F810B3"/>
    <w:rsid w:val="00F81790"/>
    <w:rsid w:val="00F84989"/>
    <w:rsid w:val="00F8521F"/>
    <w:rsid w:val="00F85428"/>
    <w:rsid w:val="00F87D4E"/>
    <w:rsid w:val="00F91073"/>
    <w:rsid w:val="00F91B39"/>
    <w:rsid w:val="00F93469"/>
    <w:rsid w:val="00F93F8E"/>
    <w:rsid w:val="00FA0E59"/>
    <w:rsid w:val="00FA1C6D"/>
    <w:rsid w:val="00FA3BE3"/>
    <w:rsid w:val="00FA473A"/>
    <w:rsid w:val="00FB022C"/>
    <w:rsid w:val="00FB0912"/>
    <w:rsid w:val="00FB21E2"/>
    <w:rsid w:val="00FC30CC"/>
    <w:rsid w:val="00FD1433"/>
    <w:rsid w:val="00FE1C5A"/>
    <w:rsid w:val="00FE5011"/>
    <w:rsid w:val="00FE5D70"/>
    <w:rsid w:val="00FE6802"/>
    <w:rsid w:val="00FE6FD2"/>
    <w:rsid w:val="00FF2F3B"/>
    <w:rsid w:val="110F5302"/>
    <w:rsid w:val="15C3A95A"/>
    <w:rsid w:val="16F19F33"/>
    <w:rsid w:val="185BC5BC"/>
    <w:rsid w:val="22840125"/>
    <w:rsid w:val="26DAC713"/>
    <w:rsid w:val="28BA3A05"/>
    <w:rsid w:val="30A6A90C"/>
    <w:rsid w:val="339DDA52"/>
    <w:rsid w:val="4C68464B"/>
    <w:rsid w:val="4E3A59D8"/>
    <w:rsid w:val="4F58EA65"/>
    <w:rsid w:val="56F54D2E"/>
    <w:rsid w:val="572BA27D"/>
    <w:rsid w:val="57862F0F"/>
    <w:rsid w:val="5A0CEEAA"/>
    <w:rsid w:val="63439E3F"/>
    <w:rsid w:val="65F44738"/>
    <w:rsid w:val="68491161"/>
    <w:rsid w:val="6AA986DF"/>
    <w:rsid w:val="6E11A738"/>
    <w:rsid w:val="6FAB1117"/>
    <w:rsid w:val="777A961E"/>
    <w:rsid w:val="77E4E901"/>
    <w:rsid w:val="786D4323"/>
    <w:rsid w:val="7DE09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BF04F1B-6CAB-4823-85FD-2AEC424F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705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F35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6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716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62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rsid w:val="006D70C6"/>
    <w:rPr>
      <w:color w:val="0000FF"/>
      <w:u w:val="single"/>
    </w:rPr>
  </w:style>
  <w:style w:type="table" w:styleId="TableGrid">
    <w:name w:val="Table Grid"/>
    <w:basedOn w:val="TableNormal"/>
    <w:rsid w:val="00B9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1EE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A000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5A3ABC"/>
  </w:style>
  <w:style w:type="paragraph" w:styleId="NormalWeb">
    <w:name w:val="Normal (Web)"/>
    <w:basedOn w:val="Normal"/>
    <w:uiPriority w:val="99"/>
    <w:rsid w:val="00AC7956"/>
    <w:pPr>
      <w:spacing w:after="150" w:line="348" w:lineRule="auto"/>
    </w:pPr>
    <w:rPr>
      <w:rFonts w:ascii="Times New Roman" w:hAnsi="Times New Roman"/>
      <w:color w:val="303030"/>
      <w:sz w:val="24"/>
    </w:rPr>
  </w:style>
  <w:style w:type="character" w:styleId="Strong">
    <w:name w:val="Strong"/>
    <w:uiPriority w:val="22"/>
    <w:qFormat/>
    <w:rsid w:val="00AC7956"/>
    <w:rPr>
      <w:b/>
      <w:bCs/>
    </w:rPr>
  </w:style>
  <w:style w:type="character" w:styleId="CommentReference">
    <w:name w:val="annotation reference"/>
    <w:semiHidden/>
    <w:rsid w:val="006367B6"/>
    <w:rPr>
      <w:sz w:val="16"/>
      <w:szCs w:val="16"/>
    </w:rPr>
  </w:style>
  <w:style w:type="paragraph" w:styleId="CommentText">
    <w:name w:val="annotation text"/>
    <w:basedOn w:val="Normal"/>
    <w:semiHidden/>
    <w:rsid w:val="006367B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67B6"/>
    <w:rPr>
      <w:b/>
      <w:bCs/>
    </w:rPr>
  </w:style>
  <w:style w:type="character" w:customStyle="1" w:styleId="stdnobr">
    <w:name w:val="std nobr"/>
    <w:basedOn w:val="DefaultParagraphFont"/>
    <w:rsid w:val="00B13CEA"/>
  </w:style>
  <w:style w:type="paragraph" w:styleId="ListParagraph">
    <w:name w:val="List Paragraph"/>
    <w:basedOn w:val="Normal"/>
    <w:uiPriority w:val="34"/>
    <w:qFormat/>
    <w:rsid w:val="0080713C"/>
    <w:pPr>
      <w:ind w:left="720"/>
    </w:pPr>
  </w:style>
  <w:style w:type="character" w:customStyle="1" w:styleId="Heading3Char">
    <w:name w:val="Heading 3 Char"/>
    <w:link w:val="Heading3"/>
    <w:uiPriority w:val="9"/>
    <w:rsid w:val="005F716F"/>
    <w:rPr>
      <w:rFonts w:eastAsia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002FF"/>
  </w:style>
  <w:style w:type="character" w:styleId="Emphasis">
    <w:name w:val="Emphasis"/>
    <w:uiPriority w:val="20"/>
    <w:qFormat/>
    <w:rsid w:val="008002FF"/>
    <w:rPr>
      <w:i/>
      <w:iCs/>
    </w:rPr>
  </w:style>
  <w:style w:type="paragraph" w:styleId="Revision">
    <w:name w:val="Revision"/>
    <w:hidden/>
    <w:uiPriority w:val="99"/>
    <w:semiHidden/>
    <w:rsid w:val="00962DE5"/>
    <w:rPr>
      <w:rFonts w:ascii="Arial" w:hAnsi="Arial"/>
      <w:sz w:val="22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BF35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4962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49621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  <w:lang w:eastAsia="zh-CN"/>
    </w:rPr>
  </w:style>
  <w:style w:type="paragraph" w:customStyle="1" w:styleId="text-sm-justify">
    <w:name w:val="text-sm-justify"/>
    <w:basedOn w:val="Normal"/>
    <w:rsid w:val="00496213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icon">
    <w:name w:val="icon"/>
    <w:basedOn w:val="DefaultParagraphFont"/>
    <w:rsid w:val="00496213"/>
  </w:style>
  <w:style w:type="paragraph" w:styleId="NoSpacing">
    <w:name w:val="No Spacing"/>
    <w:uiPriority w:val="1"/>
    <w:qFormat/>
    <w:rsid w:val="00A422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numbering" w:customStyle="1" w:styleId="ImportierterStil1">
    <w:name w:val="Importierter Stil: 1"/>
    <w:rsid w:val="00433F07"/>
    <w:pPr>
      <w:numPr>
        <w:numId w:val="1"/>
      </w:numPr>
    </w:pPr>
  </w:style>
  <w:style w:type="paragraph" w:customStyle="1" w:styleId="Headingb">
    <w:name w:val="Heading_b"/>
    <w:basedOn w:val="Heading3"/>
    <w:next w:val="Normal"/>
    <w:rsid w:val="00C04B33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 w:beforeAutospacing="0" w:after="0" w:afterAutospacing="0"/>
      <w:ind w:left="567" w:hanging="567"/>
      <w:outlineLvl w:val="0"/>
    </w:pPr>
    <w:rPr>
      <w:rFonts w:ascii="Calibri" w:hAnsi="Calibri"/>
      <w:bCs w:val="0"/>
      <w:sz w:val="24"/>
      <w:szCs w:val="20"/>
      <w:lang w:val="en-GB" w:eastAsia="en-US"/>
    </w:rPr>
  </w:style>
  <w:style w:type="paragraph" w:customStyle="1" w:styleId="Table">
    <w:name w:val="Table_#"/>
    <w:basedOn w:val="Normal"/>
    <w:next w:val="Normal"/>
    <w:rsid w:val="00C04B33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eastAsia="Times New Roman" w:hAnsi="Times New Roman"/>
      <w:caps/>
      <w:sz w:val="24"/>
      <w:szCs w:val="20"/>
      <w:lang w:val="en-GB" w:eastAsia="en-US"/>
    </w:rPr>
  </w:style>
  <w:style w:type="paragraph" w:customStyle="1" w:styleId="TextA">
    <w:name w:val="Text A"/>
    <w:rsid w:val="00C04B33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u w:color="000000"/>
      <w:lang w:eastAsia="zh-CN"/>
    </w:rPr>
  </w:style>
  <w:style w:type="character" w:customStyle="1" w:styleId="Ohne">
    <w:name w:val="Ohne"/>
    <w:rsid w:val="00C04B33"/>
  </w:style>
  <w:style w:type="character" w:customStyle="1" w:styleId="Hyperlink1">
    <w:name w:val="Hyperlink.1"/>
    <w:basedOn w:val="Ohne"/>
    <w:rsid w:val="00C04B33"/>
    <w:rPr>
      <w:rFonts w:ascii="Calibri" w:eastAsia="Calibri" w:hAnsi="Calibri" w:cs="Calibri" w:hint="default"/>
      <w:i/>
      <w:iCs/>
      <w:color w:val="0000FF"/>
      <w:u w:val="single" w:color="0000FF"/>
      <w:lang w:val="en-US"/>
    </w:rPr>
  </w:style>
  <w:style w:type="paragraph" w:customStyle="1" w:styleId="Normalnumbered">
    <w:name w:val="Normal (numbered)"/>
    <w:rsid w:val="00C04B33"/>
    <w:pPr>
      <w:spacing w:before="180" w:after="120"/>
      <w:jc w:val="both"/>
    </w:pPr>
    <w:rPr>
      <w:rFonts w:ascii="Calibri" w:eastAsia="Calibri" w:hAnsi="Calibri" w:cs="Calibri"/>
      <w:color w:val="000000"/>
      <w:sz w:val="24"/>
      <w:szCs w:val="24"/>
      <w:u w:color="000000"/>
      <w:lang w:eastAsia="zh-CN"/>
    </w:rPr>
  </w:style>
  <w:style w:type="numbering" w:customStyle="1" w:styleId="Punkte">
    <w:name w:val="Punkte"/>
    <w:rsid w:val="00C04B33"/>
    <w:pPr>
      <w:numPr>
        <w:numId w:val="6"/>
      </w:numPr>
    </w:pPr>
  </w:style>
  <w:style w:type="table" w:customStyle="1" w:styleId="Tabellenraster1">
    <w:name w:val="Tabellenraster1"/>
    <w:basedOn w:val="TableNormal"/>
    <w:next w:val="TableGrid"/>
    <w:uiPriority w:val="59"/>
    <w:rsid w:val="006D48EA"/>
    <w:rPr>
      <w:rFonts w:ascii="CG Times" w:eastAsia="Times New Roman" w:hAnsi="CG Times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894B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94BC5"/>
    <w:rPr>
      <w:rFonts w:ascii="Arial" w:hAnsi="Arial"/>
      <w:lang w:eastAsia="zh-CN"/>
    </w:rPr>
  </w:style>
  <w:style w:type="character" w:styleId="FootnoteReference">
    <w:name w:val="footnote reference"/>
    <w:basedOn w:val="DefaultParagraphFont"/>
    <w:semiHidden/>
    <w:unhideWhenUsed/>
    <w:rsid w:val="00894B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9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8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6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8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7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3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9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0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3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36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661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4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63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6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43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2135173052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389546352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59253080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80997662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  <w:div w:id="43136416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9142449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</w:divsChild>
            </w:div>
          </w:divsChild>
        </w:div>
        <w:div w:id="547844424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989947031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15800152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139153930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413160843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5801804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8330267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7246711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31678829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374883996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32734027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91813200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0324898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894584999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94719320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5572561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S13-CL-C-0065/en" TargetMode="External"/><Relationship Id="rId18" Type="http://schemas.openxmlformats.org/officeDocument/2006/relationships/hyperlink" Target="https://www.itu.int/md/S19-CL-C-0040/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itu.int/md/S19-CL-C-0022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19-CL-C-0108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S19-CL-C-0106/en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itu.int/md/meetingdoc.asp?lang=en&amp;parent=S19-CWGFHR10-C-000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S19-CL-C-0028/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5AED0024D4C4B908559843DB30158" ma:contentTypeVersion="2" ma:contentTypeDescription="Create a new document." ma:contentTypeScope="" ma:versionID="962554cd9ef4cf7e86c70e5a8018fa2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c08235ba5f84bc5462d3c7dac5fa3e78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F9AD-1307-4226-93D0-E1710B612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B7ADF-EB5F-4537-943F-279F722AEB45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aaea1ea-72e4-4374-b05e-72e2f16fb7ae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953B8A-51B0-421C-9219-ED12AB0AD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03795-9BEA-4C22-A615-D3AC4242D0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8DE1C-1EF4-4106-9BB0-C78DAB86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4134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CWG-FHR Sept 2019 meeting</vt:lpstr>
      <vt:lpstr>CWG-FHR Sept 2019 meeting</vt:lpstr>
      <vt:lpstr>ITU Normal.dot</vt:lpstr>
    </vt:vector>
  </TitlesOfParts>
  <Company>ITU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CWG-FHR Sept 2019 meeting</dc:title>
  <dc:subject>Council Working Group on Financial and Human Resources</dc:subject>
  <dc:creator>Brouard, Ricarda</dc:creator>
  <cp:keywords>CWG-FHR</cp:keywords>
  <cp:lastModifiedBy>Janin, Patricia</cp:lastModifiedBy>
  <cp:revision>3</cp:revision>
  <cp:lastPrinted>2013-07-15T09:23:00Z</cp:lastPrinted>
  <dcterms:created xsi:type="dcterms:W3CDTF">2019-09-06T08:15:00Z</dcterms:created>
  <dcterms:modified xsi:type="dcterms:W3CDTF">2019-09-06T08:49:00Z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ocHome">
    <vt:i4>-1556540486</vt:i4>
  </property>
  <property fmtid="{D5CDD505-2E9C-101B-9397-08002B2CF9AE}" pid="4" name="ContentTypeId">
    <vt:lpwstr>0x01010041A5AED0024D4C4B908559843DB30158</vt:lpwstr>
  </property>
</Properties>
</file>