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812B8E" w:rsidRPr="00812B8E" w14:paraId="1A5FA835" w14:textId="77777777" w:rsidTr="00812B8E">
        <w:trPr>
          <w:cantSplit/>
        </w:trPr>
        <w:tc>
          <w:tcPr>
            <w:tcW w:w="6629" w:type="dxa"/>
            <w:hideMark/>
          </w:tcPr>
          <w:p w14:paraId="1F150DA2"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Start w:id="3" w:name="_GoBack"/>
            <w:bookmarkEnd w:id="0"/>
            <w:bookmarkEnd w:id="3"/>
            <w:r w:rsidRPr="00812B8E">
              <w:rPr>
                <w:b/>
                <w:position w:val="6"/>
                <w:sz w:val="30"/>
                <w:szCs w:val="30"/>
                <w:lang w:val="en-US"/>
              </w:rPr>
              <w:t>Council Working Group on</w:t>
            </w:r>
            <w:r w:rsidRPr="00812B8E">
              <w:rPr>
                <w:b/>
                <w:position w:val="6"/>
                <w:sz w:val="30"/>
                <w:szCs w:val="30"/>
                <w:lang w:val="en-US"/>
              </w:rPr>
              <w:br/>
              <w:t>Financial and Human Resources</w:t>
            </w:r>
            <w:r w:rsidRPr="00812B8E">
              <w:rPr>
                <w:b/>
                <w:position w:val="6"/>
                <w:sz w:val="26"/>
                <w:szCs w:val="26"/>
                <w:lang w:val="en-US"/>
              </w:rPr>
              <w:br/>
            </w:r>
            <w:r w:rsidRPr="00812B8E">
              <w:rPr>
                <w:rFonts w:cs="Times New Roman Bold"/>
                <w:b/>
              </w:rPr>
              <w:t>Ninth meeting - Geneva, 29-30 January 2019</w:t>
            </w:r>
          </w:p>
        </w:tc>
        <w:tc>
          <w:tcPr>
            <w:tcW w:w="3685" w:type="dxa"/>
            <w:hideMark/>
          </w:tcPr>
          <w:p w14:paraId="05B8B76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4" w:name="ditulogo"/>
            <w:bookmarkEnd w:id="4"/>
            <w:r w:rsidRPr="00812B8E">
              <w:rPr>
                <w:rFonts w:ascii="Times New Roman" w:eastAsia="SimSun" w:hAnsi="Times New Roman" w:cs="Calibri"/>
                <w:noProof/>
                <w:szCs w:val="24"/>
                <w:lang w:val="en-US" w:eastAsia="zh-CN"/>
              </w:rPr>
              <w:drawing>
                <wp:inline distT="0" distB="0" distL="0" distR="0" wp14:anchorId="31A13AC1" wp14:editId="1157C466">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812B8E" w:rsidRPr="00812B8E" w14:paraId="76B2F033" w14:textId="77777777" w:rsidTr="00812B8E">
        <w:trPr>
          <w:cantSplit/>
        </w:trPr>
        <w:tc>
          <w:tcPr>
            <w:tcW w:w="6629" w:type="dxa"/>
            <w:tcBorders>
              <w:top w:val="nil"/>
              <w:left w:val="nil"/>
              <w:bottom w:val="single" w:sz="12" w:space="0" w:color="auto"/>
              <w:right w:val="nil"/>
            </w:tcBorders>
          </w:tcPr>
          <w:p w14:paraId="62C4B3EC"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2F374731"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44BC4925" w14:textId="77777777" w:rsidTr="00812B8E">
        <w:trPr>
          <w:cantSplit/>
        </w:trPr>
        <w:tc>
          <w:tcPr>
            <w:tcW w:w="6629" w:type="dxa"/>
            <w:tcBorders>
              <w:top w:val="single" w:sz="12" w:space="0" w:color="auto"/>
              <w:left w:val="nil"/>
              <w:bottom w:val="nil"/>
              <w:right w:val="nil"/>
            </w:tcBorders>
          </w:tcPr>
          <w:p w14:paraId="49B5C6B8"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D9553CA"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52525A9F" w14:textId="77777777" w:rsidTr="00812B8E">
        <w:trPr>
          <w:cantSplit/>
          <w:trHeight w:val="23"/>
        </w:trPr>
        <w:tc>
          <w:tcPr>
            <w:tcW w:w="6629" w:type="dxa"/>
            <w:vMerge w:val="restart"/>
          </w:tcPr>
          <w:p w14:paraId="064EE557" w14:textId="77777777"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1BC0E65E" w14:textId="7F0CD46C" w:rsidR="00812B8E" w:rsidRPr="00812B8E" w:rsidRDefault="00812B8E" w:rsidP="00DA39FF">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 xml:space="preserve">Document CWG-FHR </w:t>
            </w:r>
            <w:r w:rsidR="00DA39FF">
              <w:rPr>
                <w:b/>
                <w:szCs w:val="24"/>
                <w:lang w:val="en-US"/>
              </w:rPr>
              <w:t>9</w:t>
            </w:r>
            <w:r w:rsidRPr="00812B8E">
              <w:rPr>
                <w:b/>
                <w:szCs w:val="24"/>
                <w:lang w:val="en-US"/>
              </w:rPr>
              <w:t>/</w:t>
            </w:r>
            <w:r w:rsidR="00DA39FF">
              <w:rPr>
                <w:b/>
                <w:szCs w:val="24"/>
                <w:lang w:val="en-US"/>
              </w:rPr>
              <w:t>14</w:t>
            </w:r>
          </w:p>
        </w:tc>
      </w:tr>
      <w:tr w:rsidR="00812B8E" w:rsidRPr="00812B8E" w14:paraId="030A79D7" w14:textId="77777777" w:rsidTr="00812B8E">
        <w:trPr>
          <w:cantSplit/>
          <w:trHeight w:val="23"/>
        </w:trPr>
        <w:tc>
          <w:tcPr>
            <w:tcW w:w="6629" w:type="dxa"/>
            <w:vMerge/>
            <w:vAlign w:val="center"/>
            <w:hideMark/>
          </w:tcPr>
          <w:p w14:paraId="3C6B61A0"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E8D051F" w14:textId="225355C1" w:rsidR="00812B8E" w:rsidRPr="00812B8E" w:rsidRDefault="00DA39FF" w:rsidP="00DA39FF">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25</w:t>
            </w:r>
            <w:r w:rsidR="00812B8E" w:rsidRPr="00812B8E">
              <w:rPr>
                <w:b/>
                <w:szCs w:val="24"/>
              </w:rPr>
              <w:t xml:space="preserve"> </w:t>
            </w:r>
            <w:r w:rsidR="001D6469">
              <w:rPr>
                <w:b/>
                <w:szCs w:val="24"/>
              </w:rPr>
              <w:t>January</w:t>
            </w:r>
            <w:r w:rsidR="00812B8E" w:rsidRPr="00812B8E">
              <w:rPr>
                <w:b/>
                <w:szCs w:val="24"/>
              </w:rPr>
              <w:t xml:space="preserve"> 201</w:t>
            </w:r>
            <w:r w:rsidR="001D6469">
              <w:rPr>
                <w:b/>
                <w:szCs w:val="24"/>
              </w:rPr>
              <w:t>9</w:t>
            </w:r>
          </w:p>
        </w:tc>
      </w:tr>
      <w:tr w:rsidR="00812B8E" w:rsidRPr="00812B8E" w14:paraId="5E6DB40D" w14:textId="77777777" w:rsidTr="00812B8E">
        <w:trPr>
          <w:cantSplit/>
          <w:trHeight w:val="80"/>
        </w:trPr>
        <w:tc>
          <w:tcPr>
            <w:tcW w:w="6629" w:type="dxa"/>
            <w:vMerge/>
            <w:vAlign w:val="center"/>
            <w:hideMark/>
          </w:tcPr>
          <w:p w14:paraId="43F0DF15"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0AAB0865"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English only</w:t>
            </w:r>
          </w:p>
        </w:tc>
      </w:tr>
    </w:tbl>
    <w:p w14:paraId="56F010A0" w14:textId="1D5D0067" w:rsidR="00FE50E4" w:rsidRPr="00FE50E4" w:rsidRDefault="00FE50E4" w:rsidP="00783A37">
      <w:pPr>
        <w:pStyle w:val="Source"/>
      </w:pPr>
      <w:r w:rsidRPr="00FE50E4">
        <w:t>Contribution by the Secretariat</w:t>
      </w:r>
    </w:p>
    <w:p w14:paraId="52BAA576" w14:textId="720D87EE" w:rsidR="00FE50E4" w:rsidRPr="00FE50E4" w:rsidRDefault="001D6469" w:rsidP="001D6469">
      <w:pPr>
        <w:spacing w:before="240"/>
        <w:jc w:val="center"/>
        <w:rPr>
          <w:b/>
          <w:sz w:val="28"/>
          <w:szCs w:val="28"/>
        </w:rPr>
      </w:pPr>
      <w:r w:rsidRPr="001D6469">
        <w:rPr>
          <w:rFonts w:eastAsia="Calibri" w:cs="Calibri"/>
          <w:sz w:val="28"/>
          <w:szCs w:val="28"/>
        </w:rPr>
        <w:t xml:space="preserve">STATUS REPORT ON IMPLEMENTATION OF </w:t>
      </w:r>
      <w:r w:rsidR="007B14F5">
        <w:rPr>
          <w:rFonts w:eastAsia="Calibri" w:cs="Calibri"/>
          <w:sz w:val="28"/>
          <w:szCs w:val="28"/>
        </w:rPr>
        <w:br/>
      </w:r>
      <w:r w:rsidRPr="001D6469">
        <w:rPr>
          <w:rFonts w:eastAsia="Calibri" w:cs="Calibri"/>
          <w:sz w:val="28"/>
          <w:szCs w:val="28"/>
        </w:rPr>
        <w:t>COUNCIL DECISION</w:t>
      </w:r>
      <w:r w:rsidR="00DA39FF">
        <w:rPr>
          <w:rFonts w:eastAsia="Calibri" w:cs="Calibri"/>
          <w:sz w:val="28"/>
          <w:szCs w:val="28"/>
        </w:rPr>
        <w:t>S</w:t>
      </w:r>
      <w:r w:rsidRPr="001D6469">
        <w:rPr>
          <w:rFonts w:eastAsia="Calibri" w:cs="Calibri"/>
          <w:sz w:val="28"/>
          <w:szCs w:val="28"/>
        </w:rPr>
        <w:t xml:space="preserve"> 600 AND 601 (UIFN, IIN)</w:t>
      </w:r>
    </w:p>
    <w:p w14:paraId="759983AA" w14:textId="37733598" w:rsidR="00812B8E" w:rsidRDefault="00812B8E"/>
    <w:tbl>
      <w:tblPr>
        <w:tblpPr w:leftFromText="180" w:rightFromText="180" w:vertAnchor="text" w:horzAnchor="page" w:tblpX="1843" w:tblpY="2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8D5B25" w:rsidRPr="008D5B25" w14:paraId="74B04583" w14:textId="77777777" w:rsidTr="007B14F5">
        <w:trPr>
          <w:trHeight w:val="3372"/>
        </w:trPr>
        <w:tc>
          <w:tcPr>
            <w:tcW w:w="8445" w:type="dxa"/>
            <w:tcBorders>
              <w:top w:val="single" w:sz="12" w:space="0" w:color="auto"/>
              <w:left w:val="single" w:sz="12" w:space="0" w:color="auto"/>
              <w:bottom w:val="single" w:sz="12" w:space="0" w:color="auto"/>
              <w:right w:val="single" w:sz="12" w:space="0" w:color="auto"/>
            </w:tcBorders>
          </w:tcPr>
          <w:p w14:paraId="5809512D"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5" w:name="_Toc305764050"/>
            <w:bookmarkEnd w:id="1"/>
            <w:bookmarkEnd w:id="2"/>
            <w:r w:rsidRPr="008D5B25">
              <w:rPr>
                <w:rFonts w:asciiTheme="minorHAnsi" w:eastAsiaTheme="minorEastAsia" w:hAnsiTheme="minorHAnsi" w:cstheme="minorBidi"/>
                <w:b/>
                <w:lang w:eastAsia="zh-CN"/>
              </w:rPr>
              <w:t>Summary</w:t>
            </w:r>
            <w:bookmarkEnd w:id="5"/>
          </w:p>
          <w:p w14:paraId="787C1358" w14:textId="3C097D4A" w:rsidR="008D5B25" w:rsidRPr="008D5B25" w:rsidRDefault="007B14F5" w:rsidP="00DA39F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b/>
                <w:szCs w:val="24"/>
                <w:lang w:eastAsia="zh-CN"/>
              </w:rPr>
            </w:pPr>
            <w:r w:rsidRPr="007B14F5">
              <w:rPr>
                <w:rFonts w:asciiTheme="minorHAnsi" w:eastAsiaTheme="minorEastAsia" w:hAnsiTheme="minorHAnsi" w:cstheme="minorBidi"/>
                <w:szCs w:val="24"/>
                <w:lang w:eastAsia="zh-CN"/>
              </w:rPr>
              <w:t xml:space="preserve">Following the approval of Decision 600 and 601 at the Council 2017 session, ITU has been in the process of implementing these Decisions. </w:t>
            </w:r>
            <w:r>
              <w:rPr>
                <w:rFonts w:asciiTheme="minorHAnsi" w:eastAsiaTheme="minorEastAsia" w:hAnsiTheme="minorHAnsi" w:cstheme="minorBidi"/>
                <w:szCs w:val="24"/>
                <w:lang w:eastAsia="zh-CN"/>
              </w:rPr>
              <w:t>Council 2018</w:t>
            </w:r>
            <w:r w:rsidR="00A96605">
              <w:rPr>
                <w:rFonts w:asciiTheme="minorHAnsi" w:eastAsiaTheme="minorEastAsia" w:hAnsiTheme="minorHAnsi" w:cstheme="minorBidi"/>
                <w:szCs w:val="24"/>
                <w:lang w:eastAsia="zh-CN"/>
              </w:rPr>
              <w:t xml:space="preserve"> approved the proposal to remove from the ITU database all records relevant to the entities for which </w:t>
            </w:r>
            <w:r w:rsidR="00A96605" w:rsidRPr="00A96605">
              <w:rPr>
                <w:rFonts w:asciiTheme="minorHAnsi" w:eastAsiaTheme="minorEastAsia" w:hAnsiTheme="minorHAnsi" w:cstheme="minorBidi"/>
                <w:szCs w:val="24"/>
                <w:lang w:eastAsia="zh-CN"/>
              </w:rPr>
              <w:t>national Administrations/regulators have lost contact and for which no contacts could be found by the end of Council 2019</w:t>
            </w:r>
            <w:r>
              <w:rPr>
                <w:rFonts w:asciiTheme="minorHAnsi" w:eastAsiaTheme="minorEastAsia" w:hAnsiTheme="minorHAnsi" w:cstheme="minorBidi"/>
                <w:szCs w:val="24"/>
                <w:lang w:eastAsia="zh-CN"/>
              </w:rPr>
              <w:t xml:space="preserve"> </w:t>
            </w:r>
            <w:r w:rsidR="00A96605">
              <w:rPr>
                <w:rFonts w:asciiTheme="minorHAnsi" w:eastAsiaTheme="minorEastAsia" w:hAnsiTheme="minorHAnsi" w:cstheme="minorBidi"/>
                <w:szCs w:val="24"/>
                <w:lang w:eastAsia="zh-CN"/>
              </w:rPr>
              <w:t xml:space="preserve">based on </w:t>
            </w:r>
            <w:r w:rsidR="00A96605" w:rsidRPr="00A96605">
              <w:rPr>
                <w:rFonts w:asciiTheme="minorHAnsi" w:eastAsiaTheme="minorEastAsia" w:hAnsiTheme="minorHAnsi" w:cstheme="minorBidi"/>
                <w:szCs w:val="24"/>
                <w:lang w:eastAsia="zh-CN"/>
              </w:rPr>
              <w:t>confirmations/notifications from national Administrations/regulators</w:t>
            </w:r>
            <w:r w:rsidR="00A96605">
              <w:rPr>
                <w:rFonts w:asciiTheme="minorHAnsi" w:eastAsiaTheme="minorEastAsia" w:hAnsiTheme="minorHAnsi" w:cstheme="minorBidi"/>
                <w:szCs w:val="24"/>
                <w:lang w:eastAsia="zh-CN"/>
              </w:rPr>
              <w:t xml:space="preserve">. Council 2018 also </w:t>
            </w:r>
            <w:r>
              <w:rPr>
                <w:rFonts w:asciiTheme="minorHAnsi" w:eastAsiaTheme="minorEastAsia" w:hAnsiTheme="minorHAnsi" w:cstheme="minorBidi"/>
                <w:szCs w:val="24"/>
                <w:lang w:eastAsia="zh-CN"/>
              </w:rPr>
              <w:t>instructed</w:t>
            </w:r>
            <w:r w:rsidR="00A96605">
              <w:t xml:space="preserve"> </w:t>
            </w:r>
            <w:r w:rsidR="00A96605" w:rsidRPr="00A96605">
              <w:rPr>
                <w:rFonts w:asciiTheme="minorHAnsi" w:eastAsiaTheme="minorEastAsia" w:hAnsiTheme="minorHAnsi" w:cstheme="minorBidi"/>
                <w:szCs w:val="24"/>
                <w:lang w:eastAsia="zh-CN"/>
              </w:rPr>
              <w:t>the secretariat, as an interim step, to undertake consultations with national administrations in order to submit a report on the status of those consultations to CWG-FHR</w:t>
            </w:r>
            <w:r w:rsidR="00A96605">
              <w:rPr>
                <w:rFonts w:asciiTheme="minorHAnsi" w:eastAsiaTheme="minorEastAsia" w:hAnsiTheme="minorHAnsi" w:cstheme="minorBidi"/>
                <w:szCs w:val="24"/>
                <w:lang w:eastAsia="zh-CN"/>
              </w:rPr>
              <w:t xml:space="preserve">. </w:t>
            </w:r>
            <w:r w:rsidRPr="007B14F5">
              <w:rPr>
                <w:rFonts w:asciiTheme="minorHAnsi" w:eastAsiaTheme="minorEastAsia" w:hAnsiTheme="minorHAnsi" w:cstheme="minorBidi"/>
                <w:szCs w:val="24"/>
                <w:lang w:eastAsia="zh-CN"/>
              </w:rPr>
              <w:t xml:space="preserve">This report summarizes the status of the implementation and provides </w:t>
            </w:r>
            <w:r w:rsidR="004420C1">
              <w:rPr>
                <w:rFonts w:asciiTheme="minorHAnsi" w:eastAsiaTheme="minorEastAsia" w:hAnsiTheme="minorHAnsi" w:cstheme="minorBidi"/>
                <w:szCs w:val="24"/>
                <w:lang w:eastAsia="zh-CN"/>
              </w:rPr>
              <w:t>a report on the status of the consultations with Member States.</w:t>
            </w:r>
          </w:p>
          <w:p w14:paraId="4AFF1BAB" w14:textId="77777777" w:rsidR="008D5B25" w:rsidRPr="008D5B25" w:rsidRDefault="008D5B25" w:rsidP="008D5B2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lang w:eastAsia="zh-CN"/>
              </w:rPr>
            </w:pPr>
            <w:bookmarkStart w:id="6" w:name="_Toc305764051"/>
            <w:r w:rsidRPr="008D5B25">
              <w:rPr>
                <w:rFonts w:asciiTheme="minorHAnsi" w:eastAsiaTheme="minorEastAsia" w:hAnsiTheme="minorHAnsi" w:cstheme="minorBidi"/>
                <w:b/>
                <w:lang w:eastAsia="zh-CN"/>
              </w:rPr>
              <w:t>Action required</w:t>
            </w:r>
            <w:bookmarkEnd w:id="6"/>
          </w:p>
          <w:p w14:paraId="37D53CF9" w14:textId="258A80CB" w:rsidR="008D5B25" w:rsidRPr="008D5B25" w:rsidRDefault="004A2726" w:rsidP="0042407C">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szCs w:val="24"/>
                <w:lang w:eastAsia="zh-CN"/>
              </w:rPr>
            </w:pPr>
            <w:r w:rsidRPr="007D03DC">
              <w:rPr>
                <w:rFonts w:asciiTheme="minorHAnsi" w:eastAsiaTheme="minorEastAsia" w:hAnsiTheme="minorHAnsi" w:cstheme="minorBidi"/>
                <w:szCs w:val="24"/>
                <w:lang w:eastAsia="zh-CN"/>
              </w:rPr>
              <w:t>The CWG-FHR is</w:t>
            </w:r>
            <w:r w:rsidR="008D5B25" w:rsidRPr="007D03DC">
              <w:rPr>
                <w:rFonts w:asciiTheme="minorHAnsi" w:eastAsiaTheme="minorEastAsia" w:hAnsiTheme="minorHAnsi" w:cstheme="minorBidi"/>
                <w:szCs w:val="24"/>
                <w:lang w:eastAsia="zh-CN"/>
              </w:rPr>
              <w:t xml:space="preserve"> invited to</w:t>
            </w:r>
            <w:r w:rsidR="00FE4868" w:rsidRPr="007D03DC">
              <w:rPr>
                <w:rFonts w:asciiTheme="minorHAnsi" w:eastAsiaTheme="minorEastAsia" w:hAnsiTheme="minorHAnsi" w:cstheme="minorBidi"/>
                <w:szCs w:val="24"/>
                <w:lang w:eastAsia="zh-CN"/>
              </w:rPr>
              <w:t xml:space="preserve"> </w:t>
            </w:r>
            <w:r w:rsidR="004D71E0">
              <w:rPr>
                <w:rFonts w:asciiTheme="minorHAnsi" w:eastAsiaTheme="minorEastAsia" w:hAnsiTheme="minorHAnsi" w:cstheme="minorBidi"/>
                <w:szCs w:val="24"/>
                <w:lang w:eastAsia="zh-CN"/>
              </w:rPr>
              <w:t>note</w:t>
            </w:r>
            <w:r w:rsidR="00FE4868" w:rsidRPr="007D03DC">
              <w:rPr>
                <w:rFonts w:asciiTheme="minorHAnsi" w:eastAsiaTheme="minorEastAsia" w:hAnsiTheme="minorHAnsi" w:cstheme="minorBidi"/>
                <w:szCs w:val="24"/>
                <w:lang w:eastAsia="zh-CN"/>
              </w:rPr>
              <w:t xml:space="preserve"> the </w:t>
            </w:r>
            <w:r w:rsidR="004420C1">
              <w:rPr>
                <w:rFonts w:asciiTheme="minorHAnsi" w:eastAsiaTheme="minorEastAsia" w:hAnsiTheme="minorHAnsi" w:cstheme="minorBidi"/>
                <w:szCs w:val="24"/>
                <w:lang w:eastAsia="zh-CN"/>
              </w:rPr>
              <w:t>report</w:t>
            </w:r>
            <w:r w:rsidR="00FE4868" w:rsidRPr="007D03DC">
              <w:rPr>
                <w:rFonts w:eastAsia="Calibri" w:cs="Calibri"/>
                <w:lang w:val="en-CA"/>
              </w:rPr>
              <w:t>.</w:t>
            </w:r>
          </w:p>
          <w:p w14:paraId="0A90EBBC" w14:textId="77777777" w:rsidR="008D5B25" w:rsidRPr="008D5B25" w:rsidRDefault="008D5B25" w:rsidP="008D5B2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szCs w:val="24"/>
                <w:lang w:eastAsia="zh-CN"/>
              </w:rPr>
            </w:pPr>
          </w:p>
        </w:tc>
      </w:tr>
    </w:tbl>
    <w:p w14:paraId="2967B7F7" w14:textId="77777777" w:rsidR="008D5B25" w:rsidRPr="0042407C" w:rsidRDefault="008D5B25" w:rsidP="008D5B25">
      <w:pPr>
        <w:pStyle w:val="Heading1"/>
        <w:rPr>
          <w:rFonts w:eastAsia="Calibri"/>
          <w:sz w:val="24"/>
          <w:szCs w:val="24"/>
        </w:rPr>
      </w:pPr>
      <w:r w:rsidRPr="0042407C">
        <w:rPr>
          <w:rFonts w:eastAsia="Calibri"/>
          <w:sz w:val="24"/>
          <w:szCs w:val="24"/>
        </w:rPr>
        <w:t>1</w:t>
      </w:r>
      <w:r w:rsidRPr="0042407C">
        <w:rPr>
          <w:rFonts w:eastAsia="Calibri"/>
          <w:sz w:val="24"/>
          <w:szCs w:val="24"/>
        </w:rPr>
        <w:tab/>
        <w:t>Background</w:t>
      </w:r>
    </w:p>
    <w:p w14:paraId="60A2B6E7" w14:textId="77777777" w:rsidR="000F72CF" w:rsidRDefault="000F72CF" w:rsidP="000F72CF">
      <w:pPr>
        <w:rPr>
          <w:rFonts w:asciiTheme="minorHAnsi" w:hAnsiTheme="minorHAnsi"/>
          <w:szCs w:val="24"/>
        </w:rPr>
      </w:pPr>
      <w:r w:rsidRPr="00720A57">
        <w:rPr>
          <w:rFonts w:asciiTheme="minorHAnsi" w:hAnsiTheme="minorHAnsi"/>
          <w:szCs w:val="24"/>
        </w:rPr>
        <w:t>Following the approval of Decision</w:t>
      </w:r>
      <w:r>
        <w:rPr>
          <w:rFonts w:asciiTheme="minorHAnsi" w:hAnsiTheme="minorHAnsi"/>
          <w:szCs w:val="24"/>
        </w:rPr>
        <w:t>s</w:t>
      </w:r>
      <w:r w:rsidRPr="00720A57">
        <w:rPr>
          <w:rFonts w:asciiTheme="minorHAnsi" w:hAnsiTheme="minorHAnsi"/>
          <w:szCs w:val="24"/>
        </w:rPr>
        <w:t xml:space="preserve"> 600 </w:t>
      </w:r>
      <w:r w:rsidRPr="00720A57">
        <w:rPr>
          <w:rFonts w:asciiTheme="minorHAnsi" w:hAnsiTheme="minorHAnsi" w:cstheme="majorBidi"/>
          <w:color w:val="000000"/>
        </w:rPr>
        <w:t>(</w:t>
      </w:r>
      <w:hyperlink r:id="rId11" w:history="1">
        <w:r w:rsidRPr="00720A57">
          <w:rPr>
            <w:rStyle w:val="Hyperlink"/>
            <w:rFonts w:asciiTheme="minorHAnsi" w:hAnsiTheme="minorHAnsi" w:cstheme="majorBidi"/>
          </w:rPr>
          <w:t>C17/133</w:t>
        </w:r>
      </w:hyperlink>
      <w:r w:rsidRPr="00720A57">
        <w:rPr>
          <w:rFonts w:asciiTheme="minorHAnsi" w:hAnsiTheme="minorHAnsi" w:cstheme="majorBidi"/>
          <w:color w:val="000000"/>
        </w:rPr>
        <w:t xml:space="preserve">) </w:t>
      </w:r>
      <w:r w:rsidRPr="00720A57">
        <w:rPr>
          <w:rFonts w:asciiTheme="minorHAnsi" w:hAnsiTheme="minorHAnsi"/>
          <w:szCs w:val="24"/>
        </w:rPr>
        <w:t xml:space="preserve">and 601 </w:t>
      </w:r>
      <w:r w:rsidRPr="00720A57">
        <w:rPr>
          <w:rFonts w:asciiTheme="minorHAnsi" w:hAnsiTheme="minorHAnsi" w:cstheme="majorBidi"/>
          <w:color w:val="000000"/>
        </w:rPr>
        <w:t>(</w:t>
      </w:r>
      <w:hyperlink r:id="rId12" w:history="1">
        <w:r w:rsidRPr="00720A57">
          <w:rPr>
            <w:rStyle w:val="Hyperlink"/>
            <w:rFonts w:asciiTheme="minorHAnsi" w:hAnsiTheme="minorHAnsi" w:cstheme="majorBidi"/>
          </w:rPr>
          <w:t>C17/134</w:t>
        </w:r>
      </w:hyperlink>
      <w:r w:rsidRPr="00720A57">
        <w:rPr>
          <w:rFonts w:asciiTheme="minorHAnsi" w:hAnsiTheme="minorHAnsi" w:cstheme="majorBidi"/>
          <w:color w:val="000000"/>
        </w:rPr>
        <w:t xml:space="preserve">) </w:t>
      </w:r>
      <w:r w:rsidRPr="00720A57">
        <w:rPr>
          <w:rFonts w:asciiTheme="minorHAnsi" w:hAnsiTheme="minorHAnsi"/>
          <w:szCs w:val="24"/>
        </w:rPr>
        <w:t xml:space="preserve">at the Council 2017 session, the ITU Secretariat has been in the process of implementing these Decisions. </w:t>
      </w:r>
    </w:p>
    <w:p w14:paraId="7CAF57B7" w14:textId="6A36386C" w:rsidR="008D5B25" w:rsidRDefault="000F72CF" w:rsidP="000F72CF">
      <w:pPr>
        <w:rPr>
          <w:rFonts w:asciiTheme="minorHAnsi" w:hAnsiTheme="minorHAnsi"/>
          <w:szCs w:val="24"/>
        </w:rPr>
      </w:pPr>
      <w:r w:rsidRPr="00720A57">
        <w:rPr>
          <w:rFonts w:asciiTheme="minorHAnsi" w:hAnsiTheme="minorHAnsi"/>
          <w:szCs w:val="24"/>
        </w:rPr>
        <w:t xml:space="preserve">The ITU Secretariat </w:t>
      </w:r>
      <w:r w:rsidRPr="00A0212E">
        <w:rPr>
          <w:rFonts w:asciiTheme="minorHAnsi" w:hAnsiTheme="minorHAnsi"/>
          <w:spacing w:val="4"/>
          <w:szCs w:val="24"/>
        </w:rPr>
        <w:t>gave a status report on the implementation (</w:t>
      </w:r>
      <w:hyperlink r:id="rId13" w:history="1">
        <w:r w:rsidRPr="00A0212E">
          <w:rPr>
            <w:rStyle w:val="Hyperlink"/>
            <w:rFonts w:asciiTheme="minorHAnsi" w:hAnsiTheme="minorHAnsi"/>
            <w:spacing w:val="4"/>
            <w:szCs w:val="24"/>
            <w:lang w:val="en-US"/>
          </w:rPr>
          <w:t>CWG-FHR 8/18</w:t>
        </w:r>
      </w:hyperlink>
      <w:r w:rsidRPr="00A0212E">
        <w:rPr>
          <w:rFonts w:asciiTheme="minorHAnsi" w:hAnsiTheme="minorHAnsi"/>
          <w:spacing w:val="4"/>
          <w:szCs w:val="24"/>
        </w:rPr>
        <w:t xml:space="preserve">) to the eighth </w:t>
      </w:r>
      <w:r w:rsidRPr="00A0212E">
        <w:rPr>
          <w:rFonts w:asciiTheme="minorHAnsi" w:hAnsiTheme="minorHAnsi" w:cstheme="minorHAnsi"/>
          <w:spacing w:val="4"/>
          <w:szCs w:val="24"/>
        </w:rPr>
        <w:t>CWG-FHR meeting</w:t>
      </w:r>
      <w:r w:rsidRPr="00720A57">
        <w:rPr>
          <w:rFonts w:asciiTheme="minorHAnsi" w:hAnsiTheme="minorHAnsi" w:cstheme="minorHAnsi"/>
          <w:szCs w:val="24"/>
        </w:rPr>
        <w:t xml:space="preserve"> (</w:t>
      </w:r>
      <w:r>
        <w:rPr>
          <w:rFonts w:asciiTheme="minorHAnsi" w:hAnsiTheme="minorHAnsi" w:cstheme="minorHAnsi"/>
          <w:szCs w:val="24"/>
        </w:rPr>
        <w:t>22-</w:t>
      </w:r>
      <w:r w:rsidRPr="00720A57">
        <w:rPr>
          <w:rFonts w:asciiTheme="minorHAnsi" w:hAnsiTheme="minorHAnsi" w:cstheme="minorHAnsi"/>
          <w:szCs w:val="24"/>
        </w:rPr>
        <w:t>23 January 2018) and also provided</w:t>
      </w:r>
      <w:r w:rsidRPr="00720A57">
        <w:rPr>
          <w:rFonts w:asciiTheme="minorHAnsi" w:hAnsiTheme="minorHAnsi"/>
          <w:szCs w:val="24"/>
        </w:rPr>
        <w:t xml:space="preserve"> some observations and made two proposals. Document (</w:t>
      </w:r>
      <w:hyperlink r:id="rId14" w:history="1">
        <w:r w:rsidRPr="00720A57">
          <w:rPr>
            <w:rStyle w:val="Hyperlink"/>
            <w:rFonts w:asciiTheme="minorHAnsi" w:hAnsiTheme="minorHAnsi"/>
          </w:rPr>
          <w:t>CWG-FHR</w:t>
        </w:r>
        <w:r w:rsidRPr="00720A57">
          <w:rPr>
            <w:rStyle w:val="Hyperlink"/>
            <w:rFonts w:asciiTheme="minorHAnsi" w:hAnsiTheme="minorHAnsi"/>
            <w:szCs w:val="24"/>
            <w:lang w:val="en-US"/>
          </w:rPr>
          <w:t xml:space="preserve"> 8/28</w:t>
        </w:r>
      </w:hyperlink>
      <w:r w:rsidRPr="00720A57">
        <w:rPr>
          <w:rFonts w:asciiTheme="minorHAnsi" w:hAnsiTheme="minorHAnsi"/>
        </w:rPr>
        <w:t>)</w:t>
      </w:r>
      <w:r w:rsidRPr="00720A57">
        <w:rPr>
          <w:rFonts w:asciiTheme="minorHAnsi" w:hAnsiTheme="minorHAnsi"/>
          <w:szCs w:val="24"/>
        </w:rPr>
        <w:t xml:space="preserve"> contains the summary of the discussion at the CWG-FHR meeting. </w:t>
      </w:r>
    </w:p>
    <w:p w14:paraId="2C88C217" w14:textId="4B5E6A2E" w:rsidR="000F72CF" w:rsidRPr="003D309C" w:rsidRDefault="000F72CF" w:rsidP="003D309C">
      <w:pPr>
        <w:rPr>
          <w:rFonts w:asciiTheme="minorHAnsi" w:hAnsiTheme="minorHAnsi"/>
          <w:szCs w:val="24"/>
        </w:rPr>
      </w:pPr>
      <w:r w:rsidRPr="003D309C">
        <w:rPr>
          <w:rFonts w:asciiTheme="minorHAnsi" w:hAnsiTheme="minorHAnsi"/>
          <w:szCs w:val="24"/>
        </w:rPr>
        <w:t>TSB presented document</w:t>
      </w:r>
      <w:r w:rsidRPr="00442DCC">
        <w:rPr>
          <w:rFonts w:asciiTheme="majorBidi" w:hAnsiTheme="majorBidi" w:cstheme="majorBidi"/>
        </w:rPr>
        <w:t xml:space="preserve"> </w:t>
      </w:r>
      <w:hyperlink r:id="rId15" w:history="1">
        <w:r w:rsidRPr="00442DCC">
          <w:rPr>
            <w:rStyle w:val="Hyperlink"/>
            <w:rFonts w:cstheme="majorBidi"/>
          </w:rPr>
          <w:t>C18/100</w:t>
        </w:r>
      </w:hyperlink>
      <w:r w:rsidRPr="003D309C">
        <w:rPr>
          <w:rFonts w:asciiTheme="minorHAnsi" w:hAnsiTheme="minorHAnsi"/>
          <w:szCs w:val="24"/>
        </w:rPr>
        <w:t>, which provides updates of the status of implementation of Council Decision</w:t>
      </w:r>
      <w:r w:rsidR="00DA39FF">
        <w:rPr>
          <w:rFonts w:asciiTheme="minorHAnsi" w:hAnsiTheme="minorHAnsi"/>
          <w:szCs w:val="24"/>
        </w:rPr>
        <w:t>s</w:t>
      </w:r>
      <w:r w:rsidRPr="003D309C">
        <w:rPr>
          <w:rFonts w:asciiTheme="minorHAnsi" w:hAnsiTheme="minorHAnsi"/>
          <w:szCs w:val="24"/>
        </w:rPr>
        <w:t xml:space="preserve"> 600 and 601, including the status of the contacts for UIFN service providers and IIN assignees. It reproduces the first proposal presented to CWG-FHR in January 2018 and</w:t>
      </w:r>
      <w:r w:rsidRPr="00442DCC">
        <w:rPr>
          <w:rFonts w:asciiTheme="majorBidi" w:eastAsia="SimSun" w:hAnsiTheme="majorBidi" w:cstheme="majorBidi"/>
          <w:lang w:eastAsia="zh-CN"/>
        </w:rPr>
        <w:t xml:space="preserve"> </w:t>
      </w:r>
      <w:r w:rsidRPr="003D309C">
        <w:rPr>
          <w:rFonts w:asciiTheme="minorHAnsi" w:hAnsiTheme="minorHAnsi"/>
          <w:szCs w:val="24"/>
        </w:rPr>
        <w:lastRenderedPageBreak/>
        <w:t>modifies the second proposal following the recommendation by CWG-FHR.  Council is invited to take note of the first proposal and endorse the revised second proposal.</w:t>
      </w:r>
    </w:p>
    <w:p w14:paraId="68A4E482" w14:textId="6CF88458" w:rsidR="000F72CF" w:rsidRPr="00442DCC" w:rsidRDefault="000F72CF" w:rsidP="003D309C">
      <w:pPr>
        <w:rPr>
          <w:rFonts w:asciiTheme="majorBidi" w:eastAsia="SimSun" w:hAnsiTheme="majorBidi" w:cstheme="majorBidi"/>
          <w:lang w:eastAsia="zh-CN"/>
        </w:rPr>
      </w:pPr>
      <w:r w:rsidRPr="003D309C">
        <w:rPr>
          <w:rFonts w:asciiTheme="minorHAnsi" w:hAnsiTheme="minorHAnsi"/>
          <w:szCs w:val="24"/>
        </w:rPr>
        <w:t>Council 2018 took note of the first proposal in Document</w:t>
      </w:r>
      <w:r w:rsidRPr="00442DCC">
        <w:rPr>
          <w:rFonts w:asciiTheme="majorBidi" w:eastAsia="SimSun" w:hAnsiTheme="majorBidi" w:cstheme="majorBidi"/>
          <w:lang w:eastAsia="zh-CN"/>
        </w:rPr>
        <w:t xml:space="preserve"> </w:t>
      </w:r>
      <w:hyperlink r:id="rId16" w:history="1">
        <w:r w:rsidRPr="00442DCC">
          <w:rPr>
            <w:rStyle w:val="Hyperlink"/>
            <w:rFonts w:eastAsia="SimSun" w:cstheme="majorBidi"/>
            <w:lang w:eastAsia="zh-CN"/>
          </w:rPr>
          <w:t>C18/100</w:t>
        </w:r>
      </w:hyperlink>
      <w:r w:rsidRPr="00442DCC">
        <w:rPr>
          <w:rFonts w:asciiTheme="majorBidi" w:eastAsia="SimSun" w:hAnsiTheme="majorBidi" w:cstheme="majorBidi"/>
          <w:lang w:eastAsia="zh-CN"/>
        </w:rPr>
        <w:t>:</w:t>
      </w:r>
    </w:p>
    <w:p w14:paraId="18DF410C" w14:textId="77777777" w:rsidR="000F72CF" w:rsidRPr="00442DCC" w:rsidRDefault="000F72CF" w:rsidP="000F72CF">
      <w:pPr>
        <w:keepNext/>
        <w:keepLines/>
        <w:ind w:left="590" w:hanging="567"/>
        <w:rPr>
          <w:rFonts w:asciiTheme="majorBidi" w:eastAsia="SimSun" w:hAnsiTheme="majorBidi" w:cstheme="majorBidi"/>
          <w:i/>
          <w:iCs/>
          <w:lang w:eastAsia="zh-CN"/>
        </w:rPr>
      </w:pPr>
      <w:r w:rsidRPr="00442DCC">
        <w:rPr>
          <w:rFonts w:asciiTheme="majorBidi" w:eastAsia="SimSun" w:hAnsiTheme="majorBidi" w:cstheme="majorBidi"/>
          <w:i/>
          <w:iCs/>
          <w:lang w:eastAsia="zh-CN"/>
        </w:rPr>
        <w:tab/>
        <w:t>National Administrations/regulators are invited to provide a focal point for providing or investigating up-to-date contacts for UIFN service providers (RoAs) and the assignees of IINs.</w:t>
      </w:r>
    </w:p>
    <w:p w14:paraId="47CF1977" w14:textId="75ABAA37" w:rsidR="000F72CF" w:rsidRPr="003D309C" w:rsidRDefault="000F72CF" w:rsidP="003D309C">
      <w:pPr>
        <w:rPr>
          <w:rFonts w:asciiTheme="minorHAnsi" w:hAnsiTheme="minorHAnsi"/>
          <w:szCs w:val="24"/>
        </w:rPr>
      </w:pPr>
      <w:r w:rsidRPr="003D309C">
        <w:rPr>
          <w:rFonts w:asciiTheme="minorHAnsi" w:hAnsiTheme="minorHAnsi"/>
          <w:szCs w:val="24"/>
        </w:rPr>
        <w:t>Council 2018 approved the revised second proposal in Document C18/100:</w:t>
      </w:r>
    </w:p>
    <w:p w14:paraId="6F10B53B" w14:textId="77777777" w:rsidR="000F72CF" w:rsidRPr="00442DCC" w:rsidRDefault="000F72CF" w:rsidP="000F72CF">
      <w:pPr>
        <w:keepNext/>
        <w:keepLines/>
        <w:ind w:left="590" w:hanging="567"/>
        <w:rPr>
          <w:rFonts w:asciiTheme="majorBidi" w:eastAsia="SimSun" w:hAnsiTheme="majorBidi" w:cstheme="majorBidi"/>
          <w:lang w:eastAsia="zh-CN"/>
        </w:rPr>
      </w:pPr>
      <w:r w:rsidRPr="00442DCC">
        <w:rPr>
          <w:rFonts w:asciiTheme="majorBidi" w:eastAsia="SimSun" w:hAnsiTheme="majorBidi" w:cstheme="majorBidi"/>
          <w:i/>
          <w:iCs/>
          <w:lang w:eastAsia="zh-CN"/>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14:paraId="6F0591D1" w14:textId="54F6C923" w:rsidR="000F72CF" w:rsidRPr="003D309C" w:rsidRDefault="000F72CF" w:rsidP="00DA39FF">
      <w:pPr>
        <w:rPr>
          <w:rFonts w:asciiTheme="minorHAnsi" w:hAnsiTheme="minorHAnsi"/>
          <w:szCs w:val="24"/>
        </w:rPr>
      </w:pPr>
      <w:r w:rsidRPr="003D309C">
        <w:rPr>
          <w:rFonts w:asciiTheme="minorHAnsi" w:hAnsiTheme="minorHAnsi"/>
          <w:szCs w:val="24"/>
        </w:rPr>
        <w:t xml:space="preserve">Council 2018 also instructed the </w:t>
      </w:r>
      <w:r w:rsidR="00DA39FF">
        <w:rPr>
          <w:rFonts w:asciiTheme="minorHAnsi" w:hAnsiTheme="minorHAnsi"/>
          <w:szCs w:val="24"/>
        </w:rPr>
        <w:t>S</w:t>
      </w:r>
      <w:r w:rsidRPr="003D309C">
        <w:rPr>
          <w:rFonts w:asciiTheme="minorHAnsi" w:hAnsiTheme="minorHAnsi"/>
          <w:szCs w:val="24"/>
        </w:rPr>
        <w:t>ecretariat, as an interim step, to undertake consultations with national administrations in order to submit a report on the status of those consultations to CWG-FHR.”</w:t>
      </w:r>
    </w:p>
    <w:p w14:paraId="3A90827D" w14:textId="1FC55EA5" w:rsidR="008D5B25" w:rsidRPr="00812B8E" w:rsidRDefault="007D03DC" w:rsidP="00812B8E">
      <w:pPr>
        <w:pStyle w:val="Heading1"/>
        <w:spacing w:before="240"/>
        <w:rPr>
          <w:rFonts w:eastAsia="Calibri"/>
          <w:sz w:val="24"/>
          <w:szCs w:val="24"/>
        </w:rPr>
      </w:pPr>
      <w:r w:rsidRPr="00812B8E">
        <w:rPr>
          <w:rFonts w:eastAsia="Calibri"/>
          <w:sz w:val="24"/>
          <w:szCs w:val="24"/>
        </w:rPr>
        <w:t>2</w:t>
      </w:r>
      <w:r w:rsidR="008D5B25" w:rsidRPr="00812B8E">
        <w:rPr>
          <w:rFonts w:eastAsia="Calibri"/>
          <w:sz w:val="24"/>
          <w:szCs w:val="24"/>
        </w:rPr>
        <w:tab/>
      </w:r>
      <w:r w:rsidR="00DE7A50">
        <w:rPr>
          <w:rFonts w:eastAsia="Calibri"/>
          <w:sz w:val="24"/>
          <w:szCs w:val="24"/>
        </w:rPr>
        <w:t>Status of implementation of Decision</w:t>
      </w:r>
      <w:r w:rsidR="00617858">
        <w:rPr>
          <w:rFonts w:eastAsia="Calibri"/>
          <w:sz w:val="24"/>
          <w:szCs w:val="24"/>
        </w:rPr>
        <w:t>s</w:t>
      </w:r>
      <w:r w:rsidR="00DE7A50">
        <w:rPr>
          <w:rFonts w:eastAsia="Calibri"/>
          <w:sz w:val="24"/>
          <w:szCs w:val="24"/>
        </w:rPr>
        <w:t xml:space="preserve"> 600 and 601</w:t>
      </w:r>
    </w:p>
    <w:p w14:paraId="54EAD2D8" w14:textId="47B8507F" w:rsidR="008D5B25" w:rsidRDefault="00DE7A50" w:rsidP="008D5B25">
      <w:pPr>
        <w:rPr>
          <w:rFonts w:eastAsia="Calibri" w:cs="Calibri"/>
        </w:rPr>
      </w:pPr>
      <w:r>
        <w:rPr>
          <w:rFonts w:eastAsia="Calibri" w:cs="Calibri"/>
        </w:rPr>
        <w:t>2.1</w:t>
      </w:r>
      <w:r>
        <w:rPr>
          <w:rFonts w:eastAsia="Calibri" w:cs="Calibri"/>
        </w:rPr>
        <w:tab/>
      </w:r>
      <w:r w:rsidRPr="00DE7A50">
        <w:rPr>
          <w:rFonts w:eastAsia="Calibri" w:cs="Calibri"/>
        </w:rPr>
        <w:t>The upgraded UIFN and IIN assignment and registration systems went live on 16 January 2018.</w:t>
      </w:r>
    </w:p>
    <w:p w14:paraId="04F5035D" w14:textId="2A191E14" w:rsidR="00DE7A50" w:rsidRDefault="00DE7A50" w:rsidP="00DE7A50">
      <w:pPr>
        <w:rPr>
          <w:rFonts w:asciiTheme="minorHAnsi" w:hAnsiTheme="minorHAnsi"/>
          <w:lang w:val="en-US" w:eastAsia="zh-CN"/>
        </w:rPr>
      </w:pPr>
      <w:r>
        <w:rPr>
          <w:rFonts w:eastAsia="Calibri" w:cs="Calibri"/>
        </w:rPr>
        <w:t>2.2</w:t>
      </w:r>
      <w:r>
        <w:rPr>
          <w:rFonts w:eastAsia="Calibri" w:cs="Calibri"/>
        </w:rPr>
        <w:tab/>
        <w:t xml:space="preserve">As of </w:t>
      </w:r>
      <w:r w:rsidR="00AC403F">
        <w:rPr>
          <w:rFonts w:eastAsia="Calibri" w:cs="Calibri"/>
        </w:rPr>
        <w:t>the end of 2018</w:t>
      </w:r>
      <w:r>
        <w:rPr>
          <w:rFonts w:eastAsia="Calibri" w:cs="Calibri"/>
        </w:rPr>
        <w:t xml:space="preserve">, </w:t>
      </w:r>
      <w:r w:rsidR="00D91A08">
        <w:rPr>
          <w:rFonts w:eastAsia="Calibri" w:cs="Calibri"/>
        </w:rPr>
        <w:t>505</w:t>
      </w:r>
      <w:r>
        <w:rPr>
          <w:rFonts w:eastAsia="Calibri" w:cs="Calibri"/>
        </w:rPr>
        <w:t xml:space="preserve"> </w:t>
      </w:r>
      <w:r w:rsidRPr="00720A57">
        <w:rPr>
          <w:rFonts w:asciiTheme="minorHAnsi" w:hAnsiTheme="minorHAnsi"/>
          <w:lang w:val="en-US" w:eastAsia="zh-CN"/>
        </w:rPr>
        <w:t>new UIFN</w:t>
      </w:r>
      <w:r w:rsidR="00AC403F">
        <w:rPr>
          <w:rFonts w:asciiTheme="minorHAnsi" w:hAnsiTheme="minorHAnsi"/>
          <w:lang w:val="en-US" w:eastAsia="zh-CN"/>
        </w:rPr>
        <w:t>s</w:t>
      </w:r>
      <w:r w:rsidRPr="00720A57">
        <w:rPr>
          <w:rFonts w:asciiTheme="minorHAnsi" w:hAnsiTheme="minorHAnsi"/>
          <w:lang w:val="en-US" w:eastAsia="zh-CN"/>
        </w:rPr>
        <w:t xml:space="preserve"> have been </w:t>
      </w:r>
      <w:r>
        <w:rPr>
          <w:rFonts w:asciiTheme="minorHAnsi" w:hAnsiTheme="minorHAnsi"/>
          <w:lang w:val="en-US" w:eastAsia="zh-CN"/>
        </w:rPr>
        <w:t xml:space="preserve">reserved or </w:t>
      </w:r>
      <w:r w:rsidRPr="00720A57">
        <w:rPr>
          <w:rFonts w:asciiTheme="minorHAnsi" w:hAnsiTheme="minorHAnsi"/>
          <w:lang w:val="en-US" w:eastAsia="zh-CN"/>
        </w:rPr>
        <w:t xml:space="preserve">assigned following the new fee structure approved in Council Decision 600 via the upgraded systems, and </w:t>
      </w:r>
      <w:r w:rsidR="00AC403F">
        <w:rPr>
          <w:rFonts w:asciiTheme="minorHAnsi" w:hAnsiTheme="minorHAnsi"/>
          <w:lang w:val="en-US" w:eastAsia="zh-CN"/>
        </w:rPr>
        <w:t>35</w:t>
      </w:r>
      <w:r w:rsidR="00AC403F" w:rsidRPr="00720A57">
        <w:rPr>
          <w:rFonts w:asciiTheme="minorHAnsi" w:hAnsiTheme="minorHAnsi"/>
          <w:lang w:val="en-US" w:eastAsia="zh-CN"/>
        </w:rPr>
        <w:t xml:space="preserve"> </w:t>
      </w:r>
      <w:r w:rsidRPr="00720A57">
        <w:rPr>
          <w:rFonts w:asciiTheme="minorHAnsi" w:hAnsiTheme="minorHAnsi"/>
          <w:lang w:val="en-US" w:eastAsia="zh-CN"/>
        </w:rPr>
        <w:t>new IIN</w:t>
      </w:r>
      <w:r w:rsidR="00AC403F">
        <w:rPr>
          <w:rFonts w:asciiTheme="minorHAnsi" w:hAnsiTheme="minorHAnsi"/>
          <w:lang w:val="en-US" w:eastAsia="zh-CN"/>
        </w:rPr>
        <w:t>s</w:t>
      </w:r>
      <w:r w:rsidRPr="00720A57">
        <w:rPr>
          <w:rFonts w:asciiTheme="minorHAnsi" w:hAnsiTheme="minorHAnsi"/>
          <w:lang w:val="en-US" w:eastAsia="zh-CN"/>
        </w:rPr>
        <w:t xml:space="preserve"> have been registered following the new fee structure approved in Council Decision 601.</w:t>
      </w:r>
      <w:r w:rsidR="006D0A98">
        <w:rPr>
          <w:rFonts w:asciiTheme="minorHAnsi" w:hAnsiTheme="minorHAnsi"/>
          <w:lang w:val="en-US" w:eastAsia="zh-CN"/>
        </w:rPr>
        <w:t xml:space="preserve"> Both </w:t>
      </w:r>
      <w:r w:rsidR="003D309C">
        <w:rPr>
          <w:rFonts w:asciiTheme="minorHAnsi" w:hAnsiTheme="minorHAnsi"/>
          <w:lang w:val="en-US" w:eastAsia="zh-CN"/>
        </w:rPr>
        <w:t xml:space="preserve">a </w:t>
      </w:r>
      <w:r w:rsidR="006D0A98">
        <w:rPr>
          <w:rFonts w:asciiTheme="minorHAnsi" w:hAnsiTheme="minorHAnsi"/>
          <w:lang w:val="en-US" w:eastAsia="zh-CN"/>
        </w:rPr>
        <w:t xml:space="preserve">one-time fee and </w:t>
      </w:r>
      <w:r w:rsidR="003D309C">
        <w:rPr>
          <w:rFonts w:asciiTheme="minorHAnsi" w:hAnsiTheme="minorHAnsi"/>
          <w:lang w:val="en-US" w:eastAsia="zh-CN"/>
        </w:rPr>
        <w:t xml:space="preserve">an </w:t>
      </w:r>
      <w:r w:rsidR="006D0A98">
        <w:rPr>
          <w:rFonts w:asciiTheme="minorHAnsi" w:hAnsiTheme="minorHAnsi"/>
          <w:lang w:val="en-US" w:eastAsia="zh-CN"/>
        </w:rPr>
        <w:t>annual maintenance fee were paid</w:t>
      </w:r>
      <w:r w:rsidR="00AC403F">
        <w:rPr>
          <w:rFonts w:asciiTheme="minorHAnsi" w:hAnsiTheme="minorHAnsi"/>
          <w:lang w:val="en-US" w:eastAsia="zh-CN"/>
        </w:rPr>
        <w:t xml:space="preserve"> by non </w:t>
      </w:r>
      <w:r w:rsidR="00AC403F" w:rsidRPr="001A2D93">
        <w:rPr>
          <w:rFonts w:eastAsia="SimSun" w:cs="Arial"/>
          <w:szCs w:val="24"/>
          <w:lang w:eastAsia="zh-CN"/>
        </w:rPr>
        <w:t>ITU-T and ITU-R Sector Members</w:t>
      </w:r>
      <w:r w:rsidR="006D0A98">
        <w:rPr>
          <w:rFonts w:asciiTheme="minorHAnsi" w:hAnsiTheme="minorHAnsi"/>
          <w:lang w:val="en-US" w:eastAsia="zh-CN"/>
        </w:rPr>
        <w:t>.</w:t>
      </w:r>
    </w:p>
    <w:p w14:paraId="4B4D4C95" w14:textId="6EA50284" w:rsidR="00DE7A50" w:rsidRDefault="00E81928" w:rsidP="00DA39FF">
      <w:pPr>
        <w:rPr>
          <w:rFonts w:eastAsia="Calibri" w:cs="Calibri"/>
        </w:rPr>
      </w:pPr>
      <w:r>
        <w:rPr>
          <w:rFonts w:eastAsia="Calibri" w:cs="Calibri"/>
        </w:rPr>
        <w:t>2.3</w:t>
      </w:r>
      <w:r>
        <w:rPr>
          <w:rFonts w:eastAsia="Calibri" w:cs="Calibri"/>
        </w:rPr>
        <w:tab/>
        <w:t xml:space="preserve">For </w:t>
      </w:r>
      <w:r w:rsidR="003D309C">
        <w:rPr>
          <w:rFonts w:eastAsia="Calibri" w:cs="Calibri"/>
        </w:rPr>
        <w:t xml:space="preserve">the </w:t>
      </w:r>
      <w:r>
        <w:rPr>
          <w:rFonts w:eastAsia="Calibri" w:cs="Calibri"/>
        </w:rPr>
        <w:t>UIFN annual maintenance fee for 2018</w:t>
      </w:r>
      <w:r w:rsidR="00BB0742">
        <w:rPr>
          <w:rFonts w:eastAsia="Calibri" w:cs="Calibri"/>
        </w:rPr>
        <w:t xml:space="preserve">, </w:t>
      </w:r>
      <w:r w:rsidRPr="00E81928">
        <w:rPr>
          <w:rFonts w:eastAsia="Calibri" w:cs="Calibri"/>
        </w:rPr>
        <w:t xml:space="preserve">invoices representing </w:t>
      </w:r>
      <w:r w:rsidRPr="008E60B3">
        <w:rPr>
          <w:rFonts w:eastAsia="Calibri" w:cs="Calibri"/>
        </w:rPr>
        <w:t>CHF 752 700 was</w:t>
      </w:r>
      <w:r>
        <w:rPr>
          <w:rFonts w:eastAsia="Calibri" w:cs="Calibri"/>
        </w:rPr>
        <w:t xml:space="preserve"> sent out in January 2018, still </w:t>
      </w:r>
      <w:r w:rsidRPr="008E60B3">
        <w:rPr>
          <w:rFonts w:eastAsia="Calibri" w:cs="Calibri"/>
        </w:rPr>
        <w:t xml:space="preserve">CHF </w:t>
      </w:r>
      <w:r w:rsidR="008E60B3">
        <w:rPr>
          <w:rFonts w:eastAsia="Calibri" w:cs="Calibri"/>
        </w:rPr>
        <w:t>671</w:t>
      </w:r>
      <w:r w:rsidR="008E60B3" w:rsidRPr="008E60B3">
        <w:rPr>
          <w:rFonts w:eastAsia="Calibri" w:cs="Calibri"/>
        </w:rPr>
        <w:t xml:space="preserve"> </w:t>
      </w:r>
      <w:r w:rsidR="008E60B3">
        <w:rPr>
          <w:rFonts w:eastAsia="Calibri" w:cs="Calibri"/>
        </w:rPr>
        <w:t>7</w:t>
      </w:r>
      <w:r w:rsidRPr="008E60B3">
        <w:rPr>
          <w:rFonts w:eastAsia="Calibri" w:cs="Calibri"/>
        </w:rPr>
        <w:t>00</w:t>
      </w:r>
      <w:r>
        <w:rPr>
          <w:rFonts w:eastAsia="Calibri" w:cs="Calibri"/>
        </w:rPr>
        <w:t xml:space="preserve"> was not paid</w:t>
      </w:r>
      <w:r w:rsidR="00A70F51">
        <w:rPr>
          <w:rFonts w:eastAsia="Calibri" w:cs="Calibri"/>
        </w:rPr>
        <w:t>.</w:t>
      </w:r>
    </w:p>
    <w:p w14:paraId="16DA2A18" w14:textId="5DF0FD58" w:rsidR="00BB0742" w:rsidRDefault="00BB0742" w:rsidP="00DE7A50">
      <w:pPr>
        <w:rPr>
          <w:rFonts w:eastAsia="Calibri" w:cs="Calibri"/>
        </w:rPr>
      </w:pPr>
      <w:r>
        <w:rPr>
          <w:rFonts w:eastAsia="Calibri" w:cs="Calibri"/>
        </w:rPr>
        <w:t>2.</w:t>
      </w:r>
      <w:r w:rsidR="0087560B">
        <w:rPr>
          <w:rFonts w:eastAsia="Calibri" w:cs="Calibri"/>
        </w:rPr>
        <w:t>4</w:t>
      </w:r>
      <w:r>
        <w:rPr>
          <w:rFonts w:eastAsia="Calibri" w:cs="Calibri"/>
        </w:rPr>
        <w:tab/>
      </w:r>
      <w:r w:rsidR="0087560B">
        <w:rPr>
          <w:rFonts w:eastAsia="Calibri" w:cs="Calibri"/>
        </w:rPr>
        <w:t>The l</w:t>
      </w:r>
      <w:r w:rsidR="006D0A98">
        <w:rPr>
          <w:rFonts w:eastAsia="Calibri" w:cs="Calibri"/>
        </w:rPr>
        <w:t>ist of</w:t>
      </w:r>
      <w:r>
        <w:rPr>
          <w:rFonts w:eastAsia="Calibri" w:cs="Calibri"/>
        </w:rPr>
        <w:t xml:space="preserve"> invoice</w:t>
      </w:r>
      <w:r w:rsidR="006D0A98">
        <w:rPr>
          <w:rFonts w:eastAsia="Calibri" w:cs="Calibri"/>
        </w:rPr>
        <w:t>s</w:t>
      </w:r>
      <w:r>
        <w:rPr>
          <w:rFonts w:eastAsia="Calibri" w:cs="Calibri"/>
        </w:rPr>
        <w:t xml:space="preserve"> for IIN annual maintenance fee </w:t>
      </w:r>
      <w:r w:rsidR="006D0A98">
        <w:rPr>
          <w:rFonts w:eastAsia="Calibri" w:cs="Calibri"/>
        </w:rPr>
        <w:t xml:space="preserve">for 2018 has not been generated yet due to absence of confirmation of contacts for a </w:t>
      </w:r>
      <w:r w:rsidR="00AC403F">
        <w:rPr>
          <w:rFonts w:eastAsia="Calibri" w:cs="Calibri"/>
        </w:rPr>
        <w:t xml:space="preserve">significant </w:t>
      </w:r>
      <w:r w:rsidR="006D0A98">
        <w:rPr>
          <w:rFonts w:eastAsia="Calibri" w:cs="Calibri"/>
        </w:rPr>
        <w:t>percentage of IIN assignees</w:t>
      </w:r>
      <w:r w:rsidR="00547D19">
        <w:rPr>
          <w:rFonts w:eastAsia="Calibri" w:cs="Calibri"/>
        </w:rPr>
        <w:t xml:space="preserve">. </w:t>
      </w:r>
    </w:p>
    <w:p w14:paraId="06B06E44" w14:textId="06BBA1A7" w:rsidR="0087560B" w:rsidRDefault="0087560B" w:rsidP="0008651F">
      <w:pPr>
        <w:rPr>
          <w:rFonts w:eastAsia="Calibri" w:cs="Calibri"/>
        </w:rPr>
      </w:pPr>
      <w:r>
        <w:rPr>
          <w:rFonts w:eastAsia="Calibri" w:cs="Calibri"/>
        </w:rPr>
        <w:t>2.5</w:t>
      </w:r>
      <w:r>
        <w:rPr>
          <w:rFonts w:eastAsia="Calibri" w:cs="Calibri"/>
        </w:rPr>
        <w:tab/>
        <w:t>Any UIFN service provider who joined as ITU-T or ITU-R Sector Member after 1 January of a</w:t>
      </w:r>
      <w:r w:rsidR="0008651F">
        <w:rPr>
          <w:rFonts w:eastAsia="Calibri" w:cs="Calibri"/>
        </w:rPr>
        <w:t xml:space="preserve"> given </w:t>
      </w:r>
      <w:r>
        <w:rPr>
          <w:rFonts w:eastAsia="Calibri" w:cs="Calibri"/>
        </w:rPr>
        <w:t>year would be charged a pro rata fee for the annual maintenance fee up to the effective date of their Sector membership.</w:t>
      </w:r>
    </w:p>
    <w:p w14:paraId="4F0CE49E" w14:textId="0133F1B0" w:rsidR="001043DF" w:rsidRPr="007057DB" w:rsidRDefault="001043DF" w:rsidP="00DE7A50">
      <w:pPr>
        <w:rPr>
          <w:rFonts w:eastAsia="Calibri" w:cs="Calibri"/>
        </w:rPr>
      </w:pPr>
      <w:r>
        <w:rPr>
          <w:rFonts w:eastAsia="Calibri" w:cs="Calibri"/>
        </w:rPr>
        <w:t>2.</w:t>
      </w:r>
      <w:r w:rsidR="0087560B">
        <w:rPr>
          <w:rFonts w:eastAsia="Calibri" w:cs="Calibri"/>
        </w:rPr>
        <w:t>6</w:t>
      </w:r>
      <w:r>
        <w:rPr>
          <w:rFonts w:eastAsia="Calibri" w:cs="Calibri"/>
        </w:rPr>
        <w:tab/>
      </w:r>
      <w:r w:rsidRPr="001043DF">
        <w:rPr>
          <w:rFonts w:eastAsia="Calibri" w:cs="Calibri"/>
        </w:rPr>
        <w:t xml:space="preserve">Revisions were proposed to Recommendation ITU-T E.169.1 “Application of Recommendation E.164 numbering plan for universal international freephone numbers for international freephone service” and ITU-T E.118 “The international telecommunication charge card” to reflect Council Decision 600 and 601. The draft revised ITU-T E.169.1 and </w:t>
      </w:r>
      <w:r w:rsidR="00015F3B">
        <w:rPr>
          <w:rFonts w:eastAsia="Calibri" w:cs="Calibri"/>
        </w:rPr>
        <w:t xml:space="preserve">Amd.1 to ITU-T </w:t>
      </w:r>
      <w:r w:rsidRPr="001043DF">
        <w:rPr>
          <w:rFonts w:eastAsia="Calibri" w:cs="Calibri"/>
        </w:rPr>
        <w:t>E.118 were agreed for determination</w:t>
      </w:r>
      <w:r w:rsidR="00015F3B">
        <w:rPr>
          <w:rFonts w:eastAsia="Calibri" w:cs="Calibri"/>
        </w:rPr>
        <w:t xml:space="preserve"> at the meeting of ITU-T SG2 from 4 to 13 July 2018</w:t>
      </w:r>
      <w:r w:rsidRPr="001043DF">
        <w:rPr>
          <w:rFonts w:eastAsia="Calibri" w:cs="Calibri"/>
        </w:rPr>
        <w:t xml:space="preserve">. </w:t>
      </w:r>
    </w:p>
    <w:p w14:paraId="7F494CE8" w14:textId="44698996" w:rsidR="008D5B25" w:rsidRPr="00812B8E" w:rsidRDefault="007D03DC" w:rsidP="0042407C">
      <w:pPr>
        <w:pStyle w:val="Heading1"/>
        <w:spacing w:before="240"/>
        <w:rPr>
          <w:rFonts w:eastAsia="Calibri"/>
          <w:sz w:val="24"/>
          <w:szCs w:val="24"/>
        </w:rPr>
      </w:pPr>
      <w:r w:rsidRPr="00812B8E">
        <w:rPr>
          <w:rFonts w:eastAsia="Calibri"/>
          <w:sz w:val="24"/>
          <w:szCs w:val="24"/>
        </w:rPr>
        <w:t>3</w:t>
      </w:r>
      <w:r w:rsidR="008D5B25" w:rsidRPr="00812B8E">
        <w:rPr>
          <w:rFonts w:eastAsia="Calibri"/>
          <w:sz w:val="24"/>
          <w:szCs w:val="24"/>
        </w:rPr>
        <w:tab/>
      </w:r>
      <w:r w:rsidR="00DE7A50" w:rsidRPr="00DE7A50">
        <w:rPr>
          <w:rFonts w:eastAsia="Calibri"/>
          <w:sz w:val="24"/>
          <w:szCs w:val="24"/>
        </w:rPr>
        <w:t>Status of the contacts for UIFN service providers and IIN assignees</w:t>
      </w:r>
    </w:p>
    <w:p w14:paraId="337AB494" w14:textId="40CBA2D0" w:rsidR="00316618" w:rsidRDefault="007D03DC" w:rsidP="008D5B25">
      <w:pPr>
        <w:rPr>
          <w:rFonts w:asciiTheme="minorHAnsi" w:hAnsiTheme="minorHAnsi"/>
          <w:lang w:val="en-US"/>
        </w:rPr>
      </w:pPr>
      <w:r>
        <w:rPr>
          <w:rFonts w:eastAsia="Calibri" w:cs="Calibri"/>
        </w:rPr>
        <w:t>3</w:t>
      </w:r>
      <w:r w:rsidR="008D5B25" w:rsidRPr="75B8D686">
        <w:rPr>
          <w:rFonts w:eastAsia="Calibri" w:cs="Calibri"/>
        </w:rPr>
        <w:t>.1</w:t>
      </w:r>
      <w:r w:rsidR="008D5B25">
        <w:tab/>
      </w:r>
      <w:r w:rsidR="0087560B">
        <w:t xml:space="preserve">In 2017, </w:t>
      </w:r>
      <w:r w:rsidR="00BB0742" w:rsidRPr="00720A57">
        <w:rPr>
          <w:rFonts w:asciiTheme="minorHAnsi" w:hAnsiTheme="minorHAnsi"/>
          <w:lang w:val="en-US"/>
        </w:rPr>
        <w:t xml:space="preserve">TSB initiated the process to notify 166 service providers of UIFN (Universal International Freephone Number) and 787 assignees of IIN (Issuer Identifier Number). </w:t>
      </w:r>
      <w:r w:rsidR="008D5B25" w:rsidRPr="75B8D686">
        <w:rPr>
          <w:rFonts w:eastAsia="Calibri" w:cs="Calibri"/>
        </w:rPr>
        <w:t xml:space="preserve"> </w:t>
      </w:r>
      <w:r w:rsidR="001043DF" w:rsidRPr="007D7068">
        <w:rPr>
          <w:rFonts w:asciiTheme="minorHAnsi" w:hAnsiTheme="minorHAnsi"/>
          <w:lang w:val="en-US"/>
        </w:rPr>
        <w:t>Over 3000 emails were sent out to assignees, to regulators, and to answer queries</w:t>
      </w:r>
      <w:r w:rsidR="001043DF">
        <w:rPr>
          <w:rFonts w:asciiTheme="minorHAnsi" w:hAnsiTheme="minorHAnsi"/>
          <w:lang w:val="en-US"/>
        </w:rPr>
        <w:t xml:space="preserve"> in 2017</w:t>
      </w:r>
      <w:r w:rsidR="001043DF" w:rsidRPr="007D7068">
        <w:rPr>
          <w:rFonts w:asciiTheme="minorHAnsi" w:hAnsiTheme="minorHAnsi"/>
          <w:lang w:val="en-US"/>
        </w:rPr>
        <w:t>.</w:t>
      </w:r>
    </w:p>
    <w:p w14:paraId="7F95B691" w14:textId="15070A12" w:rsidR="0087560B" w:rsidRDefault="00887F36" w:rsidP="0087560B">
      <w:pPr>
        <w:rPr>
          <w:rFonts w:ascii="Times New Roman" w:hAnsi="Times New Roman"/>
          <w:szCs w:val="24"/>
        </w:rPr>
      </w:pPr>
      <w:r>
        <w:rPr>
          <w:rFonts w:asciiTheme="minorHAnsi" w:hAnsiTheme="minorHAnsi"/>
          <w:lang w:val="en-US"/>
        </w:rPr>
        <w:t>3.2</w:t>
      </w:r>
      <w:r>
        <w:rPr>
          <w:rFonts w:asciiTheme="minorHAnsi" w:hAnsiTheme="minorHAnsi"/>
          <w:lang w:val="en-US"/>
        </w:rPr>
        <w:tab/>
      </w:r>
      <w:r w:rsidR="00AC403F">
        <w:rPr>
          <w:rFonts w:asciiTheme="minorHAnsi" w:hAnsiTheme="minorHAnsi"/>
          <w:lang w:val="en-US"/>
        </w:rPr>
        <w:t>Following Council 2018</w:t>
      </w:r>
      <w:r>
        <w:rPr>
          <w:rFonts w:asciiTheme="minorHAnsi" w:hAnsiTheme="minorHAnsi"/>
          <w:lang w:val="en-US"/>
        </w:rPr>
        <w:t xml:space="preserve">, TSB </w:t>
      </w:r>
      <w:r w:rsidR="00AC403F">
        <w:rPr>
          <w:rFonts w:asciiTheme="minorHAnsi" w:hAnsiTheme="minorHAnsi"/>
          <w:lang w:val="en-US"/>
        </w:rPr>
        <w:t xml:space="preserve">contacted </w:t>
      </w:r>
      <w:r w:rsidR="00D91A08">
        <w:rPr>
          <w:rFonts w:asciiTheme="minorHAnsi" w:hAnsiTheme="minorHAnsi"/>
          <w:lang w:val="en-US"/>
        </w:rPr>
        <w:t>103</w:t>
      </w:r>
      <w:r>
        <w:rPr>
          <w:rFonts w:asciiTheme="minorHAnsi" w:hAnsiTheme="minorHAnsi"/>
          <w:lang w:val="en-US"/>
        </w:rPr>
        <w:t xml:space="preserve"> national </w:t>
      </w:r>
      <w:r w:rsidR="00A70F51">
        <w:rPr>
          <w:rFonts w:asciiTheme="minorHAnsi" w:hAnsiTheme="minorHAnsi"/>
          <w:lang w:val="en-US"/>
        </w:rPr>
        <w:t>Administrations/</w:t>
      </w:r>
      <w:r>
        <w:rPr>
          <w:rFonts w:asciiTheme="minorHAnsi" w:hAnsiTheme="minorHAnsi"/>
          <w:lang w:val="en-US"/>
        </w:rPr>
        <w:t xml:space="preserve">regulators </w:t>
      </w:r>
      <w:r w:rsidR="00AC403F">
        <w:rPr>
          <w:rFonts w:asciiTheme="minorHAnsi" w:hAnsiTheme="minorHAnsi"/>
          <w:lang w:val="en-US"/>
        </w:rPr>
        <w:t>or authorized agencies</w:t>
      </w:r>
      <w:r w:rsidR="006361D1">
        <w:rPr>
          <w:rFonts w:asciiTheme="minorHAnsi" w:hAnsiTheme="minorHAnsi"/>
          <w:lang w:val="en-US"/>
        </w:rPr>
        <w:t xml:space="preserve"> (for </w:t>
      </w:r>
      <w:r w:rsidR="00D91A08">
        <w:rPr>
          <w:rFonts w:asciiTheme="minorHAnsi" w:hAnsiTheme="minorHAnsi"/>
          <w:lang w:val="en-US"/>
        </w:rPr>
        <w:t>573</w:t>
      </w:r>
      <w:r w:rsidR="006361D1">
        <w:rPr>
          <w:rFonts w:asciiTheme="minorHAnsi" w:hAnsiTheme="minorHAnsi"/>
          <w:lang w:val="en-US"/>
        </w:rPr>
        <w:t xml:space="preserve"> IINs)</w:t>
      </w:r>
      <w:r w:rsidR="00AC403F">
        <w:rPr>
          <w:rFonts w:asciiTheme="minorHAnsi" w:hAnsiTheme="minorHAnsi"/>
          <w:lang w:val="en-US"/>
        </w:rPr>
        <w:t xml:space="preserve">. </w:t>
      </w:r>
      <w:r w:rsidR="00D91A08">
        <w:rPr>
          <w:rFonts w:asciiTheme="minorHAnsi" w:hAnsiTheme="minorHAnsi"/>
          <w:lang w:val="en-US"/>
        </w:rPr>
        <w:t>32</w:t>
      </w:r>
      <w:r>
        <w:rPr>
          <w:rFonts w:asciiTheme="minorHAnsi" w:hAnsiTheme="minorHAnsi"/>
          <w:lang w:val="en-US"/>
        </w:rPr>
        <w:t xml:space="preserve"> of them </w:t>
      </w:r>
      <w:r w:rsidR="006361D1">
        <w:rPr>
          <w:rFonts w:asciiTheme="minorHAnsi" w:hAnsiTheme="minorHAnsi"/>
          <w:lang w:val="en-US"/>
        </w:rPr>
        <w:t xml:space="preserve">(for </w:t>
      </w:r>
      <w:r w:rsidR="00D91A08">
        <w:rPr>
          <w:rFonts w:asciiTheme="minorHAnsi" w:hAnsiTheme="minorHAnsi"/>
          <w:lang w:val="en-US"/>
        </w:rPr>
        <w:t>148</w:t>
      </w:r>
      <w:r w:rsidR="006361D1">
        <w:rPr>
          <w:rFonts w:asciiTheme="minorHAnsi" w:hAnsiTheme="minorHAnsi"/>
          <w:lang w:val="en-US"/>
        </w:rPr>
        <w:t xml:space="preserve"> IINs) have </w:t>
      </w:r>
      <w:r>
        <w:rPr>
          <w:rFonts w:asciiTheme="minorHAnsi" w:hAnsiTheme="minorHAnsi"/>
          <w:lang w:val="en-US"/>
        </w:rPr>
        <w:t xml:space="preserve">responded and provided assistance. </w:t>
      </w:r>
      <w:r w:rsidR="001A4F32">
        <w:rPr>
          <w:rFonts w:asciiTheme="minorHAnsi" w:hAnsiTheme="minorHAnsi"/>
          <w:lang w:val="en-US"/>
        </w:rPr>
        <w:t>Based on notifications and responses received in 2018,</w:t>
      </w:r>
      <w:r w:rsidR="00FB7BCC">
        <w:rPr>
          <w:rFonts w:asciiTheme="minorHAnsi" w:hAnsiTheme="minorHAnsi"/>
          <w:lang w:val="en-US"/>
        </w:rPr>
        <w:t xml:space="preserve"> </w:t>
      </w:r>
      <w:r w:rsidR="006361D1" w:rsidRPr="003D309C">
        <w:rPr>
          <w:rFonts w:asciiTheme="minorHAnsi" w:hAnsiTheme="minorHAnsi"/>
          <w:lang w:val="en-US"/>
        </w:rPr>
        <w:t xml:space="preserve">154 </w:t>
      </w:r>
      <w:r w:rsidR="000E2285" w:rsidRPr="003D309C">
        <w:rPr>
          <w:rFonts w:asciiTheme="minorHAnsi" w:hAnsiTheme="minorHAnsi"/>
          <w:lang w:val="en-US"/>
        </w:rPr>
        <w:t xml:space="preserve">IINs have been updated; </w:t>
      </w:r>
      <w:r w:rsidR="006361D1" w:rsidRPr="003D309C">
        <w:rPr>
          <w:rFonts w:asciiTheme="minorHAnsi" w:hAnsiTheme="minorHAnsi"/>
          <w:lang w:val="en-US"/>
        </w:rPr>
        <w:t xml:space="preserve">29 </w:t>
      </w:r>
      <w:r w:rsidR="000E2285" w:rsidRPr="003D309C">
        <w:rPr>
          <w:rFonts w:asciiTheme="minorHAnsi" w:hAnsiTheme="minorHAnsi"/>
          <w:lang w:val="en-US"/>
        </w:rPr>
        <w:t xml:space="preserve">IINs have been withdrawn. </w:t>
      </w:r>
      <w:r w:rsidR="006361D1" w:rsidRPr="003D309C">
        <w:rPr>
          <w:rFonts w:asciiTheme="minorHAnsi" w:hAnsiTheme="minorHAnsi"/>
          <w:lang w:val="en-US"/>
        </w:rPr>
        <w:t>35 IINs have been added.</w:t>
      </w:r>
      <w:r w:rsidR="00FB7BCC" w:rsidRPr="003D309C">
        <w:rPr>
          <w:rFonts w:asciiTheme="minorHAnsi" w:hAnsiTheme="minorHAnsi"/>
          <w:lang w:val="en-US"/>
        </w:rPr>
        <w:t xml:space="preserve"> </w:t>
      </w:r>
      <w:r w:rsidR="000E2285" w:rsidRPr="003D309C">
        <w:rPr>
          <w:rFonts w:asciiTheme="minorHAnsi" w:hAnsiTheme="minorHAnsi"/>
          <w:lang w:val="en-US"/>
        </w:rPr>
        <w:t xml:space="preserve">These updates have all been published in </w:t>
      </w:r>
      <w:r w:rsidR="0087560B" w:rsidRPr="003D309C">
        <w:rPr>
          <w:rFonts w:asciiTheme="minorHAnsi" w:hAnsiTheme="minorHAnsi"/>
          <w:lang w:val="en-US"/>
        </w:rPr>
        <w:t xml:space="preserve">the </w:t>
      </w:r>
      <w:r w:rsidR="000E2285" w:rsidRPr="003D309C">
        <w:rPr>
          <w:rFonts w:asciiTheme="minorHAnsi" w:hAnsiTheme="minorHAnsi"/>
          <w:lang w:val="en-US"/>
        </w:rPr>
        <w:t>ITU Operational Bulletin.</w:t>
      </w:r>
    </w:p>
    <w:p w14:paraId="63AF6F50" w14:textId="6978C412" w:rsidR="00887F36" w:rsidRDefault="0087560B" w:rsidP="0087560B">
      <w:pPr>
        <w:rPr>
          <w:rFonts w:asciiTheme="minorHAnsi" w:hAnsiTheme="minorHAnsi"/>
          <w:lang w:val="en-US"/>
        </w:rPr>
      </w:pPr>
      <w:r w:rsidRPr="00DA39FF">
        <w:rPr>
          <w:szCs w:val="24"/>
        </w:rPr>
        <w:lastRenderedPageBreak/>
        <w:t>3.3</w:t>
      </w:r>
      <w:r w:rsidR="000E2285" w:rsidRPr="00F331A1">
        <w:rPr>
          <w:rFonts w:ascii="Times New Roman" w:hAnsi="Times New Roman"/>
          <w:szCs w:val="24"/>
        </w:rPr>
        <w:t xml:space="preserve"> </w:t>
      </w:r>
      <w:r w:rsidR="003D309C">
        <w:rPr>
          <w:rFonts w:ascii="Times New Roman" w:hAnsi="Times New Roman"/>
          <w:szCs w:val="24"/>
        </w:rPr>
        <w:tab/>
      </w:r>
      <w:r w:rsidR="00887F36">
        <w:rPr>
          <w:rFonts w:asciiTheme="minorHAnsi" w:hAnsiTheme="minorHAnsi"/>
          <w:lang w:val="en-US"/>
        </w:rPr>
        <w:t xml:space="preserve">As of 15 January 2019, there are 798 IINs kept in </w:t>
      </w:r>
      <w:r>
        <w:rPr>
          <w:rFonts w:asciiTheme="minorHAnsi" w:hAnsiTheme="minorHAnsi"/>
          <w:lang w:val="en-US"/>
        </w:rPr>
        <w:t xml:space="preserve">the </w:t>
      </w:r>
      <w:r w:rsidR="00887F36">
        <w:rPr>
          <w:rFonts w:asciiTheme="minorHAnsi" w:hAnsiTheme="minorHAnsi"/>
          <w:lang w:val="en-US"/>
        </w:rPr>
        <w:t xml:space="preserve">ITU database. </w:t>
      </w:r>
    </w:p>
    <w:p w14:paraId="47DA273B" w14:textId="5C3E851B" w:rsidR="00170172" w:rsidRPr="003D309C" w:rsidRDefault="003D309C" w:rsidP="00887F36">
      <w:pPr>
        <w:rPr>
          <w:rFonts w:asciiTheme="minorHAnsi" w:hAnsiTheme="minorHAnsi"/>
          <w:szCs w:val="24"/>
        </w:rPr>
      </w:pPr>
      <w:r w:rsidRPr="003D309C">
        <w:rPr>
          <w:rFonts w:asciiTheme="minorHAnsi" w:hAnsiTheme="minorHAnsi"/>
          <w:szCs w:val="24"/>
        </w:rPr>
        <w:t>3.4</w:t>
      </w:r>
      <w:r w:rsidR="00170172" w:rsidRPr="003D309C">
        <w:rPr>
          <w:rFonts w:asciiTheme="minorHAnsi" w:hAnsiTheme="minorHAnsi"/>
          <w:szCs w:val="24"/>
        </w:rPr>
        <w:tab/>
        <w:t>Investigation on contacts of 15 unreachable service providers for UIFN is ongoing. National Administrations/regulators were contacted.</w:t>
      </w:r>
    </w:p>
    <w:p w14:paraId="56DFDC72" w14:textId="77777777" w:rsidR="00463444" w:rsidRPr="00EC00E4" w:rsidRDefault="00463444" w:rsidP="00463444">
      <w:pPr>
        <w:tabs>
          <w:tab w:val="left" w:pos="794"/>
          <w:tab w:val="left" w:pos="1191"/>
          <w:tab w:val="left" w:pos="1588"/>
          <w:tab w:val="left" w:pos="1985"/>
        </w:tabs>
        <w:spacing w:before="840"/>
        <w:jc w:val="center"/>
        <w:rPr>
          <w:szCs w:val="24"/>
        </w:rPr>
      </w:pPr>
      <w:r w:rsidRPr="00EC00E4">
        <w:rPr>
          <w:szCs w:val="24"/>
        </w:rPr>
        <w:t>_____________________</w:t>
      </w:r>
    </w:p>
    <w:p w14:paraId="78CF532F" w14:textId="77777777" w:rsidR="008D5B25" w:rsidRPr="00EC00E4" w:rsidRDefault="008D5B25" w:rsidP="00AB2D04">
      <w:pPr>
        <w:rPr>
          <w:szCs w:val="24"/>
        </w:rPr>
      </w:pPr>
    </w:p>
    <w:p w14:paraId="44B73546" w14:textId="77777777" w:rsidR="001A16ED" w:rsidRPr="00EC00E4" w:rsidRDefault="001A16ED" w:rsidP="00AB2D04">
      <w:pPr>
        <w:rPr>
          <w:szCs w:val="24"/>
        </w:rPr>
      </w:pPr>
    </w:p>
    <w:sectPr w:rsidR="001A16ED" w:rsidRPr="00EC00E4">
      <w:headerReference w:type="default" r:id="rId17"/>
      <w:footerReference w:type="default" r:id="rId18"/>
      <w:footerReference w:type="first" r:id="rId19"/>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C09F7" w14:textId="77777777" w:rsidR="00486ABE" w:rsidRDefault="00486ABE">
      <w:r>
        <w:separator/>
      </w:r>
    </w:p>
  </w:endnote>
  <w:endnote w:type="continuationSeparator" w:id="0">
    <w:p w14:paraId="4FE4F8FF" w14:textId="77777777" w:rsidR="00486ABE" w:rsidRDefault="0048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DB92B" w14:textId="77777777" w:rsidR="00A0509D" w:rsidRDefault="00A0509D"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7F4D0" w14:textId="77777777" w:rsidR="00A0509D" w:rsidRPr="00D5584B" w:rsidRDefault="00A0509D" w:rsidP="00783A3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F149" w14:textId="77777777" w:rsidR="00486ABE" w:rsidRDefault="00486ABE">
      <w:r>
        <w:t>____________________</w:t>
      </w:r>
    </w:p>
  </w:footnote>
  <w:footnote w:type="continuationSeparator" w:id="0">
    <w:p w14:paraId="0A067B96" w14:textId="77777777" w:rsidR="00486ABE" w:rsidRDefault="0048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751A" w14:textId="5462B7FA" w:rsidR="00A0509D" w:rsidRDefault="00A0509D" w:rsidP="00CE1B90">
    <w:pPr>
      <w:pStyle w:val="Header"/>
    </w:pPr>
    <w:r>
      <w:t>- </w:t>
    </w:r>
    <w:r>
      <w:fldChar w:fldCharType="begin"/>
    </w:r>
    <w:r>
      <w:instrText xml:space="preserve"> PAGE   \* MERGEFORMAT </w:instrText>
    </w:r>
    <w:r>
      <w:fldChar w:fldCharType="separate"/>
    </w:r>
    <w:r w:rsidR="008E7788">
      <w:rPr>
        <w:noProof/>
      </w:rPr>
      <w:t>3</w:t>
    </w:r>
    <w: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F688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F48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A41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46A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47E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40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21E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6D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891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29F6C46"/>
    <w:multiLevelType w:val="hybridMultilevel"/>
    <w:tmpl w:val="1BE8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15"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3"/>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15F3B"/>
    <w:rsid w:val="00041924"/>
    <w:rsid w:val="00044372"/>
    <w:rsid w:val="00044B0A"/>
    <w:rsid w:val="000507C1"/>
    <w:rsid w:val="00053B97"/>
    <w:rsid w:val="00082EB9"/>
    <w:rsid w:val="0008540E"/>
    <w:rsid w:val="000864E5"/>
    <w:rsid w:val="0008651F"/>
    <w:rsid w:val="00094B4F"/>
    <w:rsid w:val="000A1015"/>
    <w:rsid w:val="000B03F9"/>
    <w:rsid w:val="000B0A77"/>
    <w:rsid w:val="000B0D6C"/>
    <w:rsid w:val="000B5BB9"/>
    <w:rsid w:val="000B7152"/>
    <w:rsid w:val="000C4701"/>
    <w:rsid w:val="000D01F4"/>
    <w:rsid w:val="000E2285"/>
    <w:rsid w:val="000E4C7A"/>
    <w:rsid w:val="000E5E15"/>
    <w:rsid w:val="000F5A9A"/>
    <w:rsid w:val="000F72CF"/>
    <w:rsid w:val="000F73D1"/>
    <w:rsid w:val="001001C5"/>
    <w:rsid w:val="001043DF"/>
    <w:rsid w:val="00105EFE"/>
    <w:rsid w:val="00106777"/>
    <w:rsid w:val="00114242"/>
    <w:rsid w:val="0011489E"/>
    <w:rsid w:val="00114BA3"/>
    <w:rsid w:val="00115DEC"/>
    <w:rsid w:val="00116397"/>
    <w:rsid w:val="00116E7B"/>
    <w:rsid w:val="00122B9F"/>
    <w:rsid w:val="00123F09"/>
    <w:rsid w:val="00136175"/>
    <w:rsid w:val="00140FF0"/>
    <w:rsid w:val="00142F28"/>
    <w:rsid w:val="00146057"/>
    <w:rsid w:val="0016633C"/>
    <w:rsid w:val="00170172"/>
    <w:rsid w:val="00171990"/>
    <w:rsid w:val="00195B70"/>
    <w:rsid w:val="001A0EEB"/>
    <w:rsid w:val="001A16ED"/>
    <w:rsid w:val="001A4F32"/>
    <w:rsid w:val="001B18AB"/>
    <w:rsid w:val="001B70D1"/>
    <w:rsid w:val="001C3804"/>
    <w:rsid w:val="001D3322"/>
    <w:rsid w:val="001D6469"/>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04035"/>
    <w:rsid w:val="003126B0"/>
    <w:rsid w:val="00314127"/>
    <w:rsid w:val="00314C12"/>
    <w:rsid w:val="00316618"/>
    <w:rsid w:val="003239FC"/>
    <w:rsid w:val="003261C3"/>
    <w:rsid w:val="003453DA"/>
    <w:rsid w:val="00357754"/>
    <w:rsid w:val="003578E4"/>
    <w:rsid w:val="00361097"/>
    <w:rsid w:val="00373A0D"/>
    <w:rsid w:val="003740BC"/>
    <w:rsid w:val="00375076"/>
    <w:rsid w:val="00375BBA"/>
    <w:rsid w:val="003826EA"/>
    <w:rsid w:val="003901CC"/>
    <w:rsid w:val="00395CE4"/>
    <w:rsid w:val="003A32AD"/>
    <w:rsid w:val="003A3763"/>
    <w:rsid w:val="003A3938"/>
    <w:rsid w:val="003A4E67"/>
    <w:rsid w:val="003A5FFB"/>
    <w:rsid w:val="003A7FB6"/>
    <w:rsid w:val="003B3751"/>
    <w:rsid w:val="003D309C"/>
    <w:rsid w:val="003F0763"/>
    <w:rsid w:val="003F5771"/>
    <w:rsid w:val="004014B0"/>
    <w:rsid w:val="004059B0"/>
    <w:rsid w:val="0042407C"/>
    <w:rsid w:val="00426AC1"/>
    <w:rsid w:val="004321DC"/>
    <w:rsid w:val="00435AA4"/>
    <w:rsid w:val="00435EA8"/>
    <w:rsid w:val="004360BB"/>
    <w:rsid w:val="004420C1"/>
    <w:rsid w:val="0045533C"/>
    <w:rsid w:val="004606DA"/>
    <w:rsid w:val="00463092"/>
    <w:rsid w:val="00463444"/>
    <w:rsid w:val="004676C0"/>
    <w:rsid w:val="00474E00"/>
    <w:rsid w:val="004835DB"/>
    <w:rsid w:val="00486ABE"/>
    <w:rsid w:val="00491D2D"/>
    <w:rsid w:val="00494797"/>
    <w:rsid w:val="004A2726"/>
    <w:rsid w:val="004B0C10"/>
    <w:rsid w:val="004C19D7"/>
    <w:rsid w:val="004C297B"/>
    <w:rsid w:val="004C73C9"/>
    <w:rsid w:val="004D71E0"/>
    <w:rsid w:val="004D74E2"/>
    <w:rsid w:val="004E01FA"/>
    <w:rsid w:val="004E6764"/>
    <w:rsid w:val="004F041D"/>
    <w:rsid w:val="004F1C55"/>
    <w:rsid w:val="004F2680"/>
    <w:rsid w:val="004F7925"/>
    <w:rsid w:val="00504FE5"/>
    <w:rsid w:val="00507348"/>
    <w:rsid w:val="00522C97"/>
    <w:rsid w:val="005356FD"/>
    <w:rsid w:val="00537EB5"/>
    <w:rsid w:val="00547D19"/>
    <w:rsid w:val="00547D75"/>
    <w:rsid w:val="00551C8B"/>
    <w:rsid w:val="00554E24"/>
    <w:rsid w:val="00555A0F"/>
    <w:rsid w:val="00556016"/>
    <w:rsid w:val="00560536"/>
    <w:rsid w:val="00567130"/>
    <w:rsid w:val="0057034B"/>
    <w:rsid w:val="00581E8F"/>
    <w:rsid w:val="00586A98"/>
    <w:rsid w:val="005927A4"/>
    <w:rsid w:val="00596B48"/>
    <w:rsid w:val="005B10E8"/>
    <w:rsid w:val="005B5026"/>
    <w:rsid w:val="005B661F"/>
    <w:rsid w:val="005C3315"/>
    <w:rsid w:val="005C717E"/>
    <w:rsid w:val="005D1E60"/>
    <w:rsid w:val="005D6425"/>
    <w:rsid w:val="005E1CC3"/>
    <w:rsid w:val="005F05C8"/>
    <w:rsid w:val="00604079"/>
    <w:rsid w:val="00617858"/>
    <w:rsid w:val="00617BE4"/>
    <w:rsid w:val="00620233"/>
    <w:rsid w:val="006361D1"/>
    <w:rsid w:val="006404B0"/>
    <w:rsid w:val="00650E67"/>
    <w:rsid w:val="0066499C"/>
    <w:rsid w:val="00676E68"/>
    <w:rsid w:val="006A26DC"/>
    <w:rsid w:val="006A7108"/>
    <w:rsid w:val="006B1081"/>
    <w:rsid w:val="006B2035"/>
    <w:rsid w:val="006B40DA"/>
    <w:rsid w:val="006C0B7C"/>
    <w:rsid w:val="006C5D5D"/>
    <w:rsid w:val="006D0A98"/>
    <w:rsid w:val="006D3AEF"/>
    <w:rsid w:val="006E215D"/>
    <w:rsid w:val="006E57C8"/>
    <w:rsid w:val="006E70E1"/>
    <w:rsid w:val="006F565E"/>
    <w:rsid w:val="00701ABB"/>
    <w:rsid w:val="00705816"/>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3A37"/>
    <w:rsid w:val="00794795"/>
    <w:rsid w:val="007949EA"/>
    <w:rsid w:val="00796849"/>
    <w:rsid w:val="00796DAE"/>
    <w:rsid w:val="007A4F3E"/>
    <w:rsid w:val="007A59C3"/>
    <w:rsid w:val="007B0E06"/>
    <w:rsid w:val="007B14F5"/>
    <w:rsid w:val="007B30FC"/>
    <w:rsid w:val="007C3643"/>
    <w:rsid w:val="007C43E5"/>
    <w:rsid w:val="007C5800"/>
    <w:rsid w:val="007D03DC"/>
    <w:rsid w:val="007D40D0"/>
    <w:rsid w:val="007E00D2"/>
    <w:rsid w:val="007E2AD4"/>
    <w:rsid w:val="007E3469"/>
    <w:rsid w:val="007E7B63"/>
    <w:rsid w:val="00810AD6"/>
    <w:rsid w:val="00812B8E"/>
    <w:rsid w:val="0082780C"/>
    <w:rsid w:val="008333C7"/>
    <w:rsid w:val="00833E0F"/>
    <w:rsid w:val="008404FD"/>
    <w:rsid w:val="00841AB4"/>
    <w:rsid w:val="0084659D"/>
    <w:rsid w:val="00846DBA"/>
    <w:rsid w:val="00850AEF"/>
    <w:rsid w:val="008547EE"/>
    <w:rsid w:val="00855DAB"/>
    <w:rsid w:val="00860C6A"/>
    <w:rsid w:val="00862891"/>
    <w:rsid w:val="00875048"/>
    <w:rsid w:val="008755D5"/>
    <w:rsid w:val="0087560B"/>
    <w:rsid w:val="00875BE1"/>
    <w:rsid w:val="00877715"/>
    <w:rsid w:val="00887F36"/>
    <w:rsid w:val="00895CE3"/>
    <w:rsid w:val="0089603F"/>
    <w:rsid w:val="00897970"/>
    <w:rsid w:val="008A2D65"/>
    <w:rsid w:val="008B5A71"/>
    <w:rsid w:val="008D3BE2"/>
    <w:rsid w:val="008D4D98"/>
    <w:rsid w:val="008D5B25"/>
    <w:rsid w:val="008E2A7B"/>
    <w:rsid w:val="008E5D06"/>
    <w:rsid w:val="008E60B3"/>
    <w:rsid w:val="008E6E9B"/>
    <w:rsid w:val="008E7788"/>
    <w:rsid w:val="008F2C56"/>
    <w:rsid w:val="008F3C99"/>
    <w:rsid w:val="00900D5B"/>
    <w:rsid w:val="00912FE3"/>
    <w:rsid w:val="009236FE"/>
    <w:rsid w:val="00940E00"/>
    <w:rsid w:val="00944D4C"/>
    <w:rsid w:val="00945D4B"/>
    <w:rsid w:val="00950E0F"/>
    <w:rsid w:val="0096150D"/>
    <w:rsid w:val="009630FA"/>
    <w:rsid w:val="00967103"/>
    <w:rsid w:val="009672C8"/>
    <w:rsid w:val="00967670"/>
    <w:rsid w:val="00970996"/>
    <w:rsid w:val="009800CC"/>
    <w:rsid w:val="009A078E"/>
    <w:rsid w:val="009A2B30"/>
    <w:rsid w:val="009A4211"/>
    <w:rsid w:val="009A47A2"/>
    <w:rsid w:val="009D0C74"/>
    <w:rsid w:val="009E425E"/>
    <w:rsid w:val="009E4322"/>
    <w:rsid w:val="009F4384"/>
    <w:rsid w:val="009F442D"/>
    <w:rsid w:val="009F50DA"/>
    <w:rsid w:val="00A0509D"/>
    <w:rsid w:val="00A06D56"/>
    <w:rsid w:val="00A314A2"/>
    <w:rsid w:val="00A516BB"/>
    <w:rsid w:val="00A6117E"/>
    <w:rsid w:val="00A619C5"/>
    <w:rsid w:val="00A70DAC"/>
    <w:rsid w:val="00A70F51"/>
    <w:rsid w:val="00A808E1"/>
    <w:rsid w:val="00A824A6"/>
    <w:rsid w:val="00A8262F"/>
    <w:rsid w:val="00A84B32"/>
    <w:rsid w:val="00A84B3A"/>
    <w:rsid w:val="00A93B71"/>
    <w:rsid w:val="00A96605"/>
    <w:rsid w:val="00AB0B32"/>
    <w:rsid w:val="00AB2D04"/>
    <w:rsid w:val="00AB3D51"/>
    <w:rsid w:val="00AB5C39"/>
    <w:rsid w:val="00AB75A9"/>
    <w:rsid w:val="00AC403F"/>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A7C11"/>
    <w:rsid w:val="00BB074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41A1"/>
    <w:rsid w:val="00C86F24"/>
    <w:rsid w:val="00C86FDE"/>
    <w:rsid w:val="00C9272C"/>
    <w:rsid w:val="00CA38C9"/>
    <w:rsid w:val="00CB4984"/>
    <w:rsid w:val="00CB5DD7"/>
    <w:rsid w:val="00CB7795"/>
    <w:rsid w:val="00CB77D5"/>
    <w:rsid w:val="00CC14F0"/>
    <w:rsid w:val="00CD3BE0"/>
    <w:rsid w:val="00CE06C7"/>
    <w:rsid w:val="00CE083D"/>
    <w:rsid w:val="00CE1B90"/>
    <w:rsid w:val="00CE3B0F"/>
    <w:rsid w:val="00CE40BB"/>
    <w:rsid w:val="00CF098C"/>
    <w:rsid w:val="00CF1C71"/>
    <w:rsid w:val="00CF510F"/>
    <w:rsid w:val="00D002E2"/>
    <w:rsid w:val="00D07696"/>
    <w:rsid w:val="00D11956"/>
    <w:rsid w:val="00D15A98"/>
    <w:rsid w:val="00D500DC"/>
    <w:rsid w:val="00D54B39"/>
    <w:rsid w:val="00D64FF3"/>
    <w:rsid w:val="00D657A2"/>
    <w:rsid w:val="00D760C8"/>
    <w:rsid w:val="00D83FFD"/>
    <w:rsid w:val="00D8451F"/>
    <w:rsid w:val="00D8617D"/>
    <w:rsid w:val="00D91A08"/>
    <w:rsid w:val="00D92563"/>
    <w:rsid w:val="00DA39FF"/>
    <w:rsid w:val="00DC7C10"/>
    <w:rsid w:val="00DD26B1"/>
    <w:rsid w:val="00DD5177"/>
    <w:rsid w:val="00DE16B8"/>
    <w:rsid w:val="00DE20DF"/>
    <w:rsid w:val="00DE4CC2"/>
    <w:rsid w:val="00DE7A50"/>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1322"/>
    <w:rsid w:val="00E6599B"/>
    <w:rsid w:val="00E726DE"/>
    <w:rsid w:val="00E81928"/>
    <w:rsid w:val="00E844D5"/>
    <w:rsid w:val="00E86536"/>
    <w:rsid w:val="00E871C2"/>
    <w:rsid w:val="00E93BCE"/>
    <w:rsid w:val="00EA1BAA"/>
    <w:rsid w:val="00EC00E4"/>
    <w:rsid w:val="00EC132E"/>
    <w:rsid w:val="00ED401C"/>
    <w:rsid w:val="00EE333B"/>
    <w:rsid w:val="00EE3908"/>
    <w:rsid w:val="00EF2642"/>
    <w:rsid w:val="00EF3681"/>
    <w:rsid w:val="00EF4C5A"/>
    <w:rsid w:val="00F10790"/>
    <w:rsid w:val="00F10E7C"/>
    <w:rsid w:val="00F13C1E"/>
    <w:rsid w:val="00F16F17"/>
    <w:rsid w:val="00F20BC2"/>
    <w:rsid w:val="00F265A6"/>
    <w:rsid w:val="00F32090"/>
    <w:rsid w:val="00F342E4"/>
    <w:rsid w:val="00F35330"/>
    <w:rsid w:val="00F41C91"/>
    <w:rsid w:val="00F433A4"/>
    <w:rsid w:val="00F4421A"/>
    <w:rsid w:val="00F44B1A"/>
    <w:rsid w:val="00F47316"/>
    <w:rsid w:val="00F55DA5"/>
    <w:rsid w:val="00F94BC2"/>
    <w:rsid w:val="00F95ABE"/>
    <w:rsid w:val="00F9756D"/>
    <w:rsid w:val="00FA4DD1"/>
    <w:rsid w:val="00FB5F12"/>
    <w:rsid w:val="00FB7BCC"/>
    <w:rsid w:val="00FB7C78"/>
    <w:rsid w:val="00FD417F"/>
    <w:rsid w:val="00FD509E"/>
    <w:rsid w:val="00FD6DBC"/>
    <w:rsid w:val="00FD7255"/>
    <w:rsid w:val="00FD7B1D"/>
    <w:rsid w:val="00FE0AFB"/>
    <w:rsid w:val="00FE1E22"/>
    <w:rsid w:val="00FE4868"/>
    <w:rsid w:val="00FE50E4"/>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WGFHRM8-C-0018/en"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7-CL-C-0134/en"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tu.int/md/S18-CL-C-0100/e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7-CL-C-0133/en" TargetMode="External"/><Relationship Id="rId5" Type="http://schemas.openxmlformats.org/officeDocument/2006/relationships/styles" Target="styles.xml"/><Relationship Id="rId15" Type="http://schemas.openxmlformats.org/officeDocument/2006/relationships/hyperlink" Target="http://www.itu.int/md/S18-CL-C-0100/en"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8-CLCWGFHRM8-C-002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96b2e75-67fd-4955-a3b0-5ab9934cb50b"/>
    <ds:schemaRef ds:uri="a4580c6d-087e-4443-97f9-288ddbcec2a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Exemptions</vt:lpstr>
    </vt:vector>
  </TitlesOfParts>
  <Manager/>
  <Company/>
  <LinksUpToDate>false</LinksUpToDate>
  <CharactersWithSpaces>5679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
  <dc:creator/>
  <cp:keywords/>
  <cp:lastModifiedBy/>
  <cp:revision>1</cp:revision>
  <dcterms:created xsi:type="dcterms:W3CDTF">2019-01-25T15:03:00Z</dcterms:created>
  <dcterms:modified xsi:type="dcterms:W3CDTF">2019-01-25T15:03:00Z</dcterms:modified>
  <cp:category/>
</cp:coreProperties>
</file>