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06E07" w:rsidRPr="00813E5E" w:rsidTr="0021439F">
        <w:trPr>
          <w:cantSplit/>
        </w:trPr>
        <w:tc>
          <w:tcPr>
            <w:tcW w:w="6911" w:type="dxa"/>
          </w:tcPr>
          <w:p w:rsidR="00006E07" w:rsidRPr="0021439F" w:rsidRDefault="00006E07" w:rsidP="00725860">
            <w:pPr>
              <w:spacing w:before="0"/>
              <w:rPr>
                <w:rFonts w:asciiTheme="minorHAnsi" w:hAnsiTheme="minorHAnsi" w:cstheme="minorHAnsi"/>
                <w:b/>
                <w:sz w:val="20"/>
              </w:rPr>
            </w:pPr>
            <w:bookmarkStart w:id="0" w:name="dc06"/>
            <w:bookmarkEnd w:id="0"/>
            <w:r w:rsidRPr="0021439F">
              <w:rPr>
                <w:b/>
                <w:bCs/>
                <w:position w:val="6"/>
                <w:szCs w:val="24"/>
              </w:rPr>
              <w:t xml:space="preserve">Council </w:t>
            </w:r>
            <w:r w:rsidR="00572DDA" w:rsidRPr="0021439F">
              <w:rPr>
                <w:b/>
                <w:bCs/>
                <w:position w:val="6"/>
                <w:szCs w:val="24"/>
              </w:rPr>
              <w:t>Working Group on the Use of</w:t>
            </w:r>
            <w:r w:rsidR="0021439F" w:rsidRPr="0021439F">
              <w:rPr>
                <w:b/>
                <w:bCs/>
                <w:position w:val="6"/>
                <w:szCs w:val="24"/>
              </w:rPr>
              <w:t xml:space="preserve"> </w:t>
            </w:r>
            <w:r w:rsidR="00572DDA" w:rsidRPr="0021439F">
              <w:rPr>
                <w:b/>
                <w:bCs/>
                <w:position w:val="6"/>
                <w:szCs w:val="24"/>
              </w:rPr>
              <w:t xml:space="preserve">the </w:t>
            </w:r>
            <w:r w:rsidR="0021439F" w:rsidRPr="0021439F">
              <w:rPr>
                <w:b/>
                <w:bCs/>
                <w:position w:val="6"/>
                <w:szCs w:val="24"/>
              </w:rPr>
              <w:br/>
            </w:r>
            <w:r w:rsidR="00572DDA" w:rsidRPr="0021439F">
              <w:rPr>
                <w:b/>
                <w:bCs/>
                <w:position w:val="6"/>
                <w:szCs w:val="24"/>
              </w:rPr>
              <w:t>six official languages of the Union</w:t>
            </w:r>
            <w:r w:rsidR="0021439F" w:rsidRPr="0021439F">
              <w:rPr>
                <w:b/>
                <w:bCs/>
                <w:position w:val="6"/>
                <w:szCs w:val="24"/>
              </w:rPr>
              <w:br/>
            </w:r>
            <w:r w:rsidR="00725860">
              <w:rPr>
                <w:rFonts w:asciiTheme="minorHAnsi" w:hAnsiTheme="minorHAnsi" w:cstheme="minorHAnsi"/>
                <w:b/>
                <w:sz w:val="20"/>
              </w:rPr>
              <w:t>Nin</w:t>
            </w:r>
            <w:bookmarkStart w:id="1" w:name="_GoBack"/>
            <w:bookmarkEnd w:id="1"/>
            <w:r w:rsidR="0021439F" w:rsidRPr="0021439F">
              <w:rPr>
                <w:rFonts w:asciiTheme="minorHAnsi" w:hAnsiTheme="minorHAnsi" w:cstheme="minorHAnsi"/>
                <w:b/>
                <w:sz w:val="20"/>
              </w:rPr>
              <w:t>th meeting, Geneva, 28 January 2019</w:t>
            </w:r>
          </w:p>
          <w:p w:rsidR="0021439F" w:rsidRPr="004E614A" w:rsidRDefault="0021439F" w:rsidP="0021439F">
            <w:pPr>
              <w:rPr>
                <w:position w:val="6"/>
              </w:rPr>
            </w:pPr>
            <w:r w:rsidRPr="0021439F">
              <w:rPr>
                <w:b/>
                <w:position w:val="6"/>
                <w:szCs w:val="24"/>
              </w:rPr>
              <w:t>Council Working Group on</w:t>
            </w:r>
            <w:r w:rsidRPr="0021439F">
              <w:rPr>
                <w:b/>
                <w:position w:val="6"/>
                <w:szCs w:val="24"/>
              </w:rPr>
              <w:br/>
              <w:t>Financial and Human Resources</w:t>
            </w:r>
            <w:r w:rsidRPr="0021439F">
              <w:rPr>
                <w:b/>
                <w:position w:val="6"/>
                <w:sz w:val="22"/>
                <w:szCs w:val="22"/>
              </w:rPr>
              <w:br/>
            </w:r>
            <w:r w:rsidRPr="0021439F">
              <w:rPr>
                <w:rFonts w:cs="Times New Roman Bold"/>
                <w:b/>
                <w:sz w:val="20"/>
                <w:szCs w:val="16"/>
              </w:rPr>
              <w:t>Ninth meeting - Geneva, 29-30 January 2019</w:t>
            </w:r>
          </w:p>
        </w:tc>
        <w:tc>
          <w:tcPr>
            <w:tcW w:w="3120" w:type="dxa"/>
            <w:vAlign w:val="center"/>
          </w:tcPr>
          <w:p w:rsidR="00006E07" w:rsidRPr="00813E5E" w:rsidRDefault="00006E07" w:rsidP="0021439F">
            <w:pPr>
              <w:spacing w:before="0" w:line="240" w:lineRule="atLeast"/>
              <w:jc w:val="center"/>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06E07" w:rsidRPr="00813E5E">
        <w:trPr>
          <w:cantSplit/>
        </w:trPr>
        <w:tc>
          <w:tcPr>
            <w:tcW w:w="6911" w:type="dxa"/>
            <w:tcBorders>
              <w:bottom w:val="single" w:sz="12" w:space="0" w:color="auto"/>
            </w:tcBorders>
          </w:tcPr>
          <w:p w:rsidR="00006E07" w:rsidRPr="00813E5E" w:rsidRDefault="00006E07">
            <w:pPr>
              <w:spacing w:before="0" w:after="48" w:line="240" w:lineRule="atLeast"/>
              <w:rPr>
                <w:b/>
                <w:smallCaps/>
                <w:szCs w:val="24"/>
              </w:rPr>
            </w:pPr>
          </w:p>
        </w:tc>
        <w:tc>
          <w:tcPr>
            <w:tcW w:w="3120" w:type="dxa"/>
            <w:tcBorders>
              <w:bottom w:val="single" w:sz="12" w:space="0" w:color="auto"/>
            </w:tcBorders>
          </w:tcPr>
          <w:p w:rsidR="00006E07" w:rsidRPr="00813E5E" w:rsidRDefault="00006E07">
            <w:pPr>
              <w:spacing w:before="0" w:line="240" w:lineRule="atLeast"/>
              <w:rPr>
                <w:szCs w:val="24"/>
              </w:rPr>
            </w:pPr>
          </w:p>
        </w:tc>
      </w:tr>
      <w:tr w:rsidR="00006E07" w:rsidRPr="00813E5E">
        <w:trPr>
          <w:cantSplit/>
        </w:trPr>
        <w:tc>
          <w:tcPr>
            <w:tcW w:w="6911" w:type="dxa"/>
            <w:tcBorders>
              <w:top w:val="single" w:sz="12" w:space="0" w:color="auto"/>
            </w:tcBorders>
          </w:tcPr>
          <w:p w:rsidR="00006E07" w:rsidRPr="00813E5E" w:rsidRDefault="00006E07" w:rsidP="00006E07">
            <w:pPr>
              <w:spacing w:before="0" w:line="240" w:lineRule="atLeast"/>
              <w:rPr>
                <w:b/>
                <w:smallCaps/>
                <w:szCs w:val="24"/>
              </w:rPr>
            </w:pPr>
          </w:p>
        </w:tc>
        <w:tc>
          <w:tcPr>
            <w:tcW w:w="3120" w:type="dxa"/>
            <w:tcBorders>
              <w:top w:val="single" w:sz="12" w:space="0" w:color="auto"/>
            </w:tcBorders>
          </w:tcPr>
          <w:p w:rsidR="00006E07" w:rsidRPr="00813E5E" w:rsidRDefault="00006E07" w:rsidP="00006E07">
            <w:pPr>
              <w:spacing w:before="0" w:line="240" w:lineRule="atLeast"/>
              <w:rPr>
                <w:szCs w:val="24"/>
              </w:rPr>
            </w:pPr>
          </w:p>
        </w:tc>
      </w:tr>
      <w:tr w:rsidR="00006E07" w:rsidRPr="00813E5E">
        <w:trPr>
          <w:cantSplit/>
          <w:trHeight w:val="23"/>
        </w:trPr>
        <w:tc>
          <w:tcPr>
            <w:tcW w:w="6911" w:type="dxa"/>
            <w:vMerge w:val="restart"/>
          </w:tcPr>
          <w:p w:rsidR="00006E07" w:rsidRPr="00006E07" w:rsidRDefault="00006E07">
            <w:pPr>
              <w:tabs>
                <w:tab w:val="left" w:pos="851"/>
              </w:tabs>
              <w:spacing w:line="240" w:lineRule="atLeast"/>
              <w:rPr>
                <w:b/>
              </w:rPr>
            </w:pPr>
            <w:bookmarkStart w:id="3" w:name="dmeeting" w:colFirst="0" w:colLast="0"/>
            <w:bookmarkStart w:id="4" w:name="dnum" w:colFirst="1" w:colLast="1"/>
          </w:p>
        </w:tc>
        <w:tc>
          <w:tcPr>
            <w:tcW w:w="3120" w:type="dxa"/>
          </w:tcPr>
          <w:p w:rsidR="00006E07" w:rsidRDefault="00006E07" w:rsidP="00EF62BF">
            <w:pPr>
              <w:tabs>
                <w:tab w:val="left" w:pos="851"/>
              </w:tabs>
              <w:spacing w:before="0" w:line="240" w:lineRule="atLeast"/>
              <w:rPr>
                <w:b/>
              </w:rPr>
            </w:pPr>
            <w:r>
              <w:rPr>
                <w:b/>
              </w:rPr>
              <w:t xml:space="preserve">Document </w:t>
            </w:r>
            <w:r w:rsidR="00572DDA">
              <w:rPr>
                <w:b/>
              </w:rPr>
              <w:t>CWG-LANG/9/</w:t>
            </w:r>
            <w:r w:rsidR="00EF62BF">
              <w:rPr>
                <w:b/>
              </w:rPr>
              <w:t>4</w:t>
            </w:r>
            <w:r w:rsidR="00572DDA">
              <w:rPr>
                <w:b/>
              </w:rPr>
              <w:t>-E</w:t>
            </w:r>
          </w:p>
          <w:p w:rsidR="00EF62BF" w:rsidRPr="00006E07" w:rsidRDefault="00EF62BF" w:rsidP="00725860">
            <w:pPr>
              <w:tabs>
                <w:tab w:val="left" w:pos="851"/>
              </w:tabs>
              <w:spacing w:before="0" w:line="240" w:lineRule="atLeast"/>
              <w:rPr>
                <w:b/>
              </w:rPr>
            </w:pPr>
            <w:r w:rsidRPr="002B6441">
              <w:rPr>
                <w:b/>
                <w:szCs w:val="24"/>
              </w:rPr>
              <w:t>Document CWG-FHR</w:t>
            </w:r>
            <w:r w:rsidR="0021439F">
              <w:rPr>
                <w:b/>
                <w:szCs w:val="24"/>
              </w:rPr>
              <w:t>/</w:t>
            </w:r>
            <w:r w:rsidRPr="002B6441">
              <w:rPr>
                <w:b/>
                <w:szCs w:val="24"/>
              </w:rPr>
              <w:t>9/</w:t>
            </w:r>
            <w:r w:rsidR="00725860">
              <w:rPr>
                <w:b/>
                <w:szCs w:val="24"/>
              </w:rPr>
              <w:t>8</w:t>
            </w:r>
            <w:r>
              <w:rPr>
                <w:b/>
                <w:szCs w:val="24"/>
              </w:rPr>
              <w:t>-E</w:t>
            </w:r>
          </w:p>
        </w:tc>
      </w:tr>
      <w:tr w:rsidR="00006E07" w:rsidRPr="00813E5E">
        <w:trPr>
          <w:cantSplit/>
          <w:trHeight w:val="23"/>
        </w:trPr>
        <w:tc>
          <w:tcPr>
            <w:tcW w:w="6911" w:type="dxa"/>
            <w:vMerge/>
          </w:tcPr>
          <w:p w:rsidR="00006E07" w:rsidRPr="00813E5E" w:rsidRDefault="00006E07">
            <w:pPr>
              <w:tabs>
                <w:tab w:val="left" w:pos="851"/>
              </w:tabs>
              <w:spacing w:line="240" w:lineRule="atLeast"/>
              <w:rPr>
                <w:b/>
              </w:rPr>
            </w:pPr>
            <w:bookmarkStart w:id="5" w:name="ddate" w:colFirst="1" w:colLast="1"/>
            <w:bookmarkEnd w:id="3"/>
            <w:bookmarkEnd w:id="4"/>
          </w:p>
        </w:tc>
        <w:tc>
          <w:tcPr>
            <w:tcW w:w="3120" w:type="dxa"/>
          </w:tcPr>
          <w:p w:rsidR="00006E07" w:rsidRPr="00006E07" w:rsidRDefault="00EF62BF" w:rsidP="00B21A0B">
            <w:pPr>
              <w:tabs>
                <w:tab w:val="left" w:pos="993"/>
              </w:tabs>
              <w:spacing w:before="0"/>
              <w:rPr>
                <w:b/>
              </w:rPr>
            </w:pPr>
            <w:r>
              <w:rPr>
                <w:b/>
              </w:rPr>
              <w:t>17</w:t>
            </w:r>
            <w:r w:rsidR="00572DDA">
              <w:rPr>
                <w:b/>
              </w:rPr>
              <w:t xml:space="preserve"> January 2019</w:t>
            </w:r>
          </w:p>
        </w:tc>
      </w:tr>
      <w:tr w:rsidR="00006E07" w:rsidRPr="00813E5E">
        <w:trPr>
          <w:cantSplit/>
          <w:trHeight w:val="23"/>
        </w:trPr>
        <w:tc>
          <w:tcPr>
            <w:tcW w:w="6911" w:type="dxa"/>
            <w:vMerge/>
          </w:tcPr>
          <w:p w:rsidR="00006E07" w:rsidRPr="00813E5E" w:rsidRDefault="00006E07">
            <w:pPr>
              <w:tabs>
                <w:tab w:val="left" w:pos="851"/>
              </w:tabs>
              <w:spacing w:line="240" w:lineRule="atLeast"/>
              <w:rPr>
                <w:b/>
              </w:rPr>
            </w:pPr>
            <w:bookmarkStart w:id="6" w:name="dorlang" w:colFirst="1" w:colLast="1"/>
            <w:bookmarkEnd w:id="5"/>
          </w:p>
        </w:tc>
        <w:tc>
          <w:tcPr>
            <w:tcW w:w="3120" w:type="dxa"/>
          </w:tcPr>
          <w:p w:rsidR="00006E07" w:rsidRPr="00006E07" w:rsidRDefault="00006E07" w:rsidP="00006E07">
            <w:pPr>
              <w:tabs>
                <w:tab w:val="left" w:pos="993"/>
              </w:tabs>
              <w:spacing w:before="0"/>
              <w:rPr>
                <w:b/>
              </w:rPr>
            </w:pPr>
            <w:r>
              <w:rPr>
                <w:b/>
              </w:rPr>
              <w:t>English</w:t>
            </w:r>
            <w:r w:rsidR="00B2429C">
              <w:rPr>
                <w:b/>
              </w:rPr>
              <w:t xml:space="preserve"> only</w:t>
            </w:r>
          </w:p>
        </w:tc>
      </w:tr>
      <w:tr w:rsidR="00006E07" w:rsidRPr="00813E5E">
        <w:trPr>
          <w:cantSplit/>
        </w:trPr>
        <w:tc>
          <w:tcPr>
            <w:tcW w:w="10031" w:type="dxa"/>
            <w:gridSpan w:val="2"/>
          </w:tcPr>
          <w:p w:rsidR="00006E07" w:rsidRPr="00813E5E" w:rsidRDefault="00B21A0B">
            <w:pPr>
              <w:pStyle w:val="Source"/>
            </w:pPr>
            <w:bookmarkStart w:id="7" w:name="dsource" w:colFirst="0" w:colLast="0"/>
            <w:bookmarkEnd w:id="6"/>
            <w:r w:rsidRPr="00F342CC">
              <w:t xml:space="preserve">Contribution by </w:t>
            </w:r>
            <w:r>
              <w:t>Brazil (Federative Republic of)</w:t>
            </w:r>
          </w:p>
        </w:tc>
      </w:tr>
      <w:tr w:rsidR="00006E07" w:rsidRPr="00813E5E">
        <w:trPr>
          <w:cantSplit/>
        </w:trPr>
        <w:tc>
          <w:tcPr>
            <w:tcW w:w="10031" w:type="dxa"/>
            <w:gridSpan w:val="2"/>
          </w:tcPr>
          <w:p w:rsidR="00006E07" w:rsidRPr="00813E5E" w:rsidRDefault="00B21A0B">
            <w:pPr>
              <w:pStyle w:val="Title1"/>
            </w:pPr>
            <w:bookmarkStart w:id="8" w:name="dtitle1" w:colFirst="0" w:colLast="0"/>
            <w:bookmarkEnd w:id="7"/>
            <w:r w:rsidRPr="00B21A0B">
              <w:t>TRANSLATION PROCEDURES IN THE ITU</w:t>
            </w:r>
          </w:p>
        </w:tc>
      </w:tr>
      <w:bookmarkEnd w:id="8"/>
    </w:tbl>
    <w:p w:rsidR="00B21A0B" w:rsidRPr="003436F4" w:rsidRDefault="00B21A0B" w:rsidP="00B21A0B">
      <w:pPr>
        <w:spacing w:before="240"/>
        <w:rPr>
          <w:b/>
          <w:caps/>
          <w:sz w:val="28"/>
          <w:szCs w:val="28"/>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B21A0B" w:rsidRPr="008D5B25" w:rsidTr="00EF62BF">
        <w:trPr>
          <w:trHeight w:val="3372"/>
          <w:jc w:val="center"/>
        </w:trPr>
        <w:tc>
          <w:tcPr>
            <w:tcW w:w="8445" w:type="dxa"/>
            <w:tcBorders>
              <w:top w:val="single" w:sz="12" w:space="0" w:color="auto"/>
              <w:left w:val="single" w:sz="12" w:space="0" w:color="auto"/>
              <w:bottom w:val="single" w:sz="12" w:space="0" w:color="auto"/>
              <w:right w:val="single" w:sz="12" w:space="0" w:color="auto"/>
            </w:tcBorders>
          </w:tcPr>
          <w:p w:rsidR="00B21A0B" w:rsidRPr="008D5B25" w:rsidRDefault="00B21A0B" w:rsidP="00EF62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9" w:name="_Toc305764050"/>
            <w:r w:rsidRPr="008D5B25">
              <w:rPr>
                <w:rFonts w:asciiTheme="minorHAnsi" w:eastAsiaTheme="minorEastAsia" w:hAnsiTheme="minorHAnsi" w:cstheme="minorBidi"/>
                <w:b/>
                <w:lang w:eastAsia="zh-CN"/>
              </w:rPr>
              <w:t>Summary</w:t>
            </w:r>
            <w:bookmarkEnd w:id="9"/>
          </w:p>
          <w:p w:rsidR="00B21A0B" w:rsidRPr="00FE14AB" w:rsidRDefault="00B21A0B" w:rsidP="00EF62B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The 2018 ITU Plenipotentiary Conference reaffirmed the importance of continuing improvements in the translation procedures in the ITU, including the use of innovative technologies and the adoption of alternative translation procedures.</w:t>
            </w:r>
          </w:p>
          <w:p w:rsidR="00B21A0B" w:rsidRPr="008D5B25" w:rsidRDefault="00B21A0B" w:rsidP="00EF62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10" w:name="_Toc305764051"/>
            <w:r w:rsidRPr="008D5B25">
              <w:rPr>
                <w:rFonts w:asciiTheme="minorHAnsi" w:eastAsiaTheme="minorEastAsia" w:hAnsiTheme="minorHAnsi" w:cstheme="minorBidi"/>
                <w:b/>
                <w:lang w:eastAsia="zh-CN"/>
              </w:rPr>
              <w:t>Action required</w:t>
            </w:r>
            <w:bookmarkEnd w:id="10"/>
          </w:p>
          <w:p w:rsidR="00B21A0B" w:rsidRDefault="00B21A0B" w:rsidP="00EF62B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The ITU Secretariat should present detailed information on the measures the ITU has been adopting and will adopt in the coming future (i.e., a plan) to ensure the evolution and increase of efficiency of translation procedures in the ITU, to support decision-making by the ITU Council on the issue.</w:t>
            </w:r>
          </w:p>
          <w:p w:rsidR="00B21A0B" w:rsidRPr="00E809DD" w:rsidRDefault="00B21A0B" w:rsidP="00EF62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r w:rsidRPr="00E809DD">
              <w:rPr>
                <w:rFonts w:asciiTheme="minorHAnsi" w:eastAsiaTheme="minorEastAsia" w:hAnsiTheme="minorHAnsi" w:cstheme="minorBidi"/>
                <w:b/>
                <w:lang w:eastAsia="zh-CN"/>
              </w:rPr>
              <w:t>References</w:t>
            </w:r>
          </w:p>
          <w:p w:rsidR="00B21A0B" w:rsidRPr="00BF38FC" w:rsidRDefault="00B21A0B" w:rsidP="00EF62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i/>
                <w:lang w:eastAsia="zh-CN"/>
              </w:rPr>
            </w:pPr>
            <w:r w:rsidRPr="00BF38FC">
              <w:rPr>
                <w:rFonts w:asciiTheme="minorHAnsi" w:eastAsiaTheme="minorEastAsia" w:hAnsiTheme="minorHAnsi" w:cstheme="minorBidi"/>
                <w:i/>
                <w:lang w:eastAsia="zh-CN"/>
              </w:rPr>
              <w:t xml:space="preserve">Plenipotentiary Decision 5 (Rev. Busan, 2014); Plenipotentiary Decision 5  (Rev. Dubai, 2018); Plenipotentiary Resolution 154 (Rev. Busan, 2014), Plenipotentiary Resolution 154 (Rev. Dubai, 2018); </w:t>
            </w:r>
          </w:p>
          <w:p w:rsidR="00B21A0B" w:rsidRPr="00BF38FC" w:rsidRDefault="00B21A0B" w:rsidP="00EF62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i/>
                <w:lang w:eastAsia="zh-CN"/>
              </w:rPr>
            </w:pPr>
            <w:r w:rsidRPr="00BF38FC">
              <w:rPr>
                <w:rFonts w:asciiTheme="minorHAnsi" w:eastAsiaTheme="minorEastAsia" w:hAnsiTheme="minorHAnsi" w:cstheme="minorBidi"/>
                <w:i/>
                <w:lang w:eastAsia="zh-CN"/>
              </w:rPr>
              <w:t>Council Resolution 1372 (C15, last amended C16);</w:t>
            </w:r>
          </w:p>
          <w:p w:rsidR="00B21A0B" w:rsidRPr="00BF38FC" w:rsidRDefault="00B21A0B" w:rsidP="00EF62B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i/>
                <w:szCs w:val="24"/>
                <w:lang w:eastAsia="zh-CN"/>
              </w:rPr>
            </w:pPr>
            <w:r w:rsidRPr="00BF38FC">
              <w:rPr>
                <w:rFonts w:asciiTheme="minorHAnsi" w:eastAsiaTheme="minorEastAsia" w:hAnsiTheme="minorHAnsi" w:cstheme="minorBidi"/>
                <w:i/>
                <w:lang w:eastAsia="zh-CN"/>
              </w:rPr>
              <w:t>Document C14/69-E, Document C15/86-E, Document C15/12-E, Document C15/45-E, Document CWG-Lang-8/5-E, Document C17/108-E, Document C17/114-E, Document CWG-LANG/9/2-E</w:t>
            </w:r>
          </w:p>
        </w:tc>
      </w:tr>
    </w:tbl>
    <w:p w:rsidR="00B21A0B" w:rsidRDefault="00B21A0B" w:rsidP="00EF62BF">
      <w:pPr>
        <w:pStyle w:val="Heading1"/>
        <w:spacing w:before="160"/>
        <w:rPr>
          <w:rFonts w:eastAsia="Calibri"/>
          <w:sz w:val="24"/>
          <w:szCs w:val="24"/>
        </w:rPr>
      </w:pPr>
      <w:r w:rsidRPr="007C0F9E">
        <w:rPr>
          <w:rFonts w:eastAsia="Calibri"/>
          <w:sz w:val="24"/>
          <w:szCs w:val="24"/>
        </w:rPr>
        <w:t>1</w:t>
      </w:r>
      <w:r w:rsidRPr="007C0F9E">
        <w:rPr>
          <w:rFonts w:eastAsia="Calibri"/>
          <w:sz w:val="24"/>
          <w:szCs w:val="24"/>
        </w:rPr>
        <w:tab/>
        <w:t>Background</w:t>
      </w:r>
    </w:p>
    <w:p w:rsidR="00B21A0B" w:rsidRDefault="00B21A0B" w:rsidP="00EF62BF">
      <w:pPr>
        <w:tabs>
          <w:tab w:val="clear" w:pos="567"/>
          <w:tab w:val="clear" w:pos="1134"/>
          <w:tab w:val="clear" w:pos="1701"/>
          <w:tab w:val="clear" w:pos="2268"/>
          <w:tab w:val="clear" w:pos="2835"/>
        </w:tabs>
        <w:overflowPunct/>
        <w:autoSpaceDE/>
        <w:autoSpaceDN/>
        <w:adjustRightInd/>
        <w:spacing w:before="160"/>
        <w:textAlignment w:val="auto"/>
        <w:rPr>
          <w:rFonts w:cstheme="minorHAnsi"/>
        </w:rPr>
      </w:pPr>
      <w:r w:rsidRPr="00A812A9">
        <w:rPr>
          <w:rFonts w:cstheme="minorHAnsi"/>
        </w:rPr>
        <w:t>1.1</w:t>
      </w:r>
      <w:r w:rsidRPr="00A812A9">
        <w:rPr>
          <w:rFonts w:cstheme="minorHAnsi"/>
        </w:rPr>
        <w:tab/>
      </w:r>
      <w:r>
        <w:rPr>
          <w:rFonts w:cstheme="minorHAnsi"/>
        </w:rPr>
        <w:t>The 2018 Plenipotentiary Conference (PP-18) approved Decision 5, which reinforced in Annex 2 the importance of optimizing translation services in the ITU with regards to costs and quality of translation</w:t>
      </w:r>
      <w:r>
        <w:rPr>
          <w:rFonts w:asciiTheme="minorHAnsi" w:eastAsiaTheme="minorEastAsia" w:hAnsiTheme="minorHAnsi" w:cstheme="minorBidi"/>
          <w:szCs w:val="24"/>
          <w:lang w:eastAsia="zh-CN"/>
        </w:rPr>
        <w:t>.</w:t>
      </w:r>
    </w:p>
    <w:p w:rsidR="00B21A0B" w:rsidRDefault="00B21A0B" w:rsidP="00EF62BF">
      <w:pPr>
        <w:tabs>
          <w:tab w:val="clear" w:pos="567"/>
          <w:tab w:val="clear" w:pos="1134"/>
          <w:tab w:val="clear" w:pos="1701"/>
          <w:tab w:val="clear" w:pos="2268"/>
          <w:tab w:val="clear" w:pos="2835"/>
        </w:tabs>
        <w:overflowPunct/>
        <w:autoSpaceDE/>
        <w:autoSpaceDN/>
        <w:adjustRightInd/>
        <w:spacing w:before="160"/>
        <w:textAlignment w:val="auto"/>
        <w:rPr>
          <w:rFonts w:cstheme="minorHAnsi"/>
        </w:rPr>
      </w:pPr>
      <w:r>
        <w:rPr>
          <w:rFonts w:cstheme="minorHAnsi"/>
        </w:rPr>
        <w:lastRenderedPageBreak/>
        <w:t>1.2</w:t>
      </w:r>
      <w:r>
        <w:rPr>
          <w:rFonts w:cstheme="minorHAnsi"/>
        </w:rPr>
        <w:tab/>
        <w:t>Additionally, PP-18 also approved several amendments to Resolution 154 on the use of the six official languages on an equal footing, particularly instructing the Council to “</w:t>
      </w:r>
      <w:r w:rsidRPr="00D43F3B">
        <w:rPr>
          <w:rFonts w:cstheme="minorHAnsi"/>
          <w:b/>
          <w:i/>
        </w:rPr>
        <w:t>continue</w:t>
      </w:r>
      <w:r w:rsidRPr="00C43F5A">
        <w:rPr>
          <w:rFonts w:cstheme="minorHAnsi"/>
          <w:i/>
        </w:rPr>
        <w:t xml:space="preserve"> to analyse the adoption by ITU of alternative translation procedures, taking into account their financial implications and leveraging the benefits of innovative technologies in order to reduce translation and typing expenses in the budget of the Union</w:t>
      </w:r>
      <w:r>
        <w:rPr>
          <w:rFonts w:cstheme="minorHAnsi"/>
          <w:i/>
        </w:rPr>
        <w:t>.”</w:t>
      </w:r>
    </w:p>
    <w:p w:rsidR="00B21A0B" w:rsidRDefault="00B21A0B" w:rsidP="00EF62B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1.3</w:t>
      </w:r>
      <w:r>
        <w:rPr>
          <w:rFonts w:asciiTheme="minorHAnsi" w:eastAsiaTheme="minorEastAsia" w:hAnsiTheme="minorHAnsi" w:cstheme="minorBidi"/>
          <w:szCs w:val="24"/>
          <w:lang w:eastAsia="zh-CN"/>
        </w:rPr>
        <w:tab/>
        <w:t xml:space="preserve">Since PP-14 approved amendments to Decision 5 and Resolution 154 related to alternative translation procedures, this issue has been of particular interest for </w:t>
      </w:r>
      <w:r w:rsidR="00602380">
        <w:rPr>
          <w:rFonts w:asciiTheme="minorHAnsi" w:eastAsiaTheme="minorEastAsia" w:hAnsiTheme="minorHAnsi" w:cstheme="minorBidi"/>
          <w:szCs w:val="24"/>
          <w:lang w:eastAsia="zh-CN"/>
        </w:rPr>
        <w:t>the Membership</w:t>
      </w:r>
      <w:r>
        <w:rPr>
          <w:rFonts w:asciiTheme="minorHAnsi" w:eastAsiaTheme="minorEastAsia" w:hAnsiTheme="minorHAnsi" w:cstheme="minorBidi"/>
          <w:szCs w:val="24"/>
          <w:lang w:eastAsia="zh-CN"/>
        </w:rPr>
        <w:t xml:space="preserve">. Many </w:t>
      </w:r>
      <w:r w:rsidR="00602380">
        <w:rPr>
          <w:rFonts w:asciiTheme="minorHAnsi" w:eastAsiaTheme="minorEastAsia" w:hAnsiTheme="minorHAnsi" w:cstheme="minorBidi"/>
          <w:szCs w:val="24"/>
          <w:lang w:eastAsia="zh-CN"/>
        </w:rPr>
        <w:t xml:space="preserve">Member States </w:t>
      </w:r>
      <w:r>
        <w:rPr>
          <w:rFonts w:asciiTheme="minorHAnsi" w:eastAsiaTheme="minorEastAsia" w:hAnsiTheme="minorHAnsi" w:cstheme="minorBidi"/>
          <w:szCs w:val="24"/>
          <w:lang w:eastAsia="zh-CN"/>
        </w:rPr>
        <w:t>have presented contributions on the issue emphasizing the cost burden of current translation services (i.e., CHF 191 per page), that translation-related costs have continued/increased over the last years, and proposing the increased use of technology (e.g., artificial Intelligence, machine translation) in ITU’s translation services.</w:t>
      </w:r>
    </w:p>
    <w:p w:rsidR="00B21A0B" w:rsidRDefault="00B21A0B" w:rsidP="00EF62B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1.4</w:t>
      </w:r>
      <w:r>
        <w:rPr>
          <w:rFonts w:asciiTheme="minorHAnsi" w:eastAsiaTheme="minorEastAsia" w:hAnsiTheme="minorHAnsi" w:cstheme="minorBidi"/>
          <w:szCs w:val="24"/>
          <w:lang w:eastAsia="zh-CN"/>
        </w:rPr>
        <w:tab/>
      </w:r>
      <w:r w:rsidRPr="00422C80">
        <w:rPr>
          <w:rFonts w:asciiTheme="minorHAnsi" w:eastAsiaTheme="minorEastAsia" w:hAnsiTheme="minorHAnsi" w:cstheme="minorBidi"/>
          <w:szCs w:val="24"/>
          <w:lang w:eastAsia="zh-CN"/>
        </w:rPr>
        <w:t>Council 2017 agreed to request the Deputy Secretary-General to preside over an internal committee, reporting to Council through the CWG-LANG</w:t>
      </w:r>
      <w:r>
        <w:rPr>
          <w:rFonts w:asciiTheme="minorHAnsi" w:eastAsiaTheme="minorEastAsia" w:hAnsiTheme="minorHAnsi" w:cstheme="minorBidi"/>
          <w:szCs w:val="24"/>
          <w:lang w:eastAsia="zh-CN"/>
        </w:rPr>
        <w:t>. In the group’s report to the 9</w:t>
      </w:r>
      <w:r w:rsidRPr="004977EC">
        <w:rPr>
          <w:rFonts w:asciiTheme="minorHAnsi" w:eastAsiaTheme="minorEastAsia" w:hAnsiTheme="minorHAnsi" w:cstheme="minorBidi"/>
          <w:szCs w:val="24"/>
          <w:vertAlign w:val="superscript"/>
          <w:lang w:eastAsia="zh-CN"/>
        </w:rPr>
        <w:t>th</w:t>
      </w:r>
      <w:r>
        <w:rPr>
          <w:rFonts w:asciiTheme="minorHAnsi" w:eastAsiaTheme="minorEastAsia" w:hAnsiTheme="minorHAnsi" w:cstheme="minorBidi"/>
          <w:szCs w:val="24"/>
          <w:lang w:eastAsia="zh-CN"/>
        </w:rPr>
        <w:t xml:space="preserve"> meeting of CWG-LANG (document </w:t>
      </w:r>
      <w:r w:rsidRPr="00A64A61">
        <w:rPr>
          <w:rFonts w:asciiTheme="minorHAnsi" w:eastAsiaTheme="minorEastAsia" w:hAnsiTheme="minorHAnsi" w:cstheme="minorBidi"/>
          <w:szCs w:val="24"/>
          <w:lang w:eastAsia="zh-CN"/>
        </w:rPr>
        <w:t>CWG-LANG/9/2-E</w:t>
      </w:r>
      <w:r>
        <w:rPr>
          <w:rFonts w:asciiTheme="minorHAnsi" w:eastAsiaTheme="minorEastAsia" w:hAnsiTheme="minorHAnsi" w:cstheme="minorBidi"/>
          <w:szCs w:val="24"/>
          <w:lang w:eastAsia="zh-CN"/>
        </w:rPr>
        <w:t>), the Secretariat informs that outsourcing and machine translation has been increasingly used to optimize translation services. Other solutions such as remote translation will still be put to trial in the future, starting in 2019.</w:t>
      </w:r>
    </w:p>
    <w:p w:rsidR="00B21A0B" w:rsidRDefault="00B21A0B" w:rsidP="00EF62BF">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1.5</w:t>
      </w:r>
      <w:r>
        <w:rPr>
          <w:rFonts w:asciiTheme="minorHAnsi" w:eastAsiaTheme="minorEastAsia" w:hAnsiTheme="minorHAnsi" w:cstheme="minorBidi"/>
          <w:szCs w:val="24"/>
          <w:lang w:eastAsia="zh-CN"/>
        </w:rPr>
        <w:tab/>
        <w:t>Cost savings and increased efficiency in translation procedures are crucial elements for the improvement and inclusiveness of the work of the ITU, and they are directly correlated with the achievement of the goals of Resolution 154. With improved and more costly effective procedures for translation, the ITU will have more financial resources to translate its work and outputs to all of the six official languages of the Union.</w:t>
      </w:r>
    </w:p>
    <w:p w:rsidR="00B21A0B" w:rsidRPr="007C0F9E" w:rsidRDefault="00EF62BF" w:rsidP="00EF62BF">
      <w:pPr>
        <w:spacing w:before="160"/>
        <w:rPr>
          <w:rFonts w:cstheme="minorHAnsi"/>
          <w:b/>
          <w:szCs w:val="24"/>
        </w:rPr>
      </w:pPr>
      <w:r>
        <w:rPr>
          <w:rFonts w:cstheme="minorHAnsi"/>
          <w:b/>
          <w:szCs w:val="24"/>
        </w:rPr>
        <w:t>2</w:t>
      </w:r>
      <w:r w:rsidR="00B21A0B" w:rsidRPr="007C0F9E">
        <w:rPr>
          <w:rFonts w:cstheme="minorHAnsi"/>
          <w:b/>
          <w:szCs w:val="24"/>
        </w:rPr>
        <w:tab/>
      </w:r>
      <w:r w:rsidR="00B21A0B">
        <w:rPr>
          <w:rFonts w:cstheme="minorHAnsi"/>
          <w:b/>
          <w:szCs w:val="24"/>
        </w:rPr>
        <w:t>Proposal</w:t>
      </w:r>
    </w:p>
    <w:p w:rsidR="00B21A0B" w:rsidRDefault="00EF62BF" w:rsidP="00EF62BF">
      <w:pPr>
        <w:tabs>
          <w:tab w:val="clear" w:pos="567"/>
          <w:tab w:val="clear" w:pos="1134"/>
          <w:tab w:val="clear" w:pos="1701"/>
          <w:tab w:val="clear" w:pos="2268"/>
          <w:tab w:val="clear" w:pos="2835"/>
        </w:tabs>
        <w:overflowPunct/>
        <w:autoSpaceDE/>
        <w:autoSpaceDN/>
        <w:adjustRightInd/>
        <w:snapToGrid w:val="0"/>
        <w:spacing w:before="160"/>
        <w:textAlignment w:val="auto"/>
      </w:pPr>
      <w:r>
        <w:t>2</w:t>
      </w:r>
      <w:r w:rsidR="00B21A0B">
        <w:t>.1</w:t>
      </w:r>
      <w:r w:rsidR="00B21A0B">
        <w:tab/>
        <w:t xml:space="preserve">Brazil kindly asks the Secretariat to present to the 2019 Session of the ITU Council a detailed plan for the full achievement of the provisions in Decision 5 (Rev. Dubai, 2018) and Resolution 154 (Rev. Dubai, 2018) concerning the adoption of alternative translation procedures, taking into account all the measures recommended by </w:t>
      </w:r>
      <w:r w:rsidR="00602380">
        <w:t>the Membership</w:t>
      </w:r>
      <w:r w:rsidR="00B21A0B">
        <w:t xml:space="preserve"> in the last four years (e.g., outsourcing, remote translation, machine translation).</w:t>
      </w:r>
    </w:p>
    <w:p w:rsidR="00B21A0B" w:rsidRDefault="00B21A0B" w:rsidP="00B21A0B">
      <w:pPr>
        <w:tabs>
          <w:tab w:val="clear" w:pos="567"/>
          <w:tab w:val="clear" w:pos="1134"/>
          <w:tab w:val="clear" w:pos="1701"/>
          <w:tab w:val="clear" w:pos="2268"/>
          <w:tab w:val="clear" w:pos="2835"/>
        </w:tabs>
        <w:overflowPunct/>
        <w:autoSpaceDE/>
        <w:autoSpaceDN/>
        <w:adjustRightInd/>
        <w:snapToGrid w:val="0"/>
        <w:spacing w:before="0"/>
        <w:textAlignment w:val="auto"/>
      </w:pPr>
    </w:p>
    <w:p w:rsidR="00B21A0B" w:rsidRDefault="00B21A0B" w:rsidP="00B21A0B">
      <w:pPr>
        <w:snapToGrid w:val="0"/>
        <w:spacing w:before="0"/>
      </w:pPr>
    </w:p>
    <w:p w:rsidR="00B21A0B" w:rsidRDefault="00B21A0B" w:rsidP="00B21A0B">
      <w:pPr>
        <w:jc w:val="center"/>
      </w:pPr>
      <w:r>
        <w:t>________</w:t>
      </w:r>
    </w:p>
    <w:sectPr w:rsidR="00B21A0B" w:rsidSect="00887F7C">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9B" w:rsidRDefault="00CD0B9B">
      <w:r>
        <w:separator/>
      </w:r>
    </w:p>
  </w:endnote>
  <w:endnote w:type="continuationSeparator" w:id="0">
    <w:p w:rsidR="00CD0B9B" w:rsidRDefault="00CD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7C" w:rsidRDefault="00887F7C" w:rsidP="00887F7C">
    <w:pPr>
      <w:spacing w:after="120"/>
      <w:jc w:val="center"/>
    </w:pPr>
    <w:r>
      <w:t xml:space="preserve">• </w:t>
    </w:r>
    <w:hyperlink r:id="rId1" w:history="1">
      <w:r>
        <w:rPr>
          <w:rStyle w:val="Hyperlink"/>
        </w:rPr>
        <w:t>http://www.itu.int/council</w:t>
      </w:r>
    </w:hyperlink>
    <w:r>
      <w:t xml:space="preserve"> •</w:t>
    </w:r>
  </w:p>
  <w:p w:rsidR="00E16ED3" w:rsidRPr="00FB1867" w:rsidRDefault="003079A4" w:rsidP="00FB1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9B" w:rsidRDefault="00CD0B9B">
      <w:r>
        <w:t>____________________</w:t>
      </w:r>
    </w:p>
  </w:footnote>
  <w:footnote w:type="continuationSeparator" w:id="0">
    <w:p w:rsidR="00CD0B9B" w:rsidRDefault="00CD0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7C" w:rsidRDefault="00887F7C" w:rsidP="00572DDA">
    <w:pPr>
      <w:pStyle w:val="Header"/>
      <w:spacing w:after="120"/>
    </w:pPr>
    <w:r>
      <w:t>- </w:t>
    </w:r>
    <w:r>
      <w:fldChar w:fldCharType="begin"/>
    </w:r>
    <w:r>
      <w:instrText>PAGE</w:instrText>
    </w:r>
    <w:r>
      <w:fldChar w:fldCharType="separate"/>
    </w:r>
    <w:r w:rsidR="00725860">
      <w:rPr>
        <w:noProof/>
      </w:rPr>
      <w:t>2</w:t>
    </w:r>
    <w:r>
      <w:rPr>
        <w:noProof/>
      </w:rPr>
      <w:fldChar w:fldCharType="end"/>
    </w:r>
    <w:r w:rsidR="00572DDA">
      <w:rPr>
        <w:noProof/>
      </w:rPr>
      <w:t> </w:t>
    </w:r>
    <w:r w:rsidR="00EF62BF">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07"/>
    <w:rsid w:val="00006E07"/>
    <w:rsid w:val="000210D4"/>
    <w:rsid w:val="00042CA8"/>
    <w:rsid w:val="0004395B"/>
    <w:rsid w:val="00055E86"/>
    <w:rsid w:val="00063016"/>
    <w:rsid w:val="00066795"/>
    <w:rsid w:val="00076AF6"/>
    <w:rsid w:val="00085CF2"/>
    <w:rsid w:val="000962EA"/>
    <w:rsid w:val="000B1705"/>
    <w:rsid w:val="000D75B2"/>
    <w:rsid w:val="000E39F2"/>
    <w:rsid w:val="001121F5"/>
    <w:rsid w:val="001400DC"/>
    <w:rsid w:val="00140CE1"/>
    <w:rsid w:val="001505C6"/>
    <w:rsid w:val="0017539C"/>
    <w:rsid w:val="00175AC2"/>
    <w:rsid w:val="0017609F"/>
    <w:rsid w:val="001C628E"/>
    <w:rsid w:val="001E0F7B"/>
    <w:rsid w:val="001F0673"/>
    <w:rsid w:val="002119FD"/>
    <w:rsid w:val="002130E0"/>
    <w:rsid w:val="0021439F"/>
    <w:rsid w:val="00264425"/>
    <w:rsid w:val="00265875"/>
    <w:rsid w:val="0027303B"/>
    <w:rsid w:val="0028109B"/>
    <w:rsid w:val="002A7602"/>
    <w:rsid w:val="002B1F58"/>
    <w:rsid w:val="002C1C7A"/>
    <w:rsid w:val="0030160F"/>
    <w:rsid w:val="003049C0"/>
    <w:rsid w:val="00305AAF"/>
    <w:rsid w:val="003079A4"/>
    <w:rsid w:val="00322D0D"/>
    <w:rsid w:val="00352CCD"/>
    <w:rsid w:val="003942D4"/>
    <w:rsid w:val="003958A8"/>
    <w:rsid w:val="003C2533"/>
    <w:rsid w:val="00403BE0"/>
    <w:rsid w:val="0040435A"/>
    <w:rsid w:val="0041123F"/>
    <w:rsid w:val="00416A24"/>
    <w:rsid w:val="00431D9E"/>
    <w:rsid w:val="00433CE8"/>
    <w:rsid w:val="00434A5C"/>
    <w:rsid w:val="004544D9"/>
    <w:rsid w:val="00480A24"/>
    <w:rsid w:val="00490E72"/>
    <w:rsid w:val="00491157"/>
    <w:rsid w:val="004921C8"/>
    <w:rsid w:val="004A6B40"/>
    <w:rsid w:val="004D1851"/>
    <w:rsid w:val="004D599D"/>
    <w:rsid w:val="004E2EA5"/>
    <w:rsid w:val="004E3AEB"/>
    <w:rsid w:val="004E614A"/>
    <w:rsid w:val="00500E48"/>
    <w:rsid w:val="0050223C"/>
    <w:rsid w:val="005243FF"/>
    <w:rsid w:val="00564FBC"/>
    <w:rsid w:val="00572DDA"/>
    <w:rsid w:val="00582442"/>
    <w:rsid w:val="00602380"/>
    <w:rsid w:val="006160C0"/>
    <w:rsid w:val="0064737F"/>
    <w:rsid w:val="00651E12"/>
    <w:rsid w:val="006535F1"/>
    <w:rsid w:val="0065557D"/>
    <w:rsid w:val="00662984"/>
    <w:rsid w:val="006716BB"/>
    <w:rsid w:val="00685B4C"/>
    <w:rsid w:val="006A0524"/>
    <w:rsid w:val="006A346A"/>
    <w:rsid w:val="006B6680"/>
    <w:rsid w:val="006B6DCC"/>
    <w:rsid w:val="00702DEF"/>
    <w:rsid w:val="00706861"/>
    <w:rsid w:val="007073DB"/>
    <w:rsid w:val="00725860"/>
    <w:rsid w:val="00745E6D"/>
    <w:rsid w:val="0075051B"/>
    <w:rsid w:val="00794D34"/>
    <w:rsid w:val="007D76E5"/>
    <w:rsid w:val="00813E5E"/>
    <w:rsid w:val="0083581B"/>
    <w:rsid w:val="0086246C"/>
    <w:rsid w:val="00864AFF"/>
    <w:rsid w:val="00887F7C"/>
    <w:rsid w:val="008B4A6A"/>
    <w:rsid w:val="008C39D4"/>
    <w:rsid w:val="008C7E27"/>
    <w:rsid w:val="008E71B3"/>
    <w:rsid w:val="0090279E"/>
    <w:rsid w:val="00904076"/>
    <w:rsid w:val="009173EF"/>
    <w:rsid w:val="009233D9"/>
    <w:rsid w:val="00932906"/>
    <w:rsid w:val="00961B0B"/>
    <w:rsid w:val="00976AFA"/>
    <w:rsid w:val="009B38C3"/>
    <w:rsid w:val="009E17BD"/>
    <w:rsid w:val="00A04CEC"/>
    <w:rsid w:val="00A27932"/>
    <w:rsid w:val="00A27F92"/>
    <w:rsid w:val="00A32257"/>
    <w:rsid w:val="00A36D20"/>
    <w:rsid w:val="00A555BD"/>
    <w:rsid w:val="00A55622"/>
    <w:rsid w:val="00A83502"/>
    <w:rsid w:val="00A865D0"/>
    <w:rsid w:val="00A87445"/>
    <w:rsid w:val="00AD15B3"/>
    <w:rsid w:val="00AD500B"/>
    <w:rsid w:val="00AE70A6"/>
    <w:rsid w:val="00AF6E49"/>
    <w:rsid w:val="00B04682"/>
    <w:rsid w:val="00B04A67"/>
    <w:rsid w:val="00B0583C"/>
    <w:rsid w:val="00B119FA"/>
    <w:rsid w:val="00B21A0B"/>
    <w:rsid w:val="00B2429C"/>
    <w:rsid w:val="00B40A81"/>
    <w:rsid w:val="00B44910"/>
    <w:rsid w:val="00B72267"/>
    <w:rsid w:val="00B76EB6"/>
    <w:rsid w:val="00B7737B"/>
    <w:rsid w:val="00B824C8"/>
    <w:rsid w:val="00BC251A"/>
    <w:rsid w:val="00BD032B"/>
    <w:rsid w:val="00BE2640"/>
    <w:rsid w:val="00BF602C"/>
    <w:rsid w:val="00C01189"/>
    <w:rsid w:val="00C374DE"/>
    <w:rsid w:val="00C47AD4"/>
    <w:rsid w:val="00C52D81"/>
    <w:rsid w:val="00C55198"/>
    <w:rsid w:val="00C848D1"/>
    <w:rsid w:val="00CA6393"/>
    <w:rsid w:val="00CB18FF"/>
    <w:rsid w:val="00CD0B9B"/>
    <w:rsid w:val="00CD0C08"/>
    <w:rsid w:val="00CD77CB"/>
    <w:rsid w:val="00CE03FB"/>
    <w:rsid w:val="00CE177B"/>
    <w:rsid w:val="00CE433C"/>
    <w:rsid w:val="00CF33F3"/>
    <w:rsid w:val="00D06183"/>
    <w:rsid w:val="00D22C42"/>
    <w:rsid w:val="00D42BF2"/>
    <w:rsid w:val="00D65041"/>
    <w:rsid w:val="00D70A5D"/>
    <w:rsid w:val="00DB384B"/>
    <w:rsid w:val="00DD23E5"/>
    <w:rsid w:val="00DE413D"/>
    <w:rsid w:val="00E10E80"/>
    <w:rsid w:val="00E124F0"/>
    <w:rsid w:val="00E60F04"/>
    <w:rsid w:val="00E819D7"/>
    <w:rsid w:val="00E854E4"/>
    <w:rsid w:val="00EB0D6F"/>
    <w:rsid w:val="00EB2232"/>
    <w:rsid w:val="00EC5337"/>
    <w:rsid w:val="00EF62BF"/>
    <w:rsid w:val="00F2150A"/>
    <w:rsid w:val="00F231D8"/>
    <w:rsid w:val="00F46C5F"/>
    <w:rsid w:val="00F94A63"/>
    <w:rsid w:val="00FA1C28"/>
    <w:rsid w:val="00FB7596"/>
    <w:rsid w:val="00FD5863"/>
    <w:rsid w:val="00FE4077"/>
    <w:rsid w:val="00FE52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646654-8881-439C-80F8-6C30FF3F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06E0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FD58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863"/>
    <w:rPr>
      <w:rFonts w:ascii="Segoe UI" w:hAnsi="Segoe UI" w:cs="Segoe UI"/>
      <w:sz w:val="18"/>
      <w:szCs w:val="18"/>
      <w:lang w:val="en-GB" w:eastAsia="en-US"/>
    </w:rPr>
  </w:style>
  <w:style w:type="character" w:customStyle="1" w:styleId="AnnexNoChar">
    <w:name w:val="Annex_No Char"/>
    <w:basedOn w:val="DefaultParagraphFont"/>
    <w:link w:val="AnnexNo"/>
    <w:rsid w:val="00572DDA"/>
    <w:rPr>
      <w:rFonts w:ascii="Calibri" w:hAnsi="Calibri"/>
      <w:caps/>
      <w:sz w:val="28"/>
      <w:lang w:val="en-GB" w:eastAsia="en-US"/>
    </w:rPr>
  </w:style>
  <w:style w:type="character" w:customStyle="1" w:styleId="CallChar">
    <w:name w:val="Call Char"/>
    <w:basedOn w:val="DefaultParagraphFont"/>
    <w:link w:val="Call"/>
    <w:rsid w:val="00572DDA"/>
    <w:rPr>
      <w:rFonts w:ascii="Calibri" w:hAnsi="Calibri"/>
      <w:i/>
      <w:sz w:val="24"/>
      <w:lang w:val="en-GB" w:eastAsia="en-US"/>
    </w:rPr>
  </w:style>
  <w:style w:type="character" w:customStyle="1" w:styleId="NormalaftertitleChar">
    <w:name w:val="Normal after title Char"/>
    <w:basedOn w:val="DefaultParagraphFont"/>
    <w:link w:val="Normalaftertitle"/>
    <w:rsid w:val="00572DDA"/>
    <w:rPr>
      <w:rFonts w:ascii="Calibri" w:hAnsi="Calibri"/>
      <w:sz w:val="24"/>
      <w:lang w:val="en-GB" w:eastAsia="en-US"/>
    </w:rPr>
  </w:style>
  <w:style w:type="character" w:customStyle="1" w:styleId="RestitleChar">
    <w:name w:val="Res_title Char"/>
    <w:basedOn w:val="DefaultParagraphFont"/>
    <w:link w:val="Restitle"/>
    <w:rsid w:val="00572DDA"/>
    <w:rPr>
      <w:rFonts w:ascii="Calibri" w:hAnsi="Calibri"/>
      <w:b/>
      <w:sz w:val="28"/>
      <w:lang w:val="en-GB" w:eastAsia="en-US"/>
    </w:rPr>
  </w:style>
  <w:style w:type="character" w:customStyle="1" w:styleId="AnnextitleChar">
    <w:name w:val="Annex_title Char"/>
    <w:basedOn w:val="DefaultParagraphFont"/>
    <w:link w:val="Annextitle"/>
    <w:rsid w:val="00572DDA"/>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3493">
      <w:bodyDiv w:val="1"/>
      <w:marLeft w:val="0"/>
      <w:marRight w:val="0"/>
      <w:marTop w:val="0"/>
      <w:marBottom w:val="0"/>
      <w:divBdr>
        <w:top w:val="none" w:sz="0" w:space="0" w:color="auto"/>
        <w:left w:val="none" w:sz="0" w:space="0" w:color="auto"/>
        <w:bottom w:val="none" w:sz="0" w:space="0" w:color="auto"/>
        <w:right w:val="none" w:sz="0" w:space="0" w:color="auto"/>
      </w:divBdr>
    </w:div>
    <w:div w:id="4377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DEA6-4D88-4FE9-95BD-BDCAE13C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3349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by the Russian Federation - Resolution 1372</vt:lpstr>
      <vt:lpstr>Contribution by the Russian Federation - Resolution 1372</vt:lpstr>
    </vt:vector>
  </TitlesOfParts>
  <Manager>General Secretariat - Pool</Manager>
  <Company>International Telecommunication Union (ITU)</Company>
  <LinksUpToDate>false</LinksUpToDate>
  <CharactersWithSpaces>3904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Resolution 1372</dc:title>
  <dc:subject>Council Working Groups</dc:subject>
  <dc:creator>Mario R Canazza</dc:creator>
  <cp:keywords>CWGs</cp:keywords>
  <cp:lastModifiedBy>Janin</cp:lastModifiedBy>
  <cp:revision>5</cp:revision>
  <cp:lastPrinted>2018-02-15T09:42:00Z</cp:lastPrinted>
  <dcterms:created xsi:type="dcterms:W3CDTF">2019-01-17T06:52:00Z</dcterms:created>
  <dcterms:modified xsi:type="dcterms:W3CDTF">2019-01-17T07:03:00Z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