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0" w:type="dxa"/>
        <w:tblLayout w:type="fixed"/>
        <w:tblLook w:val="04A0" w:firstRow="1" w:lastRow="0" w:firstColumn="1" w:lastColumn="0" w:noHBand="0" w:noVBand="1"/>
      </w:tblPr>
      <w:tblGrid>
        <w:gridCol w:w="6629"/>
        <w:gridCol w:w="3685"/>
      </w:tblGrid>
      <w:tr w:rsidR="00812B8E" w:rsidRPr="00812B8E" w14:paraId="1A5FA835" w14:textId="77777777" w:rsidTr="00812B8E">
        <w:trPr>
          <w:cantSplit/>
        </w:trPr>
        <w:tc>
          <w:tcPr>
            <w:tcW w:w="6629" w:type="dxa"/>
            <w:hideMark/>
          </w:tcPr>
          <w:p w14:paraId="1F150DA2"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360" w:after="48"/>
              <w:textAlignment w:val="auto"/>
              <w:rPr>
                <w:b/>
                <w:position w:val="6"/>
                <w:sz w:val="26"/>
                <w:szCs w:val="26"/>
              </w:rPr>
            </w:pPr>
            <w:bookmarkStart w:id="0" w:name="dc06"/>
            <w:bookmarkStart w:id="1" w:name="dbluepink" w:colFirst="0" w:colLast="0"/>
            <w:bookmarkStart w:id="2" w:name="dorlang" w:colFirst="1" w:colLast="1"/>
            <w:bookmarkStart w:id="3" w:name="_GoBack"/>
            <w:bookmarkEnd w:id="0"/>
            <w:bookmarkEnd w:id="3"/>
            <w:r w:rsidRPr="00812B8E">
              <w:rPr>
                <w:b/>
                <w:position w:val="6"/>
                <w:sz w:val="30"/>
                <w:szCs w:val="30"/>
                <w:lang w:val="en-US"/>
              </w:rPr>
              <w:t>Council Working Group on</w:t>
            </w:r>
            <w:r w:rsidRPr="00812B8E">
              <w:rPr>
                <w:b/>
                <w:position w:val="6"/>
                <w:sz w:val="30"/>
                <w:szCs w:val="30"/>
                <w:lang w:val="en-US"/>
              </w:rPr>
              <w:br/>
              <w:t>Financial and Human Resources</w:t>
            </w:r>
            <w:r w:rsidRPr="00812B8E">
              <w:rPr>
                <w:b/>
                <w:position w:val="6"/>
                <w:sz w:val="26"/>
                <w:szCs w:val="26"/>
                <w:lang w:val="en-US"/>
              </w:rPr>
              <w:br/>
            </w:r>
            <w:r w:rsidRPr="00812B8E">
              <w:rPr>
                <w:rFonts w:cs="Times New Roman Bold"/>
                <w:b/>
              </w:rPr>
              <w:t>Ninth meeting - Geneva, 29-30 January 2019</w:t>
            </w:r>
          </w:p>
        </w:tc>
        <w:tc>
          <w:tcPr>
            <w:tcW w:w="3685" w:type="dxa"/>
            <w:hideMark/>
          </w:tcPr>
          <w:p w14:paraId="05B8B761"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Times New Roman" w:hAnsi="Times New Roman"/>
              </w:rPr>
            </w:pPr>
            <w:bookmarkStart w:id="4" w:name="ditulogo"/>
            <w:bookmarkEnd w:id="4"/>
            <w:r w:rsidRPr="00812B8E">
              <w:rPr>
                <w:rFonts w:ascii="Times New Roman" w:eastAsia="SimSun" w:hAnsi="Times New Roman" w:cs="Calibri"/>
                <w:noProof/>
                <w:szCs w:val="24"/>
                <w:lang w:val="en-US" w:eastAsia="zh-CN"/>
              </w:rPr>
              <w:drawing>
                <wp:inline distT="0" distB="0" distL="0" distR="0" wp14:anchorId="31A13AC1" wp14:editId="1157C466">
                  <wp:extent cx="1760220" cy="7454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220" cy="745490"/>
                          </a:xfrm>
                          <a:prstGeom prst="rect">
                            <a:avLst/>
                          </a:prstGeom>
                          <a:noFill/>
                          <a:ln>
                            <a:noFill/>
                          </a:ln>
                        </pic:spPr>
                      </pic:pic>
                    </a:graphicData>
                  </a:graphic>
                </wp:inline>
              </w:drawing>
            </w:r>
          </w:p>
        </w:tc>
      </w:tr>
      <w:tr w:rsidR="00812B8E" w:rsidRPr="00812B8E" w14:paraId="76B2F033" w14:textId="77777777" w:rsidTr="00812B8E">
        <w:trPr>
          <w:cantSplit/>
        </w:trPr>
        <w:tc>
          <w:tcPr>
            <w:tcW w:w="6629" w:type="dxa"/>
            <w:tcBorders>
              <w:top w:val="nil"/>
              <w:left w:val="nil"/>
              <w:bottom w:val="single" w:sz="12" w:space="0" w:color="auto"/>
              <w:right w:val="nil"/>
            </w:tcBorders>
          </w:tcPr>
          <w:p w14:paraId="62C4B3EC"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after="48" w:line="240" w:lineRule="atLeast"/>
              <w:textAlignment w:val="auto"/>
              <w:rPr>
                <w:b/>
                <w:smallCaps/>
                <w:szCs w:val="24"/>
              </w:rPr>
            </w:pPr>
          </w:p>
        </w:tc>
        <w:tc>
          <w:tcPr>
            <w:tcW w:w="3685" w:type="dxa"/>
            <w:tcBorders>
              <w:top w:val="nil"/>
              <w:left w:val="nil"/>
              <w:bottom w:val="single" w:sz="12" w:space="0" w:color="auto"/>
              <w:right w:val="nil"/>
            </w:tcBorders>
          </w:tcPr>
          <w:p w14:paraId="2F374731"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812B8E" w:rsidRPr="00812B8E" w14:paraId="44BC4925" w14:textId="77777777" w:rsidTr="00812B8E">
        <w:trPr>
          <w:cantSplit/>
        </w:trPr>
        <w:tc>
          <w:tcPr>
            <w:tcW w:w="6629" w:type="dxa"/>
            <w:tcBorders>
              <w:top w:val="single" w:sz="12" w:space="0" w:color="auto"/>
              <w:left w:val="nil"/>
              <w:bottom w:val="nil"/>
              <w:right w:val="nil"/>
            </w:tcBorders>
          </w:tcPr>
          <w:p w14:paraId="49B5C6B8"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after="48" w:line="240" w:lineRule="atLeast"/>
              <w:textAlignment w:val="auto"/>
              <w:rPr>
                <w:rFonts w:ascii="Times New Roman" w:hAnsi="Times New Roman"/>
                <w:b/>
                <w:smallCaps/>
                <w:szCs w:val="24"/>
              </w:rPr>
            </w:pPr>
          </w:p>
        </w:tc>
        <w:tc>
          <w:tcPr>
            <w:tcW w:w="3685" w:type="dxa"/>
            <w:tcBorders>
              <w:top w:val="single" w:sz="12" w:space="0" w:color="auto"/>
              <w:left w:val="nil"/>
              <w:bottom w:val="nil"/>
              <w:right w:val="nil"/>
            </w:tcBorders>
          </w:tcPr>
          <w:p w14:paraId="5D9553CA"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812B8E" w:rsidRPr="00812B8E" w14:paraId="52525A9F" w14:textId="77777777" w:rsidTr="00812B8E">
        <w:trPr>
          <w:cantSplit/>
          <w:trHeight w:val="23"/>
        </w:trPr>
        <w:tc>
          <w:tcPr>
            <w:tcW w:w="6629" w:type="dxa"/>
            <w:vMerge w:val="restart"/>
          </w:tcPr>
          <w:p w14:paraId="064EE557" w14:textId="77777777" w:rsidR="00812B8E" w:rsidRPr="00812B8E" w:rsidRDefault="00812B8E" w:rsidP="00812B8E">
            <w:pPr>
              <w:tabs>
                <w:tab w:val="clear" w:pos="567"/>
                <w:tab w:val="clear" w:pos="1134"/>
                <w:tab w:val="clear" w:pos="1701"/>
                <w:tab w:val="clear" w:pos="2268"/>
                <w:tab w:val="clear" w:pos="2835"/>
                <w:tab w:val="left" w:pos="794"/>
                <w:tab w:val="left" w:pos="851"/>
                <w:tab w:val="left" w:pos="1191"/>
                <w:tab w:val="left" w:pos="1588"/>
                <w:tab w:val="left" w:pos="1985"/>
              </w:tabs>
              <w:spacing w:line="240" w:lineRule="atLeast"/>
              <w:textAlignment w:val="auto"/>
              <w:rPr>
                <w:b/>
                <w:szCs w:val="24"/>
              </w:rPr>
            </w:pPr>
          </w:p>
        </w:tc>
        <w:tc>
          <w:tcPr>
            <w:tcW w:w="3685" w:type="dxa"/>
            <w:hideMark/>
          </w:tcPr>
          <w:p w14:paraId="1BC0E65E" w14:textId="5732F81E" w:rsidR="00812B8E" w:rsidRPr="00812B8E" w:rsidRDefault="00812B8E" w:rsidP="00A05BC8">
            <w:pPr>
              <w:tabs>
                <w:tab w:val="clear" w:pos="567"/>
                <w:tab w:val="clear" w:pos="1134"/>
                <w:tab w:val="clear" w:pos="1701"/>
                <w:tab w:val="clear" w:pos="2268"/>
                <w:tab w:val="clear" w:pos="2835"/>
                <w:tab w:val="left" w:pos="794"/>
                <w:tab w:val="left" w:pos="851"/>
                <w:tab w:val="left" w:pos="1191"/>
                <w:tab w:val="left" w:pos="1588"/>
                <w:tab w:val="left" w:pos="1985"/>
              </w:tabs>
              <w:spacing w:before="0" w:line="240" w:lineRule="atLeast"/>
              <w:textAlignment w:val="auto"/>
              <w:rPr>
                <w:b/>
                <w:szCs w:val="24"/>
                <w:lang w:val="en-US"/>
              </w:rPr>
            </w:pPr>
            <w:r w:rsidRPr="00812B8E">
              <w:rPr>
                <w:b/>
                <w:szCs w:val="24"/>
                <w:lang w:val="en-US"/>
              </w:rPr>
              <w:t>Document CWG-FHR 9/</w:t>
            </w:r>
            <w:r w:rsidR="00A05BC8">
              <w:rPr>
                <w:b/>
                <w:szCs w:val="24"/>
                <w:lang w:val="en-US"/>
              </w:rPr>
              <w:t>7</w:t>
            </w:r>
          </w:p>
        </w:tc>
      </w:tr>
      <w:tr w:rsidR="00812B8E" w:rsidRPr="00812B8E" w14:paraId="030A79D7" w14:textId="77777777" w:rsidTr="00812B8E">
        <w:trPr>
          <w:cantSplit/>
          <w:trHeight w:val="23"/>
        </w:trPr>
        <w:tc>
          <w:tcPr>
            <w:tcW w:w="6629" w:type="dxa"/>
            <w:vMerge/>
            <w:vAlign w:val="center"/>
            <w:hideMark/>
          </w:tcPr>
          <w:p w14:paraId="3C6B61A0" w14:textId="77777777" w:rsidR="00812B8E" w:rsidRPr="00812B8E" w:rsidRDefault="00812B8E" w:rsidP="00812B8E">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14:paraId="7E8D051F" w14:textId="214A57F8" w:rsidR="00812B8E" w:rsidRPr="00812B8E" w:rsidRDefault="00A05BC8" w:rsidP="00A05BC8">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szCs w:val="24"/>
              </w:rPr>
            </w:pPr>
            <w:r>
              <w:rPr>
                <w:b/>
                <w:szCs w:val="24"/>
              </w:rPr>
              <w:t>10</w:t>
            </w:r>
            <w:r w:rsidR="00812B8E" w:rsidRPr="00812B8E">
              <w:rPr>
                <w:b/>
                <w:szCs w:val="24"/>
              </w:rPr>
              <w:t xml:space="preserve"> </w:t>
            </w:r>
            <w:r w:rsidR="008B3910">
              <w:rPr>
                <w:b/>
                <w:szCs w:val="24"/>
              </w:rPr>
              <w:t xml:space="preserve">January </w:t>
            </w:r>
            <w:r w:rsidR="00812B8E" w:rsidRPr="00812B8E">
              <w:rPr>
                <w:b/>
                <w:szCs w:val="24"/>
              </w:rPr>
              <w:t>201</w:t>
            </w:r>
            <w:r w:rsidR="008B3910">
              <w:rPr>
                <w:b/>
                <w:szCs w:val="24"/>
              </w:rPr>
              <w:t>9</w:t>
            </w:r>
          </w:p>
        </w:tc>
      </w:tr>
      <w:tr w:rsidR="00812B8E" w:rsidRPr="00812B8E" w14:paraId="5E6DB40D" w14:textId="77777777" w:rsidTr="00812B8E">
        <w:trPr>
          <w:cantSplit/>
          <w:trHeight w:val="80"/>
        </w:trPr>
        <w:tc>
          <w:tcPr>
            <w:tcW w:w="6629" w:type="dxa"/>
            <w:vMerge/>
            <w:vAlign w:val="center"/>
            <w:hideMark/>
          </w:tcPr>
          <w:p w14:paraId="43F0DF15" w14:textId="77777777" w:rsidR="00812B8E" w:rsidRPr="00812B8E" w:rsidRDefault="00812B8E" w:rsidP="00812B8E">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14:paraId="0AAB0865" w14:textId="77777777" w:rsidR="00812B8E" w:rsidRPr="00812B8E" w:rsidRDefault="00812B8E" w:rsidP="00812B8E">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szCs w:val="24"/>
              </w:rPr>
            </w:pPr>
            <w:r w:rsidRPr="00812B8E">
              <w:rPr>
                <w:b/>
                <w:szCs w:val="24"/>
              </w:rPr>
              <w:t>English only</w:t>
            </w:r>
          </w:p>
        </w:tc>
      </w:tr>
    </w:tbl>
    <w:p w14:paraId="02A0D565" w14:textId="77777777" w:rsidR="00812B8E" w:rsidRPr="00812B8E" w:rsidRDefault="00812B8E">
      <w:pPr>
        <w:tabs>
          <w:tab w:val="clear" w:pos="567"/>
          <w:tab w:val="clear" w:pos="1134"/>
          <w:tab w:val="clear" w:pos="1701"/>
          <w:tab w:val="clear" w:pos="2268"/>
          <w:tab w:val="clear" w:pos="2835"/>
        </w:tabs>
        <w:overflowPunct/>
        <w:autoSpaceDE/>
        <w:autoSpaceDN/>
        <w:adjustRightInd/>
        <w:spacing w:before="0"/>
        <w:textAlignment w:val="auto"/>
        <w:rPr>
          <w:bCs/>
          <w:szCs w:val="24"/>
        </w:rPr>
      </w:pPr>
    </w:p>
    <w:p w14:paraId="13E53BC6" w14:textId="5EE94E71" w:rsidR="00812B8E" w:rsidRDefault="00812B8E">
      <w:pPr>
        <w:tabs>
          <w:tab w:val="clear" w:pos="567"/>
          <w:tab w:val="clear" w:pos="1134"/>
          <w:tab w:val="clear" w:pos="1701"/>
          <w:tab w:val="clear" w:pos="2268"/>
          <w:tab w:val="clear" w:pos="2835"/>
        </w:tabs>
        <w:overflowPunct/>
        <w:autoSpaceDE/>
        <w:autoSpaceDN/>
        <w:adjustRightInd/>
        <w:spacing w:before="0"/>
        <w:textAlignment w:val="auto"/>
        <w:rPr>
          <w:b/>
          <w:sz w:val="28"/>
          <w:szCs w:val="28"/>
        </w:rPr>
      </w:pPr>
    </w:p>
    <w:p w14:paraId="56F010A0" w14:textId="1D5D0067" w:rsidR="00FE50E4" w:rsidRPr="00FE50E4" w:rsidRDefault="00FE50E4" w:rsidP="00FE50E4">
      <w:pPr>
        <w:jc w:val="center"/>
        <w:rPr>
          <w:b/>
          <w:sz w:val="28"/>
          <w:szCs w:val="28"/>
        </w:rPr>
      </w:pPr>
      <w:r w:rsidRPr="00FE50E4">
        <w:rPr>
          <w:b/>
          <w:sz w:val="28"/>
          <w:szCs w:val="28"/>
        </w:rPr>
        <w:t>Contribution by the Secretariat</w:t>
      </w:r>
    </w:p>
    <w:p w14:paraId="537BF468" w14:textId="77777777" w:rsidR="00A128EC" w:rsidRPr="00473652" w:rsidRDefault="00A128EC" w:rsidP="00A128EC">
      <w:pPr>
        <w:jc w:val="center"/>
        <w:rPr>
          <w:rFonts w:cstheme="majorBidi"/>
          <w:caps/>
          <w:szCs w:val="24"/>
          <w:lang w:eastAsia="zh-CN"/>
        </w:rPr>
      </w:pPr>
      <w:r w:rsidRPr="00473652">
        <w:rPr>
          <w:rFonts w:cstheme="majorBidi"/>
          <w:caps/>
          <w:szCs w:val="24"/>
        </w:rPr>
        <w:t>Overview of the progress of the Request for Proposal for Auditing the Accounts of the International Telecommunication Union</w:t>
      </w:r>
    </w:p>
    <w:p w14:paraId="6E175085" w14:textId="77777777" w:rsidR="001A1D55" w:rsidRDefault="001A1D55" w:rsidP="008B3910">
      <w:pPr>
        <w:spacing w:before="240"/>
        <w:jc w:val="center"/>
        <w:rPr>
          <w:rFonts w:eastAsia="Calibri" w:cs="Calibri"/>
          <w:sz w:val="28"/>
          <w:szCs w:val="28"/>
        </w:rPr>
      </w:pPr>
    </w:p>
    <w:p w14:paraId="1DE6EBB0" w14:textId="224C9F0A" w:rsidR="008B3910" w:rsidRDefault="00ED115A" w:rsidP="00A05BC8">
      <w:pPr>
        <w:snapToGrid w:val="0"/>
        <w:spacing w:before="0"/>
      </w:pPr>
      <w:r>
        <w:t>1</w:t>
      </w:r>
      <w:r>
        <w:tab/>
      </w:r>
      <w:r w:rsidR="001A1D55">
        <w:t>At its April 2018 meeting, the Council appointed the individuals recommended by the six regional telecommunication organizations to serve as members of an Appraisal Committee (Document</w:t>
      </w:r>
      <w:r w:rsidR="00A05BC8">
        <w:t>s </w:t>
      </w:r>
      <w:r w:rsidR="001A1D55">
        <w:t>C18/67 and C18/121). With the support of the ITU Secretariat, the Appraisal Committee initiated its work on the tender process for identifying a Supreme Audit Institution (SAI) of an ITU Member State that best meets the criteria set out in a Request for Proposal (</w:t>
      </w:r>
      <w:proofErr w:type="spellStart"/>
      <w:r w:rsidR="001A1D55">
        <w:t>RfP</w:t>
      </w:r>
      <w:proofErr w:type="spellEnd"/>
      <w:r w:rsidR="001A1D55">
        <w:t>) for auditing the accounts of the Union.</w:t>
      </w:r>
    </w:p>
    <w:p w14:paraId="3455B67C" w14:textId="77777777" w:rsidR="001A1D55" w:rsidRDefault="001A1D55" w:rsidP="00A05BC8">
      <w:pPr>
        <w:snapToGrid w:val="0"/>
        <w:spacing w:before="0"/>
      </w:pPr>
    </w:p>
    <w:p w14:paraId="43AA7C82" w14:textId="2E5F7EED" w:rsidR="00BE23EA" w:rsidRDefault="00ED115A" w:rsidP="00A05BC8">
      <w:pPr>
        <w:tabs>
          <w:tab w:val="clear" w:pos="567"/>
          <w:tab w:val="clear" w:pos="1134"/>
          <w:tab w:val="clear" w:pos="1701"/>
          <w:tab w:val="clear" w:pos="2268"/>
          <w:tab w:val="clear" w:pos="2835"/>
        </w:tabs>
        <w:overflowPunct/>
        <w:autoSpaceDE/>
        <w:autoSpaceDN/>
        <w:adjustRightInd/>
        <w:spacing w:before="0"/>
        <w:textAlignment w:val="auto"/>
      </w:pPr>
      <w:r>
        <w:t>2</w:t>
      </w:r>
      <w:r>
        <w:tab/>
      </w:r>
      <w:r w:rsidR="001A1D55" w:rsidRPr="001A1D55">
        <w:t>The ITU Secretariat prepared</w:t>
      </w:r>
      <w:r w:rsidR="00BE23EA">
        <w:t xml:space="preserve"> a first draft of</w:t>
      </w:r>
      <w:r w:rsidR="001A1D55" w:rsidRPr="001A1D55">
        <w:t xml:space="preserve"> the RFP and consulted with the </w:t>
      </w:r>
      <w:r w:rsidR="00BE23EA">
        <w:t>Appraisal Committee</w:t>
      </w:r>
      <w:r w:rsidR="00BE23EA" w:rsidRPr="001A1D55">
        <w:t xml:space="preserve"> </w:t>
      </w:r>
      <w:r w:rsidR="00BE23EA">
        <w:t xml:space="preserve">and IMAC </w:t>
      </w:r>
      <w:r w:rsidR="001A1D55" w:rsidRPr="001A1D55">
        <w:t xml:space="preserve">to obtain feedback on various elements included in that RFP. </w:t>
      </w:r>
      <w:r w:rsidR="00BE23EA" w:rsidRPr="001A1D55">
        <w:t>Comments received were taken into consideration and the RFP was amended accordingly</w:t>
      </w:r>
      <w:r w:rsidR="00A128EC">
        <w:t>.</w:t>
      </w:r>
    </w:p>
    <w:p w14:paraId="45C50FFC" w14:textId="77777777" w:rsidR="00BE23EA" w:rsidRDefault="00BE23EA" w:rsidP="00A05BC8">
      <w:pPr>
        <w:tabs>
          <w:tab w:val="clear" w:pos="567"/>
          <w:tab w:val="clear" w:pos="1134"/>
          <w:tab w:val="clear" w:pos="1701"/>
          <w:tab w:val="clear" w:pos="2268"/>
          <w:tab w:val="clear" w:pos="2835"/>
        </w:tabs>
        <w:overflowPunct/>
        <w:autoSpaceDE/>
        <w:autoSpaceDN/>
        <w:adjustRightInd/>
        <w:spacing w:before="0"/>
        <w:textAlignment w:val="auto"/>
      </w:pPr>
    </w:p>
    <w:p w14:paraId="1E14F7F1" w14:textId="147980E6" w:rsidR="001A1D55" w:rsidRDefault="00ED115A" w:rsidP="00A05BC8">
      <w:pPr>
        <w:tabs>
          <w:tab w:val="clear" w:pos="567"/>
          <w:tab w:val="clear" w:pos="1134"/>
          <w:tab w:val="clear" w:pos="1701"/>
          <w:tab w:val="clear" w:pos="2268"/>
          <w:tab w:val="clear" w:pos="2835"/>
        </w:tabs>
        <w:overflowPunct/>
        <w:autoSpaceDE/>
        <w:autoSpaceDN/>
        <w:adjustRightInd/>
        <w:spacing w:before="0"/>
        <w:textAlignment w:val="auto"/>
      </w:pPr>
      <w:r>
        <w:t>3</w:t>
      </w:r>
      <w:r>
        <w:tab/>
      </w:r>
      <w:r w:rsidR="00804C3A">
        <w:t>O</w:t>
      </w:r>
      <w:r w:rsidR="00804C3A" w:rsidRPr="001A1D55">
        <w:t xml:space="preserve">n </w:t>
      </w:r>
      <w:r w:rsidR="00804C3A">
        <w:t>12 December 2018</w:t>
      </w:r>
      <w:r w:rsidR="00A05BC8">
        <w:t xml:space="preserve">, </w:t>
      </w:r>
      <w:r w:rsidR="00804C3A">
        <w:t>t</w:t>
      </w:r>
      <w:r w:rsidR="001A1D55" w:rsidRPr="001A1D55">
        <w:t xml:space="preserve">he </w:t>
      </w:r>
      <w:r w:rsidR="00BE23EA">
        <w:t>Secretary-General</w:t>
      </w:r>
      <w:r w:rsidR="001A1D55" w:rsidRPr="001A1D55">
        <w:t xml:space="preserve"> </w:t>
      </w:r>
      <w:r w:rsidR="00BE23EA">
        <w:t xml:space="preserve">invited Member States of the ITU to inform their respective SAIs that the </w:t>
      </w:r>
      <w:proofErr w:type="spellStart"/>
      <w:r w:rsidR="00BE23EA">
        <w:t>RfP</w:t>
      </w:r>
      <w:proofErr w:type="spellEnd"/>
      <w:r w:rsidR="00BE23EA">
        <w:t xml:space="preserve"> has been published under the General Documentation heading of the ITU Council web page (</w:t>
      </w:r>
      <w:hyperlink r:id="rId11" w:history="1">
        <w:r w:rsidR="00C24401" w:rsidRPr="00B14177">
          <w:rPr>
            <w:rStyle w:val="Hyperlink"/>
          </w:rPr>
          <w:t>https://www.itu.int/en/council/Pages/documents.aspx</w:t>
        </w:r>
      </w:hyperlink>
      <w:r w:rsidR="00BE23EA">
        <w:t>)</w:t>
      </w:r>
      <w:r w:rsidR="00C24401">
        <w:t xml:space="preserve">. </w:t>
      </w:r>
    </w:p>
    <w:p w14:paraId="11F437DD" w14:textId="77777777" w:rsidR="00C24401" w:rsidRDefault="00C24401" w:rsidP="00A05BC8">
      <w:pPr>
        <w:tabs>
          <w:tab w:val="clear" w:pos="567"/>
          <w:tab w:val="clear" w:pos="1134"/>
          <w:tab w:val="clear" w:pos="1701"/>
          <w:tab w:val="clear" w:pos="2268"/>
          <w:tab w:val="clear" w:pos="2835"/>
        </w:tabs>
        <w:overflowPunct/>
        <w:autoSpaceDE/>
        <w:autoSpaceDN/>
        <w:adjustRightInd/>
        <w:spacing w:before="0"/>
        <w:textAlignment w:val="auto"/>
      </w:pPr>
    </w:p>
    <w:p w14:paraId="610FD381" w14:textId="4197EDAA" w:rsidR="00C24401" w:rsidRPr="001A1D55" w:rsidRDefault="00ED115A" w:rsidP="00F900FD">
      <w:pPr>
        <w:tabs>
          <w:tab w:val="clear" w:pos="567"/>
          <w:tab w:val="clear" w:pos="1134"/>
          <w:tab w:val="clear" w:pos="1701"/>
          <w:tab w:val="clear" w:pos="2268"/>
          <w:tab w:val="clear" w:pos="2835"/>
        </w:tabs>
        <w:overflowPunct/>
        <w:autoSpaceDE/>
        <w:autoSpaceDN/>
        <w:adjustRightInd/>
        <w:spacing w:before="0"/>
        <w:textAlignment w:val="auto"/>
      </w:pPr>
      <w:r>
        <w:t>4</w:t>
      </w:r>
      <w:r>
        <w:tab/>
      </w:r>
      <w:r w:rsidR="00C24401" w:rsidRPr="00F900FD">
        <w:t>Detailed instructions and specific timelines have been outline</w:t>
      </w:r>
      <w:r w:rsidR="00C24401">
        <w:t xml:space="preserve">d in the </w:t>
      </w:r>
      <w:proofErr w:type="spellStart"/>
      <w:r w:rsidR="00C24401">
        <w:t>RfP</w:t>
      </w:r>
      <w:proofErr w:type="spellEnd"/>
      <w:r w:rsidR="00C24401">
        <w:t>, including an opportunity for the interested parties to request complementary information, through the ITU’s Procurement Division, by 15 February 2019. Final deadline for submission of proposals is fixed on 15 March 2019.</w:t>
      </w:r>
    </w:p>
    <w:p w14:paraId="574692E1" w14:textId="77777777" w:rsidR="001A1D55" w:rsidRPr="001A1D55" w:rsidRDefault="001A1D55" w:rsidP="00A05BC8">
      <w:pPr>
        <w:snapToGrid w:val="0"/>
        <w:spacing w:before="0"/>
      </w:pPr>
    </w:p>
    <w:p w14:paraId="1DC0310B" w14:textId="77777777" w:rsidR="008B3910" w:rsidRDefault="008B3910" w:rsidP="00A05BC8">
      <w:pPr>
        <w:snapToGrid w:val="0"/>
        <w:spacing w:before="0"/>
        <w:rPr>
          <w:rFonts w:eastAsia="Calibri" w:cs="Calibri"/>
          <w:szCs w:val="24"/>
        </w:rPr>
      </w:pPr>
    </w:p>
    <w:tbl>
      <w:tblPr>
        <w:tblW w:w="8929" w:type="dxa"/>
        <w:tblInd w:w="432" w:type="dxa"/>
        <w:tblLayout w:type="fixed"/>
        <w:tblCellMar>
          <w:left w:w="0" w:type="dxa"/>
          <w:right w:w="0" w:type="dxa"/>
        </w:tblCellMar>
        <w:tblLook w:val="04A0" w:firstRow="1" w:lastRow="0" w:firstColumn="1" w:lastColumn="0" w:noHBand="0" w:noVBand="1"/>
      </w:tblPr>
      <w:tblGrid>
        <w:gridCol w:w="6944"/>
        <w:gridCol w:w="1985"/>
      </w:tblGrid>
      <w:tr w:rsidR="00BE23EA" w14:paraId="1E8A10FA" w14:textId="77777777" w:rsidTr="00A128EC">
        <w:trPr>
          <w:cantSplit/>
        </w:trPr>
        <w:tc>
          <w:tcPr>
            <w:tcW w:w="6944" w:type="dxa"/>
            <w:tcBorders>
              <w:top w:val="single" w:sz="4" w:space="0" w:color="000000"/>
              <w:left w:val="single" w:sz="4" w:space="0" w:color="000000"/>
              <w:bottom w:val="single" w:sz="4" w:space="0" w:color="000000"/>
              <w:right w:val="single" w:sz="4" w:space="0" w:color="000000"/>
            </w:tcBorders>
            <w:hideMark/>
          </w:tcPr>
          <w:p w14:paraId="72ABB313" w14:textId="77777777" w:rsidR="00BE23EA" w:rsidRDefault="00BE23EA">
            <w:pPr>
              <w:spacing w:line="276" w:lineRule="auto"/>
              <w:rPr>
                <w:rFonts w:asciiTheme="minorHAnsi" w:hAnsiTheme="minorHAnsi" w:cstheme="majorBidi"/>
                <w:b/>
                <w:bCs/>
                <w:color w:val="000000"/>
                <w:lang w:eastAsia="zh-CN"/>
              </w:rPr>
            </w:pPr>
            <w:r>
              <w:rPr>
                <w:rFonts w:asciiTheme="minorHAnsi" w:hAnsiTheme="minorHAnsi" w:cstheme="majorBidi"/>
                <w:b/>
                <w:bCs/>
                <w:color w:val="000000"/>
                <w:sz w:val="22"/>
                <w:szCs w:val="22"/>
              </w:rPr>
              <w:t>Action</w:t>
            </w:r>
          </w:p>
        </w:tc>
        <w:tc>
          <w:tcPr>
            <w:tcW w:w="1985" w:type="dxa"/>
            <w:tcBorders>
              <w:top w:val="single" w:sz="4" w:space="0" w:color="000000"/>
              <w:left w:val="single" w:sz="4" w:space="0" w:color="000000"/>
              <w:bottom w:val="single" w:sz="4" w:space="0" w:color="000000"/>
              <w:right w:val="single" w:sz="4" w:space="0" w:color="000000"/>
            </w:tcBorders>
            <w:hideMark/>
          </w:tcPr>
          <w:p w14:paraId="4001C25C" w14:textId="77777777" w:rsidR="00BE23EA" w:rsidRDefault="00BE23EA">
            <w:pPr>
              <w:spacing w:line="276" w:lineRule="auto"/>
              <w:rPr>
                <w:rFonts w:asciiTheme="minorHAnsi" w:hAnsiTheme="minorHAnsi" w:cstheme="majorBidi"/>
                <w:b/>
                <w:bCs/>
                <w:color w:val="000000"/>
              </w:rPr>
            </w:pPr>
            <w:r>
              <w:rPr>
                <w:rFonts w:asciiTheme="minorHAnsi" w:hAnsiTheme="minorHAnsi" w:cstheme="majorBidi"/>
                <w:b/>
                <w:bCs/>
                <w:color w:val="000000"/>
                <w:sz w:val="22"/>
                <w:szCs w:val="22"/>
              </w:rPr>
              <w:t>Milestone date</w:t>
            </w:r>
          </w:p>
        </w:tc>
      </w:tr>
      <w:tr w:rsidR="00BE23EA" w14:paraId="283C7861" w14:textId="77777777" w:rsidTr="00A128EC">
        <w:trPr>
          <w:cantSplit/>
        </w:trPr>
        <w:tc>
          <w:tcPr>
            <w:tcW w:w="6944" w:type="dxa"/>
            <w:tcBorders>
              <w:top w:val="single" w:sz="4" w:space="0" w:color="000000"/>
              <w:left w:val="single" w:sz="4" w:space="0" w:color="000000"/>
              <w:bottom w:val="single" w:sz="4" w:space="0" w:color="000000"/>
              <w:right w:val="single" w:sz="4" w:space="0" w:color="000000"/>
            </w:tcBorders>
            <w:hideMark/>
          </w:tcPr>
          <w:p w14:paraId="5F28E5B4" w14:textId="2FCB4DB6" w:rsidR="00BE23EA" w:rsidRDefault="00BE23EA" w:rsidP="00A128EC">
            <w:pPr>
              <w:spacing w:line="276" w:lineRule="auto"/>
              <w:rPr>
                <w:rFonts w:asciiTheme="minorHAnsi" w:hAnsiTheme="minorHAnsi" w:cstheme="majorBidi"/>
                <w:color w:val="000000"/>
              </w:rPr>
            </w:pPr>
            <w:r>
              <w:rPr>
                <w:rFonts w:asciiTheme="minorHAnsi" w:hAnsiTheme="minorHAnsi" w:cstheme="majorBidi"/>
                <w:color w:val="000000"/>
                <w:sz w:val="22"/>
                <w:szCs w:val="22"/>
              </w:rPr>
              <w:t xml:space="preserve">Closure of RFP </w:t>
            </w:r>
          </w:p>
        </w:tc>
        <w:tc>
          <w:tcPr>
            <w:tcW w:w="1985" w:type="dxa"/>
            <w:tcBorders>
              <w:top w:val="single" w:sz="4" w:space="0" w:color="000000"/>
              <w:left w:val="single" w:sz="4" w:space="0" w:color="000000"/>
              <w:bottom w:val="single" w:sz="4" w:space="0" w:color="000000"/>
              <w:right w:val="single" w:sz="4" w:space="0" w:color="000000"/>
            </w:tcBorders>
            <w:hideMark/>
          </w:tcPr>
          <w:p w14:paraId="3F011982" w14:textId="44654E64" w:rsidR="00BE23EA" w:rsidRDefault="00A128EC">
            <w:pPr>
              <w:spacing w:line="276" w:lineRule="auto"/>
              <w:rPr>
                <w:rFonts w:asciiTheme="minorHAnsi" w:hAnsiTheme="minorHAnsi" w:cstheme="majorBidi"/>
                <w:color w:val="000000"/>
              </w:rPr>
            </w:pPr>
            <w:r>
              <w:rPr>
                <w:rFonts w:asciiTheme="minorHAnsi" w:hAnsiTheme="minorHAnsi" w:cstheme="majorBidi"/>
                <w:color w:val="000000"/>
                <w:sz w:val="22"/>
                <w:szCs w:val="22"/>
              </w:rPr>
              <w:t>15 March 2019</w:t>
            </w:r>
          </w:p>
        </w:tc>
      </w:tr>
      <w:tr w:rsidR="00BE23EA" w14:paraId="60797881" w14:textId="77777777" w:rsidTr="00A128EC">
        <w:trPr>
          <w:cantSplit/>
        </w:trPr>
        <w:tc>
          <w:tcPr>
            <w:tcW w:w="6944" w:type="dxa"/>
            <w:tcBorders>
              <w:top w:val="single" w:sz="4" w:space="0" w:color="000000"/>
              <w:left w:val="single" w:sz="4" w:space="0" w:color="000000"/>
              <w:bottom w:val="single" w:sz="4" w:space="0" w:color="000000"/>
              <w:right w:val="single" w:sz="4" w:space="0" w:color="000000"/>
            </w:tcBorders>
            <w:hideMark/>
          </w:tcPr>
          <w:p w14:paraId="0F21DDD5" w14:textId="03A8ABDC" w:rsidR="00BE23EA" w:rsidRDefault="00BE23EA" w:rsidP="00A128EC">
            <w:pPr>
              <w:spacing w:line="276" w:lineRule="auto"/>
              <w:rPr>
                <w:rFonts w:asciiTheme="minorHAnsi" w:hAnsiTheme="minorHAnsi" w:cstheme="majorBidi"/>
                <w:color w:val="000000"/>
              </w:rPr>
            </w:pPr>
            <w:r>
              <w:rPr>
                <w:rFonts w:asciiTheme="minorHAnsi" w:hAnsiTheme="minorHAnsi" w:cstheme="majorBidi"/>
                <w:color w:val="000000"/>
                <w:sz w:val="22"/>
                <w:szCs w:val="22"/>
              </w:rPr>
              <w:t xml:space="preserve">Finalization </w:t>
            </w:r>
            <w:r w:rsidR="00A128EC">
              <w:rPr>
                <w:rFonts w:asciiTheme="minorHAnsi" w:hAnsiTheme="minorHAnsi" w:cstheme="majorBidi"/>
                <w:color w:val="000000"/>
                <w:sz w:val="22"/>
                <w:szCs w:val="22"/>
              </w:rPr>
              <w:t>Tec</w:t>
            </w:r>
            <w:r w:rsidR="00804C3A">
              <w:rPr>
                <w:rFonts w:asciiTheme="minorHAnsi" w:hAnsiTheme="minorHAnsi" w:cstheme="majorBidi"/>
                <w:color w:val="000000"/>
                <w:sz w:val="22"/>
                <w:szCs w:val="22"/>
              </w:rPr>
              <w:t>hnical and Financial evaluation</w:t>
            </w:r>
          </w:p>
        </w:tc>
        <w:tc>
          <w:tcPr>
            <w:tcW w:w="1985" w:type="dxa"/>
            <w:tcBorders>
              <w:top w:val="single" w:sz="4" w:space="0" w:color="000000"/>
              <w:left w:val="single" w:sz="4" w:space="0" w:color="000000"/>
              <w:bottom w:val="single" w:sz="4" w:space="0" w:color="000000"/>
              <w:right w:val="single" w:sz="4" w:space="0" w:color="000000"/>
            </w:tcBorders>
            <w:hideMark/>
          </w:tcPr>
          <w:p w14:paraId="2147F472" w14:textId="39B33662" w:rsidR="00BE23EA" w:rsidRDefault="00804C3A" w:rsidP="00A128EC">
            <w:pPr>
              <w:spacing w:line="276" w:lineRule="auto"/>
              <w:rPr>
                <w:rFonts w:asciiTheme="minorHAnsi" w:hAnsiTheme="minorHAnsi" w:cstheme="majorBidi"/>
                <w:color w:val="000000"/>
              </w:rPr>
            </w:pPr>
            <w:r>
              <w:rPr>
                <w:rFonts w:asciiTheme="minorHAnsi" w:hAnsiTheme="minorHAnsi" w:cstheme="majorBidi"/>
                <w:color w:val="000000"/>
                <w:sz w:val="22"/>
                <w:szCs w:val="22"/>
              </w:rPr>
              <w:t>1 May</w:t>
            </w:r>
            <w:r w:rsidR="00A128EC">
              <w:rPr>
                <w:rFonts w:asciiTheme="minorHAnsi" w:hAnsiTheme="minorHAnsi" w:cstheme="majorBidi"/>
                <w:color w:val="000000"/>
                <w:sz w:val="22"/>
                <w:szCs w:val="22"/>
              </w:rPr>
              <w:t xml:space="preserve"> 2019</w:t>
            </w:r>
          </w:p>
        </w:tc>
      </w:tr>
      <w:tr w:rsidR="00BE23EA" w14:paraId="082C4275" w14:textId="77777777" w:rsidTr="00A128EC">
        <w:trPr>
          <w:cantSplit/>
        </w:trPr>
        <w:tc>
          <w:tcPr>
            <w:tcW w:w="6944" w:type="dxa"/>
            <w:tcBorders>
              <w:top w:val="single" w:sz="4" w:space="0" w:color="000000"/>
              <w:left w:val="single" w:sz="4" w:space="0" w:color="000000"/>
              <w:bottom w:val="single" w:sz="4" w:space="0" w:color="000000"/>
              <w:right w:val="single" w:sz="4" w:space="0" w:color="000000"/>
            </w:tcBorders>
            <w:hideMark/>
          </w:tcPr>
          <w:p w14:paraId="30285709" w14:textId="717603F0" w:rsidR="00BE23EA" w:rsidRDefault="00A128EC" w:rsidP="00A128EC">
            <w:pPr>
              <w:spacing w:line="276" w:lineRule="auto"/>
              <w:rPr>
                <w:rFonts w:asciiTheme="minorHAnsi" w:hAnsiTheme="minorHAnsi" w:cstheme="majorBidi"/>
                <w:color w:val="000000"/>
              </w:rPr>
            </w:pPr>
            <w:r>
              <w:rPr>
                <w:rFonts w:asciiTheme="minorHAnsi" w:hAnsiTheme="minorHAnsi" w:cstheme="majorBidi"/>
                <w:color w:val="000000"/>
                <w:sz w:val="22"/>
                <w:szCs w:val="22"/>
              </w:rPr>
              <w:t xml:space="preserve">Evaluation </w:t>
            </w:r>
            <w:r w:rsidR="00BE23EA">
              <w:rPr>
                <w:rFonts w:asciiTheme="minorHAnsi" w:hAnsiTheme="minorHAnsi" w:cstheme="majorBidi"/>
                <w:color w:val="000000"/>
                <w:sz w:val="22"/>
                <w:szCs w:val="22"/>
              </w:rPr>
              <w:t xml:space="preserve">Report to ITU Council with recommendation of Bidder for appointment </w:t>
            </w:r>
            <w:r w:rsidR="00804C3A">
              <w:rPr>
                <w:rFonts w:asciiTheme="minorHAnsi" w:hAnsiTheme="minorHAnsi" w:cstheme="majorBidi"/>
                <w:color w:val="000000"/>
                <w:sz w:val="22"/>
                <w:szCs w:val="22"/>
              </w:rPr>
              <w:t xml:space="preserve">by Council </w:t>
            </w:r>
            <w:r w:rsidR="00BE23EA">
              <w:rPr>
                <w:rFonts w:asciiTheme="minorHAnsi" w:hAnsiTheme="minorHAnsi" w:cstheme="majorBidi"/>
                <w:color w:val="000000"/>
                <w:sz w:val="22"/>
                <w:szCs w:val="22"/>
              </w:rPr>
              <w:t xml:space="preserve">as ITU External </w:t>
            </w:r>
            <w:r w:rsidR="00804C3A">
              <w:rPr>
                <w:rFonts w:asciiTheme="minorHAnsi" w:hAnsiTheme="minorHAnsi" w:cstheme="majorBidi"/>
                <w:color w:val="000000"/>
                <w:sz w:val="22"/>
                <w:szCs w:val="22"/>
              </w:rPr>
              <w:t>Auditor for ITU accounts 2020-2023</w:t>
            </w:r>
          </w:p>
        </w:tc>
        <w:tc>
          <w:tcPr>
            <w:tcW w:w="1985" w:type="dxa"/>
            <w:tcBorders>
              <w:top w:val="single" w:sz="4" w:space="0" w:color="000000"/>
              <w:left w:val="single" w:sz="4" w:space="0" w:color="000000"/>
              <w:bottom w:val="single" w:sz="4" w:space="0" w:color="000000"/>
              <w:right w:val="single" w:sz="4" w:space="0" w:color="000000"/>
            </w:tcBorders>
            <w:hideMark/>
          </w:tcPr>
          <w:p w14:paraId="169FB695" w14:textId="06E650CF" w:rsidR="00BE23EA" w:rsidRDefault="00804C3A">
            <w:pPr>
              <w:spacing w:line="276" w:lineRule="auto"/>
              <w:rPr>
                <w:rFonts w:asciiTheme="minorHAnsi" w:hAnsiTheme="minorHAnsi" w:cstheme="majorBidi"/>
                <w:color w:val="000000"/>
              </w:rPr>
            </w:pPr>
            <w:r>
              <w:rPr>
                <w:rFonts w:asciiTheme="minorHAnsi" w:hAnsiTheme="minorHAnsi" w:cstheme="majorBidi"/>
                <w:color w:val="000000"/>
                <w:sz w:val="22"/>
                <w:szCs w:val="22"/>
              </w:rPr>
              <w:t>10 May 2019</w:t>
            </w:r>
          </w:p>
        </w:tc>
      </w:tr>
    </w:tbl>
    <w:p w14:paraId="71263F0C" w14:textId="25D070C1" w:rsidR="008B3910" w:rsidRDefault="008B3910" w:rsidP="008B3910">
      <w:pPr>
        <w:snapToGrid w:val="0"/>
        <w:spacing w:before="0"/>
        <w:rPr>
          <w:rFonts w:eastAsia="Calibri" w:cs="Calibri"/>
          <w:szCs w:val="24"/>
        </w:rPr>
      </w:pPr>
    </w:p>
    <w:p w14:paraId="48825E33" w14:textId="77777777" w:rsidR="00D1160D" w:rsidRPr="008B3910" w:rsidRDefault="00D1160D" w:rsidP="008B3910">
      <w:pPr>
        <w:snapToGrid w:val="0"/>
        <w:spacing w:before="0"/>
        <w:rPr>
          <w:rFonts w:eastAsia="Calibri" w:cs="Calibri"/>
          <w:szCs w:val="24"/>
        </w:rPr>
      </w:pPr>
    </w:p>
    <w:p w14:paraId="5E56B20A" w14:textId="1916B641" w:rsidR="008B3910" w:rsidRDefault="00D1160D" w:rsidP="008B3910">
      <w:pPr>
        <w:snapToGrid w:val="0"/>
        <w:spacing w:before="0"/>
        <w:rPr>
          <w:b/>
          <w:szCs w:val="24"/>
        </w:rPr>
      </w:pPr>
      <w:r w:rsidRPr="00D1160D">
        <w:rPr>
          <w:b/>
          <w:szCs w:val="24"/>
        </w:rPr>
        <w:object w:dxaOrig="8925" w:dyaOrig="12631" w14:anchorId="1E395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12" o:title=""/>
          </v:shape>
          <o:OLEObject Type="Embed" ProgID="AcroExch.Document.7" ShapeID="_x0000_i1025" DrawAspect="Content" ObjectID="_1608722671" r:id="rId13"/>
        </w:object>
      </w:r>
    </w:p>
    <w:p w14:paraId="009C5C1C" w14:textId="4A972487" w:rsidR="00A05BC8" w:rsidRPr="00A05BC8" w:rsidRDefault="00A05BC8" w:rsidP="00A05BC8">
      <w:pPr>
        <w:snapToGrid w:val="0"/>
        <w:spacing w:before="0"/>
        <w:jc w:val="center"/>
        <w:rPr>
          <w:bCs/>
          <w:szCs w:val="24"/>
        </w:rPr>
      </w:pPr>
      <w:r w:rsidRPr="00A05BC8">
        <w:rPr>
          <w:bCs/>
          <w:szCs w:val="24"/>
        </w:rPr>
        <w:t>____________</w:t>
      </w:r>
    </w:p>
    <w:bookmarkEnd w:id="1"/>
    <w:bookmarkEnd w:id="2"/>
    <w:sectPr w:rsidR="00A05BC8" w:rsidRPr="00A05BC8">
      <w:headerReference w:type="default" r:id="rId14"/>
      <w:footerReference w:type="default" r:id="rId15"/>
      <w:footerReference w:type="first" r:id="rId16"/>
      <w:type w:val="continuous"/>
      <w:pgSz w:w="11907" w:h="16839" w:code="9"/>
      <w:pgMar w:top="1418" w:right="1134" w:bottom="1134" w:left="1418"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46728" w14:textId="77777777" w:rsidR="00BA7C11" w:rsidRDefault="00BA7C11">
      <w:r>
        <w:separator/>
      </w:r>
    </w:p>
  </w:endnote>
  <w:endnote w:type="continuationSeparator" w:id="0">
    <w:p w14:paraId="6E0EE4AA" w14:textId="77777777" w:rsidR="00BA7C11" w:rsidRDefault="00BA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DB92B" w14:textId="77777777"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E04A" w14:textId="77777777" w:rsidR="00A516BB" w:rsidRPr="00812B8E" w:rsidRDefault="00A516BB" w:rsidP="00AB2D04">
    <w:pPr>
      <w:pStyle w:val="firstfooter0"/>
      <w:spacing w:before="0" w:beforeAutospacing="0" w:after="0" w:afterAutospacing="0"/>
      <w:jc w:val="center"/>
      <w:rPr>
        <w:sz w:val="16"/>
        <w:szCs w:val="16"/>
        <w:lang w:val="en-GB"/>
      </w:rPr>
    </w:pPr>
  </w:p>
  <w:p w14:paraId="327B3DFE" w14:textId="77777777"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2EE78" w14:textId="77777777" w:rsidR="00BA7C11" w:rsidRDefault="00BA7C11">
      <w:r>
        <w:t>____________________</w:t>
      </w:r>
    </w:p>
  </w:footnote>
  <w:footnote w:type="continuationSeparator" w:id="0">
    <w:p w14:paraId="437D6877" w14:textId="77777777" w:rsidR="00BA7C11" w:rsidRDefault="00BA7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9751A" w14:textId="07642037" w:rsidR="000507C1" w:rsidRDefault="00FE50E4" w:rsidP="00CE1B90">
    <w:pPr>
      <w:pStyle w:val="Header"/>
    </w:pPr>
    <w:r>
      <w:t>- </w:t>
    </w:r>
    <w:r w:rsidR="000507C1">
      <w:fldChar w:fldCharType="begin"/>
    </w:r>
    <w:r w:rsidR="000507C1">
      <w:instrText xml:space="preserve"> PAGE   \* MERGEFORMAT </w:instrText>
    </w:r>
    <w:r w:rsidR="000507C1">
      <w:fldChar w:fldCharType="separate"/>
    </w:r>
    <w:r w:rsidR="00A9425F">
      <w:rPr>
        <w:noProof/>
      </w:rPr>
      <w:t>2</w:t>
    </w:r>
    <w:r w:rsidR="000507C1">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8D686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2E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ACF8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CCFC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BA85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E4B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BA45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9EC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0A5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2EBB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6E18AE"/>
    <w:multiLevelType w:val="multilevel"/>
    <w:tmpl w:val="0E74E88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5482BD6"/>
    <w:multiLevelType w:val="hybridMultilevel"/>
    <w:tmpl w:val="E10E7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A53F6"/>
    <w:multiLevelType w:val="hybridMultilevel"/>
    <w:tmpl w:val="BD666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3538B"/>
    <w:multiLevelType w:val="hybridMultilevel"/>
    <w:tmpl w:val="6430D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91725"/>
    <w:multiLevelType w:val="multilevel"/>
    <w:tmpl w:val="2B68A99A"/>
    <w:lvl w:ilvl="0">
      <w:start w:val="1"/>
      <w:numFmt w:val="decimal"/>
      <w:lvlText w:val="%1."/>
      <w:lvlJc w:val="left"/>
      <w:pPr>
        <w:ind w:left="1065" w:hanging="705"/>
      </w:pPr>
      <w:rPr>
        <w:rFonts w:hint="default"/>
        <w:b w:val="0"/>
      </w:rPr>
    </w:lvl>
    <w:lvl w:ilvl="1">
      <w:start w:val="2"/>
      <w:numFmt w:val="decimal"/>
      <w:isLgl/>
      <w:lvlText w:val="%1.%2"/>
      <w:lvlJc w:val="left"/>
      <w:pPr>
        <w:ind w:left="1080" w:hanging="720"/>
      </w:pPr>
      <w:rPr>
        <w:rFonts w:eastAsia="SimSun" w:hint="default"/>
      </w:rPr>
    </w:lvl>
    <w:lvl w:ilvl="2">
      <w:start w:val="3"/>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15" w15:restartNumberingAfterBreak="0">
    <w:nsid w:val="5AC8748B"/>
    <w:multiLevelType w:val="hybridMultilevel"/>
    <w:tmpl w:val="2F02DA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9678BE"/>
    <w:multiLevelType w:val="hybridMultilevel"/>
    <w:tmpl w:val="4CA612CA"/>
    <w:lvl w:ilvl="0" w:tplc="8DEC2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810713"/>
    <w:multiLevelType w:val="hybridMultilevel"/>
    <w:tmpl w:val="782CCFE4"/>
    <w:lvl w:ilvl="0" w:tplc="943ADF2E">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2F286C"/>
    <w:multiLevelType w:val="hybridMultilevel"/>
    <w:tmpl w:val="CDB2B9AE"/>
    <w:lvl w:ilvl="0" w:tplc="192884E2">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3"/>
  </w:num>
  <w:num w:numId="16">
    <w:abstractNumId w:val="17"/>
  </w:num>
  <w:num w:numId="17">
    <w:abstractNumId w:val="10"/>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44B0A"/>
    <w:rsid w:val="000507C1"/>
    <w:rsid w:val="00053B97"/>
    <w:rsid w:val="00082EB9"/>
    <w:rsid w:val="00084F5D"/>
    <w:rsid w:val="0008540E"/>
    <w:rsid w:val="00094B4F"/>
    <w:rsid w:val="000A1015"/>
    <w:rsid w:val="000B03F9"/>
    <w:rsid w:val="000B0A77"/>
    <w:rsid w:val="000B0D6C"/>
    <w:rsid w:val="000B5BB9"/>
    <w:rsid w:val="000B7152"/>
    <w:rsid w:val="000C4701"/>
    <w:rsid w:val="000D01F4"/>
    <w:rsid w:val="000E4C7A"/>
    <w:rsid w:val="000E5E15"/>
    <w:rsid w:val="000F5A9A"/>
    <w:rsid w:val="000F73D1"/>
    <w:rsid w:val="001001C5"/>
    <w:rsid w:val="00105EFE"/>
    <w:rsid w:val="00106777"/>
    <w:rsid w:val="00114242"/>
    <w:rsid w:val="0011489E"/>
    <w:rsid w:val="00114BA3"/>
    <w:rsid w:val="00115DEC"/>
    <w:rsid w:val="00116397"/>
    <w:rsid w:val="00116E7B"/>
    <w:rsid w:val="00122B9F"/>
    <w:rsid w:val="00123F09"/>
    <w:rsid w:val="00136175"/>
    <w:rsid w:val="00140FF0"/>
    <w:rsid w:val="00142F28"/>
    <w:rsid w:val="00146057"/>
    <w:rsid w:val="0016633C"/>
    <w:rsid w:val="00171990"/>
    <w:rsid w:val="00195B70"/>
    <w:rsid w:val="001A0EEB"/>
    <w:rsid w:val="001A16ED"/>
    <w:rsid w:val="001A1D55"/>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B18C0"/>
    <w:rsid w:val="002E77F4"/>
    <w:rsid w:val="002F36B9"/>
    <w:rsid w:val="002F5FA2"/>
    <w:rsid w:val="00304035"/>
    <w:rsid w:val="003126B0"/>
    <w:rsid w:val="00314127"/>
    <w:rsid w:val="00314C12"/>
    <w:rsid w:val="003261C3"/>
    <w:rsid w:val="003453DA"/>
    <w:rsid w:val="00357754"/>
    <w:rsid w:val="003578E4"/>
    <w:rsid w:val="00361097"/>
    <w:rsid w:val="00373A0D"/>
    <w:rsid w:val="003740BC"/>
    <w:rsid w:val="00375076"/>
    <w:rsid w:val="00375BBA"/>
    <w:rsid w:val="003826EA"/>
    <w:rsid w:val="003901CC"/>
    <w:rsid w:val="00395CE4"/>
    <w:rsid w:val="003A32AD"/>
    <w:rsid w:val="003A3763"/>
    <w:rsid w:val="003A3938"/>
    <w:rsid w:val="003A4E67"/>
    <w:rsid w:val="003A5FFB"/>
    <w:rsid w:val="003A7FB6"/>
    <w:rsid w:val="003B3751"/>
    <w:rsid w:val="003F0763"/>
    <w:rsid w:val="003F5771"/>
    <w:rsid w:val="004014B0"/>
    <w:rsid w:val="004059B0"/>
    <w:rsid w:val="00421436"/>
    <w:rsid w:val="0042407C"/>
    <w:rsid w:val="00426AC1"/>
    <w:rsid w:val="004321DC"/>
    <w:rsid w:val="00435AA4"/>
    <w:rsid w:val="00435EA8"/>
    <w:rsid w:val="004360BB"/>
    <w:rsid w:val="0045533C"/>
    <w:rsid w:val="004606DA"/>
    <w:rsid w:val="00463092"/>
    <w:rsid w:val="00463444"/>
    <w:rsid w:val="004676C0"/>
    <w:rsid w:val="00473652"/>
    <w:rsid w:val="00474E00"/>
    <w:rsid w:val="004835DB"/>
    <w:rsid w:val="00491D2D"/>
    <w:rsid w:val="00494797"/>
    <w:rsid w:val="004A2726"/>
    <w:rsid w:val="004B0C10"/>
    <w:rsid w:val="004C19D7"/>
    <w:rsid w:val="004C297B"/>
    <w:rsid w:val="004C73C9"/>
    <w:rsid w:val="004D74E2"/>
    <w:rsid w:val="004E01FA"/>
    <w:rsid w:val="004E6764"/>
    <w:rsid w:val="004F041D"/>
    <w:rsid w:val="004F1C55"/>
    <w:rsid w:val="004F2680"/>
    <w:rsid w:val="004F7925"/>
    <w:rsid w:val="00504FE5"/>
    <w:rsid w:val="00507348"/>
    <w:rsid w:val="00522C97"/>
    <w:rsid w:val="005356FD"/>
    <w:rsid w:val="00537EB5"/>
    <w:rsid w:val="00547D75"/>
    <w:rsid w:val="00551C8B"/>
    <w:rsid w:val="00554E24"/>
    <w:rsid w:val="00555A0F"/>
    <w:rsid w:val="00556016"/>
    <w:rsid w:val="00567130"/>
    <w:rsid w:val="0057034B"/>
    <w:rsid w:val="00581E8F"/>
    <w:rsid w:val="00586A98"/>
    <w:rsid w:val="005927A4"/>
    <w:rsid w:val="00596B48"/>
    <w:rsid w:val="005B10E8"/>
    <w:rsid w:val="005B5026"/>
    <w:rsid w:val="005B661F"/>
    <w:rsid w:val="005C3315"/>
    <w:rsid w:val="005C717E"/>
    <w:rsid w:val="005D1E60"/>
    <w:rsid w:val="005D6425"/>
    <w:rsid w:val="005E1CC3"/>
    <w:rsid w:val="005F05C8"/>
    <w:rsid w:val="00604079"/>
    <w:rsid w:val="00617BE4"/>
    <w:rsid w:val="00620233"/>
    <w:rsid w:val="006404B0"/>
    <w:rsid w:val="0066499C"/>
    <w:rsid w:val="00676E68"/>
    <w:rsid w:val="006A26DC"/>
    <w:rsid w:val="006A7108"/>
    <w:rsid w:val="006B1081"/>
    <w:rsid w:val="006B2035"/>
    <w:rsid w:val="006B40DA"/>
    <w:rsid w:val="006C5D5D"/>
    <w:rsid w:val="006D3AEF"/>
    <w:rsid w:val="006E215D"/>
    <w:rsid w:val="006E57C8"/>
    <w:rsid w:val="006E70E1"/>
    <w:rsid w:val="006F565E"/>
    <w:rsid w:val="00701ABB"/>
    <w:rsid w:val="00711035"/>
    <w:rsid w:val="007130ED"/>
    <w:rsid w:val="007140CF"/>
    <w:rsid w:val="0071582A"/>
    <w:rsid w:val="00722595"/>
    <w:rsid w:val="00732970"/>
    <w:rsid w:val="0073319E"/>
    <w:rsid w:val="00733C8A"/>
    <w:rsid w:val="00733D30"/>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C43E5"/>
    <w:rsid w:val="007D03DC"/>
    <w:rsid w:val="007E00D2"/>
    <w:rsid w:val="007E2AD4"/>
    <w:rsid w:val="007E3469"/>
    <w:rsid w:val="007E7B63"/>
    <w:rsid w:val="00804C3A"/>
    <w:rsid w:val="00810AD6"/>
    <w:rsid w:val="00812B8E"/>
    <w:rsid w:val="0082780C"/>
    <w:rsid w:val="008333C7"/>
    <w:rsid w:val="00833E0F"/>
    <w:rsid w:val="008404FD"/>
    <w:rsid w:val="00841AB4"/>
    <w:rsid w:val="0084659D"/>
    <w:rsid w:val="00846DBA"/>
    <w:rsid w:val="00850AEF"/>
    <w:rsid w:val="00855DAB"/>
    <w:rsid w:val="00860C6A"/>
    <w:rsid w:val="00862891"/>
    <w:rsid w:val="00875048"/>
    <w:rsid w:val="008755D5"/>
    <w:rsid w:val="00875BE1"/>
    <w:rsid w:val="00877715"/>
    <w:rsid w:val="00895CE3"/>
    <w:rsid w:val="0089603F"/>
    <w:rsid w:val="00897970"/>
    <w:rsid w:val="008A2D65"/>
    <w:rsid w:val="008B3910"/>
    <w:rsid w:val="008B5A71"/>
    <w:rsid w:val="008D3BE2"/>
    <w:rsid w:val="008D4D98"/>
    <w:rsid w:val="008D5B25"/>
    <w:rsid w:val="008E2A7B"/>
    <w:rsid w:val="008E6E9B"/>
    <w:rsid w:val="008F2C56"/>
    <w:rsid w:val="008F3C99"/>
    <w:rsid w:val="00900D5B"/>
    <w:rsid w:val="009236FE"/>
    <w:rsid w:val="00940E00"/>
    <w:rsid w:val="00945D4B"/>
    <w:rsid w:val="00950E0F"/>
    <w:rsid w:val="0096150D"/>
    <w:rsid w:val="009630FA"/>
    <w:rsid w:val="00967103"/>
    <w:rsid w:val="009672C8"/>
    <w:rsid w:val="00967670"/>
    <w:rsid w:val="00970996"/>
    <w:rsid w:val="009800CC"/>
    <w:rsid w:val="009A078E"/>
    <w:rsid w:val="009A2B30"/>
    <w:rsid w:val="009A4211"/>
    <w:rsid w:val="009A47A2"/>
    <w:rsid w:val="009D0C74"/>
    <w:rsid w:val="009E247B"/>
    <w:rsid w:val="009E425E"/>
    <w:rsid w:val="009E4322"/>
    <w:rsid w:val="009F4384"/>
    <w:rsid w:val="009F442D"/>
    <w:rsid w:val="009F50DA"/>
    <w:rsid w:val="00A05BC8"/>
    <w:rsid w:val="00A06D56"/>
    <w:rsid w:val="00A128EC"/>
    <w:rsid w:val="00A314A2"/>
    <w:rsid w:val="00A516BB"/>
    <w:rsid w:val="00A619C5"/>
    <w:rsid w:val="00A808E1"/>
    <w:rsid w:val="00A824A6"/>
    <w:rsid w:val="00A8262F"/>
    <w:rsid w:val="00A84B32"/>
    <w:rsid w:val="00A84B3A"/>
    <w:rsid w:val="00A93B71"/>
    <w:rsid w:val="00A9425F"/>
    <w:rsid w:val="00AB0B32"/>
    <w:rsid w:val="00AB2D04"/>
    <w:rsid w:val="00AB3D51"/>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A7C11"/>
    <w:rsid w:val="00BC6FDB"/>
    <w:rsid w:val="00BC7DE8"/>
    <w:rsid w:val="00BE0966"/>
    <w:rsid w:val="00BE23EA"/>
    <w:rsid w:val="00BF43BA"/>
    <w:rsid w:val="00BF5722"/>
    <w:rsid w:val="00BF6268"/>
    <w:rsid w:val="00BF720B"/>
    <w:rsid w:val="00C04511"/>
    <w:rsid w:val="00C112A3"/>
    <w:rsid w:val="00C16846"/>
    <w:rsid w:val="00C24401"/>
    <w:rsid w:val="00C34851"/>
    <w:rsid w:val="00C42A5B"/>
    <w:rsid w:val="00C56038"/>
    <w:rsid w:val="00C6729F"/>
    <w:rsid w:val="00C72664"/>
    <w:rsid w:val="00C841A1"/>
    <w:rsid w:val="00C86F24"/>
    <w:rsid w:val="00C86FDE"/>
    <w:rsid w:val="00C9272C"/>
    <w:rsid w:val="00CA38C9"/>
    <w:rsid w:val="00CB4984"/>
    <w:rsid w:val="00CB5DD7"/>
    <w:rsid w:val="00CB7795"/>
    <w:rsid w:val="00CB77D5"/>
    <w:rsid w:val="00CC14F0"/>
    <w:rsid w:val="00CD3BE0"/>
    <w:rsid w:val="00CE06C7"/>
    <w:rsid w:val="00CE083D"/>
    <w:rsid w:val="00CE1B90"/>
    <w:rsid w:val="00CE3B0F"/>
    <w:rsid w:val="00CE40BB"/>
    <w:rsid w:val="00CF1C71"/>
    <w:rsid w:val="00CF510F"/>
    <w:rsid w:val="00D002E2"/>
    <w:rsid w:val="00D07696"/>
    <w:rsid w:val="00D1160D"/>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1115"/>
    <w:rsid w:val="00E24CB2"/>
    <w:rsid w:val="00E31D1C"/>
    <w:rsid w:val="00E32981"/>
    <w:rsid w:val="00E34312"/>
    <w:rsid w:val="00E3536D"/>
    <w:rsid w:val="00E44456"/>
    <w:rsid w:val="00E553B9"/>
    <w:rsid w:val="00E56E57"/>
    <w:rsid w:val="00E61322"/>
    <w:rsid w:val="00E6599B"/>
    <w:rsid w:val="00E726DE"/>
    <w:rsid w:val="00E844D5"/>
    <w:rsid w:val="00E86536"/>
    <w:rsid w:val="00E871C2"/>
    <w:rsid w:val="00EA1BAA"/>
    <w:rsid w:val="00EC00E4"/>
    <w:rsid w:val="00ED115A"/>
    <w:rsid w:val="00ED401C"/>
    <w:rsid w:val="00EE333B"/>
    <w:rsid w:val="00EE3908"/>
    <w:rsid w:val="00EF2642"/>
    <w:rsid w:val="00EF3681"/>
    <w:rsid w:val="00EF4C5A"/>
    <w:rsid w:val="00F10790"/>
    <w:rsid w:val="00F10E7C"/>
    <w:rsid w:val="00F13C1E"/>
    <w:rsid w:val="00F16F17"/>
    <w:rsid w:val="00F20BC2"/>
    <w:rsid w:val="00F32090"/>
    <w:rsid w:val="00F342E4"/>
    <w:rsid w:val="00F35330"/>
    <w:rsid w:val="00F41C91"/>
    <w:rsid w:val="00F433A4"/>
    <w:rsid w:val="00F4421A"/>
    <w:rsid w:val="00F44B1A"/>
    <w:rsid w:val="00F47316"/>
    <w:rsid w:val="00F55DA5"/>
    <w:rsid w:val="00F900FD"/>
    <w:rsid w:val="00F94BC2"/>
    <w:rsid w:val="00F95ABE"/>
    <w:rsid w:val="00F9756D"/>
    <w:rsid w:val="00FB5F12"/>
    <w:rsid w:val="00FB7C78"/>
    <w:rsid w:val="00FD417F"/>
    <w:rsid w:val="00FD509E"/>
    <w:rsid w:val="00FD6DBC"/>
    <w:rsid w:val="00FD7255"/>
    <w:rsid w:val="00FD7B1D"/>
    <w:rsid w:val="00FE0AFB"/>
    <w:rsid w:val="00FE1E22"/>
    <w:rsid w:val="00FE4868"/>
    <w:rsid w:val="00FE50E4"/>
    <w:rsid w:val="00FE530D"/>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54D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755A7D"/>
    <w:rPr>
      <w:color w:val="auto"/>
    </w:rPr>
  </w:style>
  <w:style w:type="paragraph" w:styleId="ListParagraph">
    <w:name w:val="List Paragraph"/>
    <w:basedOn w:val="Normal"/>
    <w:uiPriority w:val="99"/>
    <w:qFormat/>
    <w:rsid w:val="008D5B2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character" w:customStyle="1" w:styleId="FootnoteTextChar">
    <w:name w:val="Footnote Text Char"/>
    <w:basedOn w:val="DefaultParagraphFont"/>
    <w:link w:val="FootnoteText"/>
    <w:uiPriority w:val="99"/>
    <w:locked/>
    <w:rsid w:val="00463444"/>
    <w:rPr>
      <w:rFonts w:ascii="Calibri" w:hAnsi="Calibri"/>
      <w:sz w:val="24"/>
      <w:lang w:val="en-GB" w:eastAsia="en-US"/>
    </w:rPr>
  </w:style>
  <w:style w:type="character" w:styleId="CommentReference">
    <w:name w:val="annotation reference"/>
    <w:basedOn w:val="DefaultParagraphFont"/>
    <w:semiHidden/>
    <w:unhideWhenUsed/>
    <w:rsid w:val="00AB3D51"/>
    <w:rPr>
      <w:sz w:val="16"/>
      <w:szCs w:val="16"/>
    </w:rPr>
  </w:style>
  <w:style w:type="paragraph" w:styleId="CommentText">
    <w:name w:val="annotation text"/>
    <w:basedOn w:val="Normal"/>
    <w:link w:val="CommentTextChar"/>
    <w:semiHidden/>
    <w:unhideWhenUsed/>
    <w:rsid w:val="00AB3D51"/>
    <w:rPr>
      <w:sz w:val="20"/>
    </w:rPr>
  </w:style>
  <w:style w:type="character" w:customStyle="1" w:styleId="CommentTextChar">
    <w:name w:val="Comment Text Char"/>
    <w:basedOn w:val="DefaultParagraphFont"/>
    <w:link w:val="CommentText"/>
    <w:semiHidden/>
    <w:rsid w:val="00AB3D51"/>
    <w:rPr>
      <w:rFonts w:ascii="Calibri" w:hAnsi="Calibri"/>
      <w:lang w:val="en-GB" w:eastAsia="en-US"/>
    </w:rPr>
  </w:style>
  <w:style w:type="paragraph" w:styleId="CommentSubject">
    <w:name w:val="annotation subject"/>
    <w:basedOn w:val="CommentText"/>
    <w:next w:val="CommentText"/>
    <w:link w:val="CommentSubjectChar"/>
    <w:semiHidden/>
    <w:unhideWhenUsed/>
    <w:rsid w:val="00AB3D51"/>
    <w:rPr>
      <w:b/>
      <w:bCs/>
    </w:rPr>
  </w:style>
  <w:style w:type="character" w:customStyle="1" w:styleId="CommentSubjectChar">
    <w:name w:val="Comment Subject Char"/>
    <w:basedOn w:val="CommentTextChar"/>
    <w:link w:val="CommentSubject"/>
    <w:semiHidden/>
    <w:rsid w:val="00AB3D51"/>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716130747">
      <w:bodyDiv w:val="1"/>
      <w:marLeft w:val="0"/>
      <w:marRight w:val="0"/>
      <w:marTop w:val="0"/>
      <w:marBottom w:val="0"/>
      <w:divBdr>
        <w:top w:val="none" w:sz="0" w:space="0" w:color="auto"/>
        <w:left w:val="none" w:sz="0" w:space="0" w:color="auto"/>
        <w:bottom w:val="none" w:sz="0" w:space="0" w:color="auto"/>
        <w:right w:val="none" w:sz="0" w:space="0" w:color="auto"/>
      </w:divBdr>
    </w:div>
    <w:div w:id="818573018">
      <w:bodyDiv w:val="1"/>
      <w:marLeft w:val="0"/>
      <w:marRight w:val="0"/>
      <w:marTop w:val="0"/>
      <w:marBottom w:val="0"/>
      <w:divBdr>
        <w:top w:val="none" w:sz="0" w:space="0" w:color="auto"/>
        <w:left w:val="none" w:sz="0" w:space="0" w:color="auto"/>
        <w:bottom w:val="none" w:sz="0" w:space="0" w:color="auto"/>
        <w:right w:val="none" w:sz="0" w:space="0" w:color="auto"/>
      </w:divBdr>
    </w:div>
    <w:div w:id="1275483620">
      <w:bodyDiv w:val="1"/>
      <w:marLeft w:val="0"/>
      <w:marRight w:val="0"/>
      <w:marTop w:val="0"/>
      <w:marBottom w:val="0"/>
      <w:divBdr>
        <w:top w:val="none" w:sz="0" w:space="0" w:color="auto"/>
        <w:left w:val="none" w:sz="0" w:space="0" w:color="auto"/>
        <w:bottom w:val="none" w:sz="0" w:space="0" w:color="auto"/>
        <w:right w:val="none" w:sz="0" w:space="0" w:color="auto"/>
      </w:divBdr>
    </w:div>
    <w:div w:id="1323508189">
      <w:bodyDiv w:val="1"/>
      <w:marLeft w:val="0"/>
      <w:marRight w:val="0"/>
      <w:marTop w:val="0"/>
      <w:marBottom w:val="0"/>
      <w:divBdr>
        <w:top w:val="none" w:sz="0" w:space="0" w:color="auto"/>
        <w:left w:val="none" w:sz="0" w:space="0" w:color="auto"/>
        <w:bottom w:val="none" w:sz="0" w:space="0" w:color="auto"/>
        <w:right w:val="none" w:sz="0" w:space="0" w:color="auto"/>
      </w:divBdr>
    </w:div>
    <w:div w:id="134311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en/council/Pages/documents.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580c6d-087e-4443-97f9-288ddbcec2aa" targetNamespace="http://schemas.microsoft.com/office/2006/metadata/properties" ma:root="true" ma:fieldsID="d41af5c836d734370eb92e7ee5f83852" ns2:_="" ns3:_="">
    <xsd:import namespace="996b2e75-67fd-4955-a3b0-5ab9934cb50b"/>
    <xsd:import namespace="a4580c6d-087e-4443-97f9-288ddbcec2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580c6d-087e-4443-97f9-288ddbcec2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4580c6d-087e-4443-97f9-288ddbcec2aa">DPM</DPM_x0020_Author>
    <DPM_x0020_File_x0020_name xmlns="a4580c6d-087e-4443-97f9-288ddbcec2aa">S18-PP-C-32!!MSW-E</DPM_x0020_File_x0020_name>
    <DPM_x0020_Version xmlns="a4580c6d-087e-4443-97f9-288ddbcec2aa">DPM_2018.06.12.1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580c6d-087e-4443-97f9-288ddbce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elements/1.1/"/>
    <ds:schemaRef ds:uri="http://purl.org/dc/terms/"/>
    <ds:schemaRef ds:uri="http://schemas.microsoft.com/office/infopath/2007/PartnerControls"/>
    <ds:schemaRef ds:uri="996b2e75-67fd-4955-a3b0-5ab9934cb50b"/>
    <ds:schemaRef ds:uri="http://schemas.microsoft.com/office/2006/metadata/properties"/>
    <ds:schemaRef ds:uri="http://schemas.microsoft.com/office/2006/documentManagement/types"/>
    <ds:schemaRef ds:uri="http://schemas.openxmlformats.org/package/2006/metadata/core-properties"/>
    <ds:schemaRef ds:uri="a4580c6d-087e-4443-97f9-288ddbcec2a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1740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Exemptions</vt:lpstr>
    </vt:vector>
  </TitlesOfParts>
  <Manager/>
  <Company/>
  <LinksUpToDate>false</LinksUpToDate>
  <CharactersWithSpaces>2023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Exemptions</dc:title>
  <dc:subject>Plenipotentiary Conference (PP-18)</dc:subject>
  <dc:creator/>
  <cp:keywords/>
  <cp:lastModifiedBy/>
  <cp:revision>1</cp:revision>
  <dcterms:created xsi:type="dcterms:W3CDTF">2019-01-11T13:38:00Z</dcterms:created>
  <dcterms:modified xsi:type="dcterms:W3CDTF">2019-01-11T13:38:00Z</dcterms:modified>
  <cp:category>Conference document</cp:category>
</cp:coreProperties>
</file>