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A34275" w:rsidRPr="00A34275" w:rsidTr="00F27CEF">
        <w:trPr>
          <w:cantSplit/>
        </w:trPr>
        <w:tc>
          <w:tcPr>
            <w:tcW w:w="6521" w:type="dxa"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A34275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A34275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Calibri" w:eastAsia="SimSun" w:hAnsi="Calibri"/>
                <w:b/>
                <w:position w:val="6"/>
                <w:sz w:val="26"/>
                <w:szCs w:val="26"/>
                <w:lang w:val="en-US" w:eastAsia="zh-CN"/>
              </w:rPr>
            </w:pPr>
            <w:r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Ninth meeting </w:t>
            </w:r>
            <w:r w:rsidRPr="00A34275">
              <w:rPr>
                <w:rFonts w:ascii="Calibri" w:eastAsia="Calibri" w:hAnsi="Calibri" w:cs="Calibri"/>
                <w:b/>
                <w:color w:val="000000"/>
                <w:szCs w:val="24"/>
                <w:lang w:val="en-US" w:eastAsia="zh-CN"/>
              </w:rPr>
              <w:t>–</w:t>
            </w:r>
            <w:r w:rsidRPr="00A34275">
              <w:rPr>
                <w:rFonts w:ascii="Calibri" w:eastAsia="SimSun" w:hAnsi="Calibri" w:cs="Times New Roman Bold"/>
                <w:b/>
                <w:szCs w:val="24"/>
                <w:lang w:val="en-US" w:eastAsia="zh-CN"/>
              </w:rPr>
              <w:t xml:space="preserve"> Geneva, 29-30 January 2019</w:t>
            </w:r>
          </w:p>
        </w:tc>
        <w:tc>
          <w:tcPr>
            <w:tcW w:w="3793" w:type="dxa"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Arial" w:eastAsia="SimSun" w:hAnsi="Arial"/>
                <w:sz w:val="22"/>
                <w:szCs w:val="24"/>
                <w:lang w:val="en-US" w:eastAsia="zh-CN"/>
              </w:rPr>
            </w:pPr>
            <w:bookmarkStart w:id="0" w:name="ditulogo"/>
            <w:bookmarkEnd w:id="0"/>
            <w:r w:rsidRPr="00A34275">
              <w:rPr>
                <w:rFonts w:ascii="Arial" w:eastAsia="SimSun" w:hAnsi="Arial"/>
                <w:noProof/>
                <w:sz w:val="22"/>
                <w:szCs w:val="24"/>
                <w:lang w:val="en-US" w:eastAsia="zh-CN"/>
              </w:rPr>
              <w:drawing>
                <wp:inline distT="0" distB="0" distL="0" distR="0" wp14:anchorId="529CB1A2" wp14:editId="60577781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275" w:rsidRPr="00A34275" w:rsidTr="00F27CE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Arial" w:eastAsia="SimSun" w:hAnsi="Arial"/>
                <w:b/>
                <w:smallCaps/>
                <w:sz w:val="22"/>
                <w:szCs w:val="24"/>
                <w:lang w:val="en-US" w:eastAsia="zh-CN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209"/>
              <w:textAlignment w:val="auto"/>
              <w:rPr>
                <w:rFonts w:ascii="Verdana" w:eastAsia="SimSun" w:hAnsi="Verdana"/>
                <w:sz w:val="22"/>
                <w:szCs w:val="24"/>
                <w:lang w:val="en-US" w:eastAsia="zh-CN"/>
              </w:rPr>
            </w:pPr>
          </w:p>
        </w:tc>
      </w:tr>
      <w:tr w:rsidR="00A34275" w:rsidRPr="00A34275" w:rsidTr="00F27CEF">
        <w:trPr>
          <w:cantSplit/>
          <w:trHeight w:val="23"/>
        </w:trPr>
        <w:tc>
          <w:tcPr>
            <w:tcW w:w="6521" w:type="dxa"/>
            <w:vMerge w:val="restart"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93" w:type="dxa"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</w:pPr>
            <w:r w:rsidRPr="00A34275"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Document CWG-FHR 9/</w:t>
            </w:r>
            <w:r>
              <w:rPr>
                <w:rFonts w:ascii="Calibri" w:eastAsia="SimSun" w:hAnsi="Calibri" w:cs="Times New Roman Bold"/>
                <w:b/>
                <w:spacing w:val="-4"/>
                <w:szCs w:val="24"/>
                <w:lang w:val="en-US" w:eastAsia="zh-CN"/>
              </w:rPr>
              <w:t>2</w:t>
            </w:r>
          </w:p>
        </w:tc>
      </w:tr>
      <w:tr w:rsidR="00A34275" w:rsidRPr="00A34275" w:rsidTr="00F27CEF">
        <w:trPr>
          <w:cantSplit/>
          <w:trHeight w:val="23"/>
        </w:trPr>
        <w:tc>
          <w:tcPr>
            <w:tcW w:w="6521" w:type="dxa"/>
            <w:vMerge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:rsidR="00A34275" w:rsidRPr="00A34275" w:rsidRDefault="00A34275" w:rsidP="00AB4D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>
              <w:rPr>
                <w:rFonts w:ascii="Calibri" w:eastAsia="SimSun" w:hAnsi="Calibri"/>
                <w:b/>
                <w:szCs w:val="24"/>
                <w:lang w:val="en-US" w:eastAsia="zh-CN"/>
              </w:rPr>
              <w:t>1</w:t>
            </w:r>
            <w:r w:rsidR="00AB4D85">
              <w:rPr>
                <w:rFonts w:ascii="Calibri" w:eastAsia="SimSun" w:hAnsi="Calibri"/>
                <w:b/>
                <w:szCs w:val="24"/>
                <w:lang w:val="en-US" w:eastAsia="zh-CN"/>
              </w:rPr>
              <w:t>9</w:t>
            </w:r>
            <w:r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December</w:t>
            </w:r>
            <w:r w:rsidRPr="00A34275">
              <w:rPr>
                <w:rFonts w:ascii="Calibri" w:eastAsia="SimSun" w:hAnsi="Calibri"/>
                <w:b/>
                <w:szCs w:val="24"/>
                <w:lang w:val="en-US" w:eastAsia="zh-CN"/>
              </w:rPr>
              <w:t xml:space="preserve"> 2018</w:t>
            </w:r>
          </w:p>
        </w:tc>
      </w:tr>
      <w:tr w:rsidR="00A34275" w:rsidRPr="00A34275" w:rsidTr="00F27CEF">
        <w:trPr>
          <w:cantSplit/>
          <w:trHeight w:val="80"/>
        </w:trPr>
        <w:tc>
          <w:tcPr>
            <w:tcW w:w="6521" w:type="dxa"/>
            <w:vMerge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textAlignment w:val="auto"/>
              <w:rPr>
                <w:rFonts w:ascii="Calibri" w:eastAsia="SimSun" w:hAnsi="Calibri"/>
                <w:b/>
                <w:sz w:val="22"/>
                <w:szCs w:val="24"/>
                <w:lang w:val="en-US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:rsidR="00A34275" w:rsidRPr="00A34275" w:rsidRDefault="00A34275" w:rsidP="00A342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/>
              <w:ind w:left="57"/>
              <w:textAlignment w:val="auto"/>
              <w:rPr>
                <w:rFonts w:ascii="Calibri" w:eastAsia="SimSun" w:hAnsi="Calibri"/>
                <w:b/>
                <w:szCs w:val="24"/>
                <w:lang w:val="en-US" w:eastAsia="zh-CN"/>
              </w:rPr>
            </w:pPr>
            <w:r w:rsidRPr="00A34275">
              <w:rPr>
                <w:rFonts w:ascii="Calibri" w:eastAsia="SimSun" w:hAnsi="Calibri"/>
                <w:b/>
                <w:szCs w:val="24"/>
                <w:lang w:val="en-US" w:eastAsia="zh-CN"/>
              </w:rPr>
              <w:t>English only</w:t>
            </w:r>
          </w:p>
        </w:tc>
      </w:tr>
      <w:bookmarkEnd w:id="4"/>
    </w:tbl>
    <w:p w:rsidR="00962CA2" w:rsidRDefault="00962C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2"/>
          <w:szCs w:val="22"/>
          <w:lang w:val="en-CA"/>
        </w:rPr>
      </w:pPr>
    </w:p>
    <w:p w:rsidR="007C220F" w:rsidRDefault="007C220F" w:rsidP="007B0CD1">
      <w:pPr>
        <w:jc w:val="center"/>
        <w:rPr>
          <w:rFonts w:asciiTheme="minorHAnsi" w:hAnsiTheme="minorHAnsi" w:cstheme="minorHAnsi"/>
          <w:b/>
          <w:sz w:val="28"/>
          <w:szCs w:val="28"/>
          <w:lang w:val="en-CA"/>
        </w:rPr>
      </w:pPr>
    </w:p>
    <w:p w:rsidR="00AB5E12" w:rsidRPr="00962CA2" w:rsidRDefault="00AB5E12" w:rsidP="007B0C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2CA2">
        <w:rPr>
          <w:rFonts w:asciiTheme="minorHAnsi" w:hAnsiTheme="minorHAnsi" w:cstheme="minorHAnsi"/>
          <w:b/>
          <w:sz w:val="28"/>
          <w:szCs w:val="28"/>
          <w:lang w:val="en-CA"/>
        </w:rPr>
        <w:t>C</w:t>
      </w:r>
      <w:r w:rsidR="007B0CD1">
        <w:rPr>
          <w:rFonts w:asciiTheme="minorHAnsi" w:hAnsiTheme="minorHAnsi" w:cstheme="minorHAnsi"/>
          <w:b/>
          <w:sz w:val="28"/>
          <w:szCs w:val="28"/>
          <w:lang w:val="en-CA"/>
        </w:rPr>
        <w:t>ontribution by the Secretariat</w:t>
      </w:r>
    </w:p>
    <w:p w:rsidR="00AB5E12" w:rsidRPr="007B0CD1" w:rsidRDefault="00AB5E12" w:rsidP="00632D1A">
      <w:pPr>
        <w:spacing w:before="240"/>
        <w:jc w:val="center"/>
        <w:rPr>
          <w:rFonts w:asciiTheme="minorHAnsi" w:hAnsiTheme="minorHAnsi" w:cstheme="minorHAnsi"/>
          <w:caps/>
          <w:sz w:val="28"/>
          <w:szCs w:val="28"/>
        </w:rPr>
      </w:pPr>
      <w:r w:rsidRPr="007B0CD1">
        <w:rPr>
          <w:rFonts w:asciiTheme="minorHAnsi" w:hAnsiTheme="minorHAnsi" w:cstheme="minorHAnsi"/>
          <w:caps/>
          <w:sz w:val="28"/>
          <w:szCs w:val="28"/>
        </w:rPr>
        <w:t>Preparation of the draft bien</w:t>
      </w:r>
      <w:r w:rsidR="002E7F28" w:rsidRPr="007B0CD1">
        <w:rPr>
          <w:rFonts w:asciiTheme="minorHAnsi" w:hAnsiTheme="minorHAnsi" w:cstheme="minorHAnsi"/>
          <w:caps/>
          <w:sz w:val="28"/>
          <w:szCs w:val="28"/>
        </w:rPr>
        <w:t>nial Budget of the Union for 2020-2021</w:t>
      </w:r>
    </w:p>
    <w:p w:rsidR="00FE50B5" w:rsidRPr="00AB6C7F" w:rsidRDefault="00FE50B5" w:rsidP="002C463E">
      <w:pPr>
        <w:pStyle w:val="NormalWeb"/>
        <w:spacing w:before="0" w:beforeAutospacing="0" w:after="0" w:afterAutospacing="0"/>
        <w:rPr>
          <w:rFonts w:ascii="Calibri" w:hAnsi="Calibri"/>
          <w:color w:val="auto"/>
          <w:sz w:val="22"/>
          <w:szCs w:val="22"/>
        </w:rPr>
      </w:pPr>
    </w:p>
    <w:p w:rsidR="00C16744" w:rsidRPr="00101B9D" w:rsidRDefault="00E26A68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  <w:highlight w:val="yellow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1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This </w:t>
      </w:r>
      <w:r w:rsidR="00034427" w:rsidRPr="00AB6C7F"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ocument presents the s</w:t>
      </w:r>
      <w:r w:rsidR="003A738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tatus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of the draft biennial </w:t>
      </w:r>
      <w:r w:rsidR="00034427" w:rsidRPr="00AB6C7F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udget for </w:t>
      </w:r>
      <w:r w:rsidR="003D7F07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the years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</w:t>
      </w:r>
      <w:bookmarkStart w:id="5" w:name="_GoBack"/>
      <w:bookmarkEnd w:id="5"/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20-2021</w:t>
      </w:r>
      <w:r w:rsidR="00C16744" w:rsidRPr="00AB6C7F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C4F4E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which has been prepared on the basis of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Decision 5 (Rev.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) and associated guidelines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>E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xpenses and revenue </w:t>
      </w:r>
      <w:r w:rsidR="00166F5F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are </w:t>
      </w:r>
      <w:r w:rsidR="00391BEB" w:rsidRPr="00AB6C7F">
        <w:rPr>
          <w:rFonts w:asciiTheme="minorHAnsi" w:hAnsiTheme="minorHAnsi" w:cstheme="minorBidi"/>
          <w:color w:val="auto"/>
          <w:sz w:val="22"/>
          <w:szCs w:val="22"/>
        </w:rPr>
        <w:t>balanced</w:t>
      </w:r>
      <w:r w:rsidR="00E167C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66F5F" w:rsidRPr="00E167C1">
        <w:rPr>
          <w:rFonts w:asciiTheme="minorHAnsi" w:hAnsiTheme="minorHAnsi" w:cstheme="minorBidi"/>
          <w:color w:val="auto"/>
          <w:sz w:val="22"/>
          <w:szCs w:val="22"/>
        </w:rPr>
        <w:t>without withdrawal from the Reserve Account</w:t>
      </w:r>
      <w:r w:rsidR="00391BEB" w:rsidRPr="00E167C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C16744" w:rsidRPr="00AB6C7F" w:rsidRDefault="00C16744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:rsidR="00924210" w:rsidRPr="00AB6C7F" w:rsidRDefault="00924210" w:rsidP="002C463E">
      <w:pPr>
        <w:spacing w:before="0"/>
        <w:jc w:val="both"/>
        <w:rPr>
          <w:rFonts w:asciiTheme="minorHAnsi" w:hAnsiTheme="minorHAnsi" w:cstheme="minorBidi"/>
          <w:b/>
          <w:sz w:val="22"/>
          <w:szCs w:val="22"/>
        </w:rPr>
      </w:pPr>
      <w:r w:rsidRPr="00AB6C7F">
        <w:rPr>
          <w:rFonts w:asciiTheme="minorHAnsi" w:hAnsiTheme="minorHAnsi" w:cstheme="minorBidi"/>
          <w:b/>
          <w:sz w:val="22"/>
          <w:szCs w:val="22"/>
        </w:rPr>
        <w:t>Background</w:t>
      </w:r>
    </w:p>
    <w:p w:rsidR="00924210" w:rsidRPr="00AB6C7F" w:rsidRDefault="00924210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:rsidR="00AB5E12" w:rsidRPr="00AB6C7F" w:rsidRDefault="00E26A68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="00924210" w:rsidRPr="00AB6C7F">
        <w:rPr>
          <w:rFonts w:asciiTheme="minorHAnsi" w:hAnsiTheme="minorHAnsi" w:cstheme="minorHAnsi"/>
          <w:sz w:val="22"/>
          <w:szCs w:val="22"/>
        </w:rPr>
        <w:t>In</w:t>
      </w:r>
      <w:r w:rsidR="00AB5E12" w:rsidRPr="00AB6C7F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accordance with </w:t>
      </w:r>
      <w:r w:rsidR="00D07940" w:rsidRPr="00AB6C7F">
        <w:rPr>
          <w:rFonts w:asciiTheme="minorHAnsi" w:hAnsiTheme="minorHAnsi" w:cstheme="minorBidi"/>
          <w:bCs/>
          <w:color w:val="auto"/>
          <w:sz w:val="22"/>
          <w:szCs w:val="22"/>
        </w:rPr>
        <w:t>number</w:t>
      </w:r>
      <w:r w:rsidR="00AB5E12" w:rsidRPr="00AB6C7F">
        <w:rPr>
          <w:rFonts w:asciiTheme="minorHAnsi" w:hAnsiTheme="minorHAnsi" w:cstheme="minorBidi"/>
          <w:bCs/>
          <w:color w:val="auto"/>
          <w:sz w:val="22"/>
          <w:szCs w:val="22"/>
        </w:rPr>
        <w:t xml:space="preserve"> 100 of Article 5 of the Convention,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a biennial draft </w:t>
      </w:r>
      <w:r w:rsidR="0081422E" w:rsidRPr="00AB6C7F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udget covering the </w:t>
      </w:r>
      <w:r w:rsidR="00E15E63">
        <w:rPr>
          <w:rFonts w:asciiTheme="minorHAnsi" w:hAnsiTheme="minorHAnsi" w:cstheme="minorBidi"/>
          <w:color w:val="auto"/>
          <w:sz w:val="22"/>
          <w:szCs w:val="22"/>
        </w:rPr>
        <w:t>expenses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of the Union </w:t>
      </w:r>
      <w:r w:rsidR="00424D1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has been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prepared and </w:t>
      </w:r>
      <w:r w:rsidR="00424D1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will be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submitted to Council after consultation with the Coordination Committee, ensuring that all possible economies are made and taking </w:t>
      </w:r>
      <w:r w:rsidR="002934F6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into </w:t>
      </w:r>
      <w:r w:rsidR="00AB5E12" w:rsidRPr="00AB6C7F">
        <w:rPr>
          <w:rFonts w:asciiTheme="minorHAnsi" w:hAnsiTheme="minorHAnsi" w:cstheme="minorBidi"/>
          <w:color w:val="auto"/>
          <w:sz w:val="22"/>
          <w:szCs w:val="22"/>
        </w:rPr>
        <w:t>account the financial limits laid down by the Plenipotentiary Conference.</w:t>
      </w:r>
    </w:p>
    <w:p w:rsidR="00924210" w:rsidRPr="00AB6C7F" w:rsidRDefault="00924210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924210" w:rsidRPr="00AB6C7F" w:rsidRDefault="00E26A68" w:rsidP="002C463E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3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By Decision 5 (Rev. 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) on </w:t>
      </w:r>
      <w:r w:rsidR="00615953" w:rsidRPr="00AB6C7F">
        <w:rPr>
          <w:rFonts w:asciiTheme="minorHAnsi" w:hAnsiTheme="minorHAnsi" w:cstheme="minorBidi"/>
          <w:color w:val="auto"/>
          <w:sz w:val="22"/>
          <w:szCs w:val="22"/>
        </w:rPr>
        <w:t>revenue and expenses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for the Union for the period 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20-2023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, the Plenipotentiary Conference established the framework and the directives under which the </w:t>
      </w:r>
      <w:r w:rsidR="002934F6" w:rsidRPr="00AB6C7F">
        <w:rPr>
          <w:rFonts w:asciiTheme="minorHAnsi" w:hAnsiTheme="minorHAnsi" w:cstheme="minorBidi"/>
          <w:color w:val="auto"/>
          <w:sz w:val="22"/>
          <w:szCs w:val="22"/>
        </w:rPr>
        <w:t>B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udget of the Union for 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20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>-20</w:t>
      </w:r>
      <w:r w:rsidR="002E7F28" w:rsidRPr="00AB6C7F">
        <w:rPr>
          <w:rFonts w:asciiTheme="minorHAnsi" w:hAnsiTheme="minorHAnsi" w:cstheme="minorBidi"/>
          <w:color w:val="auto"/>
          <w:sz w:val="22"/>
          <w:szCs w:val="22"/>
        </w:rPr>
        <w:t>21</w:t>
      </w:r>
      <w:r w:rsidR="00924210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has been elaborated.</w:t>
      </w:r>
    </w:p>
    <w:p w:rsidR="00AB5E12" w:rsidRPr="00AB6C7F" w:rsidRDefault="00AB5E12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B5E12" w:rsidRPr="00AB6C7F" w:rsidRDefault="00AB5E12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B6C7F">
        <w:rPr>
          <w:rFonts w:asciiTheme="minorHAnsi" w:hAnsiTheme="minorHAnsi"/>
          <w:b/>
          <w:bCs/>
          <w:color w:val="auto"/>
          <w:sz w:val="22"/>
          <w:szCs w:val="22"/>
        </w:rPr>
        <w:t>Revenue and Expense</w:t>
      </w:r>
      <w:r w:rsidR="00C630D2" w:rsidRPr="00AB6C7F">
        <w:rPr>
          <w:rFonts w:asciiTheme="minorHAnsi" w:hAnsiTheme="minorHAnsi"/>
          <w:b/>
          <w:bCs/>
          <w:color w:val="auto"/>
          <w:sz w:val="22"/>
          <w:szCs w:val="22"/>
        </w:rPr>
        <w:t>s</w:t>
      </w:r>
      <w:r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825C46" w:rsidRPr="00AB6C7F">
        <w:rPr>
          <w:rFonts w:asciiTheme="minorHAnsi" w:hAnsiTheme="minorHAnsi"/>
          <w:b/>
          <w:bCs/>
          <w:color w:val="auto"/>
          <w:sz w:val="22"/>
          <w:szCs w:val="22"/>
        </w:rPr>
        <w:t>estimates</w:t>
      </w:r>
      <w:r w:rsidR="00A14953"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-</w:t>
      </w:r>
      <w:r w:rsidR="00C435C8" w:rsidRPr="00AB6C7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55F46" w:rsidRPr="00AB6C7F">
        <w:rPr>
          <w:rFonts w:asciiTheme="minorHAnsi" w:hAnsiTheme="minorHAnsi"/>
          <w:b/>
          <w:bCs/>
          <w:color w:val="auto"/>
          <w:sz w:val="22"/>
          <w:szCs w:val="22"/>
        </w:rPr>
        <w:t>O</w:t>
      </w:r>
      <w:r w:rsidR="00C435C8" w:rsidRPr="00AB6C7F">
        <w:rPr>
          <w:rFonts w:asciiTheme="minorHAnsi" w:hAnsiTheme="minorHAnsi"/>
          <w:b/>
          <w:bCs/>
          <w:color w:val="auto"/>
          <w:sz w:val="22"/>
          <w:szCs w:val="22"/>
        </w:rPr>
        <w:t>verview</w:t>
      </w:r>
    </w:p>
    <w:p w:rsidR="00A607D0" w:rsidRPr="00AB6C7F" w:rsidRDefault="00A607D0" w:rsidP="002C46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737406" w:rsidRPr="00AB6C7F" w:rsidRDefault="00E26A68" w:rsidP="002C463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4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FB531B" w:rsidRPr="002A22B0">
        <w:rPr>
          <w:rFonts w:ascii="Calibri" w:hAnsi="Calibri"/>
          <w:b/>
          <w:bCs/>
          <w:color w:val="auto"/>
          <w:sz w:val="22"/>
          <w:szCs w:val="22"/>
        </w:rPr>
        <w:t>Table 1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 below presents an overview of the draft Budget for 20</w:t>
      </w:r>
      <w:r w:rsidR="004F1F09" w:rsidRPr="00AB6C7F">
        <w:rPr>
          <w:rFonts w:ascii="Calibri" w:hAnsi="Calibri"/>
          <w:color w:val="auto"/>
          <w:sz w:val="22"/>
          <w:szCs w:val="22"/>
        </w:rPr>
        <w:t>20</w:t>
      </w:r>
      <w:r w:rsidR="00FB531B" w:rsidRPr="00AB6C7F">
        <w:rPr>
          <w:rFonts w:ascii="Calibri" w:hAnsi="Calibri"/>
          <w:color w:val="auto"/>
          <w:sz w:val="22"/>
          <w:szCs w:val="22"/>
        </w:rPr>
        <w:t>-20</w:t>
      </w:r>
      <w:r w:rsidR="004F1F09" w:rsidRPr="00AB6C7F">
        <w:rPr>
          <w:rFonts w:ascii="Calibri" w:hAnsi="Calibri"/>
          <w:color w:val="auto"/>
          <w:sz w:val="22"/>
          <w:szCs w:val="22"/>
        </w:rPr>
        <w:t>21</w:t>
      </w:r>
      <w:r w:rsidR="00FB531B" w:rsidRPr="00AB6C7F">
        <w:rPr>
          <w:rFonts w:ascii="Calibri" w:hAnsi="Calibri"/>
          <w:color w:val="auto"/>
          <w:sz w:val="22"/>
          <w:szCs w:val="22"/>
        </w:rPr>
        <w:t xml:space="preserve">.  </w:t>
      </w:r>
      <w:r w:rsidR="00100101" w:rsidRPr="00AB6C7F">
        <w:rPr>
          <w:rFonts w:ascii="Calibri" w:hAnsi="Calibri"/>
          <w:color w:val="auto"/>
          <w:sz w:val="22"/>
          <w:szCs w:val="22"/>
        </w:rPr>
        <w:t xml:space="preserve">The draft Budget is based on the </w:t>
      </w:r>
      <w:proofErr w:type="spellStart"/>
      <w:r w:rsidR="00100101" w:rsidRPr="00AB6C7F">
        <w:rPr>
          <w:rFonts w:ascii="Calibri" w:hAnsi="Calibri"/>
          <w:color w:val="auto"/>
          <w:sz w:val="22"/>
          <w:szCs w:val="22"/>
        </w:rPr>
        <w:t>programme</w:t>
      </w:r>
      <w:proofErr w:type="spellEnd"/>
      <w:r w:rsidR="00100101" w:rsidRPr="00AB6C7F">
        <w:rPr>
          <w:rFonts w:ascii="Calibri" w:hAnsi="Calibri"/>
          <w:color w:val="auto"/>
          <w:sz w:val="22"/>
          <w:szCs w:val="22"/>
        </w:rPr>
        <w:t xml:space="preserve"> of activities of the Union, which includes two major events, the 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World Telecommunication Standardization Assembly (WTSA) </w:t>
      </w:r>
      <w:r w:rsidR="00737406" w:rsidRPr="00AB6C7F">
        <w:rPr>
          <w:rFonts w:ascii="Calibri" w:hAnsi="Calibri"/>
          <w:color w:val="auto"/>
          <w:sz w:val="22"/>
          <w:szCs w:val="22"/>
        </w:rPr>
        <w:t>in 20</w:t>
      </w:r>
      <w:r w:rsidR="004F1F09" w:rsidRPr="00AB6C7F">
        <w:rPr>
          <w:rFonts w:ascii="Calibri" w:hAnsi="Calibri"/>
          <w:color w:val="auto"/>
          <w:sz w:val="22"/>
          <w:szCs w:val="22"/>
        </w:rPr>
        <w:t>20</w:t>
      </w:r>
      <w:r w:rsidR="00737406" w:rsidRPr="00AB6C7F">
        <w:rPr>
          <w:rFonts w:ascii="Calibri" w:hAnsi="Calibri"/>
          <w:color w:val="auto"/>
          <w:sz w:val="22"/>
          <w:szCs w:val="22"/>
        </w:rPr>
        <w:t xml:space="preserve"> and the World 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Telecommunication Development </w:t>
      </w:r>
      <w:r w:rsidR="00737406" w:rsidRPr="00AB6C7F">
        <w:rPr>
          <w:rFonts w:ascii="Calibri" w:hAnsi="Calibri"/>
          <w:color w:val="auto"/>
          <w:sz w:val="22"/>
          <w:szCs w:val="22"/>
        </w:rPr>
        <w:t xml:space="preserve">Conference 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(WTDC) </w:t>
      </w:r>
      <w:r w:rsidR="00737406" w:rsidRPr="00AB6C7F">
        <w:rPr>
          <w:rFonts w:ascii="Calibri" w:hAnsi="Calibri"/>
          <w:color w:val="auto"/>
          <w:sz w:val="22"/>
          <w:szCs w:val="22"/>
        </w:rPr>
        <w:t>in 20</w:t>
      </w:r>
      <w:r w:rsidR="004F1F09" w:rsidRPr="00AB6C7F">
        <w:rPr>
          <w:rFonts w:ascii="Calibri" w:hAnsi="Calibri"/>
          <w:color w:val="auto"/>
          <w:sz w:val="22"/>
          <w:szCs w:val="22"/>
        </w:rPr>
        <w:t>21</w:t>
      </w:r>
      <w:r w:rsidR="00737406" w:rsidRPr="00AB6C7F">
        <w:rPr>
          <w:rFonts w:ascii="Calibri" w:hAnsi="Calibri"/>
          <w:color w:val="auto"/>
          <w:sz w:val="22"/>
          <w:szCs w:val="22"/>
        </w:rPr>
        <w:t>.</w:t>
      </w:r>
    </w:p>
    <w:p w:rsidR="00100101" w:rsidRDefault="00100101" w:rsidP="002C463E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A22B0" w:rsidRPr="00AB6C7F" w:rsidRDefault="002A22B0" w:rsidP="002C46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B6C7F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Table 1</w:t>
      </w:r>
    </w:p>
    <w:p w:rsidR="002A22B0" w:rsidRPr="00AB6C7F" w:rsidRDefault="00E167C1" w:rsidP="002A22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E167C1">
        <w:rPr>
          <w:rFonts w:eastAsia="Calibri"/>
          <w:noProof/>
          <w:lang w:val="en-US" w:eastAsia="zh-CN"/>
        </w:rPr>
        <w:drawing>
          <wp:inline distT="0" distB="0" distL="0" distR="0">
            <wp:extent cx="6120765" cy="18515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01" w:rsidRPr="00AB6C7F" w:rsidRDefault="00E26A68" w:rsidP="00C43E4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5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The </w:t>
      </w:r>
      <w:r w:rsidR="00765807" w:rsidRPr="00AB6C7F">
        <w:rPr>
          <w:rFonts w:asciiTheme="minorHAnsi" w:hAnsiTheme="minorHAnsi" w:cstheme="minorBidi"/>
          <w:color w:val="auto"/>
          <w:sz w:val="22"/>
          <w:szCs w:val="22"/>
        </w:rPr>
        <w:t>value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of the contributory unit of Member States has been maintained at CHF 318,000 </w:t>
      </w:r>
      <w:r w:rsidR="00C46034" w:rsidRPr="00AB6C7F">
        <w:rPr>
          <w:rFonts w:asciiTheme="minorHAnsi" w:hAnsiTheme="minorHAnsi" w:cstheme="minorBidi"/>
          <w:color w:val="auto"/>
          <w:sz w:val="22"/>
          <w:szCs w:val="22"/>
        </w:rPr>
        <w:t>as per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Decision 5 (Rev. 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Dubai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>, 201</w:t>
      </w:r>
      <w:r w:rsidR="004F1F09" w:rsidRPr="00AB6C7F">
        <w:rPr>
          <w:rFonts w:asciiTheme="minorHAnsi" w:hAnsiTheme="minorHAnsi" w:cstheme="minorBidi"/>
          <w:color w:val="auto"/>
          <w:sz w:val="22"/>
          <w:szCs w:val="22"/>
        </w:rPr>
        <w:t>8</w:t>
      </w:r>
      <w:r w:rsidR="00FA2DBB" w:rsidRPr="00AB6C7F">
        <w:rPr>
          <w:rFonts w:asciiTheme="minorHAnsi" w:hAnsiTheme="minorHAnsi" w:cstheme="minorBidi"/>
          <w:color w:val="auto"/>
          <w:sz w:val="22"/>
          <w:szCs w:val="22"/>
        </w:rPr>
        <w:t>),</w:t>
      </w:r>
      <w:r w:rsidR="00C46034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>i.e. zero nominal growth</w:t>
      </w:r>
      <w:r w:rsidR="00CB7B09" w:rsidRPr="00AB6C7F">
        <w:rPr>
          <w:rFonts w:asciiTheme="minorHAnsi" w:hAnsiTheme="minorHAnsi" w:cstheme="minorBidi"/>
          <w:color w:val="auto"/>
          <w:sz w:val="22"/>
          <w:szCs w:val="22"/>
        </w:rPr>
        <w:t xml:space="preserve"> since the year 2006</w:t>
      </w:r>
      <w:r w:rsidR="00100101" w:rsidRPr="00AB6C7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4A02FD" w:rsidRPr="00AB6C7F" w:rsidRDefault="004A02FD" w:rsidP="00CA19EF">
      <w:pPr>
        <w:pStyle w:val="NormalWeb"/>
        <w:spacing w:before="0" w:beforeAutospacing="0" w:after="0" w:afterAutospacing="0"/>
        <w:jc w:val="both"/>
        <w:rPr>
          <w:rFonts w:ascii="Calibri" w:hAnsi="Calibri"/>
          <w:color w:val="auto"/>
          <w:sz w:val="22"/>
          <w:szCs w:val="22"/>
        </w:rPr>
      </w:pPr>
    </w:p>
    <w:p w:rsidR="004F1F09" w:rsidRPr="002A22B0" w:rsidRDefault="00E26A68" w:rsidP="00C43E4F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6</w:t>
      </w:r>
      <w:r>
        <w:rPr>
          <w:rFonts w:ascii="Calibri" w:hAnsi="Calibri"/>
          <w:color w:val="auto"/>
          <w:sz w:val="22"/>
          <w:szCs w:val="22"/>
        </w:rPr>
        <w:tab/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Revenue and </w:t>
      </w:r>
      <w:r w:rsidR="008D7F1B" w:rsidRPr="002A22B0">
        <w:rPr>
          <w:rFonts w:ascii="Calibri" w:hAnsi="Calibri"/>
          <w:color w:val="auto"/>
          <w:sz w:val="22"/>
          <w:szCs w:val="22"/>
        </w:rPr>
        <w:t>e</w:t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xpenses </w:t>
      </w:r>
      <w:r w:rsidR="00F71738" w:rsidRPr="002A22B0">
        <w:rPr>
          <w:rFonts w:ascii="Calibri" w:hAnsi="Calibri"/>
          <w:color w:val="auto"/>
          <w:sz w:val="22"/>
          <w:szCs w:val="22"/>
        </w:rPr>
        <w:t xml:space="preserve">are </w:t>
      </w:r>
      <w:r w:rsidR="002A22B0" w:rsidRPr="002A22B0">
        <w:rPr>
          <w:rFonts w:ascii="Calibri" w:hAnsi="Calibri"/>
          <w:color w:val="auto"/>
          <w:sz w:val="22"/>
          <w:szCs w:val="22"/>
        </w:rPr>
        <w:t>balanced</w:t>
      </w:r>
      <w:r w:rsidR="00B55F46" w:rsidRPr="002A22B0">
        <w:rPr>
          <w:rFonts w:ascii="Calibri" w:hAnsi="Calibri"/>
          <w:color w:val="auto"/>
          <w:sz w:val="22"/>
          <w:szCs w:val="22"/>
        </w:rPr>
        <w:t xml:space="preserve"> </w:t>
      </w:r>
      <w:r w:rsidR="00100101" w:rsidRPr="002A22B0">
        <w:rPr>
          <w:rFonts w:ascii="Calibri" w:hAnsi="Calibri"/>
          <w:color w:val="auto"/>
          <w:sz w:val="22"/>
          <w:szCs w:val="22"/>
        </w:rPr>
        <w:t xml:space="preserve">at </w:t>
      </w:r>
      <w:r w:rsidR="00100101" w:rsidRPr="002A22B0">
        <w:rPr>
          <w:rFonts w:ascii="Calibri" w:hAnsi="Calibri"/>
          <w:b/>
          <w:bCs/>
          <w:color w:val="0070C0"/>
          <w:sz w:val="22"/>
          <w:szCs w:val="22"/>
        </w:rPr>
        <w:t xml:space="preserve">CHF </w:t>
      </w:r>
      <w:r w:rsidR="004F1F09" w:rsidRPr="002A22B0">
        <w:rPr>
          <w:rFonts w:ascii="Calibri" w:hAnsi="Calibri"/>
          <w:b/>
          <w:bCs/>
          <w:color w:val="0070C0"/>
          <w:sz w:val="22"/>
          <w:szCs w:val="22"/>
        </w:rPr>
        <w:t>331.34</w:t>
      </w:r>
      <w:r w:rsidR="00100101" w:rsidRPr="002A22B0">
        <w:rPr>
          <w:rFonts w:ascii="Calibri" w:hAnsi="Calibri"/>
          <w:b/>
          <w:bCs/>
          <w:color w:val="0070C0"/>
          <w:sz w:val="22"/>
          <w:szCs w:val="22"/>
        </w:rPr>
        <w:t xml:space="preserve"> million</w:t>
      </w:r>
      <w:r w:rsidR="00100101" w:rsidRPr="002A22B0">
        <w:rPr>
          <w:rFonts w:ascii="Calibri" w:hAnsi="Calibri"/>
          <w:color w:val="auto"/>
          <w:sz w:val="22"/>
          <w:szCs w:val="22"/>
        </w:rPr>
        <w:t>.</w:t>
      </w:r>
      <w:r w:rsidR="004A02FD" w:rsidRPr="002A22B0">
        <w:rPr>
          <w:rFonts w:ascii="Calibri" w:hAnsi="Calibri"/>
          <w:color w:val="auto"/>
          <w:sz w:val="22"/>
          <w:szCs w:val="22"/>
        </w:rPr>
        <w:t xml:space="preserve">  </w:t>
      </w:r>
      <w:r w:rsidR="00B951A7" w:rsidRPr="002A22B0">
        <w:rPr>
          <w:rFonts w:ascii="Calibri" w:hAnsi="Calibri"/>
          <w:color w:val="auto"/>
          <w:sz w:val="22"/>
          <w:szCs w:val="22"/>
        </w:rPr>
        <w:t>In comparison with the</w:t>
      </w:r>
      <w:r w:rsidR="00C43E4F">
        <w:rPr>
          <w:rFonts w:ascii="Calibri" w:hAnsi="Calibri"/>
          <w:color w:val="auto"/>
          <w:sz w:val="22"/>
          <w:szCs w:val="22"/>
        </w:rPr>
        <w:t xml:space="preserve"> </w:t>
      </w:r>
      <w:r w:rsidR="00B951A7" w:rsidRPr="002A22B0">
        <w:rPr>
          <w:rFonts w:ascii="Calibri" w:hAnsi="Calibri"/>
          <w:color w:val="auto"/>
          <w:sz w:val="22"/>
          <w:szCs w:val="22"/>
        </w:rPr>
        <w:t>201</w:t>
      </w:r>
      <w:r w:rsidR="004F1F09" w:rsidRPr="002A22B0">
        <w:rPr>
          <w:rFonts w:ascii="Calibri" w:hAnsi="Calibri"/>
          <w:color w:val="auto"/>
          <w:sz w:val="22"/>
          <w:szCs w:val="22"/>
        </w:rPr>
        <w:t>8</w:t>
      </w:r>
      <w:r w:rsidR="00B951A7" w:rsidRPr="002A22B0">
        <w:rPr>
          <w:rFonts w:ascii="Calibri" w:hAnsi="Calibri"/>
          <w:color w:val="auto"/>
          <w:sz w:val="22"/>
          <w:szCs w:val="22"/>
        </w:rPr>
        <w:t>-201</w:t>
      </w:r>
      <w:r w:rsidR="004F1F09" w:rsidRPr="002A22B0">
        <w:rPr>
          <w:rFonts w:ascii="Calibri" w:hAnsi="Calibri"/>
          <w:color w:val="auto"/>
          <w:sz w:val="22"/>
          <w:szCs w:val="22"/>
        </w:rPr>
        <w:t>9</w:t>
      </w:r>
      <w:r w:rsidR="00101B9D">
        <w:rPr>
          <w:rFonts w:ascii="Calibri" w:hAnsi="Calibri"/>
          <w:color w:val="auto"/>
          <w:sz w:val="22"/>
          <w:szCs w:val="22"/>
        </w:rPr>
        <w:t> </w:t>
      </w:r>
      <w:r w:rsidR="00B951A7" w:rsidRPr="002A22B0">
        <w:rPr>
          <w:rFonts w:ascii="Calibri" w:hAnsi="Calibri"/>
          <w:color w:val="auto"/>
          <w:sz w:val="22"/>
          <w:szCs w:val="22"/>
        </w:rPr>
        <w:t xml:space="preserve">Budget, </w:t>
      </w:r>
      <w:r w:rsidR="004F1F09" w:rsidRPr="002A22B0">
        <w:rPr>
          <w:rFonts w:ascii="Calibri" w:hAnsi="Calibri"/>
          <w:color w:val="auto"/>
          <w:sz w:val="22"/>
          <w:szCs w:val="22"/>
        </w:rPr>
        <w:t>the draft budget for 2020-2021</w:t>
      </w:r>
      <w:r w:rsidR="00311812" w:rsidRPr="002A22B0">
        <w:rPr>
          <w:rFonts w:ascii="Calibri" w:hAnsi="Calibri"/>
          <w:color w:val="auto"/>
          <w:sz w:val="22"/>
          <w:szCs w:val="22"/>
        </w:rPr>
        <w:t xml:space="preserve"> is </w:t>
      </w:r>
      <w:r w:rsidR="004F1F09" w:rsidRPr="002A22B0">
        <w:rPr>
          <w:rFonts w:ascii="Calibri" w:hAnsi="Calibri"/>
          <w:color w:val="auto"/>
          <w:sz w:val="22"/>
          <w:szCs w:val="22"/>
        </w:rPr>
        <w:t>higher</w:t>
      </w:r>
      <w:r w:rsidR="00311812" w:rsidRPr="002A22B0">
        <w:rPr>
          <w:rFonts w:ascii="Calibri" w:hAnsi="Calibri"/>
          <w:color w:val="auto"/>
          <w:sz w:val="22"/>
          <w:szCs w:val="22"/>
        </w:rPr>
        <w:t xml:space="preserve"> by </w:t>
      </w:r>
      <w:r w:rsidR="00C435C8" w:rsidRPr="002A22B0">
        <w:rPr>
          <w:rFonts w:asciiTheme="minorHAnsi" w:eastAsia="Calibri" w:hAnsiTheme="minorHAnsi" w:cstheme="minorHAnsi"/>
          <w:sz w:val="22"/>
          <w:szCs w:val="22"/>
        </w:rPr>
        <w:t xml:space="preserve">CHF 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>6.72</w:t>
      </w:r>
      <w:r w:rsidR="00B951A7" w:rsidRPr="002A22B0">
        <w:rPr>
          <w:rFonts w:asciiTheme="minorHAnsi" w:eastAsia="Calibri" w:hAnsiTheme="minorHAnsi" w:cstheme="minorHAnsi"/>
          <w:sz w:val="22"/>
          <w:szCs w:val="22"/>
        </w:rPr>
        <w:t xml:space="preserve"> mil</w:t>
      </w:r>
      <w:r w:rsidR="00C435C8" w:rsidRPr="002A22B0">
        <w:rPr>
          <w:rFonts w:asciiTheme="minorHAnsi" w:eastAsia="Calibri" w:hAnsiTheme="minorHAnsi" w:cstheme="minorHAnsi"/>
          <w:sz w:val="22"/>
          <w:szCs w:val="22"/>
        </w:rPr>
        <w:t>lion</w:t>
      </w:r>
      <w:r w:rsidR="00311812" w:rsidRPr="002A22B0">
        <w:rPr>
          <w:rFonts w:asciiTheme="minorHAnsi" w:eastAsia="Calibri" w:hAnsiTheme="minorHAnsi" w:cstheme="minorHAnsi"/>
          <w:sz w:val="22"/>
          <w:szCs w:val="22"/>
        </w:rPr>
        <w:t>.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4F1F09" w:rsidRPr="002A22B0">
        <w:rPr>
          <w:rFonts w:asciiTheme="minorHAnsi" w:eastAsia="Calibri" w:hAnsiTheme="minorHAnsi" w:cstheme="minorHAnsi"/>
          <w:sz w:val="22"/>
          <w:szCs w:val="22"/>
        </w:rPr>
        <w:t xml:space="preserve">As compared to the financial plan, the 2020-2021 draft budget is lower by 0.22 million. 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>In order to a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 xml:space="preserve">chieve 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>a balance</w:t>
      </w:r>
      <w:r w:rsidR="000820BD" w:rsidRPr="002A22B0">
        <w:rPr>
          <w:rFonts w:asciiTheme="minorHAnsi" w:eastAsia="Calibri" w:hAnsiTheme="minorHAnsi" w:cstheme="minorHAnsi"/>
          <w:sz w:val="22"/>
          <w:szCs w:val="22"/>
        </w:rPr>
        <w:t>d</w:t>
      </w:r>
      <w:r w:rsidR="00B55F46" w:rsidRPr="002A22B0">
        <w:rPr>
          <w:rFonts w:asciiTheme="minorHAnsi" w:eastAsia="Calibri" w:hAnsiTheme="minorHAnsi" w:cstheme="minorHAnsi"/>
          <w:sz w:val="22"/>
          <w:szCs w:val="22"/>
        </w:rPr>
        <w:t xml:space="preserve"> Budget</w:t>
      </w:r>
      <w:r w:rsidR="00DC73BC" w:rsidRPr="002A22B0">
        <w:rPr>
          <w:rFonts w:asciiTheme="minorHAnsi" w:eastAsia="Calibri" w:hAnsiTheme="minorHAnsi" w:cstheme="minorHAnsi"/>
          <w:sz w:val="22"/>
          <w:szCs w:val="22"/>
        </w:rPr>
        <w:t>, strong efficiency measures have been applied</w:t>
      </w:r>
      <w:r w:rsidR="001655B2" w:rsidRPr="002A22B0">
        <w:rPr>
          <w:rFonts w:asciiTheme="minorHAnsi" w:eastAsia="Calibri" w:hAnsiTheme="minorHAnsi" w:cstheme="minorHAnsi"/>
          <w:sz w:val="22"/>
          <w:szCs w:val="22"/>
        </w:rPr>
        <w:t>.</w:t>
      </w:r>
    </w:p>
    <w:p w:rsidR="00A14953" w:rsidRPr="00AB6C7F" w:rsidRDefault="00E26A68" w:rsidP="00C43E4F">
      <w:pPr>
        <w:pStyle w:val="NormalWeb"/>
        <w:spacing w:before="24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7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A14953" w:rsidRPr="002A22B0">
        <w:rPr>
          <w:rFonts w:ascii="Calibri" w:hAnsi="Calibri"/>
          <w:b/>
          <w:bCs/>
          <w:color w:val="auto"/>
          <w:sz w:val="22"/>
          <w:szCs w:val="22"/>
        </w:rPr>
        <w:t>Table 2</w:t>
      </w:r>
      <w:r w:rsidR="00A14953" w:rsidRPr="00AB6C7F">
        <w:rPr>
          <w:rFonts w:ascii="Calibri" w:hAnsi="Calibri"/>
          <w:color w:val="auto"/>
          <w:sz w:val="22"/>
          <w:szCs w:val="22"/>
        </w:rPr>
        <w:t xml:space="preserve"> provides</w:t>
      </w:r>
      <w:r w:rsidR="004F1F09" w:rsidRPr="00AB6C7F">
        <w:rPr>
          <w:rFonts w:ascii="Calibri" w:hAnsi="Calibri"/>
          <w:color w:val="auto"/>
          <w:sz w:val="22"/>
          <w:szCs w:val="22"/>
        </w:rPr>
        <w:t xml:space="preserve"> the revenue forecast for 2020-2021</w:t>
      </w:r>
      <w:r w:rsidR="00BC4CB4" w:rsidRPr="00AB6C7F">
        <w:rPr>
          <w:rFonts w:ascii="Calibri" w:hAnsi="Calibri"/>
          <w:color w:val="auto"/>
          <w:sz w:val="22"/>
          <w:szCs w:val="22"/>
        </w:rPr>
        <w:t>.</w:t>
      </w:r>
    </w:p>
    <w:p w:rsidR="0033649B" w:rsidRPr="00AB6C7F" w:rsidRDefault="003364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</w:p>
    <w:p w:rsidR="00A14953" w:rsidRPr="00AB6C7F" w:rsidRDefault="00A14953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76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</w:pPr>
      <w:r w:rsidRPr="00AB6C7F">
        <w:rPr>
          <w:rFonts w:asciiTheme="minorHAnsi" w:eastAsia="Calibri" w:hAnsiTheme="minorHAnsi" w:cstheme="minorHAnsi"/>
          <w:b/>
          <w:bCs/>
          <w:sz w:val="22"/>
          <w:szCs w:val="22"/>
          <w:lang w:val="en-US"/>
        </w:rPr>
        <w:t>Table 2</w:t>
      </w:r>
    </w:p>
    <w:p w:rsidR="00E66359" w:rsidRPr="00AB6C7F" w:rsidRDefault="00E167C1" w:rsidP="00DC73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center"/>
        <w:textAlignment w:val="auto"/>
        <w:rPr>
          <w:rFonts w:eastAsia="Calibri"/>
          <w:noProof/>
          <w:sz w:val="22"/>
          <w:szCs w:val="22"/>
          <w:lang w:eastAsia="zh-CN"/>
        </w:rPr>
      </w:pPr>
      <w:r w:rsidRPr="00E167C1">
        <w:rPr>
          <w:rFonts w:eastAsia="Calibri"/>
          <w:noProof/>
          <w:lang w:val="en-US" w:eastAsia="zh-CN"/>
        </w:rPr>
        <w:drawing>
          <wp:inline distT="0" distB="0" distL="0" distR="0">
            <wp:extent cx="6120765" cy="474048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C7F" w:rsidRDefault="00AB6C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2"/>
          <w:szCs w:val="22"/>
          <w:lang w:val="en-US" w:eastAsia="zh-CN"/>
        </w:rPr>
      </w:pPr>
    </w:p>
    <w:p w:rsidR="00A957E3" w:rsidRPr="00E167C1" w:rsidRDefault="00E167C1" w:rsidP="00E26A68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theme="minorHAnsi"/>
          <w:sz w:val="22"/>
          <w:szCs w:val="22"/>
        </w:rPr>
      </w:pPr>
      <w:r w:rsidRPr="00E167C1">
        <w:rPr>
          <w:rFonts w:ascii="Calibri" w:hAnsi="Calibri"/>
          <w:color w:val="auto"/>
          <w:sz w:val="22"/>
          <w:szCs w:val="22"/>
        </w:rPr>
        <w:t>8</w:t>
      </w:r>
      <w:r w:rsidR="00E26A68" w:rsidRPr="00E167C1">
        <w:rPr>
          <w:rFonts w:ascii="Calibri" w:hAnsi="Calibri"/>
          <w:color w:val="auto"/>
          <w:sz w:val="22"/>
          <w:szCs w:val="22"/>
        </w:rPr>
        <w:tab/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The draft Budget under the Results-based budgeting format will be presented to Council at its </w:t>
      </w:r>
      <w:r w:rsidR="002A22B0" w:rsidRPr="00E167C1">
        <w:rPr>
          <w:rFonts w:ascii="Calibri" w:hAnsi="Calibri"/>
          <w:color w:val="auto"/>
          <w:sz w:val="22"/>
          <w:szCs w:val="22"/>
        </w:rPr>
        <w:t>2019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 session. Linkage with the Goals and Objectives of the Strategic Plan for the Union for 20</w:t>
      </w:r>
      <w:r w:rsidR="00AB6C7F" w:rsidRPr="00E167C1">
        <w:rPr>
          <w:rFonts w:ascii="Calibri" w:hAnsi="Calibri"/>
          <w:color w:val="auto"/>
          <w:sz w:val="22"/>
          <w:szCs w:val="22"/>
        </w:rPr>
        <w:t>20</w:t>
      </w:r>
      <w:r w:rsidR="00A957E3" w:rsidRPr="00E167C1">
        <w:rPr>
          <w:rFonts w:ascii="Calibri" w:hAnsi="Calibri"/>
          <w:color w:val="auto"/>
          <w:sz w:val="22"/>
          <w:szCs w:val="22"/>
        </w:rPr>
        <w:t>-20</w:t>
      </w:r>
      <w:r w:rsidR="00AB6C7F" w:rsidRPr="00E167C1">
        <w:rPr>
          <w:rFonts w:ascii="Calibri" w:hAnsi="Calibri"/>
          <w:color w:val="auto"/>
          <w:sz w:val="22"/>
          <w:szCs w:val="22"/>
        </w:rPr>
        <w:t>23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 necessitates 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various cost allocations </w:t>
      </w:r>
      <w:r w:rsidR="00A957E3" w:rsidRPr="00E167C1">
        <w:rPr>
          <w:rFonts w:ascii="Calibri" w:hAnsi="Calibri"/>
          <w:color w:val="auto"/>
          <w:sz w:val="22"/>
          <w:szCs w:val="22"/>
        </w:rPr>
        <w:t xml:space="preserve">which </w:t>
      </w:r>
      <w:r w:rsidR="00376F84" w:rsidRPr="00E167C1">
        <w:rPr>
          <w:rFonts w:ascii="Calibri" w:hAnsi="Calibri"/>
          <w:color w:val="auto"/>
          <w:sz w:val="22"/>
          <w:szCs w:val="22"/>
        </w:rPr>
        <w:t xml:space="preserve">are </w:t>
      </w:r>
      <w:r w:rsidR="00DD366C" w:rsidRPr="00E167C1">
        <w:rPr>
          <w:rFonts w:ascii="Calibri" w:hAnsi="Calibri"/>
          <w:color w:val="auto"/>
          <w:sz w:val="22"/>
          <w:szCs w:val="22"/>
        </w:rPr>
        <w:t>on-going</w:t>
      </w:r>
      <w:r w:rsidR="00A957E3" w:rsidRPr="00E167C1">
        <w:rPr>
          <w:rFonts w:ascii="Calibri" w:hAnsi="Calibri"/>
          <w:color w:val="auto"/>
          <w:sz w:val="22"/>
          <w:szCs w:val="22"/>
        </w:rPr>
        <w:t>.</w:t>
      </w:r>
    </w:p>
    <w:p w:rsidR="00AB6C7F" w:rsidRPr="00E167C1" w:rsidRDefault="00AB6C7F" w:rsidP="002C463E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theme="minorHAnsi"/>
          <w:sz w:val="22"/>
          <w:szCs w:val="22"/>
        </w:rPr>
      </w:pPr>
    </w:p>
    <w:p w:rsidR="00AB6C7F" w:rsidRPr="00E167C1" w:rsidRDefault="00E167C1" w:rsidP="0061174F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Calibri" w:eastAsia="Calibri" w:hAnsi="Calibri" w:cstheme="minorHAnsi"/>
          <w:sz w:val="22"/>
          <w:szCs w:val="22"/>
        </w:rPr>
      </w:pPr>
      <w:r w:rsidRPr="00E167C1">
        <w:rPr>
          <w:rFonts w:ascii="Calibri" w:hAnsi="Calibri"/>
          <w:color w:val="auto"/>
          <w:sz w:val="22"/>
          <w:szCs w:val="22"/>
        </w:rPr>
        <w:t>9</w:t>
      </w:r>
      <w:r w:rsidR="00E26A68" w:rsidRPr="00E167C1">
        <w:rPr>
          <w:rFonts w:ascii="Calibri" w:hAnsi="Calibri"/>
          <w:color w:val="auto"/>
          <w:sz w:val="22"/>
          <w:szCs w:val="22"/>
        </w:rPr>
        <w:tab/>
      </w:r>
      <w:r w:rsidR="00AB6C7F" w:rsidRPr="00E167C1">
        <w:rPr>
          <w:rFonts w:ascii="Calibri" w:hAnsi="Calibri"/>
          <w:color w:val="auto"/>
          <w:sz w:val="22"/>
          <w:szCs w:val="22"/>
        </w:rPr>
        <w:t>A 5% vacancy rate has also been applied</w:t>
      </w:r>
      <w:r w:rsidR="00F71738" w:rsidRPr="00E167C1">
        <w:rPr>
          <w:rFonts w:ascii="Calibri" w:hAnsi="Calibri"/>
          <w:color w:val="auto"/>
          <w:sz w:val="22"/>
          <w:szCs w:val="22"/>
        </w:rPr>
        <w:t xml:space="preserve"> as </w:t>
      </w:r>
      <w:r w:rsidR="002A22B0" w:rsidRPr="00E167C1">
        <w:rPr>
          <w:rFonts w:ascii="Calibri" w:hAnsi="Calibri"/>
          <w:color w:val="auto"/>
          <w:sz w:val="22"/>
          <w:szCs w:val="22"/>
        </w:rPr>
        <w:t xml:space="preserve">this was the case for </w:t>
      </w:r>
      <w:r w:rsidR="00F71738" w:rsidRPr="00E167C1">
        <w:rPr>
          <w:rFonts w:ascii="Calibri" w:hAnsi="Calibri"/>
          <w:color w:val="auto"/>
          <w:sz w:val="22"/>
          <w:szCs w:val="22"/>
        </w:rPr>
        <w:t>previous budgets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, which results from an assessed combination of recruitment delays, part-time staff and leave without pay.  The implementation of the vacancy rate </w:t>
      </w:r>
      <w:r w:rsidR="00E15E63" w:rsidRPr="00E167C1">
        <w:rPr>
          <w:rFonts w:ascii="Calibri" w:hAnsi="Calibri"/>
          <w:color w:val="auto"/>
          <w:sz w:val="22"/>
          <w:szCs w:val="22"/>
        </w:rPr>
        <w:t>will be</w:t>
      </w:r>
      <w:r w:rsidR="00AB6C7F" w:rsidRPr="00E167C1">
        <w:rPr>
          <w:rFonts w:ascii="Calibri" w:hAnsi="Calibri"/>
          <w:color w:val="auto"/>
          <w:sz w:val="22"/>
          <w:szCs w:val="22"/>
        </w:rPr>
        <w:t xml:space="preserve"> a significant challenge in the management of vacant positions and the recruitment process.</w:t>
      </w:r>
    </w:p>
    <w:p w:rsidR="00E167C1" w:rsidRDefault="00E167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br w:type="page"/>
      </w:r>
    </w:p>
    <w:p w:rsidR="00B62DEB" w:rsidRPr="00E167C1" w:rsidRDefault="00E167C1" w:rsidP="00E26A68">
      <w:pPr>
        <w:snapToGrid w:val="0"/>
        <w:spacing w:before="0"/>
        <w:jc w:val="both"/>
        <w:rPr>
          <w:rFonts w:ascii="Calibri" w:eastAsia="Calibri" w:hAnsi="Calibri" w:cs="Arial"/>
          <w:sz w:val="22"/>
          <w:szCs w:val="22"/>
        </w:rPr>
      </w:pPr>
      <w:r w:rsidRPr="00E167C1">
        <w:rPr>
          <w:rFonts w:ascii="Calibri" w:eastAsia="Calibri" w:hAnsi="Calibri" w:cs="Arial"/>
          <w:sz w:val="22"/>
          <w:szCs w:val="22"/>
        </w:rPr>
        <w:lastRenderedPageBreak/>
        <w:t>10</w:t>
      </w:r>
      <w:r w:rsidR="00E26A68" w:rsidRPr="00E167C1">
        <w:rPr>
          <w:rFonts w:ascii="Calibri" w:eastAsia="Calibri" w:hAnsi="Calibri" w:cs="Arial"/>
          <w:sz w:val="22"/>
          <w:szCs w:val="22"/>
        </w:rPr>
        <w:tab/>
      </w:r>
      <w:r w:rsidR="00AB6C7F" w:rsidRPr="00E167C1">
        <w:rPr>
          <w:rFonts w:ascii="Calibri" w:eastAsia="Calibri" w:hAnsi="Calibri" w:cs="Arial"/>
          <w:sz w:val="22"/>
          <w:szCs w:val="22"/>
        </w:rPr>
        <w:t xml:space="preserve">As compared to the </w:t>
      </w:r>
      <w:r w:rsidR="00E26A68" w:rsidRPr="00E167C1">
        <w:rPr>
          <w:rFonts w:ascii="Calibri" w:eastAsia="Calibri" w:hAnsi="Calibri" w:cs="Arial"/>
          <w:sz w:val="22"/>
          <w:szCs w:val="22"/>
        </w:rPr>
        <w:t>f</w:t>
      </w:r>
      <w:r w:rsidR="00AB6C7F" w:rsidRPr="00E167C1">
        <w:rPr>
          <w:rFonts w:ascii="Calibri" w:eastAsia="Calibri" w:hAnsi="Calibri" w:cs="Arial"/>
          <w:sz w:val="22"/>
          <w:szCs w:val="22"/>
        </w:rPr>
        <w:t xml:space="preserve">inancial plan, </w:t>
      </w:r>
      <w:r w:rsidR="00B62DEB" w:rsidRPr="00E167C1">
        <w:rPr>
          <w:rFonts w:ascii="Calibri" w:eastAsia="Calibri" w:hAnsi="Calibri" w:cs="Arial"/>
          <w:sz w:val="22"/>
          <w:szCs w:val="22"/>
        </w:rPr>
        <w:t xml:space="preserve">some specific expenses, currently decentralized, have been centralized for </w:t>
      </w:r>
      <w:r w:rsidR="00F71738" w:rsidRPr="00E167C1">
        <w:rPr>
          <w:rFonts w:ascii="Calibri" w:eastAsia="Calibri" w:hAnsi="Calibri" w:cs="Arial"/>
          <w:sz w:val="22"/>
          <w:szCs w:val="22"/>
        </w:rPr>
        <w:t xml:space="preserve">efficient </w:t>
      </w:r>
      <w:r w:rsidR="00B62DEB" w:rsidRPr="00E167C1">
        <w:rPr>
          <w:rFonts w:ascii="Calibri" w:eastAsia="Calibri" w:hAnsi="Calibri" w:cs="Arial"/>
          <w:sz w:val="22"/>
          <w:szCs w:val="22"/>
        </w:rPr>
        <w:t>planning and management</w:t>
      </w:r>
      <w:r w:rsidR="002A22B0" w:rsidRPr="00E167C1">
        <w:rPr>
          <w:rFonts w:ascii="Calibri" w:eastAsia="Calibri" w:hAnsi="Calibri" w:cs="Arial"/>
          <w:sz w:val="22"/>
          <w:szCs w:val="22"/>
        </w:rPr>
        <w:t>,</w:t>
      </w:r>
      <w:r w:rsidR="00B23D2D" w:rsidRPr="00E167C1">
        <w:rPr>
          <w:rFonts w:ascii="Calibri" w:eastAsia="Calibri" w:hAnsi="Calibri" w:cs="Arial"/>
          <w:sz w:val="22"/>
          <w:szCs w:val="22"/>
        </w:rPr>
        <w:t xml:space="preserve"> </w:t>
      </w:r>
      <w:r w:rsidR="002A22B0" w:rsidRPr="00E167C1">
        <w:rPr>
          <w:rFonts w:ascii="Calibri" w:eastAsia="Calibri" w:hAnsi="Calibri" w:cs="Arial"/>
          <w:sz w:val="22"/>
          <w:szCs w:val="22"/>
        </w:rPr>
        <w:t xml:space="preserve">as indicated in </w:t>
      </w:r>
      <w:r w:rsidR="002A22B0" w:rsidRPr="00E167C1">
        <w:rPr>
          <w:rFonts w:ascii="Calibri" w:eastAsia="Calibri" w:hAnsi="Calibri" w:cs="Arial"/>
          <w:b/>
          <w:bCs/>
          <w:sz w:val="22"/>
          <w:szCs w:val="22"/>
        </w:rPr>
        <w:t>Table 3</w:t>
      </w:r>
      <w:r w:rsidR="002A22B0" w:rsidRPr="00E167C1">
        <w:rPr>
          <w:rFonts w:ascii="Calibri" w:eastAsia="Calibri" w:hAnsi="Calibri" w:cs="Arial"/>
          <w:sz w:val="22"/>
          <w:szCs w:val="22"/>
        </w:rPr>
        <w:t xml:space="preserve"> below</w:t>
      </w:r>
      <w:r w:rsidR="00B62DEB" w:rsidRPr="00E167C1">
        <w:rPr>
          <w:rFonts w:ascii="Calibri" w:eastAsia="Calibri" w:hAnsi="Calibri" w:cs="Arial"/>
          <w:sz w:val="22"/>
          <w:szCs w:val="22"/>
        </w:rPr>
        <w:t>:</w:t>
      </w:r>
    </w:p>
    <w:p w:rsidR="002A22B0" w:rsidRPr="002C463E" w:rsidRDefault="002A22B0" w:rsidP="002C463E">
      <w:pPr>
        <w:snapToGrid w:val="0"/>
        <w:spacing w:before="0"/>
        <w:rPr>
          <w:rFonts w:ascii="Calibri" w:eastAsia="Calibri" w:hAnsi="Calibri" w:cs="Arial"/>
          <w:szCs w:val="24"/>
        </w:rPr>
      </w:pPr>
    </w:p>
    <w:p w:rsidR="00B62DEB" w:rsidRPr="007C46CF" w:rsidRDefault="007C46CF" w:rsidP="00101B9D">
      <w:pPr>
        <w:pStyle w:val="ListParagraph"/>
        <w:spacing w:after="0"/>
        <w:ind w:left="0"/>
        <w:jc w:val="center"/>
        <w:rPr>
          <w:rFonts w:eastAsia="Calibri" w:cs="Arial"/>
          <w:b/>
          <w:bCs/>
        </w:rPr>
      </w:pPr>
      <w:r w:rsidRPr="002A22B0">
        <w:rPr>
          <w:rFonts w:eastAsia="Calibri" w:cs="Arial"/>
          <w:b/>
          <w:bCs/>
        </w:rPr>
        <w:t>Table 3</w:t>
      </w:r>
    </w:p>
    <w:p w:rsidR="00B62DEB" w:rsidRDefault="008C7193" w:rsidP="00B62DEB">
      <w:pPr>
        <w:pStyle w:val="ListParagraph"/>
        <w:spacing w:after="0"/>
        <w:ind w:left="0"/>
        <w:jc w:val="both"/>
        <w:rPr>
          <w:rFonts w:eastAsia="Calibri" w:cs="Arial"/>
        </w:rPr>
      </w:pPr>
      <w:r w:rsidRPr="008C7193">
        <w:rPr>
          <w:noProof/>
        </w:rPr>
        <w:drawing>
          <wp:inline distT="0" distB="0" distL="0" distR="0">
            <wp:extent cx="6120765" cy="1462484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0F" w:rsidRPr="00AB6C7F" w:rsidRDefault="0026330F" w:rsidP="00CA19E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eastAsia="Calibri" w:hAnsiTheme="minorHAnsi" w:cs="Arial"/>
          <w:b/>
          <w:bCs/>
          <w:sz w:val="22"/>
          <w:szCs w:val="22"/>
          <w:lang w:val="en-US"/>
        </w:rPr>
      </w:pPr>
    </w:p>
    <w:p w:rsidR="002A22B0" w:rsidRPr="002A22B0" w:rsidRDefault="00E26A68" w:rsidP="00E167C1">
      <w:pPr>
        <w:pStyle w:val="ListParagraph"/>
        <w:spacing w:after="0" w:line="240" w:lineRule="auto"/>
        <w:ind w:left="0"/>
        <w:jc w:val="both"/>
        <w:rPr>
          <w:rFonts w:eastAsia="Calibri" w:cs="Arial"/>
          <w:szCs w:val="18"/>
        </w:rPr>
      </w:pPr>
      <w:r>
        <w:rPr>
          <w:rFonts w:eastAsia="Calibri" w:cs="Arial"/>
        </w:rPr>
        <w:t>1</w:t>
      </w:r>
      <w:r w:rsidR="00E167C1">
        <w:rPr>
          <w:rFonts w:eastAsia="Calibri" w:cs="Arial"/>
        </w:rPr>
        <w:t>1</w:t>
      </w:r>
      <w:r>
        <w:rPr>
          <w:rFonts w:eastAsia="Calibri" w:cs="Arial"/>
        </w:rPr>
        <w:tab/>
      </w:r>
      <w:r w:rsidR="00B62DEB" w:rsidRPr="00B62DEB">
        <w:rPr>
          <w:rFonts w:eastAsia="Calibri" w:cs="Arial"/>
        </w:rPr>
        <w:t xml:space="preserve">The approved financial plan </w:t>
      </w:r>
      <w:r w:rsidR="00B62DEB">
        <w:rPr>
          <w:rFonts w:eastAsia="Calibri" w:cs="Arial"/>
        </w:rPr>
        <w:t>already reflected the centralization of the following items</w:t>
      </w:r>
      <w:r w:rsidR="00B23D2D">
        <w:rPr>
          <w:rFonts w:eastAsia="Calibri" w:cs="Arial"/>
        </w:rPr>
        <w:t xml:space="preserve"> </w:t>
      </w:r>
      <w:r w:rsidR="00B23D2D" w:rsidRPr="002A22B0">
        <w:rPr>
          <w:rFonts w:eastAsia="Calibri" w:cs="Arial"/>
        </w:rPr>
        <w:t xml:space="preserve">as </w:t>
      </w:r>
      <w:r w:rsidR="002A22B0" w:rsidRPr="002A22B0">
        <w:rPr>
          <w:rFonts w:eastAsia="Calibri" w:cs="Arial"/>
        </w:rPr>
        <w:t>indicated</w:t>
      </w:r>
      <w:r w:rsidR="00B23D2D" w:rsidRPr="002A22B0">
        <w:rPr>
          <w:rFonts w:eastAsia="Calibri" w:cs="Arial"/>
        </w:rPr>
        <w:t xml:space="preserve"> </w:t>
      </w:r>
      <w:r w:rsidR="002A22B0" w:rsidRPr="002A22B0">
        <w:rPr>
          <w:rFonts w:eastAsia="Calibri" w:cs="Arial"/>
        </w:rPr>
        <w:t xml:space="preserve">in </w:t>
      </w:r>
      <w:r w:rsidR="002A22B0" w:rsidRPr="002A22B0">
        <w:rPr>
          <w:rFonts w:eastAsia="Calibri" w:cs="Arial"/>
          <w:b/>
          <w:bCs/>
        </w:rPr>
        <w:t>Table</w:t>
      </w:r>
      <w:r w:rsidR="002C463E">
        <w:rPr>
          <w:rFonts w:eastAsia="Calibri" w:cs="Arial"/>
          <w:b/>
          <w:bCs/>
        </w:rPr>
        <w:t> </w:t>
      </w:r>
      <w:r w:rsidR="002A22B0" w:rsidRPr="002A22B0">
        <w:rPr>
          <w:rFonts w:eastAsia="Calibri" w:cs="Arial"/>
          <w:b/>
          <w:bCs/>
        </w:rPr>
        <w:t>4</w:t>
      </w:r>
      <w:r w:rsidR="002A22B0" w:rsidRPr="002A22B0">
        <w:rPr>
          <w:rFonts w:eastAsia="Calibri" w:cs="Arial"/>
        </w:rPr>
        <w:t xml:space="preserve"> below:</w:t>
      </w:r>
    </w:p>
    <w:p w:rsidR="007C46CF" w:rsidRPr="002A22B0" w:rsidRDefault="007C46CF" w:rsidP="002A22B0">
      <w:pPr>
        <w:pStyle w:val="ListParagraph"/>
        <w:spacing w:after="0" w:line="240" w:lineRule="auto"/>
        <w:ind w:left="0"/>
        <w:jc w:val="center"/>
        <w:rPr>
          <w:rFonts w:eastAsia="Calibri" w:cs="Arial"/>
          <w:szCs w:val="18"/>
        </w:rPr>
      </w:pPr>
      <w:r w:rsidRPr="002A22B0">
        <w:rPr>
          <w:rFonts w:eastAsia="Calibri" w:cstheme="minorHAnsi"/>
          <w:b/>
          <w:bCs/>
          <w:szCs w:val="18"/>
        </w:rPr>
        <w:t>Table 4</w:t>
      </w:r>
    </w:p>
    <w:p w:rsidR="00FA6347" w:rsidRDefault="008C7193" w:rsidP="00FA6347">
      <w:pPr>
        <w:jc w:val="both"/>
        <w:rPr>
          <w:rFonts w:eastAsia="Calibri" w:cs="Arial"/>
        </w:rPr>
      </w:pPr>
      <w:r w:rsidRPr="008C7193">
        <w:rPr>
          <w:rFonts w:eastAsia="Calibri"/>
          <w:noProof/>
          <w:lang w:val="en-US" w:eastAsia="zh-CN"/>
        </w:rPr>
        <w:drawing>
          <wp:inline distT="0" distB="0" distL="0" distR="0">
            <wp:extent cx="6120765" cy="15640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6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47" w:rsidRPr="00FA6347" w:rsidRDefault="00FA6347" w:rsidP="00CB3C1A">
      <w:pPr>
        <w:spacing w:before="60"/>
        <w:jc w:val="both"/>
        <w:rPr>
          <w:rFonts w:eastAsia="Calibri" w:cs="Arial"/>
        </w:rPr>
      </w:pPr>
    </w:p>
    <w:p w:rsidR="00E167C1" w:rsidRDefault="00E167C1" w:rsidP="00E167C1">
      <w:pPr>
        <w:pStyle w:val="NormalWeb"/>
        <w:spacing w:before="0" w:beforeAutospacing="0" w:after="0" w:afterAutospacing="0"/>
        <w:jc w:val="both"/>
        <w:rPr>
          <w:rFonts w:ascii="Calibri" w:eastAsia="Calibri" w:hAnsi="Calibri" w:cstheme="minorHAnsi"/>
          <w:b/>
          <w:bCs/>
        </w:rPr>
      </w:pPr>
      <w:r>
        <w:rPr>
          <w:rFonts w:asciiTheme="minorHAnsi" w:eastAsia="Calibri" w:hAnsiTheme="minorHAnsi" w:cstheme="minorHAnsi"/>
          <w:sz w:val="22"/>
          <w:szCs w:val="22"/>
        </w:rPr>
        <w:t>12</w:t>
      </w:r>
      <w:r w:rsidR="00E26A68">
        <w:rPr>
          <w:rFonts w:asciiTheme="minorHAnsi" w:eastAsia="Calibri" w:hAnsiTheme="minorHAnsi" w:cstheme="minorHAnsi"/>
          <w:sz w:val="22"/>
          <w:szCs w:val="22"/>
        </w:rPr>
        <w:tab/>
      </w:r>
      <w:r w:rsidR="00231193">
        <w:rPr>
          <w:rFonts w:asciiTheme="minorHAnsi" w:eastAsia="Calibri" w:hAnsiTheme="minorHAnsi" w:cstheme="minorHAnsi"/>
          <w:sz w:val="22"/>
          <w:szCs w:val="22"/>
        </w:rPr>
        <w:t>For sake of transparency and efficiency, a</w:t>
      </w:r>
      <w:r w:rsidR="00151EE5">
        <w:rPr>
          <w:rFonts w:asciiTheme="minorHAnsi" w:eastAsia="Calibri" w:hAnsiTheme="minorHAnsi" w:cstheme="minorHAnsi"/>
          <w:sz w:val="22"/>
          <w:szCs w:val="22"/>
        </w:rPr>
        <w:t xml:space="preserve">n ITU common expenses </w:t>
      </w:r>
      <w:r w:rsidR="00231193">
        <w:rPr>
          <w:rFonts w:asciiTheme="minorHAnsi" w:eastAsia="Calibri" w:hAnsiTheme="minorHAnsi" w:cstheme="minorHAnsi"/>
          <w:sz w:val="22"/>
          <w:szCs w:val="22"/>
        </w:rPr>
        <w:t>cost center</w:t>
      </w:r>
      <w:r w:rsidR="00151EE5">
        <w:rPr>
          <w:rFonts w:asciiTheme="minorHAnsi" w:eastAsia="Calibri" w:hAnsiTheme="minorHAnsi" w:cstheme="minorHAnsi"/>
          <w:sz w:val="22"/>
          <w:szCs w:val="22"/>
        </w:rPr>
        <w:t xml:space="preserve"> has been created for 2020-2021 onwards that </w:t>
      </w:r>
      <w:r w:rsidR="00151EE5" w:rsidRPr="002A22B0">
        <w:rPr>
          <w:rFonts w:asciiTheme="minorHAnsi" w:eastAsia="Calibri" w:hAnsiTheme="minorHAnsi" w:cstheme="minorHAnsi"/>
          <w:color w:val="auto"/>
          <w:sz w:val="22"/>
          <w:szCs w:val="22"/>
        </w:rPr>
        <w:t>consolidate</w:t>
      </w:r>
      <w:r w:rsidR="002A22B0" w:rsidRPr="002A22B0">
        <w:rPr>
          <w:rFonts w:asciiTheme="minorHAnsi" w:eastAsia="Calibri" w:hAnsiTheme="minorHAnsi" w:cstheme="minorHAnsi"/>
          <w:color w:val="auto"/>
          <w:sz w:val="22"/>
          <w:szCs w:val="22"/>
        </w:rPr>
        <w:t>s</w:t>
      </w:r>
      <w:r w:rsidR="00151EE5" w:rsidRPr="002A22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most of</w:t>
      </w:r>
      <w:r w:rsidR="00151EE5" w:rsidRPr="002A22B0">
        <w:rPr>
          <w:rFonts w:asciiTheme="minorHAnsi" w:eastAsia="Calibri" w:hAnsiTheme="minorHAnsi" w:cstheme="minorHAnsi"/>
          <w:sz w:val="22"/>
          <w:szCs w:val="22"/>
        </w:rPr>
        <w:t xml:space="preserve"> ITU common 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 xml:space="preserve">and central </w:t>
      </w:r>
      <w:r w:rsidR="00151EE5" w:rsidRPr="002A22B0">
        <w:rPr>
          <w:rFonts w:asciiTheme="minorHAnsi" w:eastAsia="Calibri" w:hAnsiTheme="minorHAnsi" w:cstheme="minorHAnsi"/>
          <w:sz w:val="22"/>
          <w:szCs w:val="22"/>
        </w:rPr>
        <w:t>expenses.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 xml:space="preserve"> It includes the following appropriations</w:t>
      </w:r>
      <w:r w:rsidR="00B23D2D" w:rsidRPr="002A22B0">
        <w:rPr>
          <w:rFonts w:asciiTheme="minorHAnsi" w:eastAsia="Calibri" w:hAnsiTheme="minorHAnsi" w:cstheme="minorHAnsi"/>
          <w:sz w:val="22"/>
          <w:szCs w:val="22"/>
        </w:rPr>
        <w:t>, as in</w:t>
      </w:r>
      <w:r w:rsidR="002A22B0" w:rsidRPr="002A22B0">
        <w:rPr>
          <w:rFonts w:asciiTheme="minorHAnsi" w:eastAsia="Calibri" w:hAnsiTheme="minorHAnsi" w:cstheme="minorHAnsi"/>
          <w:sz w:val="22"/>
          <w:szCs w:val="22"/>
        </w:rPr>
        <w:t>dicated in</w:t>
      </w:r>
      <w:r w:rsidR="00B23D2D" w:rsidRPr="002A22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23D2D" w:rsidRPr="002A22B0">
        <w:rPr>
          <w:rFonts w:asciiTheme="minorHAnsi" w:eastAsia="Calibri" w:hAnsiTheme="minorHAnsi" w:cstheme="minorHAnsi"/>
          <w:b/>
          <w:bCs/>
          <w:sz w:val="22"/>
          <w:szCs w:val="22"/>
        </w:rPr>
        <w:t>Table 5</w:t>
      </w:r>
      <w:r w:rsidR="002A22B0" w:rsidRPr="002A22B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on </w:t>
      </w:r>
      <w:r w:rsidR="00056D70"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>
        <w:rPr>
          <w:rFonts w:asciiTheme="minorHAnsi" w:eastAsia="Calibri" w:hAnsiTheme="minorHAnsi" w:cstheme="minorHAnsi"/>
          <w:sz w:val="22"/>
          <w:szCs w:val="22"/>
        </w:rPr>
        <w:t>next page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:</w:t>
      </w:r>
    </w:p>
    <w:p w:rsidR="00E167C1" w:rsidRDefault="00E167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Calibri" w:hAnsi="Calibri" w:cstheme="minorHAnsi"/>
          <w:b/>
          <w:bCs/>
          <w:szCs w:val="24"/>
          <w:lang w:val="en-US"/>
        </w:rPr>
      </w:pPr>
      <w:r>
        <w:rPr>
          <w:rFonts w:ascii="Calibri" w:eastAsia="Calibri" w:hAnsi="Calibri" w:cstheme="minorHAnsi"/>
          <w:b/>
          <w:bCs/>
          <w:szCs w:val="24"/>
          <w:lang w:val="en-US"/>
        </w:rPr>
        <w:br w:type="page"/>
      </w:r>
    </w:p>
    <w:p w:rsidR="007C46CF" w:rsidRDefault="007C46CF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  <w:r w:rsidRPr="00E26A68">
        <w:rPr>
          <w:rFonts w:ascii="Calibri" w:eastAsia="Calibri" w:hAnsi="Calibri" w:cstheme="minorHAnsi"/>
          <w:b/>
          <w:bCs/>
          <w:szCs w:val="24"/>
        </w:rPr>
        <w:lastRenderedPageBreak/>
        <w:t>Table 5</w:t>
      </w:r>
    </w:p>
    <w:p w:rsidR="00151EE5" w:rsidRDefault="0061174F" w:rsidP="00056D70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174F">
        <w:rPr>
          <w:noProof/>
        </w:rPr>
        <w:drawing>
          <wp:inline distT="0" distB="0" distL="0" distR="0">
            <wp:extent cx="5189220" cy="3756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93" w:rsidRDefault="00231193" w:rsidP="00231193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A6347" w:rsidRDefault="00E26A68" w:rsidP="00E167C1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6A68">
        <w:rPr>
          <w:rFonts w:asciiTheme="minorHAnsi" w:eastAsia="Calibri" w:hAnsiTheme="minorHAnsi" w:cstheme="minorHAnsi"/>
          <w:sz w:val="22"/>
          <w:szCs w:val="22"/>
        </w:rPr>
        <w:t>1</w:t>
      </w:r>
      <w:r w:rsidR="00E167C1">
        <w:rPr>
          <w:rFonts w:asciiTheme="minorHAnsi" w:eastAsia="Calibri" w:hAnsiTheme="minorHAnsi" w:cstheme="minorHAnsi"/>
          <w:sz w:val="22"/>
          <w:szCs w:val="22"/>
        </w:rPr>
        <w:t>3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B23D2D" w:rsidRPr="002A22B0">
        <w:rPr>
          <w:rFonts w:asciiTheme="minorHAnsi" w:eastAsia="Calibri" w:hAnsiTheme="minorHAnsi" w:cstheme="minorHAnsi"/>
          <w:b/>
          <w:bCs/>
          <w:sz w:val="22"/>
          <w:szCs w:val="22"/>
        </w:rPr>
        <w:t>Table 6</w:t>
      </w:r>
      <w:r w:rsidR="00B23D2D" w:rsidRPr="002A22B0">
        <w:rPr>
          <w:rFonts w:asciiTheme="minorHAnsi" w:eastAsia="Calibri" w:hAnsiTheme="minorHAnsi" w:cstheme="minorHAnsi"/>
          <w:sz w:val="22"/>
          <w:szCs w:val="22"/>
        </w:rPr>
        <w:t xml:space="preserve"> shows </w:t>
      </w:r>
      <w:r w:rsidR="002A22B0">
        <w:rPr>
          <w:rFonts w:asciiTheme="minorHAnsi" w:eastAsia="Calibri" w:hAnsiTheme="minorHAnsi" w:cstheme="minorHAnsi"/>
          <w:sz w:val="22"/>
          <w:szCs w:val="22"/>
        </w:rPr>
        <w:t>the</w:t>
      </w:r>
      <w:r w:rsidR="00FA6347">
        <w:rPr>
          <w:rFonts w:asciiTheme="minorHAnsi" w:eastAsia="Calibri" w:hAnsiTheme="minorHAnsi" w:cstheme="minorHAnsi"/>
          <w:sz w:val="22"/>
          <w:szCs w:val="22"/>
        </w:rPr>
        <w:t xml:space="preserve"> number of budgeted posts for the 2020-2021 timeframe</w:t>
      </w:r>
      <w:r w:rsidR="002A22B0">
        <w:rPr>
          <w:rFonts w:asciiTheme="minorHAnsi" w:eastAsia="Calibri" w:hAnsiTheme="minorHAnsi" w:cstheme="minorHAnsi"/>
          <w:sz w:val="22"/>
          <w:szCs w:val="22"/>
        </w:rPr>
        <w:t xml:space="preserve"> amounting to </w:t>
      </w:r>
      <w:r w:rsidR="00FA6347">
        <w:rPr>
          <w:rFonts w:asciiTheme="minorHAnsi" w:eastAsia="Calibri" w:hAnsiTheme="minorHAnsi" w:cstheme="minorHAnsi"/>
          <w:sz w:val="22"/>
          <w:szCs w:val="22"/>
        </w:rPr>
        <w:t xml:space="preserve">763, </w:t>
      </w:r>
      <w:r w:rsidR="002A22B0">
        <w:rPr>
          <w:rFonts w:asciiTheme="minorHAnsi" w:eastAsia="Calibri" w:hAnsiTheme="minorHAnsi" w:cstheme="minorHAnsi"/>
          <w:sz w:val="22"/>
          <w:szCs w:val="22"/>
        </w:rPr>
        <w:t xml:space="preserve">corresponding </w:t>
      </w:r>
      <w:r w:rsidR="00E15E63">
        <w:rPr>
          <w:rFonts w:asciiTheme="minorHAnsi" w:eastAsia="Calibri" w:hAnsiTheme="minorHAnsi" w:cstheme="minorHAnsi"/>
          <w:sz w:val="22"/>
          <w:szCs w:val="22"/>
        </w:rPr>
        <w:t xml:space="preserve">to </w:t>
      </w:r>
      <w:r w:rsidR="00FA6347">
        <w:rPr>
          <w:rFonts w:asciiTheme="minorHAnsi" w:eastAsia="Calibri" w:hAnsiTheme="minorHAnsi" w:cstheme="minorHAnsi"/>
          <w:sz w:val="22"/>
          <w:szCs w:val="22"/>
        </w:rPr>
        <w:t>an increase of 15 pos</w:t>
      </w:r>
      <w:r w:rsidR="00E15E63">
        <w:rPr>
          <w:rFonts w:asciiTheme="minorHAnsi" w:eastAsia="Calibri" w:hAnsiTheme="minorHAnsi" w:cstheme="minorHAnsi"/>
          <w:sz w:val="22"/>
          <w:szCs w:val="22"/>
        </w:rPr>
        <w:t>ts as compared to 2018-2019</w:t>
      </w:r>
      <w:r w:rsidR="00FA6347">
        <w:rPr>
          <w:rFonts w:asciiTheme="minorHAnsi" w:eastAsia="Calibri" w:hAnsiTheme="minorHAnsi" w:cstheme="minorHAnsi"/>
          <w:sz w:val="22"/>
          <w:szCs w:val="22"/>
        </w:rPr>
        <w:t>.</w:t>
      </w:r>
    </w:p>
    <w:p w:rsidR="002A22B0" w:rsidRDefault="002A22B0" w:rsidP="007C46CF">
      <w:pPr>
        <w:pStyle w:val="ListParagraph"/>
        <w:ind w:left="1211"/>
        <w:jc w:val="center"/>
        <w:rPr>
          <w:rFonts w:eastAsia="Calibri" w:cstheme="minorHAnsi"/>
          <w:b/>
          <w:bCs/>
          <w:szCs w:val="18"/>
        </w:rPr>
      </w:pPr>
    </w:p>
    <w:p w:rsidR="007C46CF" w:rsidRPr="007C46CF" w:rsidRDefault="007C46CF" w:rsidP="00056D70">
      <w:pPr>
        <w:pStyle w:val="ListParagraph"/>
        <w:adjustRightInd w:val="0"/>
        <w:snapToGrid w:val="0"/>
        <w:spacing w:after="120" w:line="240" w:lineRule="auto"/>
        <w:ind w:left="1213"/>
        <w:contextualSpacing w:val="0"/>
        <w:jc w:val="center"/>
        <w:rPr>
          <w:rFonts w:eastAsia="Calibri" w:cs="Arial"/>
          <w:szCs w:val="18"/>
        </w:rPr>
      </w:pPr>
      <w:r w:rsidRPr="007C46CF">
        <w:rPr>
          <w:rFonts w:eastAsia="Calibri" w:cstheme="minorHAnsi"/>
          <w:b/>
          <w:bCs/>
          <w:szCs w:val="18"/>
        </w:rPr>
        <w:t xml:space="preserve">Table </w:t>
      </w:r>
      <w:r>
        <w:rPr>
          <w:rFonts w:eastAsia="Calibri" w:cstheme="minorHAnsi"/>
          <w:b/>
          <w:bCs/>
          <w:szCs w:val="18"/>
        </w:rPr>
        <w:t>6</w:t>
      </w:r>
    </w:p>
    <w:p w:rsidR="00FA6347" w:rsidRDefault="00FA6347" w:rsidP="00F14988">
      <w:pPr>
        <w:pStyle w:val="NormalWeb"/>
        <w:spacing w:before="0" w:beforeAutospacing="0" w:after="6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A6347">
        <w:rPr>
          <w:rFonts w:asciiTheme="minorHAnsi" w:eastAsia="Calibri" w:hAnsiTheme="minorHAnsi" w:cstheme="minorHAnsi"/>
          <w:sz w:val="22"/>
          <w:szCs w:val="22"/>
        </w:rPr>
        <w:t xml:space="preserve">Posts Comparison </w:t>
      </w:r>
      <w:r>
        <w:rPr>
          <w:rFonts w:asciiTheme="minorHAnsi" w:eastAsia="Calibri" w:hAnsiTheme="minorHAnsi" w:cstheme="minorHAnsi"/>
          <w:sz w:val="22"/>
          <w:szCs w:val="22"/>
        </w:rPr>
        <w:t xml:space="preserve">between </w:t>
      </w:r>
      <w:r w:rsidRPr="00FA6347">
        <w:rPr>
          <w:rFonts w:asciiTheme="minorHAnsi" w:eastAsia="Calibri" w:hAnsiTheme="minorHAnsi" w:cstheme="minorHAnsi"/>
          <w:sz w:val="22"/>
          <w:szCs w:val="22"/>
        </w:rPr>
        <w:t>2012-2013, 2014-2015, 2016-2017, 2018-2019 and 2020-2021</w:t>
      </w:r>
      <w:r>
        <w:rPr>
          <w:rFonts w:asciiTheme="minorHAnsi" w:eastAsia="Calibri" w:hAnsiTheme="minorHAnsi" w:cstheme="minorHAnsi"/>
          <w:sz w:val="22"/>
          <w:szCs w:val="22"/>
        </w:rPr>
        <w:t xml:space="preserve"> budgets</w:t>
      </w:r>
    </w:p>
    <w:p w:rsidR="00FA6347" w:rsidRDefault="00500ACB" w:rsidP="00FA6347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00ACB">
        <w:rPr>
          <w:noProof/>
        </w:rPr>
        <w:drawing>
          <wp:inline distT="0" distB="0" distL="0" distR="0">
            <wp:extent cx="6120765" cy="173182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93" w:rsidRDefault="00231193" w:rsidP="00231193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31193" w:rsidRPr="002A22B0" w:rsidRDefault="00E26A68" w:rsidP="008844C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6" w:name="OLE_LINK1"/>
      <w:r>
        <w:rPr>
          <w:rFonts w:asciiTheme="minorHAnsi" w:eastAsia="Calibri" w:hAnsiTheme="minorHAnsi" w:cstheme="minorHAnsi"/>
          <w:sz w:val="22"/>
          <w:szCs w:val="22"/>
        </w:rPr>
        <w:t>1</w:t>
      </w:r>
      <w:r w:rsidR="00D75658">
        <w:rPr>
          <w:rFonts w:asciiTheme="minorHAnsi" w:eastAsia="Calibri" w:hAnsiTheme="minorHAnsi" w:cstheme="minorHAnsi"/>
          <w:sz w:val="22"/>
          <w:szCs w:val="22"/>
        </w:rPr>
        <w:t>4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The 2020-2021 budget is based on the conditions of employment that prevailed on 1</w:t>
      </w:r>
      <w:r w:rsidR="00D75658">
        <w:rPr>
          <w:rFonts w:asciiTheme="minorHAnsi" w:eastAsia="Calibri" w:hAnsiTheme="minorHAnsi" w:cstheme="minorHAnsi"/>
          <w:sz w:val="22"/>
          <w:szCs w:val="22"/>
        </w:rPr>
        <w:t> 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October</w:t>
      </w:r>
      <w:r w:rsidR="008844C8">
        <w:rPr>
          <w:rFonts w:asciiTheme="minorHAnsi" w:eastAsia="Calibri" w:hAnsiTheme="minorHAnsi" w:cstheme="minorHAnsi"/>
          <w:sz w:val="22"/>
          <w:szCs w:val="22"/>
        </w:rPr>
        <w:t> 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2018 (including the new post adjustment in Geneva). It will be re-costed to reflect the conditions of employment as of 1</w:t>
      </w:r>
      <w:r w:rsidR="00D75658">
        <w:rPr>
          <w:rFonts w:asciiTheme="minorHAnsi" w:eastAsia="Calibri" w:hAnsiTheme="minorHAnsi" w:cstheme="minorHAnsi"/>
          <w:sz w:val="22"/>
          <w:szCs w:val="22"/>
        </w:rPr>
        <w:t> 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 xml:space="preserve">January 2019 as well as the </w:t>
      </w:r>
      <w:r w:rsidR="00E15E63">
        <w:rPr>
          <w:rFonts w:asciiTheme="minorHAnsi" w:eastAsia="Calibri" w:hAnsiTheme="minorHAnsi" w:cstheme="minorHAnsi"/>
          <w:sz w:val="22"/>
          <w:szCs w:val="22"/>
        </w:rPr>
        <w:t xml:space="preserve">analysis of the </w:t>
      </w:r>
      <w:r w:rsidR="00231193" w:rsidRPr="002A22B0">
        <w:rPr>
          <w:rFonts w:asciiTheme="minorHAnsi" w:eastAsia="Calibri" w:hAnsiTheme="minorHAnsi" w:cstheme="minorHAnsi"/>
          <w:sz w:val="22"/>
          <w:szCs w:val="22"/>
        </w:rPr>
        <w:t>2018 actual expenses level for non-staff expenses.</w:t>
      </w:r>
      <w:r w:rsidR="00C33059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EE7923">
        <w:rPr>
          <w:rFonts w:asciiTheme="minorHAnsi" w:eastAsia="Calibri" w:hAnsiTheme="minorHAnsi" w:cstheme="minorHAnsi"/>
          <w:sz w:val="22"/>
          <w:szCs w:val="22"/>
        </w:rPr>
        <w:t xml:space="preserve">he possible implementation of the efficiency measures as listed in Annex 2 to Decision 5 will also be further explored. </w:t>
      </w:r>
      <w:r w:rsidR="00F20C44">
        <w:rPr>
          <w:rFonts w:asciiTheme="minorHAnsi" w:eastAsia="Calibri" w:hAnsiTheme="minorHAnsi" w:cstheme="minorHAnsi"/>
          <w:sz w:val="22"/>
          <w:szCs w:val="22"/>
        </w:rPr>
        <w:t xml:space="preserve">Finally, the budget might also be modified to reflect the outcomes of the </w:t>
      </w:r>
      <w:r w:rsidR="00EE7923" w:rsidRPr="00EE7923">
        <w:rPr>
          <w:rFonts w:asciiTheme="minorHAnsi" w:eastAsia="Calibri" w:hAnsiTheme="minorHAnsi" w:cstheme="minorHAnsi"/>
          <w:sz w:val="22"/>
          <w:szCs w:val="22"/>
        </w:rPr>
        <w:t xml:space="preserve">discussions </w:t>
      </w:r>
      <w:r w:rsidR="00F20C44">
        <w:rPr>
          <w:rFonts w:asciiTheme="minorHAnsi" w:eastAsia="Calibri" w:hAnsiTheme="minorHAnsi" w:cstheme="minorHAnsi"/>
          <w:sz w:val="22"/>
          <w:szCs w:val="22"/>
        </w:rPr>
        <w:t xml:space="preserve">that </w:t>
      </w:r>
      <w:r w:rsidR="00EE7923" w:rsidRPr="00EE7923">
        <w:rPr>
          <w:rFonts w:asciiTheme="minorHAnsi" w:eastAsia="Calibri" w:hAnsiTheme="minorHAnsi" w:cstheme="minorHAnsi"/>
          <w:sz w:val="22"/>
          <w:szCs w:val="22"/>
        </w:rPr>
        <w:t>are still on-going as to how to distribute the budget among the three Sect</w:t>
      </w:r>
      <w:r w:rsidR="00F20C44">
        <w:rPr>
          <w:rFonts w:asciiTheme="minorHAnsi" w:eastAsia="Calibri" w:hAnsiTheme="minorHAnsi" w:cstheme="minorHAnsi"/>
          <w:sz w:val="22"/>
          <w:szCs w:val="22"/>
        </w:rPr>
        <w:t>ors and the General Secretariat, within the limits set by Decision 5.</w:t>
      </w:r>
    </w:p>
    <w:bookmarkEnd w:id="6"/>
    <w:p w:rsidR="002C463E" w:rsidRDefault="002C463E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B62DEB" w:rsidRPr="002A22B0" w:rsidRDefault="00E26A68" w:rsidP="00D75658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26A68">
        <w:rPr>
          <w:rFonts w:ascii="Calibri" w:hAnsi="Calibri"/>
          <w:color w:val="auto"/>
          <w:sz w:val="22"/>
          <w:szCs w:val="22"/>
        </w:rPr>
        <w:t>1</w:t>
      </w:r>
      <w:r w:rsidR="00D75658">
        <w:rPr>
          <w:rFonts w:ascii="Calibri" w:hAnsi="Calibri"/>
          <w:color w:val="auto"/>
          <w:sz w:val="22"/>
          <w:szCs w:val="22"/>
        </w:rPr>
        <w:t>5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B62DEB" w:rsidRPr="002A22B0">
        <w:rPr>
          <w:rFonts w:ascii="Calibri" w:hAnsi="Calibri"/>
          <w:b/>
          <w:bCs/>
          <w:color w:val="auto"/>
          <w:sz w:val="22"/>
          <w:szCs w:val="22"/>
        </w:rPr>
        <w:t>Annex 1</w:t>
      </w:r>
      <w:r w:rsidR="00B62DEB" w:rsidRPr="002A22B0">
        <w:rPr>
          <w:rFonts w:ascii="Calibri" w:hAnsi="Calibri"/>
          <w:color w:val="auto"/>
          <w:sz w:val="22"/>
          <w:szCs w:val="22"/>
        </w:rPr>
        <w:t xml:space="preserve"> provides the breakdown of the </w:t>
      </w:r>
      <w:r w:rsidR="00ED14B0" w:rsidRPr="002A22B0">
        <w:rPr>
          <w:rFonts w:ascii="Calibri" w:hAnsi="Calibri"/>
          <w:color w:val="auto"/>
          <w:sz w:val="22"/>
          <w:szCs w:val="22"/>
        </w:rPr>
        <w:t>2020-2021 budget by S</w:t>
      </w:r>
      <w:r w:rsidR="00B62DEB" w:rsidRPr="002A22B0">
        <w:rPr>
          <w:rFonts w:ascii="Calibri" w:hAnsi="Calibri"/>
          <w:color w:val="auto"/>
          <w:sz w:val="22"/>
          <w:szCs w:val="22"/>
        </w:rPr>
        <w:t>ector and section.</w:t>
      </w:r>
    </w:p>
    <w:p w:rsidR="002C463E" w:rsidRDefault="002C463E" w:rsidP="002C463E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D75658" w:rsidRDefault="00E26A68" w:rsidP="00500AC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E26A68">
        <w:rPr>
          <w:rFonts w:ascii="Calibri" w:hAnsi="Calibri"/>
          <w:color w:val="auto"/>
          <w:sz w:val="22"/>
          <w:szCs w:val="22"/>
        </w:rPr>
        <w:t>1</w:t>
      </w:r>
      <w:r w:rsidR="00D75658">
        <w:rPr>
          <w:rFonts w:ascii="Calibri" w:hAnsi="Calibri"/>
          <w:color w:val="auto"/>
          <w:sz w:val="22"/>
          <w:szCs w:val="22"/>
        </w:rPr>
        <w:t>6</w:t>
      </w:r>
      <w:r>
        <w:rPr>
          <w:rFonts w:ascii="Calibri" w:hAnsi="Calibri"/>
          <w:b/>
          <w:bCs/>
          <w:color w:val="auto"/>
          <w:sz w:val="22"/>
          <w:szCs w:val="22"/>
        </w:rPr>
        <w:tab/>
      </w:r>
      <w:r w:rsidR="00231193" w:rsidRPr="002A22B0">
        <w:rPr>
          <w:rFonts w:ascii="Calibri" w:hAnsi="Calibri"/>
          <w:b/>
          <w:bCs/>
          <w:color w:val="auto"/>
          <w:sz w:val="22"/>
          <w:szCs w:val="22"/>
        </w:rPr>
        <w:t>Annex 2</w:t>
      </w:r>
      <w:r w:rsidR="00231193" w:rsidRPr="002A22B0">
        <w:rPr>
          <w:rFonts w:ascii="Calibri" w:hAnsi="Calibri"/>
          <w:color w:val="auto"/>
          <w:sz w:val="22"/>
          <w:szCs w:val="22"/>
        </w:rPr>
        <w:t xml:space="preserve"> provides the estimated volume of documentation (translation, </w:t>
      </w:r>
      <w:r w:rsidR="00D75658">
        <w:rPr>
          <w:rFonts w:ascii="Calibri" w:hAnsi="Calibri"/>
          <w:color w:val="auto"/>
          <w:sz w:val="22"/>
          <w:szCs w:val="22"/>
        </w:rPr>
        <w:t>t</w:t>
      </w:r>
      <w:r w:rsidR="00231193" w:rsidRPr="002A22B0">
        <w:rPr>
          <w:rFonts w:ascii="Calibri" w:hAnsi="Calibri"/>
          <w:color w:val="auto"/>
          <w:sz w:val="22"/>
          <w:szCs w:val="22"/>
        </w:rPr>
        <w:t>yping and reprography) for 2020-2021.</w:t>
      </w:r>
    </w:p>
    <w:p w:rsidR="00AB5E12" w:rsidRPr="00392662" w:rsidRDefault="00231193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ANNEX 1</w:t>
      </w:r>
    </w:p>
    <w:p w:rsidR="00AB5E12" w:rsidRPr="00427E58" w:rsidRDefault="00231193" w:rsidP="0074455F">
      <w:pPr>
        <w:pStyle w:val="NormalWeb"/>
        <w:spacing w:before="0" w:beforeAutospacing="0"/>
        <w:jc w:val="center"/>
        <w:rPr>
          <w:rFonts w:asciiTheme="minorHAnsi" w:eastAsia="Times New Roman" w:hAnsiTheme="minorHAnsi"/>
          <w:b/>
          <w:lang w:eastAsia="en-US"/>
        </w:rPr>
      </w:pPr>
      <w:r>
        <w:rPr>
          <w:rFonts w:asciiTheme="minorHAnsi" w:eastAsia="Times New Roman" w:hAnsiTheme="minorHAnsi"/>
          <w:b/>
          <w:lang w:eastAsia="en-US"/>
        </w:rPr>
        <w:t>Draft budget 2020-2021 – Breakdown of expenses by Sector and section</w:t>
      </w:r>
    </w:p>
    <w:p w:rsidR="007C46CF" w:rsidRPr="00E26A68" w:rsidRDefault="007C46CF" w:rsidP="007C46CF">
      <w:pPr>
        <w:jc w:val="center"/>
        <w:rPr>
          <w:rFonts w:ascii="Calibri" w:eastAsia="Calibri" w:hAnsi="Calibri" w:cs="Arial"/>
          <w:szCs w:val="24"/>
        </w:rPr>
      </w:pPr>
      <w:r w:rsidRPr="00E26A68">
        <w:rPr>
          <w:rFonts w:ascii="Calibri" w:eastAsia="Calibri" w:hAnsi="Calibri" w:cstheme="minorHAnsi"/>
          <w:b/>
          <w:bCs/>
          <w:szCs w:val="24"/>
        </w:rPr>
        <w:t>Table A</w:t>
      </w:r>
    </w:p>
    <w:p w:rsidR="00231193" w:rsidRDefault="008C7193" w:rsidP="007C46CF">
      <w:pPr>
        <w:pStyle w:val="NormalWeb"/>
        <w:spacing w:before="0" w:beforeAutospacing="0"/>
        <w:jc w:val="center"/>
        <w:rPr>
          <w:rFonts w:asciiTheme="minorBidi" w:hAnsiTheme="minorBidi"/>
          <w:bCs/>
        </w:rPr>
      </w:pPr>
      <w:r w:rsidRPr="008C7193">
        <w:rPr>
          <w:noProof/>
        </w:rPr>
        <w:drawing>
          <wp:inline distT="0" distB="0" distL="0" distR="0">
            <wp:extent cx="6120765" cy="360162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0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CF" w:rsidRPr="00C43E4F" w:rsidRDefault="007C46CF" w:rsidP="007C46CF">
      <w:pPr>
        <w:jc w:val="center"/>
        <w:rPr>
          <w:rFonts w:ascii="Calibri" w:eastAsia="Calibri" w:hAnsi="Calibri" w:cs="Arial"/>
          <w:szCs w:val="24"/>
        </w:rPr>
      </w:pPr>
      <w:r w:rsidRPr="00C43E4F">
        <w:rPr>
          <w:rFonts w:ascii="Calibri" w:eastAsia="Calibri" w:hAnsi="Calibri" w:cstheme="minorHAnsi"/>
          <w:b/>
          <w:bCs/>
          <w:szCs w:val="24"/>
        </w:rPr>
        <w:t>Table B</w:t>
      </w:r>
    </w:p>
    <w:p w:rsidR="00231193" w:rsidRDefault="00231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 w:rsidRPr="00231193">
        <w:rPr>
          <w:noProof/>
          <w:lang w:val="en-US" w:eastAsia="zh-CN"/>
        </w:rPr>
        <w:drawing>
          <wp:inline distT="0" distB="0" distL="0" distR="0">
            <wp:extent cx="6120765" cy="26294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2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63" w:rsidRDefault="00E15E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 w:cstheme="minorHAnsi"/>
          <w:b/>
          <w:bCs/>
          <w:sz w:val="22"/>
          <w:szCs w:val="18"/>
        </w:rPr>
      </w:pPr>
      <w:r>
        <w:rPr>
          <w:rFonts w:eastAsia="Calibri" w:cstheme="minorHAnsi"/>
          <w:b/>
          <w:bCs/>
          <w:sz w:val="22"/>
          <w:szCs w:val="18"/>
        </w:rPr>
        <w:br w:type="page"/>
      </w:r>
    </w:p>
    <w:p w:rsidR="007C46CF" w:rsidRPr="00E3004C" w:rsidRDefault="007C46CF" w:rsidP="007C46CF">
      <w:pPr>
        <w:jc w:val="center"/>
        <w:rPr>
          <w:rFonts w:ascii="Calibri" w:eastAsia="Calibri" w:hAnsi="Calibri" w:cs="Arial"/>
          <w:b/>
          <w:bCs/>
          <w:szCs w:val="24"/>
        </w:rPr>
      </w:pPr>
      <w:r w:rsidRPr="00E3004C">
        <w:rPr>
          <w:rFonts w:ascii="Calibri" w:eastAsia="Calibri" w:hAnsi="Calibri" w:cstheme="minorHAnsi"/>
          <w:b/>
          <w:bCs/>
          <w:szCs w:val="24"/>
        </w:rPr>
        <w:lastRenderedPageBreak/>
        <w:t>Table C</w:t>
      </w:r>
    </w:p>
    <w:p w:rsidR="007C46CF" w:rsidRDefault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:rsidR="007C46CF" w:rsidRDefault="00231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 w:rsidRPr="00231193">
        <w:rPr>
          <w:noProof/>
          <w:lang w:val="en-US" w:eastAsia="zh-CN"/>
        </w:rPr>
        <w:drawing>
          <wp:inline distT="0" distB="0" distL="0" distR="0">
            <wp:extent cx="6120765" cy="2359217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CF" w:rsidRDefault="007C46CF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</w:p>
    <w:p w:rsidR="007C46CF" w:rsidRPr="00E3004C" w:rsidRDefault="007C46CF" w:rsidP="007C46CF">
      <w:pPr>
        <w:jc w:val="center"/>
        <w:rPr>
          <w:rFonts w:ascii="Calibri" w:eastAsia="Calibri" w:hAnsi="Calibri" w:cstheme="minorHAnsi"/>
          <w:b/>
          <w:bCs/>
          <w:szCs w:val="24"/>
        </w:rPr>
      </w:pPr>
      <w:r w:rsidRPr="00E3004C">
        <w:rPr>
          <w:rFonts w:ascii="Calibri" w:eastAsia="Calibri" w:hAnsi="Calibri" w:cstheme="minorHAnsi"/>
          <w:b/>
          <w:bCs/>
          <w:szCs w:val="24"/>
        </w:rPr>
        <w:t>Table D</w:t>
      </w:r>
    </w:p>
    <w:p w:rsidR="007C46CF" w:rsidRPr="007C46CF" w:rsidRDefault="007C46CF" w:rsidP="007C46CF">
      <w:pPr>
        <w:jc w:val="center"/>
        <w:rPr>
          <w:rFonts w:eastAsia="Calibri" w:cs="Arial"/>
          <w:sz w:val="22"/>
          <w:szCs w:val="18"/>
        </w:rPr>
      </w:pPr>
    </w:p>
    <w:p w:rsidR="007C46CF" w:rsidRDefault="008C7193" w:rsidP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</w:pPr>
      <w:r w:rsidRPr="008C7193">
        <w:rPr>
          <w:noProof/>
          <w:lang w:val="en-US" w:eastAsia="zh-CN"/>
        </w:rPr>
        <w:drawing>
          <wp:inline distT="0" distB="0" distL="0" distR="0">
            <wp:extent cx="6120765" cy="22711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CF" w:rsidRDefault="007C46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Bidi" w:hAnsiTheme="minorBidi"/>
          <w:bCs/>
          <w:color w:val="000000"/>
          <w:szCs w:val="24"/>
          <w:lang w:val="en-US"/>
        </w:rPr>
        <w:sectPr w:rsidR="007C46CF" w:rsidSect="00F14988">
          <w:headerReference w:type="default" r:id="rId19"/>
          <w:footerReference w:type="first" r:id="rId20"/>
          <w:pgSz w:w="11907" w:h="16834"/>
          <w:pgMar w:top="1134" w:right="1134" w:bottom="1418" w:left="1134" w:header="426" w:footer="720" w:gutter="0"/>
          <w:paperSrc w:first="15" w:other="15"/>
          <w:cols w:space="720"/>
          <w:titlePg/>
          <w:docGrid w:linePitch="326"/>
        </w:sectPr>
      </w:pPr>
      <w:r>
        <w:rPr>
          <w:rFonts w:asciiTheme="minorBidi" w:hAnsiTheme="minorBidi"/>
          <w:bCs/>
          <w:color w:val="000000"/>
          <w:szCs w:val="24"/>
          <w:lang w:val="en-US"/>
        </w:rPr>
        <w:br w:type="page"/>
      </w:r>
    </w:p>
    <w:p w:rsidR="000E0B76" w:rsidRDefault="00AB5E12" w:rsidP="00C44BD8">
      <w:pPr>
        <w:pStyle w:val="NormalWeb"/>
        <w:spacing w:before="0" w:beforeAutospacing="0" w:after="60" w:afterAutospacing="0"/>
        <w:jc w:val="center"/>
        <w:rPr>
          <w:rFonts w:asciiTheme="minorHAnsi" w:eastAsia="Times New Roman" w:hAnsiTheme="minorHAnsi"/>
          <w:b/>
          <w:lang w:eastAsia="en-US"/>
        </w:rPr>
      </w:pPr>
      <w:r w:rsidRPr="00AB18A2">
        <w:rPr>
          <w:rFonts w:asciiTheme="minorHAnsi" w:eastAsia="Times New Roman" w:hAnsiTheme="minorHAnsi"/>
          <w:b/>
          <w:lang w:eastAsia="en-US"/>
        </w:rPr>
        <w:lastRenderedPageBreak/>
        <w:t>A</w:t>
      </w:r>
      <w:r w:rsidR="00E3004C">
        <w:rPr>
          <w:rFonts w:asciiTheme="minorHAnsi" w:eastAsia="Times New Roman" w:hAnsiTheme="minorHAnsi"/>
          <w:b/>
          <w:lang w:eastAsia="en-US"/>
        </w:rPr>
        <w:t xml:space="preserve">NNEX </w:t>
      </w:r>
      <w:proofErr w:type="gramStart"/>
      <w:r w:rsidR="00E3004C">
        <w:rPr>
          <w:rFonts w:asciiTheme="minorHAnsi" w:eastAsia="Times New Roman" w:hAnsiTheme="minorHAnsi"/>
          <w:b/>
          <w:lang w:eastAsia="en-US"/>
        </w:rPr>
        <w:t>2</w:t>
      </w:r>
      <w:proofErr w:type="gramEnd"/>
    </w:p>
    <w:p w:rsidR="00F14988" w:rsidRPr="00C44BD8" w:rsidRDefault="007C46CF" w:rsidP="00C44BD8">
      <w:pPr>
        <w:pStyle w:val="NormalWeb"/>
        <w:spacing w:before="0" w:beforeAutospacing="0" w:after="0" w:afterAutospacing="0"/>
        <w:jc w:val="center"/>
        <w:rPr>
          <w:rFonts w:asciiTheme="minorHAnsi" w:eastAsia="Calibri" w:hAnsiTheme="minorHAnsi" w:cs="Arial"/>
          <w:b/>
          <w:bCs/>
        </w:rPr>
      </w:pPr>
      <w:r w:rsidRPr="007C46CF">
        <w:rPr>
          <w:noProof/>
        </w:rPr>
        <w:drawing>
          <wp:inline distT="0" distB="0" distL="0" distR="0">
            <wp:extent cx="7932420" cy="624458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833" cy="625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988" w:rsidRPr="00C44BD8" w:rsidSect="00C44BD8">
      <w:headerReference w:type="first" r:id="rId22"/>
      <w:footerReference w:type="first" r:id="rId23"/>
      <w:pgSz w:w="16834" w:h="11907" w:orient="landscape" w:code="9"/>
      <w:pgMar w:top="425" w:right="720" w:bottom="510" w:left="720" w:header="567" w:footer="567" w:gutter="0"/>
      <w:paperSrc w:first="1264"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40" w:rsidRDefault="00CC6640">
      <w:r>
        <w:separator/>
      </w:r>
    </w:p>
  </w:endnote>
  <w:endnote w:type="continuationSeparator" w:id="0">
    <w:p w:rsidR="00CC6640" w:rsidRDefault="00C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D8" w:rsidRPr="00C44BD8" w:rsidRDefault="00C44BD8" w:rsidP="00C44BD8">
    <w:pPr>
      <w:spacing w:before="60"/>
      <w:jc w:val="center"/>
      <w:rPr>
        <w:rFonts w:asciiTheme="minorHAnsi" w:hAnsiTheme="minorHAnsi"/>
        <w:sz w:val="22"/>
        <w:szCs w:val="22"/>
        <w:lang w:val="fr-FR"/>
      </w:rPr>
    </w:pPr>
    <w:r w:rsidRPr="00C44BD8">
      <w:rPr>
        <w:rFonts w:asciiTheme="minorHAnsi" w:hAnsiTheme="minorHAnsi"/>
        <w:sz w:val="22"/>
        <w:szCs w:val="22"/>
        <w:lang w:val="fr-FR"/>
      </w:rPr>
      <w:t xml:space="preserve">• </w:t>
    </w:r>
    <w:hyperlink r:id="rId1" w:history="1">
      <w:r w:rsidRPr="00C44BD8">
        <w:rPr>
          <w:rStyle w:val="Hyperlink"/>
          <w:rFonts w:asciiTheme="minorHAnsi" w:hAnsiTheme="minorHAnsi"/>
          <w:sz w:val="22"/>
          <w:szCs w:val="22"/>
          <w:lang w:val="fr-FR"/>
        </w:rPr>
        <w:t>http://www.itu.int/council</w:t>
      </w:r>
    </w:hyperlink>
    <w:r w:rsidRPr="00C44BD8">
      <w:rPr>
        <w:rFonts w:asciiTheme="minorHAnsi" w:hAnsiTheme="minorHAnsi"/>
        <w:sz w:val="22"/>
        <w:szCs w:val="22"/>
        <w:lang w:val="fr-FR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D8" w:rsidRPr="00C44BD8" w:rsidRDefault="00C44BD8" w:rsidP="00C44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40" w:rsidRDefault="00CC6640">
      <w:r>
        <w:t>____________________</w:t>
      </w:r>
    </w:p>
    <w:p w:rsidR="00CC6640" w:rsidRDefault="00CC6640"/>
  </w:footnote>
  <w:footnote w:type="continuationSeparator" w:id="0">
    <w:p w:rsidR="00CC6640" w:rsidRDefault="00CC6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  <w:szCs w:val="22"/>
      </w:rPr>
      <w:id w:val="-352111253"/>
      <w:docPartObj>
        <w:docPartGallery w:val="Page Numbers (Top of Page)"/>
        <w:docPartUnique/>
      </w:docPartObj>
    </w:sdtPr>
    <w:sdtEndPr>
      <w:rPr>
        <w:rFonts w:cs="Calibri"/>
        <w:noProof/>
      </w:rPr>
    </w:sdtEndPr>
    <w:sdtContent>
      <w:p w:rsidR="00D81928" w:rsidRPr="00DE1E65" w:rsidRDefault="00D81928" w:rsidP="00C44BD8">
        <w:pPr>
          <w:pStyle w:val="Header"/>
          <w:spacing w:after="120"/>
          <w:rPr>
            <w:rFonts w:ascii="Calibri" w:hAnsi="Calibri" w:cs="Calibri"/>
            <w:sz w:val="22"/>
            <w:szCs w:val="22"/>
          </w:rPr>
        </w:pPr>
        <w:r w:rsidRPr="00DE1E65">
          <w:rPr>
            <w:rFonts w:ascii="Calibri" w:hAnsi="Calibri"/>
            <w:sz w:val="22"/>
            <w:szCs w:val="22"/>
          </w:rPr>
          <w:t>- </w:t>
        </w:r>
        <w:r w:rsidRPr="00DE1E65">
          <w:rPr>
            <w:rFonts w:ascii="Calibri" w:hAnsi="Calibri" w:cs="Calibri"/>
            <w:sz w:val="22"/>
            <w:szCs w:val="22"/>
          </w:rPr>
          <w:fldChar w:fldCharType="begin"/>
        </w:r>
        <w:r w:rsidRPr="00DE1E6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DE1E65">
          <w:rPr>
            <w:rFonts w:ascii="Calibri" w:hAnsi="Calibri" w:cs="Calibri"/>
            <w:sz w:val="22"/>
            <w:szCs w:val="22"/>
          </w:rPr>
          <w:fldChar w:fldCharType="separate"/>
        </w:r>
        <w:r w:rsidR="00B9179E">
          <w:rPr>
            <w:rFonts w:ascii="Calibri" w:hAnsi="Calibri" w:cs="Calibri"/>
            <w:noProof/>
            <w:sz w:val="22"/>
            <w:szCs w:val="22"/>
          </w:rPr>
          <w:t>6</w:t>
        </w:r>
        <w:r w:rsidRPr="00DE1E65">
          <w:rPr>
            <w:rFonts w:ascii="Calibri" w:hAnsi="Calibri" w:cs="Calibri"/>
            <w:noProof/>
            <w:sz w:val="22"/>
            <w:szCs w:val="22"/>
          </w:rPr>
          <w:fldChar w:fldCharType="end"/>
        </w:r>
        <w:r w:rsidRPr="00DE1E65">
          <w:rPr>
            <w:rFonts w:ascii="Calibri" w:hAnsi="Calibri" w:cs="Calibri"/>
            <w:noProof/>
            <w:sz w:val="22"/>
            <w:szCs w:val="22"/>
          </w:rPr>
          <w:t> 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  <w:szCs w:val="22"/>
      </w:rPr>
      <w:id w:val="2088650663"/>
      <w:docPartObj>
        <w:docPartGallery w:val="Page Numbers (Top of Page)"/>
        <w:docPartUnique/>
      </w:docPartObj>
    </w:sdtPr>
    <w:sdtEndPr>
      <w:rPr>
        <w:rFonts w:cs="Calibri"/>
        <w:noProof/>
      </w:rPr>
    </w:sdtEndPr>
    <w:sdtContent>
      <w:p w:rsidR="00C44BD8" w:rsidRPr="00C44BD8" w:rsidRDefault="00C44BD8" w:rsidP="00C44BD8">
        <w:pPr>
          <w:pStyle w:val="Header"/>
          <w:spacing w:after="40"/>
          <w:rPr>
            <w:rFonts w:ascii="Calibri" w:hAnsi="Calibri" w:cs="Calibri"/>
            <w:sz w:val="22"/>
            <w:szCs w:val="22"/>
          </w:rPr>
        </w:pPr>
        <w:r w:rsidRPr="00DE1E65">
          <w:rPr>
            <w:rFonts w:ascii="Calibri" w:hAnsi="Calibri"/>
            <w:sz w:val="22"/>
            <w:szCs w:val="22"/>
          </w:rPr>
          <w:t>- </w:t>
        </w:r>
        <w:r w:rsidRPr="00DE1E65">
          <w:rPr>
            <w:rFonts w:ascii="Calibri" w:hAnsi="Calibri" w:cs="Calibri"/>
            <w:sz w:val="22"/>
            <w:szCs w:val="22"/>
          </w:rPr>
          <w:fldChar w:fldCharType="begin"/>
        </w:r>
        <w:r w:rsidRPr="00DE1E65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DE1E65">
          <w:rPr>
            <w:rFonts w:ascii="Calibri" w:hAnsi="Calibri" w:cs="Calibri"/>
            <w:sz w:val="22"/>
            <w:szCs w:val="22"/>
          </w:rPr>
          <w:fldChar w:fldCharType="separate"/>
        </w:r>
        <w:r w:rsidR="00B9179E">
          <w:rPr>
            <w:rFonts w:ascii="Calibri" w:hAnsi="Calibri" w:cs="Calibri"/>
            <w:noProof/>
            <w:sz w:val="22"/>
            <w:szCs w:val="22"/>
          </w:rPr>
          <w:t>7</w:t>
        </w:r>
        <w:r w:rsidRPr="00DE1E65">
          <w:rPr>
            <w:rFonts w:ascii="Calibri" w:hAnsi="Calibri" w:cs="Calibri"/>
            <w:noProof/>
            <w:sz w:val="22"/>
            <w:szCs w:val="22"/>
          </w:rPr>
          <w:fldChar w:fldCharType="end"/>
        </w:r>
        <w:r w:rsidRPr="00DE1E65">
          <w:rPr>
            <w:rFonts w:ascii="Calibri" w:hAnsi="Calibri" w:cs="Calibri"/>
            <w:noProof/>
            <w:sz w:val="22"/>
            <w:szCs w:val="22"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D41D4"/>
    <w:multiLevelType w:val="hybridMultilevel"/>
    <w:tmpl w:val="2316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0C0"/>
    <w:multiLevelType w:val="hybridMultilevel"/>
    <w:tmpl w:val="7A686176"/>
    <w:lvl w:ilvl="0" w:tplc="04090017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147C0586"/>
    <w:multiLevelType w:val="hybridMultilevel"/>
    <w:tmpl w:val="64E62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96D"/>
    <w:multiLevelType w:val="hybridMultilevel"/>
    <w:tmpl w:val="1310A8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A187C"/>
    <w:multiLevelType w:val="hybridMultilevel"/>
    <w:tmpl w:val="04E4F070"/>
    <w:lvl w:ilvl="0" w:tplc="F2C034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DD52E6"/>
    <w:multiLevelType w:val="hybridMultilevel"/>
    <w:tmpl w:val="8BBE7348"/>
    <w:lvl w:ilvl="0" w:tplc="4572994C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25B"/>
    <w:multiLevelType w:val="hybridMultilevel"/>
    <w:tmpl w:val="BAEA3DC6"/>
    <w:lvl w:ilvl="0" w:tplc="683EA5E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7E7D"/>
    <w:multiLevelType w:val="hybridMultilevel"/>
    <w:tmpl w:val="907C8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5066"/>
    <w:multiLevelType w:val="multilevel"/>
    <w:tmpl w:val="C88C5F2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09" w:hanging="432"/>
      </w:pPr>
    </w:lvl>
    <w:lvl w:ilvl="2">
      <w:start w:val="1"/>
      <w:numFmt w:val="decimal"/>
      <w:lvlText w:val="%1.%2.%3."/>
      <w:lvlJc w:val="left"/>
      <w:pPr>
        <w:ind w:left="941" w:hanging="504"/>
      </w:pPr>
    </w:lvl>
    <w:lvl w:ilvl="3">
      <w:start w:val="1"/>
      <w:numFmt w:val="decimal"/>
      <w:lvlText w:val="%1.%2.%3.%4."/>
      <w:lvlJc w:val="left"/>
      <w:pPr>
        <w:ind w:left="1445" w:hanging="648"/>
      </w:pPr>
    </w:lvl>
    <w:lvl w:ilvl="4">
      <w:start w:val="1"/>
      <w:numFmt w:val="decimal"/>
      <w:lvlText w:val="%1.%2.%3.%4.%5."/>
      <w:lvlJc w:val="left"/>
      <w:pPr>
        <w:ind w:left="1949" w:hanging="792"/>
      </w:pPr>
    </w:lvl>
    <w:lvl w:ilvl="5">
      <w:start w:val="1"/>
      <w:numFmt w:val="decimal"/>
      <w:lvlText w:val="%1.%2.%3.%4.%5.%6."/>
      <w:lvlJc w:val="left"/>
      <w:pPr>
        <w:ind w:left="2453" w:hanging="936"/>
      </w:pPr>
    </w:lvl>
    <w:lvl w:ilvl="6">
      <w:start w:val="1"/>
      <w:numFmt w:val="decimal"/>
      <w:lvlText w:val="%1.%2.%3.%4.%5.%6.%7."/>
      <w:lvlJc w:val="left"/>
      <w:pPr>
        <w:ind w:left="2957" w:hanging="1080"/>
      </w:pPr>
    </w:lvl>
    <w:lvl w:ilvl="7">
      <w:start w:val="1"/>
      <w:numFmt w:val="decimal"/>
      <w:lvlText w:val="%1.%2.%3.%4.%5.%6.%7.%8."/>
      <w:lvlJc w:val="left"/>
      <w:pPr>
        <w:ind w:left="3461" w:hanging="1224"/>
      </w:pPr>
    </w:lvl>
    <w:lvl w:ilvl="8">
      <w:start w:val="1"/>
      <w:numFmt w:val="decimal"/>
      <w:lvlText w:val="%1.%2.%3.%4.%5.%6.%7.%8.%9."/>
      <w:lvlJc w:val="left"/>
      <w:pPr>
        <w:ind w:left="4037" w:hanging="1440"/>
      </w:pPr>
    </w:lvl>
  </w:abstractNum>
  <w:abstractNum w:abstractNumId="10" w15:restartNumberingAfterBreak="0">
    <w:nsid w:val="411C1BCD"/>
    <w:multiLevelType w:val="hybridMultilevel"/>
    <w:tmpl w:val="5C685F42"/>
    <w:lvl w:ilvl="0" w:tplc="6B226BAE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20B4F33"/>
    <w:multiLevelType w:val="hybridMultilevel"/>
    <w:tmpl w:val="470C2D6C"/>
    <w:lvl w:ilvl="0" w:tplc="9D347A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4371109D"/>
    <w:multiLevelType w:val="hybridMultilevel"/>
    <w:tmpl w:val="4822CE14"/>
    <w:lvl w:ilvl="0" w:tplc="683EA5E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664BE"/>
    <w:multiLevelType w:val="multilevel"/>
    <w:tmpl w:val="2188B6F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E11F4"/>
    <w:multiLevelType w:val="hybridMultilevel"/>
    <w:tmpl w:val="0854E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156D8"/>
    <w:multiLevelType w:val="hybridMultilevel"/>
    <w:tmpl w:val="D93A34B6"/>
    <w:lvl w:ilvl="0" w:tplc="9D347A3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5A6A6884"/>
    <w:multiLevelType w:val="hybridMultilevel"/>
    <w:tmpl w:val="9A7C0C76"/>
    <w:lvl w:ilvl="0" w:tplc="9D347A34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6137A"/>
    <w:multiLevelType w:val="hybridMultilevel"/>
    <w:tmpl w:val="09F68262"/>
    <w:lvl w:ilvl="0" w:tplc="2D765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51F8B"/>
    <w:multiLevelType w:val="hybridMultilevel"/>
    <w:tmpl w:val="6D42E798"/>
    <w:lvl w:ilvl="0" w:tplc="04090011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 w15:restartNumberingAfterBreak="0">
    <w:nsid w:val="780A5C2A"/>
    <w:multiLevelType w:val="hybridMultilevel"/>
    <w:tmpl w:val="F1F60C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6"/>
  </w:num>
  <w:num w:numId="15">
    <w:abstractNumId w:val="15"/>
  </w:num>
  <w:num w:numId="16">
    <w:abstractNumId w:val="10"/>
  </w:num>
  <w:num w:numId="17">
    <w:abstractNumId w:val="13"/>
  </w:num>
  <w:num w:numId="18">
    <w:abstractNumId w:val="12"/>
  </w:num>
  <w:num w:numId="19">
    <w:abstractNumId w:val="7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A5"/>
    <w:rsid w:val="00004DC6"/>
    <w:rsid w:val="0001304E"/>
    <w:rsid w:val="00014AF6"/>
    <w:rsid w:val="0001659D"/>
    <w:rsid w:val="000270F0"/>
    <w:rsid w:val="00030535"/>
    <w:rsid w:val="00032915"/>
    <w:rsid w:val="00032D47"/>
    <w:rsid w:val="00034427"/>
    <w:rsid w:val="00051CC9"/>
    <w:rsid w:val="0005525E"/>
    <w:rsid w:val="00056D70"/>
    <w:rsid w:val="000617B9"/>
    <w:rsid w:val="00063936"/>
    <w:rsid w:val="00065ED6"/>
    <w:rsid w:val="00070BA0"/>
    <w:rsid w:val="00075F58"/>
    <w:rsid w:val="00077C47"/>
    <w:rsid w:val="000820BD"/>
    <w:rsid w:val="000858CC"/>
    <w:rsid w:val="00085CF2"/>
    <w:rsid w:val="000A379D"/>
    <w:rsid w:val="000B1705"/>
    <w:rsid w:val="000B2DA5"/>
    <w:rsid w:val="000C0494"/>
    <w:rsid w:val="000C38BB"/>
    <w:rsid w:val="000D0C45"/>
    <w:rsid w:val="000D580F"/>
    <w:rsid w:val="000D6878"/>
    <w:rsid w:val="000E0B76"/>
    <w:rsid w:val="000E3A91"/>
    <w:rsid w:val="000E59EE"/>
    <w:rsid w:val="000F3D5F"/>
    <w:rsid w:val="00100101"/>
    <w:rsid w:val="00101B9D"/>
    <w:rsid w:val="00103041"/>
    <w:rsid w:val="001118DF"/>
    <w:rsid w:val="001121F5"/>
    <w:rsid w:val="00117712"/>
    <w:rsid w:val="001257CF"/>
    <w:rsid w:val="0014125E"/>
    <w:rsid w:val="00142CD9"/>
    <w:rsid w:val="00143936"/>
    <w:rsid w:val="0015130D"/>
    <w:rsid w:val="00151EE5"/>
    <w:rsid w:val="00156599"/>
    <w:rsid w:val="001565E9"/>
    <w:rsid w:val="001568F8"/>
    <w:rsid w:val="00156CEE"/>
    <w:rsid w:val="001655B2"/>
    <w:rsid w:val="00166F5F"/>
    <w:rsid w:val="0017539C"/>
    <w:rsid w:val="00175FCF"/>
    <w:rsid w:val="0017609F"/>
    <w:rsid w:val="001772D8"/>
    <w:rsid w:val="00183B46"/>
    <w:rsid w:val="00185467"/>
    <w:rsid w:val="00185B0E"/>
    <w:rsid w:val="001A0A4E"/>
    <w:rsid w:val="001A5ECF"/>
    <w:rsid w:val="001A7ED8"/>
    <w:rsid w:val="001B19A8"/>
    <w:rsid w:val="001B2566"/>
    <w:rsid w:val="001B76F3"/>
    <w:rsid w:val="001C126F"/>
    <w:rsid w:val="001C5E03"/>
    <w:rsid w:val="001C628E"/>
    <w:rsid w:val="001D370E"/>
    <w:rsid w:val="001D39BD"/>
    <w:rsid w:val="001D569F"/>
    <w:rsid w:val="001D7120"/>
    <w:rsid w:val="001E0F7B"/>
    <w:rsid w:val="001E4DF6"/>
    <w:rsid w:val="001E5A08"/>
    <w:rsid w:val="001F185B"/>
    <w:rsid w:val="001F3161"/>
    <w:rsid w:val="002033C2"/>
    <w:rsid w:val="00203D8E"/>
    <w:rsid w:val="0020401A"/>
    <w:rsid w:val="002058EE"/>
    <w:rsid w:val="002068CB"/>
    <w:rsid w:val="002078AD"/>
    <w:rsid w:val="00207B76"/>
    <w:rsid w:val="00221656"/>
    <w:rsid w:val="00226521"/>
    <w:rsid w:val="0022736E"/>
    <w:rsid w:val="00230834"/>
    <w:rsid w:val="00231193"/>
    <w:rsid w:val="00240703"/>
    <w:rsid w:val="002476C8"/>
    <w:rsid w:val="00250632"/>
    <w:rsid w:val="002550BF"/>
    <w:rsid w:val="00256718"/>
    <w:rsid w:val="00257328"/>
    <w:rsid w:val="002618D4"/>
    <w:rsid w:val="002621AD"/>
    <w:rsid w:val="0026316C"/>
    <w:rsid w:val="0026330F"/>
    <w:rsid w:val="002653D0"/>
    <w:rsid w:val="00265875"/>
    <w:rsid w:val="00271E93"/>
    <w:rsid w:val="0027303B"/>
    <w:rsid w:val="00274D40"/>
    <w:rsid w:val="002760A6"/>
    <w:rsid w:val="0028109B"/>
    <w:rsid w:val="002843F2"/>
    <w:rsid w:val="0028765F"/>
    <w:rsid w:val="002934F6"/>
    <w:rsid w:val="00294998"/>
    <w:rsid w:val="0029545F"/>
    <w:rsid w:val="002955E9"/>
    <w:rsid w:val="002A22B0"/>
    <w:rsid w:val="002A4E8C"/>
    <w:rsid w:val="002B05E3"/>
    <w:rsid w:val="002B3771"/>
    <w:rsid w:val="002B4EBD"/>
    <w:rsid w:val="002B6507"/>
    <w:rsid w:val="002C1C7A"/>
    <w:rsid w:val="002C463E"/>
    <w:rsid w:val="002C5910"/>
    <w:rsid w:val="002C6E63"/>
    <w:rsid w:val="002D02C8"/>
    <w:rsid w:val="002D5785"/>
    <w:rsid w:val="002E02EC"/>
    <w:rsid w:val="002E395E"/>
    <w:rsid w:val="002E7145"/>
    <w:rsid w:val="002E7F28"/>
    <w:rsid w:val="002F4EC0"/>
    <w:rsid w:val="002F5253"/>
    <w:rsid w:val="0030418B"/>
    <w:rsid w:val="00304526"/>
    <w:rsid w:val="00311812"/>
    <w:rsid w:val="0031446F"/>
    <w:rsid w:val="00314AFF"/>
    <w:rsid w:val="00315592"/>
    <w:rsid w:val="00317A6A"/>
    <w:rsid w:val="00320330"/>
    <w:rsid w:val="0032366F"/>
    <w:rsid w:val="003270B1"/>
    <w:rsid w:val="0032711B"/>
    <w:rsid w:val="00327631"/>
    <w:rsid w:val="00327A3F"/>
    <w:rsid w:val="003316D3"/>
    <w:rsid w:val="003319AC"/>
    <w:rsid w:val="00334B0A"/>
    <w:rsid w:val="00334EEE"/>
    <w:rsid w:val="0033649B"/>
    <w:rsid w:val="00337071"/>
    <w:rsid w:val="0034109A"/>
    <w:rsid w:val="0034588E"/>
    <w:rsid w:val="00352AC3"/>
    <w:rsid w:val="00354246"/>
    <w:rsid w:val="00356675"/>
    <w:rsid w:val="003608D5"/>
    <w:rsid w:val="00370F73"/>
    <w:rsid w:val="00373197"/>
    <w:rsid w:val="00376F84"/>
    <w:rsid w:val="00380353"/>
    <w:rsid w:val="00380874"/>
    <w:rsid w:val="0038509A"/>
    <w:rsid w:val="00390F03"/>
    <w:rsid w:val="00391BEB"/>
    <w:rsid w:val="003942D4"/>
    <w:rsid w:val="003958A8"/>
    <w:rsid w:val="00396893"/>
    <w:rsid w:val="003A038C"/>
    <w:rsid w:val="003A0E88"/>
    <w:rsid w:val="003A7380"/>
    <w:rsid w:val="003B1751"/>
    <w:rsid w:val="003B1E08"/>
    <w:rsid w:val="003B2FB9"/>
    <w:rsid w:val="003B6B4C"/>
    <w:rsid w:val="003D1D16"/>
    <w:rsid w:val="003D6B91"/>
    <w:rsid w:val="003D7F07"/>
    <w:rsid w:val="003E2345"/>
    <w:rsid w:val="003E2C04"/>
    <w:rsid w:val="003E502B"/>
    <w:rsid w:val="003E78E8"/>
    <w:rsid w:val="003F10A4"/>
    <w:rsid w:val="003F6AC0"/>
    <w:rsid w:val="003F7759"/>
    <w:rsid w:val="004000D8"/>
    <w:rsid w:val="0040059B"/>
    <w:rsid w:val="00401D6E"/>
    <w:rsid w:val="00402F03"/>
    <w:rsid w:val="00403119"/>
    <w:rsid w:val="00403E27"/>
    <w:rsid w:val="00415301"/>
    <w:rsid w:val="004154B4"/>
    <w:rsid w:val="00423A9F"/>
    <w:rsid w:val="0042425F"/>
    <w:rsid w:val="00424D1B"/>
    <w:rsid w:val="00427E58"/>
    <w:rsid w:val="00433CE8"/>
    <w:rsid w:val="00437DA4"/>
    <w:rsid w:val="00441DCA"/>
    <w:rsid w:val="00443774"/>
    <w:rsid w:val="004504FA"/>
    <w:rsid w:val="00453C22"/>
    <w:rsid w:val="004544CD"/>
    <w:rsid w:val="004544D9"/>
    <w:rsid w:val="00454B46"/>
    <w:rsid w:val="00462408"/>
    <w:rsid w:val="0046535F"/>
    <w:rsid w:val="004672F6"/>
    <w:rsid w:val="00471D2B"/>
    <w:rsid w:val="00475F32"/>
    <w:rsid w:val="00476A2F"/>
    <w:rsid w:val="0048168A"/>
    <w:rsid w:val="004921C8"/>
    <w:rsid w:val="0049464F"/>
    <w:rsid w:val="004952F7"/>
    <w:rsid w:val="00496FFE"/>
    <w:rsid w:val="004A02FD"/>
    <w:rsid w:val="004A2D0C"/>
    <w:rsid w:val="004A45A1"/>
    <w:rsid w:val="004A58EF"/>
    <w:rsid w:val="004B106F"/>
    <w:rsid w:val="004B12A6"/>
    <w:rsid w:val="004B223A"/>
    <w:rsid w:val="004B2F04"/>
    <w:rsid w:val="004B3159"/>
    <w:rsid w:val="004C2455"/>
    <w:rsid w:val="004C333D"/>
    <w:rsid w:val="004C4F4E"/>
    <w:rsid w:val="004C5E10"/>
    <w:rsid w:val="004D4DCC"/>
    <w:rsid w:val="004E2EA5"/>
    <w:rsid w:val="004E3651"/>
    <w:rsid w:val="004E4614"/>
    <w:rsid w:val="004E564D"/>
    <w:rsid w:val="004F1F09"/>
    <w:rsid w:val="004F4FA0"/>
    <w:rsid w:val="004F709A"/>
    <w:rsid w:val="004F7ED9"/>
    <w:rsid w:val="00500ACB"/>
    <w:rsid w:val="0050223C"/>
    <w:rsid w:val="0050379A"/>
    <w:rsid w:val="0050474A"/>
    <w:rsid w:val="00506413"/>
    <w:rsid w:val="00507D58"/>
    <w:rsid w:val="00532219"/>
    <w:rsid w:val="00532903"/>
    <w:rsid w:val="00540319"/>
    <w:rsid w:val="0054487E"/>
    <w:rsid w:val="00546518"/>
    <w:rsid w:val="00546F76"/>
    <w:rsid w:val="00553E6A"/>
    <w:rsid w:val="0055588F"/>
    <w:rsid w:val="0055630D"/>
    <w:rsid w:val="005623CB"/>
    <w:rsid w:val="0056323B"/>
    <w:rsid w:val="005635CB"/>
    <w:rsid w:val="00563F62"/>
    <w:rsid w:val="0056477B"/>
    <w:rsid w:val="00564C1C"/>
    <w:rsid w:val="00564FBC"/>
    <w:rsid w:val="00565D19"/>
    <w:rsid w:val="0056744F"/>
    <w:rsid w:val="00570417"/>
    <w:rsid w:val="00582011"/>
    <w:rsid w:val="00582442"/>
    <w:rsid w:val="00583A35"/>
    <w:rsid w:val="00584BA1"/>
    <w:rsid w:val="00584DDA"/>
    <w:rsid w:val="005A7EC0"/>
    <w:rsid w:val="005C1963"/>
    <w:rsid w:val="005C6CB7"/>
    <w:rsid w:val="005C77B8"/>
    <w:rsid w:val="005C79C2"/>
    <w:rsid w:val="005D5E4D"/>
    <w:rsid w:val="005E033A"/>
    <w:rsid w:val="005E5A67"/>
    <w:rsid w:val="005E5D60"/>
    <w:rsid w:val="005E5FCB"/>
    <w:rsid w:val="005F2A8F"/>
    <w:rsid w:val="005F796D"/>
    <w:rsid w:val="00601BBD"/>
    <w:rsid w:val="0061174F"/>
    <w:rsid w:val="00615953"/>
    <w:rsid w:val="00622B3C"/>
    <w:rsid w:val="00625F37"/>
    <w:rsid w:val="00630C0B"/>
    <w:rsid w:val="00632D1A"/>
    <w:rsid w:val="00641479"/>
    <w:rsid w:val="0065056F"/>
    <w:rsid w:val="00656692"/>
    <w:rsid w:val="00662984"/>
    <w:rsid w:val="00673518"/>
    <w:rsid w:val="00695AAF"/>
    <w:rsid w:val="006A7120"/>
    <w:rsid w:val="006B0917"/>
    <w:rsid w:val="006B6D31"/>
    <w:rsid w:val="006B6DCC"/>
    <w:rsid w:val="006C38E7"/>
    <w:rsid w:val="006C3CDD"/>
    <w:rsid w:val="006C6C46"/>
    <w:rsid w:val="006D1BC8"/>
    <w:rsid w:val="006E0433"/>
    <w:rsid w:val="006E3FE6"/>
    <w:rsid w:val="006E4E04"/>
    <w:rsid w:val="006F18DF"/>
    <w:rsid w:val="0070157E"/>
    <w:rsid w:val="00701B34"/>
    <w:rsid w:val="00704791"/>
    <w:rsid w:val="007112DD"/>
    <w:rsid w:val="00714A82"/>
    <w:rsid w:val="007218BE"/>
    <w:rsid w:val="00737406"/>
    <w:rsid w:val="00743EF7"/>
    <w:rsid w:val="0074455F"/>
    <w:rsid w:val="00747CC0"/>
    <w:rsid w:val="0075042B"/>
    <w:rsid w:val="0075139E"/>
    <w:rsid w:val="00751E20"/>
    <w:rsid w:val="0075523E"/>
    <w:rsid w:val="00761FBD"/>
    <w:rsid w:val="00765807"/>
    <w:rsid w:val="007669BE"/>
    <w:rsid w:val="007713B1"/>
    <w:rsid w:val="00771AEE"/>
    <w:rsid w:val="00774120"/>
    <w:rsid w:val="0077537F"/>
    <w:rsid w:val="007806F9"/>
    <w:rsid w:val="00782F7B"/>
    <w:rsid w:val="0078363B"/>
    <w:rsid w:val="007848CD"/>
    <w:rsid w:val="00785280"/>
    <w:rsid w:val="00795D7C"/>
    <w:rsid w:val="0079707A"/>
    <w:rsid w:val="007A1BE2"/>
    <w:rsid w:val="007B0CD1"/>
    <w:rsid w:val="007B25C7"/>
    <w:rsid w:val="007B47CD"/>
    <w:rsid w:val="007B6EB6"/>
    <w:rsid w:val="007C220F"/>
    <w:rsid w:val="007C46CF"/>
    <w:rsid w:val="007D1E5A"/>
    <w:rsid w:val="007D5D45"/>
    <w:rsid w:val="007E100E"/>
    <w:rsid w:val="007E1228"/>
    <w:rsid w:val="007E5B6A"/>
    <w:rsid w:val="007F302B"/>
    <w:rsid w:val="007F3751"/>
    <w:rsid w:val="007F5DC1"/>
    <w:rsid w:val="007F68D8"/>
    <w:rsid w:val="008015F5"/>
    <w:rsid w:val="008131A2"/>
    <w:rsid w:val="0081422E"/>
    <w:rsid w:val="00817164"/>
    <w:rsid w:val="00817A47"/>
    <w:rsid w:val="00824DF8"/>
    <w:rsid w:val="00825C46"/>
    <w:rsid w:val="00827468"/>
    <w:rsid w:val="00830876"/>
    <w:rsid w:val="00830A0C"/>
    <w:rsid w:val="008357D9"/>
    <w:rsid w:val="0083581B"/>
    <w:rsid w:val="008360A7"/>
    <w:rsid w:val="00840D9C"/>
    <w:rsid w:val="00841666"/>
    <w:rsid w:val="00842DEC"/>
    <w:rsid w:val="00857B11"/>
    <w:rsid w:val="00860617"/>
    <w:rsid w:val="00862A8D"/>
    <w:rsid w:val="00863771"/>
    <w:rsid w:val="008650FD"/>
    <w:rsid w:val="00870E23"/>
    <w:rsid w:val="0087579C"/>
    <w:rsid w:val="00881D06"/>
    <w:rsid w:val="008844C8"/>
    <w:rsid w:val="008920F8"/>
    <w:rsid w:val="00893D32"/>
    <w:rsid w:val="00895A9D"/>
    <w:rsid w:val="008964D8"/>
    <w:rsid w:val="008A1026"/>
    <w:rsid w:val="008B14D7"/>
    <w:rsid w:val="008C1DB3"/>
    <w:rsid w:val="008C7193"/>
    <w:rsid w:val="008C7CB1"/>
    <w:rsid w:val="008D3574"/>
    <w:rsid w:val="008D3F2F"/>
    <w:rsid w:val="008D5561"/>
    <w:rsid w:val="008D57A4"/>
    <w:rsid w:val="008D7F1B"/>
    <w:rsid w:val="008E4938"/>
    <w:rsid w:val="008F6850"/>
    <w:rsid w:val="00900AFB"/>
    <w:rsid w:val="00904B12"/>
    <w:rsid w:val="00913304"/>
    <w:rsid w:val="0091470C"/>
    <w:rsid w:val="0091481D"/>
    <w:rsid w:val="00916152"/>
    <w:rsid w:val="009173EF"/>
    <w:rsid w:val="00924210"/>
    <w:rsid w:val="009248E4"/>
    <w:rsid w:val="0092631C"/>
    <w:rsid w:val="00932059"/>
    <w:rsid w:val="00932906"/>
    <w:rsid w:val="00932BD0"/>
    <w:rsid w:val="00935BF9"/>
    <w:rsid w:val="00944A14"/>
    <w:rsid w:val="009454D5"/>
    <w:rsid w:val="0094674C"/>
    <w:rsid w:val="00947C04"/>
    <w:rsid w:val="0095234C"/>
    <w:rsid w:val="00955B97"/>
    <w:rsid w:val="009601CF"/>
    <w:rsid w:val="00961B0B"/>
    <w:rsid w:val="00962612"/>
    <w:rsid w:val="00962CA2"/>
    <w:rsid w:val="009657BE"/>
    <w:rsid w:val="00970DD4"/>
    <w:rsid w:val="0097157C"/>
    <w:rsid w:val="00976B90"/>
    <w:rsid w:val="00985A59"/>
    <w:rsid w:val="00987744"/>
    <w:rsid w:val="00991803"/>
    <w:rsid w:val="009929FB"/>
    <w:rsid w:val="00994667"/>
    <w:rsid w:val="00997AEA"/>
    <w:rsid w:val="009A2DE3"/>
    <w:rsid w:val="009A40A3"/>
    <w:rsid w:val="009A720C"/>
    <w:rsid w:val="009B178F"/>
    <w:rsid w:val="009B27EE"/>
    <w:rsid w:val="009B4ADB"/>
    <w:rsid w:val="009B5347"/>
    <w:rsid w:val="009B5CFF"/>
    <w:rsid w:val="009C03A0"/>
    <w:rsid w:val="009C43FD"/>
    <w:rsid w:val="009C748B"/>
    <w:rsid w:val="009D24E9"/>
    <w:rsid w:val="009D7D2F"/>
    <w:rsid w:val="009E17BD"/>
    <w:rsid w:val="009E23F3"/>
    <w:rsid w:val="009E3BD1"/>
    <w:rsid w:val="009E69B1"/>
    <w:rsid w:val="009E715D"/>
    <w:rsid w:val="009F113A"/>
    <w:rsid w:val="009F2FB9"/>
    <w:rsid w:val="009F6048"/>
    <w:rsid w:val="00A03ADF"/>
    <w:rsid w:val="00A04CEC"/>
    <w:rsid w:val="00A148D4"/>
    <w:rsid w:val="00A14953"/>
    <w:rsid w:val="00A174A1"/>
    <w:rsid w:val="00A17D96"/>
    <w:rsid w:val="00A17F42"/>
    <w:rsid w:val="00A21D7A"/>
    <w:rsid w:val="00A23686"/>
    <w:rsid w:val="00A27911"/>
    <w:rsid w:val="00A27F92"/>
    <w:rsid w:val="00A31554"/>
    <w:rsid w:val="00A34275"/>
    <w:rsid w:val="00A35B25"/>
    <w:rsid w:val="00A40846"/>
    <w:rsid w:val="00A4487F"/>
    <w:rsid w:val="00A46FD3"/>
    <w:rsid w:val="00A47776"/>
    <w:rsid w:val="00A47F16"/>
    <w:rsid w:val="00A51374"/>
    <w:rsid w:val="00A55622"/>
    <w:rsid w:val="00A5646E"/>
    <w:rsid w:val="00A57669"/>
    <w:rsid w:val="00A607D0"/>
    <w:rsid w:val="00A651A9"/>
    <w:rsid w:val="00A71CCA"/>
    <w:rsid w:val="00A740CF"/>
    <w:rsid w:val="00A84BE6"/>
    <w:rsid w:val="00A85983"/>
    <w:rsid w:val="00A90E0A"/>
    <w:rsid w:val="00A9235D"/>
    <w:rsid w:val="00A933B5"/>
    <w:rsid w:val="00A957E3"/>
    <w:rsid w:val="00AA0374"/>
    <w:rsid w:val="00AA193F"/>
    <w:rsid w:val="00AA5101"/>
    <w:rsid w:val="00AB4D85"/>
    <w:rsid w:val="00AB56E7"/>
    <w:rsid w:val="00AB5B80"/>
    <w:rsid w:val="00AB5E12"/>
    <w:rsid w:val="00AB6C7F"/>
    <w:rsid w:val="00AC4F69"/>
    <w:rsid w:val="00AD3371"/>
    <w:rsid w:val="00AF2685"/>
    <w:rsid w:val="00AF6D8B"/>
    <w:rsid w:val="00B052E9"/>
    <w:rsid w:val="00B11092"/>
    <w:rsid w:val="00B1134D"/>
    <w:rsid w:val="00B12C74"/>
    <w:rsid w:val="00B14BD3"/>
    <w:rsid w:val="00B22605"/>
    <w:rsid w:val="00B23D2D"/>
    <w:rsid w:val="00B25A27"/>
    <w:rsid w:val="00B30876"/>
    <w:rsid w:val="00B31BD1"/>
    <w:rsid w:val="00B341E4"/>
    <w:rsid w:val="00B4067A"/>
    <w:rsid w:val="00B40A81"/>
    <w:rsid w:val="00B43E17"/>
    <w:rsid w:val="00B44910"/>
    <w:rsid w:val="00B449EA"/>
    <w:rsid w:val="00B532C6"/>
    <w:rsid w:val="00B549CB"/>
    <w:rsid w:val="00B55367"/>
    <w:rsid w:val="00B55F46"/>
    <w:rsid w:val="00B619DE"/>
    <w:rsid w:val="00B62DEB"/>
    <w:rsid w:val="00B63FA9"/>
    <w:rsid w:val="00B64130"/>
    <w:rsid w:val="00B72267"/>
    <w:rsid w:val="00B7414C"/>
    <w:rsid w:val="00B7569F"/>
    <w:rsid w:val="00B76EB6"/>
    <w:rsid w:val="00B77835"/>
    <w:rsid w:val="00B80AAA"/>
    <w:rsid w:val="00B81C8F"/>
    <w:rsid w:val="00B82268"/>
    <w:rsid w:val="00B824C8"/>
    <w:rsid w:val="00B86C69"/>
    <w:rsid w:val="00B9179E"/>
    <w:rsid w:val="00B951A7"/>
    <w:rsid w:val="00BA0B75"/>
    <w:rsid w:val="00BA2DE0"/>
    <w:rsid w:val="00BA63C9"/>
    <w:rsid w:val="00BC08D9"/>
    <w:rsid w:val="00BC32A5"/>
    <w:rsid w:val="00BC4CB4"/>
    <w:rsid w:val="00BD032B"/>
    <w:rsid w:val="00BD451F"/>
    <w:rsid w:val="00BD6604"/>
    <w:rsid w:val="00BE2640"/>
    <w:rsid w:val="00BE41D0"/>
    <w:rsid w:val="00BE7F10"/>
    <w:rsid w:val="00BF0E57"/>
    <w:rsid w:val="00BF17EF"/>
    <w:rsid w:val="00BF4DBF"/>
    <w:rsid w:val="00BF5A2E"/>
    <w:rsid w:val="00BF6F53"/>
    <w:rsid w:val="00C01189"/>
    <w:rsid w:val="00C0377A"/>
    <w:rsid w:val="00C04F38"/>
    <w:rsid w:val="00C0704E"/>
    <w:rsid w:val="00C079B1"/>
    <w:rsid w:val="00C12515"/>
    <w:rsid w:val="00C12720"/>
    <w:rsid w:val="00C12790"/>
    <w:rsid w:val="00C12B85"/>
    <w:rsid w:val="00C16744"/>
    <w:rsid w:val="00C22F85"/>
    <w:rsid w:val="00C2383B"/>
    <w:rsid w:val="00C33059"/>
    <w:rsid w:val="00C347F6"/>
    <w:rsid w:val="00C36EBE"/>
    <w:rsid w:val="00C374DE"/>
    <w:rsid w:val="00C418E0"/>
    <w:rsid w:val="00C435C8"/>
    <w:rsid w:val="00C43E4F"/>
    <w:rsid w:val="00C44A70"/>
    <w:rsid w:val="00C44BD8"/>
    <w:rsid w:val="00C46034"/>
    <w:rsid w:val="00C4647A"/>
    <w:rsid w:val="00C5081B"/>
    <w:rsid w:val="00C53177"/>
    <w:rsid w:val="00C60500"/>
    <w:rsid w:val="00C629D5"/>
    <w:rsid w:val="00C630D2"/>
    <w:rsid w:val="00C66677"/>
    <w:rsid w:val="00C7063A"/>
    <w:rsid w:val="00C76452"/>
    <w:rsid w:val="00C81B99"/>
    <w:rsid w:val="00C83182"/>
    <w:rsid w:val="00C84BD6"/>
    <w:rsid w:val="00C871F2"/>
    <w:rsid w:val="00C92EE2"/>
    <w:rsid w:val="00C97A4F"/>
    <w:rsid w:val="00CA19EF"/>
    <w:rsid w:val="00CA4C0C"/>
    <w:rsid w:val="00CA6393"/>
    <w:rsid w:val="00CB342D"/>
    <w:rsid w:val="00CB3C1A"/>
    <w:rsid w:val="00CB50F3"/>
    <w:rsid w:val="00CB7B09"/>
    <w:rsid w:val="00CC34E6"/>
    <w:rsid w:val="00CC3898"/>
    <w:rsid w:val="00CC6640"/>
    <w:rsid w:val="00CD0C08"/>
    <w:rsid w:val="00CD3DB1"/>
    <w:rsid w:val="00CE280F"/>
    <w:rsid w:val="00CE29F5"/>
    <w:rsid w:val="00CE4668"/>
    <w:rsid w:val="00CF182D"/>
    <w:rsid w:val="00CF1E27"/>
    <w:rsid w:val="00CF20EB"/>
    <w:rsid w:val="00CF33F3"/>
    <w:rsid w:val="00D013D6"/>
    <w:rsid w:val="00D0395D"/>
    <w:rsid w:val="00D03B91"/>
    <w:rsid w:val="00D05625"/>
    <w:rsid w:val="00D05A61"/>
    <w:rsid w:val="00D06183"/>
    <w:rsid w:val="00D07305"/>
    <w:rsid w:val="00D07940"/>
    <w:rsid w:val="00D10965"/>
    <w:rsid w:val="00D11668"/>
    <w:rsid w:val="00D11A1F"/>
    <w:rsid w:val="00D121C1"/>
    <w:rsid w:val="00D17D53"/>
    <w:rsid w:val="00D22C42"/>
    <w:rsid w:val="00D24538"/>
    <w:rsid w:val="00D404FD"/>
    <w:rsid w:val="00D5317E"/>
    <w:rsid w:val="00D57057"/>
    <w:rsid w:val="00D57654"/>
    <w:rsid w:val="00D61D9A"/>
    <w:rsid w:val="00D64097"/>
    <w:rsid w:val="00D67345"/>
    <w:rsid w:val="00D67DF0"/>
    <w:rsid w:val="00D701AF"/>
    <w:rsid w:val="00D7053F"/>
    <w:rsid w:val="00D73952"/>
    <w:rsid w:val="00D75658"/>
    <w:rsid w:val="00D76351"/>
    <w:rsid w:val="00D81928"/>
    <w:rsid w:val="00D86BB2"/>
    <w:rsid w:val="00D917C9"/>
    <w:rsid w:val="00D919A5"/>
    <w:rsid w:val="00DB239F"/>
    <w:rsid w:val="00DB6E2B"/>
    <w:rsid w:val="00DC2278"/>
    <w:rsid w:val="00DC41D7"/>
    <w:rsid w:val="00DC6313"/>
    <w:rsid w:val="00DC6845"/>
    <w:rsid w:val="00DC73BC"/>
    <w:rsid w:val="00DC7E29"/>
    <w:rsid w:val="00DD1A02"/>
    <w:rsid w:val="00DD227B"/>
    <w:rsid w:val="00DD366C"/>
    <w:rsid w:val="00DD4D4E"/>
    <w:rsid w:val="00DE1E65"/>
    <w:rsid w:val="00DE243E"/>
    <w:rsid w:val="00DE4518"/>
    <w:rsid w:val="00DE4E3D"/>
    <w:rsid w:val="00DF1386"/>
    <w:rsid w:val="00E00001"/>
    <w:rsid w:val="00E01654"/>
    <w:rsid w:val="00E07290"/>
    <w:rsid w:val="00E10E80"/>
    <w:rsid w:val="00E124F0"/>
    <w:rsid w:val="00E15E63"/>
    <w:rsid w:val="00E167C1"/>
    <w:rsid w:val="00E20669"/>
    <w:rsid w:val="00E2125A"/>
    <w:rsid w:val="00E21576"/>
    <w:rsid w:val="00E2177D"/>
    <w:rsid w:val="00E25412"/>
    <w:rsid w:val="00E26A68"/>
    <w:rsid w:val="00E3004C"/>
    <w:rsid w:val="00E30372"/>
    <w:rsid w:val="00E31844"/>
    <w:rsid w:val="00E33B9F"/>
    <w:rsid w:val="00E4045E"/>
    <w:rsid w:val="00E47E33"/>
    <w:rsid w:val="00E52B6C"/>
    <w:rsid w:val="00E53510"/>
    <w:rsid w:val="00E6186B"/>
    <w:rsid w:val="00E66359"/>
    <w:rsid w:val="00E84EF9"/>
    <w:rsid w:val="00E86768"/>
    <w:rsid w:val="00E92E12"/>
    <w:rsid w:val="00EA3733"/>
    <w:rsid w:val="00EA4830"/>
    <w:rsid w:val="00EB024C"/>
    <w:rsid w:val="00EB2232"/>
    <w:rsid w:val="00EB285D"/>
    <w:rsid w:val="00EB2D2C"/>
    <w:rsid w:val="00EB3713"/>
    <w:rsid w:val="00EB5A12"/>
    <w:rsid w:val="00EC46BD"/>
    <w:rsid w:val="00ED0667"/>
    <w:rsid w:val="00ED14B0"/>
    <w:rsid w:val="00ED3DBC"/>
    <w:rsid w:val="00ED5792"/>
    <w:rsid w:val="00EE53F8"/>
    <w:rsid w:val="00EE7923"/>
    <w:rsid w:val="00F02DA2"/>
    <w:rsid w:val="00F06027"/>
    <w:rsid w:val="00F1464E"/>
    <w:rsid w:val="00F14988"/>
    <w:rsid w:val="00F20C44"/>
    <w:rsid w:val="00F2150A"/>
    <w:rsid w:val="00F21AEF"/>
    <w:rsid w:val="00F22326"/>
    <w:rsid w:val="00F24AE5"/>
    <w:rsid w:val="00F25A40"/>
    <w:rsid w:val="00F27B50"/>
    <w:rsid w:val="00F27FD5"/>
    <w:rsid w:val="00F30792"/>
    <w:rsid w:val="00F365A0"/>
    <w:rsid w:val="00F41A05"/>
    <w:rsid w:val="00F43D0E"/>
    <w:rsid w:val="00F46FBF"/>
    <w:rsid w:val="00F522AF"/>
    <w:rsid w:val="00F532BF"/>
    <w:rsid w:val="00F549AA"/>
    <w:rsid w:val="00F57F81"/>
    <w:rsid w:val="00F6134C"/>
    <w:rsid w:val="00F66D16"/>
    <w:rsid w:val="00F711BC"/>
    <w:rsid w:val="00F71738"/>
    <w:rsid w:val="00F726AD"/>
    <w:rsid w:val="00F72890"/>
    <w:rsid w:val="00F775D3"/>
    <w:rsid w:val="00F87A92"/>
    <w:rsid w:val="00F9003B"/>
    <w:rsid w:val="00F90759"/>
    <w:rsid w:val="00F93ECC"/>
    <w:rsid w:val="00F96942"/>
    <w:rsid w:val="00FA103F"/>
    <w:rsid w:val="00FA1778"/>
    <w:rsid w:val="00FA2DBB"/>
    <w:rsid w:val="00FA6347"/>
    <w:rsid w:val="00FA7FB9"/>
    <w:rsid w:val="00FB1354"/>
    <w:rsid w:val="00FB1CE8"/>
    <w:rsid w:val="00FB24AB"/>
    <w:rsid w:val="00FB531B"/>
    <w:rsid w:val="00FB5E0C"/>
    <w:rsid w:val="00FD084C"/>
    <w:rsid w:val="00FD2306"/>
    <w:rsid w:val="00FD6C1D"/>
    <w:rsid w:val="00FE0E06"/>
    <w:rsid w:val="00FE1D7F"/>
    <w:rsid w:val="00FE284D"/>
    <w:rsid w:val="00FE2938"/>
    <w:rsid w:val="00FE3E54"/>
    <w:rsid w:val="00FE50B5"/>
    <w:rsid w:val="00FE5816"/>
    <w:rsid w:val="00FE77D2"/>
    <w:rsid w:val="00FE7BF9"/>
    <w:rsid w:val="00FF22F1"/>
    <w:rsid w:val="00FF3251"/>
    <w:rsid w:val="00FF3FE3"/>
    <w:rsid w:val="00FF5D22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910A54F-FDF6-415B-9573-4F05D05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317E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5317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5317E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D5317E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5317E"/>
    <w:pPr>
      <w:outlineLvl w:val="4"/>
    </w:pPr>
  </w:style>
  <w:style w:type="paragraph" w:styleId="Heading6">
    <w:name w:val="heading 6"/>
    <w:basedOn w:val="Heading4"/>
    <w:next w:val="Normal"/>
    <w:qFormat/>
    <w:rsid w:val="00D5317E"/>
    <w:pPr>
      <w:outlineLvl w:val="5"/>
    </w:pPr>
  </w:style>
  <w:style w:type="paragraph" w:styleId="Heading7">
    <w:name w:val="heading 7"/>
    <w:basedOn w:val="Heading6"/>
    <w:next w:val="Normal"/>
    <w:qFormat/>
    <w:rsid w:val="00D5317E"/>
    <w:pPr>
      <w:outlineLvl w:val="6"/>
    </w:pPr>
  </w:style>
  <w:style w:type="paragraph" w:styleId="Heading8">
    <w:name w:val="heading 8"/>
    <w:basedOn w:val="Heading6"/>
    <w:next w:val="Normal"/>
    <w:qFormat/>
    <w:rsid w:val="00D5317E"/>
    <w:pPr>
      <w:outlineLvl w:val="7"/>
    </w:pPr>
  </w:style>
  <w:style w:type="paragraph" w:styleId="Heading9">
    <w:name w:val="heading 9"/>
    <w:basedOn w:val="Heading6"/>
    <w:next w:val="Normal"/>
    <w:qFormat/>
    <w:rsid w:val="00D531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5317E"/>
  </w:style>
  <w:style w:type="paragraph" w:styleId="TOC4">
    <w:name w:val="toc 4"/>
    <w:basedOn w:val="TOC3"/>
    <w:rsid w:val="00D5317E"/>
    <w:pPr>
      <w:spacing w:before="80"/>
    </w:pPr>
  </w:style>
  <w:style w:type="paragraph" w:styleId="TOC3">
    <w:name w:val="toc 3"/>
    <w:basedOn w:val="TOC2"/>
    <w:rsid w:val="00D5317E"/>
  </w:style>
  <w:style w:type="paragraph" w:styleId="TOC2">
    <w:name w:val="toc 2"/>
    <w:basedOn w:val="TOC1"/>
    <w:rsid w:val="00D5317E"/>
    <w:pPr>
      <w:spacing w:before="160"/>
    </w:pPr>
  </w:style>
  <w:style w:type="paragraph" w:styleId="TOC1">
    <w:name w:val="toc 1"/>
    <w:basedOn w:val="Normal"/>
    <w:rsid w:val="00D5317E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5317E"/>
  </w:style>
  <w:style w:type="paragraph" w:styleId="TOC6">
    <w:name w:val="toc 6"/>
    <w:basedOn w:val="TOC4"/>
    <w:rsid w:val="00D5317E"/>
  </w:style>
  <w:style w:type="paragraph" w:styleId="TOC5">
    <w:name w:val="toc 5"/>
    <w:basedOn w:val="TOC4"/>
    <w:rsid w:val="00D5317E"/>
  </w:style>
  <w:style w:type="paragraph" w:styleId="Index7">
    <w:name w:val="index 7"/>
    <w:basedOn w:val="Normal"/>
    <w:next w:val="Normal"/>
    <w:rsid w:val="00D5317E"/>
    <w:pPr>
      <w:ind w:left="1698"/>
    </w:pPr>
  </w:style>
  <w:style w:type="paragraph" w:styleId="Index6">
    <w:name w:val="index 6"/>
    <w:basedOn w:val="Normal"/>
    <w:next w:val="Normal"/>
    <w:rsid w:val="00D5317E"/>
    <w:pPr>
      <w:ind w:left="1415"/>
    </w:pPr>
  </w:style>
  <w:style w:type="paragraph" w:styleId="Index5">
    <w:name w:val="index 5"/>
    <w:basedOn w:val="Normal"/>
    <w:next w:val="Normal"/>
    <w:rsid w:val="00D5317E"/>
    <w:pPr>
      <w:ind w:left="1132"/>
    </w:pPr>
  </w:style>
  <w:style w:type="paragraph" w:styleId="Index4">
    <w:name w:val="index 4"/>
    <w:basedOn w:val="Normal"/>
    <w:next w:val="Normal"/>
    <w:rsid w:val="00D5317E"/>
    <w:pPr>
      <w:ind w:left="849"/>
    </w:pPr>
  </w:style>
  <w:style w:type="paragraph" w:styleId="Index3">
    <w:name w:val="index 3"/>
    <w:basedOn w:val="Normal"/>
    <w:next w:val="Normal"/>
    <w:rsid w:val="00D5317E"/>
    <w:pPr>
      <w:ind w:left="566"/>
    </w:pPr>
  </w:style>
  <w:style w:type="paragraph" w:styleId="Index2">
    <w:name w:val="index 2"/>
    <w:basedOn w:val="Normal"/>
    <w:next w:val="Normal"/>
    <w:rsid w:val="00D5317E"/>
    <w:pPr>
      <w:ind w:left="283"/>
    </w:pPr>
  </w:style>
  <w:style w:type="paragraph" w:styleId="Index1">
    <w:name w:val="index 1"/>
    <w:basedOn w:val="Normal"/>
    <w:next w:val="Normal"/>
    <w:rsid w:val="00D5317E"/>
  </w:style>
  <w:style w:type="character" w:styleId="LineNumber">
    <w:name w:val="line number"/>
    <w:basedOn w:val="DefaultParagraphFont"/>
    <w:rsid w:val="00D5317E"/>
  </w:style>
  <w:style w:type="paragraph" w:styleId="IndexHeading">
    <w:name w:val="index heading"/>
    <w:basedOn w:val="Normal"/>
    <w:next w:val="Index1"/>
    <w:rsid w:val="00D5317E"/>
  </w:style>
  <w:style w:type="paragraph" w:styleId="Footer">
    <w:name w:val="footer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sid w:val="00D5317E"/>
    <w:rPr>
      <w:position w:val="6"/>
      <w:sz w:val="18"/>
    </w:rPr>
  </w:style>
  <w:style w:type="paragraph" w:styleId="FootnoteText">
    <w:name w:val="footnote text"/>
    <w:basedOn w:val="Normal"/>
    <w:rsid w:val="00D5317E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D5317E"/>
    <w:pPr>
      <w:ind w:left="794"/>
    </w:pPr>
  </w:style>
  <w:style w:type="paragraph" w:customStyle="1" w:styleId="enumlev1">
    <w:name w:val="enumlev1"/>
    <w:basedOn w:val="Normal"/>
    <w:rsid w:val="00D5317E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5317E"/>
    <w:pPr>
      <w:ind w:left="1191" w:hanging="397"/>
    </w:pPr>
  </w:style>
  <w:style w:type="paragraph" w:customStyle="1" w:styleId="enumlev3">
    <w:name w:val="enumlev3"/>
    <w:basedOn w:val="enumlev2"/>
    <w:rsid w:val="00D5317E"/>
    <w:pPr>
      <w:ind w:left="1588"/>
    </w:pPr>
  </w:style>
  <w:style w:type="paragraph" w:customStyle="1" w:styleId="Normalaftertitle">
    <w:name w:val="Normal after title"/>
    <w:basedOn w:val="Normal"/>
    <w:next w:val="Normal"/>
    <w:rsid w:val="00D5317E"/>
    <w:pPr>
      <w:spacing w:before="320"/>
    </w:pPr>
  </w:style>
  <w:style w:type="paragraph" w:customStyle="1" w:styleId="Equation">
    <w:name w:val="Equation"/>
    <w:basedOn w:val="Normal"/>
    <w:rsid w:val="00D531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317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5317E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5317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5317E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D5317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317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5317E"/>
  </w:style>
  <w:style w:type="paragraph" w:customStyle="1" w:styleId="Data">
    <w:name w:val="Data"/>
    <w:basedOn w:val="Subject"/>
    <w:next w:val="Subject"/>
    <w:rsid w:val="00D5317E"/>
  </w:style>
  <w:style w:type="paragraph" w:customStyle="1" w:styleId="Reasons">
    <w:name w:val="Reasons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sid w:val="00D5317E"/>
    <w:rPr>
      <w:color w:val="0000FF"/>
      <w:u w:val="single"/>
    </w:rPr>
  </w:style>
  <w:style w:type="paragraph" w:customStyle="1" w:styleId="FirstFooter">
    <w:name w:val="FirstFooter"/>
    <w:basedOn w:val="Footer"/>
    <w:rsid w:val="00D531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5317E"/>
  </w:style>
  <w:style w:type="paragraph" w:customStyle="1" w:styleId="Headingb">
    <w:name w:val="Heading_b"/>
    <w:basedOn w:val="Heading3"/>
    <w:next w:val="Normal"/>
    <w:rsid w:val="00D5317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sid w:val="00D5317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531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531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5317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317E"/>
    <w:rPr>
      <w:b/>
    </w:rPr>
  </w:style>
  <w:style w:type="paragraph" w:customStyle="1" w:styleId="dnum">
    <w:name w:val="dnum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31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D5317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D531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D5317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D5317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5317E"/>
  </w:style>
  <w:style w:type="paragraph" w:customStyle="1" w:styleId="Appendixtitle">
    <w:name w:val="Appendix_title"/>
    <w:basedOn w:val="Annextitle"/>
    <w:next w:val="Appendixref"/>
    <w:rsid w:val="00D5317E"/>
  </w:style>
  <w:style w:type="paragraph" w:customStyle="1" w:styleId="Appendixref">
    <w:name w:val="Appendix_ref"/>
    <w:basedOn w:val="Annexref"/>
    <w:next w:val="Normalaftertitle"/>
    <w:rsid w:val="00D5317E"/>
  </w:style>
  <w:style w:type="paragraph" w:customStyle="1" w:styleId="Call">
    <w:name w:val="Call"/>
    <w:basedOn w:val="Normal"/>
    <w:next w:val="Normal"/>
    <w:rsid w:val="00D5317E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sid w:val="00D5317E"/>
    <w:rPr>
      <w:vertAlign w:val="superscript"/>
    </w:rPr>
  </w:style>
  <w:style w:type="paragraph" w:customStyle="1" w:styleId="Equationlegend">
    <w:name w:val="Equation_legend"/>
    <w:basedOn w:val="Normal"/>
    <w:rsid w:val="00D531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5317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5317E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5317E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D5317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531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D531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5317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5317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317E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5317E"/>
  </w:style>
  <w:style w:type="paragraph" w:customStyle="1" w:styleId="PartNo">
    <w:name w:val="Part_No"/>
    <w:basedOn w:val="AnnexNo"/>
    <w:next w:val="Parttitle"/>
    <w:rsid w:val="00D5317E"/>
  </w:style>
  <w:style w:type="paragraph" w:customStyle="1" w:styleId="Parttitle">
    <w:name w:val="Part_title"/>
    <w:basedOn w:val="Annextitle"/>
    <w:next w:val="Partref"/>
    <w:rsid w:val="00D5317E"/>
  </w:style>
  <w:style w:type="paragraph" w:customStyle="1" w:styleId="Partref">
    <w:name w:val="Part_ref"/>
    <w:basedOn w:val="Annexref"/>
    <w:next w:val="Normalaftertitle"/>
    <w:rsid w:val="00D5317E"/>
  </w:style>
  <w:style w:type="paragraph" w:customStyle="1" w:styleId="RecNo">
    <w:name w:val="Rec_No"/>
    <w:basedOn w:val="Normal"/>
    <w:next w:val="Rectitle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D5317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531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31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317E"/>
  </w:style>
  <w:style w:type="paragraph" w:customStyle="1" w:styleId="QuestionNo">
    <w:name w:val="Question_No"/>
    <w:basedOn w:val="RecNo"/>
    <w:next w:val="Questiontitle"/>
    <w:rsid w:val="00D5317E"/>
  </w:style>
  <w:style w:type="paragraph" w:customStyle="1" w:styleId="Questionref">
    <w:name w:val="Question_ref"/>
    <w:basedOn w:val="Recref"/>
    <w:next w:val="Questiondate"/>
    <w:rsid w:val="00D5317E"/>
  </w:style>
  <w:style w:type="paragraph" w:customStyle="1" w:styleId="Questiontitle">
    <w:name w:val="Question_title"/>
    <w:basedOn w:val="Rectitle"/>
    <w:next w:val="Questionref"/>
    <w:rsid w:val="00D5317E"/>
  </w:style>
  <w:style w:type="paragraph" w:customStyle="1" w:styleId="Reftext">
    <w:name w:val="Ref_text"/>
    <w:basedOn w:val="Normal"/>
    <w:rsid w:val="00D5317E"/>
    <w:pPr>
      <w:ind w:left="794" w:hanging="794"/>
    </w:pPr>
  </w:style>
  <w:style w:type="paragraph" w:customStyle="1" w:styleId="Reftitle">
    <w:name w:val="Ref_title"/>
    <w:basedOn w:val="Normal"/>
    <w:next w:val="Reftext"/>
    <w:rsid w:val="00D531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5317E"/>
  </w:style>
  <w:style w:type="paragraph" w:customStyle="1" w:styleId="RepNo">
    <w:name w:val="Rep_No"/>
    <w:basedOn w:val="RecNo"/>
    <w:next w:val="Reptitle"/>
    <w:rsid w:val="00D5317E"/>
  </w:style>
  <w:style w:type="paragraph" w:customStyle="1" w:styleId="Reptitle">
    <w:name w:val="Rep_title"/>
    <w:basedOn w:val="Rectitle"/>
    <w:next w:val="Repref"/>
    <w:rsid w:val="00D5317E"/>
  </w:style>
  <w:style w:type="paragraph" w:customStyle="1" w:styleId="Repref">
    <w:name w:val="Rep_ref"/>
    <w:basedOn w:val="Recref"/>
    <w:next w:val="Repdate"/>
    <w:rsid w:val="00D5317E"/>
  </w:style>
  <w:style w:type="paragraph" w:customStyle="1" w:styleId="Resdate">
    <w:name w:val="Res_date"/>
    <w:basedOn w:val="Recdate"/>
    <w:next w:val="Normalaftertitle"/>
    <w:rsid w:val="00D5317E"/>
  </w:style>
  <w:style w:type="paragraph" w:customStyle="1" w:styleId="ResNo">
    <w:name w:val="Res_No"/>
    <w:basedOn w:val="RecNo"/>
    <w:next w:val="Restitle"/>
    <w:rsid w:val="00D5317E"/>
  </w:style>
  <w:style w:type="paragraph" w:customStyle="1" w:styleId="Restitle">
    <w:name w:val="Res_title"/>
    <w:basedOn w:val="Rectitle"/>
    <w:next w:val="Resref"/>
    <w:rsid w:val="00D5317E"/>
  </w:style>
  <w:style w:type="paragraph" w:customStyle="1" w:styleId="Resref">
    <w:name w:val="Res_ref"/>
    <w:basedOn w:val="Recref"/>
    <w:next w:val="Resdate"/>
    <w:rsid w:val="00D5317E"/>
  </w:style>
  <w:style w:type="paragraph" w:customStyle="1" w:styleId="SectionNo">
    <w:name w:val="Section_No"/>
    <w:basedOn w:val="AnnexNo"/>
    <w:next w:val="Sectiontitle"/>
    <w:rsid w:val="00D5317E"/>
  </w:style>
  <w:style w:type="paragraph" w:customStyle="1" w:styleId="Sectiontitle">
    <w:name w:val="Section_title"/>
    <w:basedOn w:val="Normal"/>
    <w:next w:val="Normalaftertitle"/>
    <w:rsid w:val="00D5317E"/>
    <w:rPr>
      <w:sz w:val="28"/>
    </w:rPr>
  </w:style>
  <w:style w:type="paragraph" w:customStyle="1" w:styleId="SpecialFooter">
    <w:name w:val="Special Footer"/>
    <w:basedOn w:val="Footer"/>
    <w:rsid w:val="00D531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531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317E"/>
    <w:pPr>
      <w:spacing w:before="120"/>
    </w:pPr>
  </w:style>
  <w:style w:type="paragraph" w:customStyle="1" w:styleId="Tableref">
    <w:name w:val="Table_ref"/>
    <w:basedOn w:val="Normal"/>
    <w:next w:val="Tabletitle"/>
    <w:rsid w:val="00D5317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5317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5317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5317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5317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D5317E"/>
  </w:style>
  <w:style w:type="paragraph" w:styleId="BalloonText">
    <w:name w:val="Balloon Text"/>
    <w:basedOn w:val="Normal"/>
    <w:semiHidden/>
    <w:rsid w:val="00CF20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270F0"/>
    <w:pPr>
      <w:tabs>
        <w:tab w:val="clear" w:pos="794"/>
        <w:tab w:val="clear" w:pos="1191"/>
        <w:tab w:val="clear" w:pos="1588"/>
        <w:tab w:val="clear" w:pos="1985"/>
      </w:tabs>
      <w:overflowPunct/>
      <w:textAlignment w:val="auto"/>
    </w:pPr>
    <w:rPr>
      <w:rFonts w:ascii="Arial" w:hAnsi="Arial"/>
      <w:sz w:val="20"/>
      <w:lang w:val="fr-CH"/>
    </w:rPr>
  </w:style>
  <w:style w:type="character" w:customStyle="1" w:styleId="BodyTextChar">
    <w:name w:val="Body Text Char"/>
    <w:link w:val="BodyText"/>
    <w:rsid w:val="000270F0"/>
    <w:rPr>
      <w:rFonts w:ascii="Arial" w:hAnsi="Arial" w:cs="Arial"/>
      <w:lang w:val="fr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196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rsid w:val="00AB5E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E%20-%20ITU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EBDB-D6D3-49B8-8BEE-4DF2B71E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8</TotalTime>
  <Pages>7</Pages>
  <Words>718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draft biennal budget for 2020-2021</vt:lpstr>
    </vt:vector>
  </TitlesOfParts>
  <Manager>General Secretariat - Pool</Manager>
  <Company>International Telecommunication Union (ITU)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draft biennial budget for 2020-2021</dc:title>
  <dc:subject>Council 2019</dc:subject>
  <dc:creator>Report by the Secretary-General</dc:creator>
  <cp:keywords>C2019, C19</cp:keywords>
  <dc:description/>
  <cp:lastModifiedBy>Brouard, Ricarda</cp:lastModifiedBy>
  <cp:revision>4</cp:revision>
  <cp:lastPrinted>2018-12-14T14:54:00Z</cp:lastPrinted>
  <dcterms:created xsi:type="dcterms:W3CDTF">2018-12-18T16:37:00Z</dcterms:created>
  <dcterms:modified xsi:type="dcterms:W3CDTF">2018-12-19T08:28:00Z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C07/25-E</vt:lpwstr>
  </property>
  <property fmtid="{D5CDD505-2E9C-101B-9397-08002B2CF9AE}" pid="3" name="Docdate">
    <vt:lpwstr>16 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ADM 6</vt:lpwstr>
  </property>
  <property fmtid="{D5CDD505-2E9C-101B-9397-08002B2CF9AE}" pid="7" name="Docauthor">
    <vt:lpwstr>Report by the Secretary-General</vt:lpwstr>
  </property>
</Properties>
</file>