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BF4B40" w:rsidRPr="00BF4B40" w14:paraId="18B24F78" w14:textId="77777777" w:rsidTr="007978E3">
        <w:trPr>
          <w:cantSplit/>
        </w:trPr>
        <w:tc>
          <w:tcPr>
            <w:tcW w:w="6521" w:type="dxa"/>
          </w:tcPr>
          <w:p w14:paraId="591C8A27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BF4B40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BF4B40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36ECDFD9" w14:textId="77777777" w:rsidR="00BF4B40" w:rsidRPr="00BF4B40" w:rsidRDefault="005924E0" w:rsidP="005924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eastAsia="SimSun" w:hAnsi="Calibri"/>
                <w:b/>
                <w:position w:val="6"/>
                <w:sz w:val="26"/>
                <w:szCs w:val="26"/>
                <w:lang w:val="en-US" w:eastAsia="zh-CN"/>
              </w:rPr>
            </w:pP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Ninth </w:t>
            </w:r>
            <w:r w:rsidR="00BF4B40"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meeting </w:t>
            </w:r>
            <w:r w:rsidR="00BF4B40" w:rsidRPr="00BF4B40">
              <w:rPr>
                <w:rFonts w:ascii="Calibri" w:eastAsia="Calibri" w:hAnsi="Calibri" w:cs="Calibri"/>
                <w:b/>
                <w:color w:val="000000"/>
                <w:szCs w:val="24"/>
                <w:lang w:val="en-US" w:eastAsia="zh-CN"/>
              </w:rPr>
              <w:t>–</w:t>
            </w:r>
            <w:r w:rsidR="00BF4B40"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 Geneva, 2</w:t>
            </w: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9-30 </w:t>
            </w:r>
            <w:r w:rsidR="00BF4B40"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January 201</w:t>
            </w:r>
            <w:r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>9</w:t>
            </w:r>
          </w:p>
        </w:tc>
        <w:tc>
          <w:tcPr>
            <w:tcW w:w="3793" w:type="dxa"/>
          </w:tcPr>
          <w:p w14:paraId="385464F8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eastAsia="SimSun" w:hAnsi="Arial"/>
                <w:sz w:val="22"/>
                <w:szCs w:val="24"/>
                <w:lang w:val="en-US" w:eastAsia="zh-CN"/>
              </w:rPr>
            </w:pPr>
            <w:bookmarkStart w:id="0" w:name="ditulogo"/>
            <w:bookmarkEnd w:id="0"/>
            <w:r w:rsidRPr="00BF4B40">
              <w:rPr>
                <w:rFonts w:ascii="Arial" w:eastAsia="SimSun" w:hAnsi="Arial"/>
                <w:noProof/>
                <w:sz w:val="22"/>
                <w:szCs w:val="24"/>
                <w:lang w:val="en-US" w:eastAsia="zh-CN"/>
              </w:rPr>
              <w:drawing>
                <wp:inline distT="0" distB="0" distL="0" distR="0" wp14:anchorId="73930B9A" wp14:editId="6B30F639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B40" w:rsidRPr="00BF4B40" w14:paraId="5FA9445B" w14:textId="77777777" w:rsidTr="007978E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B9F6C1D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Arial" w:eastAsia="SimSun" w:hAnsi="Arial"/>
                <w:b/>
                <w:smallCaps/>
                <w:sz w:val="22"/>
                <w:szCs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7E034CE1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209"/>
              <w:textAlignment w:val="auto"/>
              <w:rPr>
                <w:rFonts w:ascii="Verdana" w:eastAsia="SimSun" w:hAnsi="Verdana"/>
                <w:sz w:val="22"/>
                <w:szCs w:val="24"/>
                <w:lang w:val="en-US" w:eastAsia="zh-CN"/>
              </w:rPr>
            </w:pPr>
          </w:p>
        </w:tc>
      </w:tr>
      <w:tr w:rsidR="00BF4B40" w:rsidRPr="00BF4B40" w14:paraId="39F8672C" w14:textId="77777777" w:rsidTr="007978E3">
        <w:trPr>
          <w:cantSplit/>
          <w:trHeight w:val="23"/>
        </w:trPr>
        <w:tc>
          <w:tcPr>
            <w:tcW w:w="6521" w:type="dxa"/>
            <w:vMerge w:val="restart"/>
          </w:tcPr>
          <w:p w14:paraId="7BB03132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14:paraId="315C38B6" w14:textId="4002D9CE" w:rsidR="00BF4B40" w:rsidRPr="008F100A" w:rsidRDefault="005924E0" w:rsidP="005924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</w:pPr>
            <w:r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D</w:t>
            </w:r>
            <w:r w:rsidR="00BF4B40" w:rsidRPr="008F100A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ocument CWG-FHR</w:t>
            </w:r>
            <w:r w:rsidR="004642A7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 xml:space="preserve"> </w:t>
            </w:r>
            <w:r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9</w:t>
            </w:r>
            <w:r w:rsidR="00BF4B40" w:rsidRPr="008F100A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/1</w:t>
            </w:r>
            <w:r w:rsidR="00AE2BB6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 xml:space="preserve"> (Rev.1)</w:t>
            </w:r>
          </w:p>
        </w:tc>
      </w:tr>
      <w:tr w:rsidR="00BF4B40" w:rsidRPr="00BF4B40" w14:paraId="0DE7CDF8" w14:textId="77777777" w:rsidTr="007978E3">
        <w:trPr>
          <w:cantSplit/>
          <w:trHeight w:val="23"/>
        </w:trPr>
        <w:tc>
          <w:tcPr>
            <w:tcW w:w="6521" w:type="dxa"/>
            <w:vMerge/>
          </w:tcPr>
          <w:p w14:paraId="099AE0A6" w14:textId="77777777" w:rsidR="00BF4B40" w:rsidRPr="008F100A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14:paraId="15A8F5BB" w14:textId="33105CE8" w:rsidR="00BF4B40" w:rsidRPr="00BE47E2" w:rsidRDefault="00BE47E2" w:rsidP="00BE47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 w:rsidRPr="00BE47E2">
              <w:rPr>
                <w:rFonts w:ascii="Calibri" w:eastAsia="SimSun" w:hAnsi="Calibri"/>
                <w:b/>
                <w:szCs w:val="24"/>
                <w:lang w:val="en-US" w:eastAsia="zh-CN"/>
              </w:rPr>
              <w:t>22</w:t>
            </w:r>
            <w:r w:rsidR="00F84337" w:rsidRPr="00BE47E2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</w:t>
            </w:r>
            <w:r w:rsidR="00901939" w:rsidRPr="00BE47E2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January </w:t>
            </w:r>
            <w:r w:rsidR="000C5D14" w:rsidRPr="00BE47E2">
              <w:rPr>
                <w:rFonts w:ascii="Calibri" w:eastAsia="SimSun" w:hAnsi="Calibri"/>
                <w:b/>
                <w:szCs w:val="24"/>
                <w:lang w:val="en-US" w:eastAsia="zh-CN"/>
              </w:rPr>
              <w:t>2018</w:t>
            </w:r>
          </w:p>
        </w:tc>
      </w:tr>
      <w:tr w:rsidR="00BF4B40" w:rsidRPr="00BF4B40" w14:paraId="12AEAC93" w14:textId="77777777" w:rsidTr="007978E3">
        <w:trPr>
          <w:cantSplit/>
          <w:trHeight w:val="80"/>
        </w:trPr>
        <w:tc>
          <w:tcPr>
            <w:tcW w:w="6521" w:type="dxa"/>
            <w:vMerge/>
          </w:tcPr>
          <w:p w14:paraId="10D55E11" w14:textId="77777777"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14:paraId="648663C7" w14:textId="77777777" w:rsidR="00BF4B40" w:rsidRPr="00BE47E2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 w:rsidRPr="00BE47E2">
              <w:rPr>
                <w:rFonts w:ascii="Calibri" w:eastAsia="SimSun" w:hAnsi="Calibri"/>
                <w:b/>
                <w:szCs w:val="24"/>
                <w:lang w:val="en-US" w:eastAsia="zh-CN"/>
              </w:rPr>
              <w:t>English only</w:t>
            </w:r>
          </w:p>
        </w:tc>
      </w:tr>
      <w:bookmarkEnd w:id="5"/>
    </w:tbl>
    <w:p w14:paraId="521F50BA" w14:textId="77777777" w:rsidR="00BF4B40" w:rsidRDefault="00BF4B40" w:rsidP="00F1773C">
      <w:pPr>
        <w:jc w:val="center"/>
        <w:rPr>
          <w:rFonts w:asciiTheme="minorHAnsi" w:hAnsiTheme="minorHAnsi"/>
          <w:bCs/>
          <w:sz w:val="28"/>
          <w:szCs w:val="28"/>
          <w:highlight w:val="yellow"/>
        </w:rPr>
      </w:pPr>
    </w:p>
    <w:p w14:paraId="27F3154B" w14:textId="77777777" w:rsidR="002B3049" w:rsidRDefault="002B3049" w:rsidP="00F1773C">
      <w:pPr>
        <w:jc w:val="center"/>
        <w:rPr>
          <w:rFonts w:asciiTheme="minorHAnsi" w:hAnsiTheme="minorHAnsi"/>
          <w:bCs/>
          <w:sz w:val="28"/>
          <w:szCs w:val="28"/>
          <w:highlight w:val="yellow"/>
        </w:rPr>
      </w:pPr>
    </w:p>
    <w:p w14:paraId="1668DACC" w14:textId="77777777" w:rsidR="007F0840" w:rsidRPr="00F910A2" w:rsidRDefault="00997952" w:rsidP="00F1773C">
      <w:pPr>
        <w:jc w:val="center"/>
        <w:rPr>
          <w:rFonts w:asciiTheme="minorHAnsi" w:hAnsiTheme="minorHAnsi"/>
          <w:bCs/>
          <w:sz w:val="28"/>
          <w:szCs w:val="28"/>
        </w:rPr>
      </w:pPr>
      <w:r w:rsidRPr="009B11A1">
        <w:rPr>
          <w:rFonts w:asciiTheme="minorHAnsi" w:hAnsiTheme="minorHAnsi"/>
          <w:bCs/>
          <w:sz w:val="28"/>
          <w:szCs w:val="28"/>
        </w:rPr>
        <w:t>DRAFT AGENDA</w:t>
      </w:r>
    </w:p>
    <w:p w14:paraId="4F9E74D0" w14:textId="77777777" w:rsidR="00096678" w:rsidRPr="00F910A2" w:rsidRDefault="00525421" w:rsidP="00B27A9E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27A9E">
        <w:rPr>
          <w:rFonts w:asciiTheme="minorHAnsi" w:hAnsiTheme="minorHAnsi"/>
          <w:bCs/>
          <w:sz w:val="28"/>
          <w:szCs w:val="28"/>
        </w:rPr>
        <w:t>FINANCIAL AND HUMAN RESOURCES</w:t>
      </w:r>
    </w:p>
    <w:p w14:paraId="0CF42BF4" w14:textId="77777777" w:rsidR="005924E0" w:rsidRDefault="005924E0" w:rsidP="005924E0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Tuesday, </w:t>
      </w:r>
      <w:r w:rsidR="00B36EA1" w:rsidRPr="00436CB4"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>9</w:t>
      </w:r>
      <w:r w:rsidR="009E2292" w:rsidRPr="00436CB4">
        <w:rPr>
          <w:rFonts w:asciiTheme="minorHAnsi" w:hAnsiTheme="minorHAnsi"/>
          <w:bCs/>
        </w:rPr>
        <w:t xml:space="preserve"> </w:t>
      </w:r>
      <w:r w:rsidR="00B36EA1" w:rsidRPr="00436CB4">
        <w:rPr>
          <w:rFonts w:asciiTheme="minorHAnsi" w:hAnsiTheme="minorHAnsi"/>
          <w:bCs/>
        </w:rPr>
        <w:t xml:space="preserve">January </w:t>
      </w:r>
      <w:r>
        <w:rPr>
          <w:rFonts w:asciiTheme="minorHAnsi" w:hAnsiTheme="minorHAnsi"/>
          <w:bCs/>
        </w:rPr>
        <w:t xml:space="preserve">2019 from </w:t>
      </w:r>
      <w:r w:rsidRPr="008B58CA">
        <w:rPr>
          <w:rFonts w:asciiTheme="minorHAnsi" w:hAnsiTheme="minorHAnsi"/>
          <w:bCs/>
        </w:rPr>
        <w:t>0930 – 1230 and 14</w:t>
      </w:r>
      <w:r>
        <w:rPr>
          <w:rFonts w:asciiTheme="minorHAnsi" w:hAnsiTheme="minorHAnsi"/>
          <w:bCs/>
        </w:rPr>
        <w:t>30</w:t>
      </w:r>
      <w:r w:rsidRPr="008B58CA">
        <w:rPr>
          <w:rFonts w:asciiTheme="minorHAnsi" w:hAnsiTheme="minorHAnsi"/>
          <w:bCs/>
        </w:rPr>
        <w:t xml:space="preserve"> – 17</w:t>
      </w:r>
      <w:r>
        <w:rPr>
          <w:rFonts w:asciiTheme="minorHAnsi" w:hAnsiTheme="minorHAnsi"/>
          <w:bCs/>
        </w:rPr>
        <w:t>30</w:t>
      </w:r>
      <w:r w:rsidRPr="008B58CA">
        <w:rPr>
          <w:rFonts w:asciiTheme="minorHAnsi" w:hAnsiTheme="minorHAnsi"/>
          <w:bCs/>
        </w:rPr>
        <w:t xml:space="preserve"> hours</w:t>
      </w:r>
    </w:p>
    <w:p w14:paraId="0E46E1B2" w14:textId="77777777" w:rsidR="005924E0" w:rsidRDefault="00B36EA1" w:rsidP="006548EB">
      <w:pPr>
        <w:spacing w:before="60"/>
        <w:jc w:val="center"/>
        <w:rPr>
          <w:rFonts w:asciiTheme="minorHAnsi" w:hAnsiTheme="minorHAnsi"/>
          <w:bCs/>
        </w:rPr>
      </w:pPr>
      <w:proofErr w:type="gramStart"/>
      <w:r w:rsidRPr="00436CB4">
        <w:rPr>
          <w:rFonts w:asciiTheme="minorHAnsi" w:hAnsiTheme="minorHAnsi"/>
          <w:bCs/>
        </w:rPr>
        <w:t>and</w:t>
      </w:r>
      <w:proofErr w:type="gramEnd"/>
    </w:p>
    <w:p w14:paraId="504D2A07" w14:textId="77777777" w:rsidR="00096678" w:rsidRPr="008B58CA" w:rsidRDefault="005924E0" w:rsidP="006548EB">
      <w:pPr>
        <w:spacing w:before="6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Wednesday, 30 </w:t>
      </w:r>
      <w:r w:rsidR="00B36EA1" w:rsidRPr="00436CB4">
        <w:rPr>
          <w:rFonts w:asciiTheme="minorHAnsi" w:hAnsiTheme="minorHAnsi"/>
          <w:bCs/>
        </w:rPr>
        <w:t xml:space="preserve">January </w:t>
      </w:r>
      <w:r w:rsidR="008B58CA" w:rsidRPr="00436CB4">
        <w:rPr>
          <w:rFonts w:asciiTheme="minorHAnsi" w:hAnsiTheme="minorHAnsi"/>
          <w:bCs/>
        </w:rPr>
        <w:t>201</w:t>
      </w:r>
      <w:r>
        <w:rPr>
          <w:rFonts w:asciiTheme="minorHAnsi" w:hAnsiTheme="minorHAnsi"/>
          <w:bCs/>
        </w:rPr>
        <w:t xml:space="preserve">9 from </w:t>
      </w:r>
      <w:r w:rsidR="003A7BA2" w:rsidRPr="008B58CA">
        <w:rPr>
          <w:rFonts w:asciiTheme="minorHAnsi" w:hAnsiTheme="minorHAnsi"/>
          <w:bCs/>
        </w:rPr>
        <w:t>0930 – 123</w:t>
      </w:r>
      <w:r w:rsidR="005352F1" w:rsidRPr="008B58CA">
        <w:rPr>
          <w:rFonts w:asciiTheme="minorHAnsi" w:hAnsiTheme="minorHAnsi"/>
          <w:bCs/>
        </w:rPr>
        <w:t>0</w:t>
      </w:r>
      <w:r w:rsidR="00525421" w:rsidRPr="008B58CA">
        <w:rPr>
          <w:rFonts w:asciiTheme="minorHAnsi" w:hAnsiTheme="minorHAnsi"/>
          <w:bCs/>
        </w:rPr>
        <w:t xml:space="preserve"> hours</w:t>
      </w:r>
    </w:p>
    <w:p w14:paraId="3B522982" w14:textId="2E4896B3" w:rsidR="007F0840" w:rsidRDefault="005352F1" w:rsidP="001C33BB">
      <w:pPr>
        <w:spacing w:after="120"/>
        <w:jc w:val="center"/>
        <w:rPr>
          <w:rFonts w:asciiTheme="minorHAnsi" w:hAnsiTheme="minorHAnsi"/>
          <w:b/>
        </w:rPr>
      </w:pPr>
      <w:r w:rsidRPr="001C33BB">
        <w:rPr>
          <w:rFonts w:asciiTheme="minorHAnsi" w:hAnsiTheme="minorHAnsi"/>
          <w:b/>
        </w:rPr>
        <w:t>Room</w:t>
      </w:r>
      <w:r w:rsidR="00D27B70" w:rsidRPr="001C33BB">
        <w:rPr>
          <w:rFonts w:asciiTheme="minorHAnsi" w:hAnsiTheme="minorHAnsi"/>
          <w:b/>
        </w:rPr>
        <w:t xml:space="preserve"> </w:t>
      </w:r>
      <w:r w:rsidR="00B36EA1" w:rsidRPr="001C33BB">
        <w:rPr>
          <w:rFonts w:asciiTheme="minorHAnsi" w:hAnsiTheme="minorHAnsi"/>
          <w:b/>
        </w:rPr>
        <w:t>C</w:t>
      </w:r>
      <w:r w:rsidR="00F910A2" w:rsidRPr="001C33BB">
        <w:rPr>
          <w:rFonts w:asciiTheme="minorHAnsi" w:hAnsiTheme="minorHAnsi"/>
          <w:b/>
        </w:rPr>
        <w:t>, ITU</w:t>
      </w:r>
      <w:r w:rsidR="00F910A2">
        <w:rPr>
          <w:rFonts w:asciiTheme="minorHAnsi" w:hAnsiTheme="minorHAnsi"/>
          <w:b/>
        </w:rPr>
        <w:t xml:space="preserve"> Headquarters, Geneva</w:t>
      </w:r>
    </w:p>
    <w:p w14:paraId="5A0F2755" w14:textId="77777777" w:rsidR="008769EC" w:rsidRDefault="008769EC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p w14:paraId="0457E406" w14:textId="77777777" w:rsidR="002B3049" w:rsidRDefault="002B3049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tbl>
      <w:tblPr>
        <w:tblW w:w="10808" w:type="dxa"/>
        <w:tblInd w:w="-567" w:type="dxa"/>
        <w:tblLook w:val="01E0" w:firstRow="1" w:lastRow="1" w:firstColumn="1" w:lastColumn="1" w:noHBand="0" w:noVBand="0"/>
      </w:tblPr>
      <w:tblGrid>
        <w:gridCol w:w="622"/>
        <w:gridCol w:w="7883"/>
        <w:gridCol w:w="2303"/>
      </w:tblGrid>
      <w:tr w:rsidR="00056CE0" w:rsidRPr="00B57DE3" w14:paraId="30AD3B54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1264D02F" w14:textId="77777777" w:rsidR="00056CE0" w:rsidRPr="00317A5E" w:rsidRDefault="00056CE0" w:rsidP="007978E3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317A5E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4093488E" w14:textId="77777777" w:rsidR="00056CE0" w:rsidRPr="00CF4B80" w:rsidRDefault="00056CE0" w:rsidP="007978E3">
            <w:pPr>
              <w:rPr>
                <w:rFonts w:ascii="Calibri" w:hAnsi="Calibri"/>
                <w:bCs/>
                <w:szCs w:val="24"/>
                <w:highlight w:val="yellow"/>
              </w:rPr>
            </w:pPr>
            <w:r w:rsidRPr="00CF4B80">
              <w:rPr>
                <w:rFonts w:ascii="Calibri" w:hAnsi="Calibri"/>
                <w:szCs w:val="24"/>
              </w:rPr>
              <w:t xml:space="preserve">Opening remarks and approval of the </w:t>
            </w:r>
            <w:r>
              <w:rPr>
                <w:rFonts w:ascii="Calibri" w:hAnsi="Calibri"/>
                <w:szCs w:val="24"/>
              </w:rPr>
              <w:t>A</w:t>
            </w:r>
            <w:r w:rsidRPr="00CF4B80">
              <w:rPr>
                <w:rFonts w:ascii="Calibri" w:hAnsi="Calibri"/>
                <w:szCs w:val="24"/>
              </w:rPr>
              <w:t>genda</w:t>
            </w:r>
          </w:p>
        </w:tc>
        <w:tc>
          <w:tcPr>
            <w:tcW w:w="2303" w:type="dxa"/>
          </w:tcPr>
          <w:p w14:paraId="6D53533D" w14:textId="55B78376" w:rsidR="00056CE0" w:rsidRPr="004254CF" w:rsidRDefault="005231A0" w:rsidP="005231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/>
                <w:szCs w:val="24"/>
              </w:rPr>
            </w:pPr>
            <w:r w:rsidRPr="004254CF">
              <w:rPr>
                <w:rStyle w:val="Hyperlink"/>
                <w:rFonts w:ascii="Calibri" w:hAnsi="Calibri"/>
                <w:color w:val="auto"/>
                <w:szCs w:val="24"/>
                <w:u w:val="none"/>
              </w:rPr>
              <w:t>CWG-FHR 9/1</w:t>
            </w:r>
            <w:r w:rsidR="00DD746B">
              <w:rPr>
                <w:rStyle w:val="Hyperlink"/>
                <w:rFonts w:ascii="Calibri" w:hAnsi="Calibri"/>
                <w:color w:val="auto"/>
                <w:szCs w:val="24"/>
                <w:u w:val="none"/>
              </w:rPr>
              <w:t xml:space="preserve"> (Rev.1)</w:t>
            </w:r>
          </w:p>
        </w:tc>
      </w:tr>
      <w:tr w:rsidR="00056CE0" w:rsidRPr="00B57DE3" w14:paraId="62199353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00C9DC36" w14:textId="77777777" w:rsidR="00056CE0" w:rsidRPr="00317A5E" w:rsidRDefault="00056CE0" w:rsidP="00114F53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B11BD29" w14:textId="77777777" w:rsidR="00056CE0" w:rsidRPr="00CF4B80" w:rsidRDefault="00056CE0" w:rsidP="00114F53">
            <w:pPr>
              <w:spacing w:before="240"/>
              <w:rPr>
                <w:rFonts w:ascii="Calibri" w:hAnsi="Calibri"/>
                <w:bCs/>
                <w:szCs w:val="24"/>
              </w:rPr>
            </w:pPr>
            <w:r w:rsidRPr="00CF4B80">
              <w:rPr>
                <w:rFonts w:ascii="Calibri" w:hAnsi="Calibri"/>
                <w:szCs w:val="24"/>
              </w:rPr>
              <w:t>Statement by the Staff Council</w:t>
            </w:r>
          </w:p>
        </w:tc>
        <w:tc>
          <w:tcPr>
            <w:tcW w:w="2303" w:type="dxa"/>
          </w:tcPr>
          <w:p w14:paraId="5292BAEA" w14:textId="77777777" w:rsidR="00056CE0" w:rsidRPr="00CF4B80" w:rsidRDefault="008E5474" w:rsidP="00114F5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rPr>
                <w:rFonts w:ascii="Calibri" w:hAnsi="Calibri"/>
                <w:szCs w:val="24"/>
              </w:rPr>
            </w:pPr>
            <w:r w:rsidRPr="004F3A6E">
              <w:rPr>
                <w:rFonts w:ascii="Calibri" w:hAnsi="Calibri"/>
                <w:szCs w:val="24"/>
              </w:rPr>
              <w:t>Oral presentation</w:t>
            </w:r>
          </w:p>
        </w:tc>
      </w:tr>
      <w:tr w:rsidR="00301C98" w:rsidRPr="00B57DE3" w14:paraId="3F5E9613" w14:textId="77777777" w:rsidTr="00682B87">
        <w:trPr>
          <w:trHeight w:val="567"/>
        </w:trPr>
        <w:tc>
          <w:tcPr>
            <w:tcW w:w="622" w:type="dxa"/>
            <w:shd w:val="clear" w:color="auto" w:fill="auto"/>
          </w:tcPr>
          <w:p w14:paraId="6B0FC19C" w14:textId="774B60CF" w:rsidR="00B21462" w:rsidRPr="001C33BB" w:rsidRDefault="001C33BB" w:rsidP="00AA2E5E">
            <w:pPr>
              <w:snapToGrid w:val="0"/>
              <w:spacing w:before="240" w:after="120"/>
              <w:jc w:val="center"/>
              <w:rPr>
                <w:rFonts w:ascii="Calibri" w:hAnsi="Calibri" w:cs="Times New Roman Bold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361D6304" w14:textId="77777777" w:rsidR="00B21462" w:rsidRDefault="00B21462" w:rsidP="00AA2E5E">
            <w:pPr>
              <w:pStyle w:val="ListParagraph"/>
              <w:numPr>
                <w:ilvl w:val="0"/>
                <w:numId w:val="16"/>
              </w:numPr>
              <w:tabs>
                <w:tab w:val="left" w:pos="228"/>
              </w:tabs>
              <w:snapToGrid w:val="0"/>
              <w:spacing w:before="240" w:after="120"/>
              <w:ind w:hanging="720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Implementing the new PP-18 Resolution on SME participation in ITU</w:t>
            </w:r>
          </w:p>
          <w:p w14:paraId="56836226" w14:textId="206C51F1" w:rsidR="00B21462" w:rsidRPr="00B21462" w:rsidRDefault="00B21462" w:rsidP="00B17316">
            <w:pPr>
              <w:pStyle w:val="ListParagraph"/>
              <w:numPr>
                <w:ilvl w:val="0"/>
                <w:numId w:val="16"/>
              </w:numPr>
              <w:tabs>
                <w:tab w:val="left" w:pos="228"/>
              </w:tabs>
              <w:snapToGrid w:val="0"/>
              <w:spacing w:before="240" w:after="120"/>
              <w:ind w:hanging="720"/>
              <w:contextualSpacing w:val="0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Exemptions from fees for international and regional organizations</w:t>
            </w:r>
          </w:p>
        </w:tc>
        <w:tc>
          <w:tcPr>
            <w:tcW w:w="2303" w:type="dxa"/>
          </w:tcPr>
          <w:p w14:paraId="7B14B54D" w14:textId="55610038" w:rsidR="00B21462" w:rsidRDefault="00BB5F58" w:rsidP="00AA2E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rPr>
                <w:rStyle w:val="Hyperlink"/>
                <w:rFonts w:ascii="Calibri" w:hAnsi="Calibri"/>
                <w:bCs/>
                <w:szCs w:val="24"/>
              </w:rPr>
            </w:pPr>
            <w:hyperlink r:id="rId11" w:history="1">
              <w:r w:rsidR="00B21462">
                <w:rPr>
                  <w:rStyle w:val="Hyperlink"/>
                  <w:rFonts w:ascii="Calibri" w:hAnsi="Calibri"/>
                  <w:bCs/>
                  <w:szCs w:val="24"/>
                </w:rPr>
                <w:t>CWG-FHR 9/4</w:t>
              </w:r>
            </w:hyperlink>
          </w:p>
          <w:p w14:paraId="09593BFA" w14:textId="4F495940" w:rsidR="00B21462" w:rsidRPr="009A495F" w:rsidRDefault="00BB5F58" w:rsidP="00B173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/>
                <w:strike/>
                <w:szCs w:val="24"/>
              </w:rPr>
            </w:pPr>
            <w:hyperlink r:id="rId12" w:history="1">
              <w:r w:rsidR="00B21462">
                <w:rPr>
                  <w:rStyle w:val="Hyperlink"/>
                  <w:rFonts w:ascii="Calibri" w:hAnsi="Calibri"/>
                  <w:bCs/>
                  <w:szCs w:val="24"/>
                </w:rPr>
                <w:t>CWG-FHR 9/5</w:t>
              </w:r>
            </w:hyperlink>
          </w:p>
        </w:tc>
      </w:tr>
      <w:tr w:rsidR="009B00BD" w:rsidRPr="009B00BD" w14:paraId="745F28F2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2AB02FD8" w14:textId="71512479" w:rsidR="00301C98" w:rsidRPr="009B00BD" w:rsidRDefault="001C33BB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  <w:p w14:paraId="44283C3F" w14:textId="77777777" w:rsidR="00056CE0" w:rsidRPr="009B00BD" w:rsidRDefault="00056CE0" w:rsidP="00CA3ED5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883" w:type="dxa"/>
            <w:shd w:val="clear" w:color="auto" w:fill="auto"/>
          </w:tcPr>
          <w:p w14:paraId="569C215D" w14:textId="77777777" w:rsidR="00056CE0" w:rsidRPr="009B00BD" w:rsidRDefault="00056CE0" w:rsidP="00AA2E5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25"/>
                <w:tab w:val="left" w:pos="454"/>
              </w:tabs>
              <w:snapToGrid w:val="0"/>
              <w:spacing w:before="240" w:after="120"/>
              <w:ind w:left="714" w:hanging="714"/>
              <w:contextualSpacing w:val="0"/>
              <w:rPr>
                <w:rFonts w:ascii="Calibri" w:hAnsi="Calibri"/>
                <w:szCs w:val="24"/>
              </w:rPr>
            </w:pPr>
            <w:r w:rsidRPr="009B00BD">
              <w:rPr>
                <w:rFonts w:ascii="Calibri" w:hAnsi="Calibri"/>
                <w:szCs w:val="24"/>
              </w:rPr>
              <w:t xml:space="preserve">Report and follow-up </w:t>
            </w:r>
            <w:r w:rsidR="00857F7A" w:rsidRPr="009B00BD">
              <w:rPr>
                <w:rFonts w:ascii="Calibri" w:hAnsi="Calibri"/>
                <w:szCs w:val="24"/>
              </w:rPr>
              <w:t>on</w:t>
            </w:r>
            <w:r w:rsidRPr="009B00BD">
              <w:rPr>
                <w:rFonts w:ascii="Calibri" w:hAnsi="Calibri"/>
                <w:szCs w:val="24"/>
              </w:rPr>
              <w:t xml:space="preserve"> the recommendations of the External Auditor</w:t>
            </w:r>
          </w:p>
          <w:p w14:paraId="3EB8DCE1" w14:textId="77777777" w:rsidR="00745C73" w:rsidRPr="009B00BD" w:rsidRDefault="00056CE0" w:rsidP="00D5649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588"/>
                <w:tab w:val="clear" w:pos="1985"/>
                <w:tab w:val="left" w:pos="216"/>
                <w:tab w:val="left" w:pos="1028"/>
                <w:tab w:val="center" w:pos="9072"/>
              </w:tabs>
              <w:snapToGrid w:val="0"/>
              <w:spacing w:before="60" w:after="120"/>
              <w:ind w:left="263" w:right="91" w:hanging="263"/>
              <w:contextualSpacing w:val="0"/>
              <w:rPr>
                <w:rFonts w:ascii="Calibri" w:hAnsi="Calibri"/>
                <w:bCs/>
                <w:szCs w:val="24"/>
              </w:rPr>
            </w:pPr>
            <w:r w:rsidRPr="009B00BD">
              <w:rPr>
                <w:rFonts w:ascii="Calibri" w:hAnsi="Calibri"/>
                <w:szCs w:val="24"/>
              </w:rPr>
              <w:t xml:space="preserve">Report and follow-up </w:t>
            </w:r>
            <w:r w:rsidR="00857F7A" w:rsidRPr="009B00BD">
              <w:rPr>
                <w:rFonts w:ascii="Calibri" w:hAnsi="Calibri"/>
                <w:szCs w:val="24"/>
              </w:rPr>
              <w:t>on</w:t>
            </w:r>
            <w:r w:rsidRPr="009B00BD">
              <w:rPr>
                <w:rFonts w:ascii="Calibri" w:hAnsi="Calibri"/>
                <w:szCs w:val="24"/>
              </w:rPr>
              <w:t xml:space="preserve"> the recommendations </w:t>
            </w:r>
            <w:r w:rsidRPr="009B00BD">
              <w:rPr>
                <w:rFonts w:ascii="Calibri" w:hAnsi="Calibri"/>
                <w:bCs/>
                <w:szCs w:val="24"/>
              </w:rPr>
              <w:t>of the Independent Management Advisory Committee (IMAC)</w:t>
            </w:r>
          </w:p>
        </w:tc>
        <w:tc>
          <w:tcPr>
            <w:tcW w:w="2303" w:type="dxa"/>
          </w:tcPr>
          <w:p w14:paraId="409D7A07" w14:textId="1A4363AF" w:rsidR="00745C73" w:rsidRPr="009B00BD" w:rsidRDefault="00BB5F58" w:rsidP="003651B5">
            <w:pPr>
              <w:snapToGrid w:val="0"/>
              <w:spacing w:before="240"/>
              <w:rPr>
                <w:rFonts w:asciiTheme="minorHAnsi" w:hAnsiTheme="minorHAnsi"/>
                <w:szCs w:val="24"/>
              </w:rPr>
            </w:pPr>
            <w:hyperlink r:id="rId13" w:history="1">
              <w:r w:rsidR="00486F0D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 xml:space="preserve">CWG-FHR </w:t>
              </w:r>
              <w:r w:rsidR="00060A00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9</w:t>
              </w:r>
              <w:r w:rsidR="00486F0D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/</w:t>
              </w:r>
              <w:r w:rsidR="00060A00" w:rsidRPr="009B00BD">
                <w:rPr>
                  <w:rStyle w:val="Hyperlink"/>
                  <w:rFonts w:ascii="Calibri" w:hAnsi="Calibri"/>
                  <w:bCs/>
                  <w:color w:val="auto"/>
                  <w:szCs w:val="24"/>
                  <w:lang w:val="en-US"/>
                </w:rPr>
                <w:t>3</w:t>
              </w:r>
            </w:hyperlink>
          </w:p>
        </w:tc>
      </w:tr>
      <w:tr w:rsidR="006F7A2B" w:rsidRPr="009B00BD" w14:paraId="7D97866E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01B2B3EB" w14:textId="4DD4D5F4" w:rsidR="006F7A2B" w:rsidRDefault="001C33BB" w:rsidP="001C33BB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3FACF658" w14:textId="77777777" w:rsidR="006F7A2B" w:rsidRDefault="006F7A2B" w:rsidP="006F7A2B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of the implementation of the HR Strategic Plan and Resolution 48</w:t>
            </w:r>
          </w:p>
          <w:p w14:paraId="69735BBF" w14:textId="19DE5E1D" w:rsidR="006F7A2B" w:rsidRDefault="006F7A2B" w:rsidP="000531BC">
            <w:pPr>
              <w:tabs>
                <w:tab w:val="clear" w:pos="794"/>
                <w:tab w:val="clear" w:pos="1191"/>
                <w:tab w:val="clear" w:pos="1588"/>
                <w:tab w:val="left" w:pos="215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 w:rsidR="000531BC" w:rsidRPr="000531BC">
              <w:rPr>
                <w:rFonts w:ascii="Calibri" w:hAnsi="Calibri"/>
              </w:rPr>
              <w:t>Framework for the new HR Strategic plan for 2020-2023</w:t>
            </w:r>
          </w:p>
          <w:p w14:paraId="09938DB3" w14:textId="77777777" w:rsidR="006F7A2B" w:rsidRPr="009B00BD" w:rsidRDefault="006F7A2B" w:rsidP="000723D6">
            <w:pPr>
              <w:tabs>
                <w:tab w:val="clear" w:pos="794"/>
                <w:tab w:val="clear" w:pos="1191"/>
                <w:tab w:val="clear" w:pos="1588"/>
                <w:tab w:val="left" w:pos="215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Staffing at Regional Offices (Resolution 25)</w:t>
            </w:r>
          </w:p>
        </w:tc>
        <w:tc>
          <w:tcPr>
            <w:tcW w:w="2303" w:type="dxa"/>
          </w:tcPr>
          <w:p w14:paraId="0B86393A" w14:textId="77777777" w:rsidR="006F7A2B" w:rsidRDefault="006F7A2B" w:rsidP="00060A00">
            <w:pPr>
              <w:snapToGrid w:val="0"/>
              <w:rPr>
                <w:rFonts w:ascii="Calibri" w:hAnsi="Calibri"/>
                <w:bCs/>
                <w:szCs w:val="24"/>
                <w:lang w:val="en-US"/>
              </w:rPr>
            </w:pPr>
          </w:p>
          <w:p w14:paraId="7CAFC14C" w14:textId="28AD6A53" w:rsidR="00C90911" w:rsidRPr="009B00BD" w:rsidRDefault="00BB5F58" w:rsidP="00C90911">
            <w:pPr>
              <w:snapToGrid w:val="0"/>
              <w:rPr>
                <w:rFonts w:ascii="Calibri" w:hAnsi="Calibri"/>
                <w:bCs/>
                <w:szCs w:val="24"/>
                <w:lang w:val="en-US"/>
              </w:rPr>
            </w:pPr>
            <w:hyperlink r:id="rId14" w:history="1">
              <w:r w:rsidR="00C90911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C90911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11</w:t>
              </w:r>
            </w:hyperlink>
          </w:p>
        </w:tc>
      </w:tr>
      <w:tr w:rsidR="006F7A2B" w:rsidRPr="006F7A2B" w14:paraId="091A8E7F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3D2BDB24" w14:textId="77777777" w:rsidR="006F7A2B" w:rsidRDefault="001C33BB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  <w:p w14:paraId="390D13AF" w14:textId="741FDADE" w:rsidR="000723D6" w:rsidRDefault="000723D6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883" w:type="dxa"/>
            <w:shd w:val="clear" w:color="auto" w:fill="auto"/>
          </w:tcPr>
          <w:p w14:paraId="45B905CD" w14:textId="7777FD13" w:rsidR="006F7A2B" w:rsidRDefault="006F7A2B" w:rsidP="00AA2E5E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 w:rsidRPr="006F7A2B">
              <w:rPr>
                <w:rFonts w:ascii="Calibri" w:hAnsi="Calibri"/>
              </w:rPr>
              <w:t xml:space="preserve">Draft new Resolution COM6/2: </w:t>
            </w:r>
            <w:r w:rsidR="00552337">
              <w:rPr>
                <w:rFonts w:ascii="Calibri" w:hAnsi="Calibri"/>
              </w:rPr>
              <w:t xml:space="preserve"> </w:t>
            </w:r>
            <w:r w:rsidRPr="006F7A2B">
              <w:rPr>
                <w:rFonts w:ascii="Calibri" w:hAnsi="Calibri"/>
              </w:rPr>
              <w:t>The Union's future headquarters premises</w:t>
            </w:r>
          </w:p>
          <w:p w14:paraId="66207285" w14:textId="77777777" w:rsidR="009A495F" w:rsidRDefault="009A495F" w:rsidP="00552337">
            <w:pPr>
              <w:tabs>
                <w:tab w:val="clear" w:pos="794"/>
                <w:tab w:val="clear" w:pos="1191"/>
                <w:tab w:val="clear" w:pos="1588"/>
                <w:tab w:val="left" w:pos="22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 w:rsidRPr="009A495F">
              <w:rPr>
                <w:rFonts w:ascii="Calibri" w:hAnsi="Calibri"/>
              </w:rPr>
              <w:t>Status report on the Union’s future Headquarters premises</w:t>
            </w:r>
          </w:p>
        </w:tc>
        <w:tc>
          <w:tcPr>
            <w:tcW w:w="2303" w:type="dxa"/>
          </w:tcPr>
          <w:p w14:paraId="05D64B7C" w14:textId="77777777" w:rsidR="006F7A2B" w:rsidRPr="009B00BD" w:rsidRDefault="006F7A2B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6F7A2B" w:rsidRPr="006F7A2B" w14:paraId="36AC225C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44BFD59F" w14:textId="051C5E21" w:rsidR="00050D0A" w:rsidRDefault="000723D6" w:rsidP="00AA2E5E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  <w:p w14:paraId="55C48B93" w14:textId="77777777" w:rsidR="00050D0A" w:rsidRDefault="00050D0A" w:rsidP="00050D0A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</w:p>
          <w:p w14:paraId="5AD94553" w14:textId="4DC9EC08" w:rsidR="006F7A2B" w:rsidRDefault="00050D0A" w:rsidP="00050D0A">
            <w:pPr>
              <w:spacing w:before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0E731F17" w14:textId="5BA13D85" w:rsidR="00050D0A" w:rsidRDefault="002B3049" w:rsidP="002B3049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ind w:left="216" w:hanging="216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 w:rsidR="00050D0A">
              <w:rPr>
                <w:rFonts w:ascii="Calibri" w:hAnsi="Calibri"/>
              </w:rPr>
              <w:t>Terms of reference for hiring an external management consultancy to perform a strategic and financial review of ITU TELECOM world events</w:t>
            </w:r>
          </w:p>
          <w:p w14:paraId="5C455AEA" w14:textId="77777777" w:rsidR="009A495F" w:rsidRDefault="009A495F" w:rsidP="00AA2E5E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Update on the selection process concerning the new External Auditor</w:t>
            </w:r>
          </w:p>
          <w:p w14:paraId="6BBDB412" w14:textId="77777777" w:rsidR="006F7A2B" w:rsidRPr="006F7A2B" w:rsidRDefault="009A495F" w:rsidP="00B1731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Selection process concerning the new IMAC members</w:t>
            </w:r>
          </w:p>
        </w:tc>
        <w:tc>
          <w:tcPr>
            <w:tcW w:w="2303" w:type="dxa"/>
          </w:tcPr>
          <w:p w14:paraId="64ACECFB" w14:textId="7F76195C" w:rsidR="00050D0A" w:rsidRDefault="00BB5F58" w:rsidP="00050D0A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  <w:hyperlink r:id="rId15" w:history="1">
              <w:r w:rsidR="00050D0A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050D0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10</w:t>
              </w:r>
            </w:hyperlink>
          </w:p>
          <w:p w14:paraId="717C5F2A" w14:textId="77777777" w:rsidR="00050D0A" w:rsidRDefault="00050D0A" w:rsidP="00CF341B">
            <w:pPr>
              <w:snapToGrid w:val="0"/>
              <w:spacing w:before="0"/>
              <w:rPr>
                <w:rFonts w:ascii="Calibri" w:hAnsi="Calibri"/>
                <w:bCs/>
                <w:szCs w:val="24"/>
                <w:lang w:val="en-US"/>
              </w:rPr>
            </w:pPr>
          </w:p>
          <w:p w14:paraId="0B0AA248" w14:textId="101D4A95" w:rsidR="00CF341B" w:rsidRDefault="00BB5F58" w:rsidP="00050D0A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  <w:hyperlink r:id="rId16" w:history="1">
              <w:r w:rsidR="00F17718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F17718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7</w:t>
              </w:r>
            </w:hyperlink>
          </w:p>
          <w:p w14:paraId="67B21A69" w14:textId="0BFAC703" w:rsidR="00CF341B" w:rsidRPr="009B00BD" w:rsidRDefault="00BB5F58" w:rsidP="003651B5">
            <w:pPr>
              <w:snapToGrid w:val="0"/>
              <w:rPr>
                <w:rFonts w:ascii="Calibri" w:hAnsi="Calibri"/>
                <w:bCs/>
                <w:szCs w:val="24"/>
                <w:lang w:val="en-US"/>
              </w:rPr>
            </w:pPr>
            <w:hyperlink r:id="rId17" w:history="1">
              <w:r w:rsidR="00CF341B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</w:t>
              </w:r>
              <w:r w:rsidR="00CF341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6</w:t>
              </w:r>
            </w:hyperlink>
          </w:p>
        </w:tc>
      </w:tr>
    </w:tbl>
    <w:p w14:paraId="24D12FFE" w14:textId="77777777" w:rsidR="000723D6" w:rsidRDefault="000723D6">
      <w:r>
        <w:br w:type="page"/>
      </w:r>
    </w:p>
    <w:tbl>
      <w:tblPr>
        <w:tblW w:w="10808" w:type="dxa"/>
        <w:tblInd w:w="-567" w:type="dxa"/>
        <w:tblLook w:val="01E0" w:firstRow="1" w:lastRow="1" w:firstColumn="1" w:lastColumn="1" w:noHBand="0" w:noVBand="0"/>
      </w:tblPr>
      <w:tblGrid>
        <w:gridCol w:w="622"/>
        <w:gridCol w:w="7883"/>
        <w:gridCol w:w="2303"/>
      </w:tblGrid>
      <w:tr w:rsidR="009A495F" w:rsidRPr="006F7A2B" w14:paraId="34A55952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04AEF2B3" w14:textId="2C53C59F" w:rsidR="009A495F" w:rsidRDefault="00050D0A" w:rsidP="00050D0A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>9</w:t>
            </w:r>
          </w:p>
        </w:tc>
        <w:tc>
          <w:tcPr>
            <w:tcW w:w="7883" w:type="dxa"/>
            <w:shd w:val="clear" w:color="auto" w:fill="auto"/>
          </w:tcPr>
          <w:p w14:paraId="665F85EF" w14:textId="77777777" w:rsidR="009A495F" w:rsidRDefault="009A495F" w:rsidP="00AA2E5E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 w:rsidRPr="009A495F">
              <w:rPr>
                <w:rFonts w:ascii="Calibri" w:hAnsi="Calibri"/>
              </w:rPr>
              <w:t>Preparation of the draft biennial Budget of the Union for 2020-2021</w:t>
            </w:r>
          </w:p>
          <w:p w14:paraId="469CF03A" w14:textId="3A487A0B" w:rsidR="00B02A3F" w:rsidRDefault="00B02A3F" w:rsidP="00804CBF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ind w:left="216" w:hanging="216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804CBF">
              <w:rPr>
                <w:rFonts w:ascii="Calibri" w:hAnsi="Calibri"/>
              </w:rPr>
              <w:tab/>
              <w:t>Contribution by Brazil (Federative Republic of) - Translation procedures in the ITU</w:t>
            </w:r>
          </w:p>
          <w:p w14:paraId="46A1773F" w14:textId="5F4B0A38" w:rsidR="00804CBF" w:rsidRDefault="00804CBF" w:rsidP="000723D6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ind w:left="215" w:hanging="215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  <w:t>Contribution by Brazil (Federative Republic of) – Issues to be considered in the ITU biennial budget for 2020-2021</w:t>
            </w:r>
          </w:p>
        </w:tc>
        <w:tc>
          <w:tcPr>
            <w:tcW w:w="2303" w:type="dxa"/>
          </w:tcPr>
          <w:p w14:paraId="5CE0A415" w14:textId="77777777" w:rsidR="009A495F" w:rsidRDefault="00BB5F58" w:rsidP="00AA2E5E">
            <w:pPr>
              <w:snapToGrid w:val="0"/>
              <w:spacing w:before="24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18" w:history="1">
              <w:r w:rsidR="009A495F" w:rsidRPr="00B21462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9/2</w:t>
              </w:r>
            </w:hyperlink>
          </w:p>
          <w:p w14:paraId="73737AC9" w14:textId="08552C9B" w:rsidR="00804CBF" w:rsidRPr="00804CBF" w:rsidRDefault="00804CBF" w:rsidP="00804CBF">
            <w:pPr>
              <w:snapToGrid w:val="0"/>
              <w:spacing w:before="24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r>
              <w:rPr>
                <w:rStyle w:val="Hyperlink"/>
                <w:rFonts w:ascii="Calibri" w:hAnsi="Calibri"/>
                <w:bCs/>
                <w:szCs w:val="24"/>
                <w:lang w:val="en-US"/>
              </w:rPr>
              <w:fldChar w:fldCharType="begin"/>
            </w:r>
            <w:r>
              <w:rPr>
                <w:rStyle w:val="Hyperlink"/>
                <w:rFonts w:ascii="Calibri" w:hAnsi="Calibri"/>
                <w:bCs/>
                <w:szCs w:val="24"/>
                <w:lang w:val="en-US"/>
              </w:rPr>
              <w:instrText xml:space="preserve"> HYPERLINK "https://www.itu.int/md/S19-CLCWGFHR09-C-0008/en" </w:instrText>
            </w:r>
            <w:r>
              <w:rPr>
                <w:rStyle w:val="Hyperlink"/>
                <w:rFonts w:ascii="Calibri" w:hAnsi="Calibri"/>
                <w:bCs/>
                <w:szCs w:val="24"/>
                <w:lang w:val="en-US"/>
              </w:rPr>
              <w:fldChar w:fldCharType="separate"/>
            </w:r>
            <w:r w:rsidRPr="00804CBF">
              <w:rPr>
                <w:rStyle w:val="Hyperlink"/>
                <w:rFonts w:ascii="Calibri" w:hAnsi="Calibri"/>
                <w:bCs/>
                <w:szCs w:val="24"/>
                <w:lang w:val="en-US"/>
              </w:rPr>
              <w:t>CWG-FHR 9/8</w:t>
            </w:r>
          </w:p>
          <w:p w14:paraId="26DACF28" w14:textId="77777777" w:rsidR="000723D6" w:rsidRDefault="00804CBF" w:rsidP="000723D6">
            <w:pPr>
              <w:snapToGrid w:val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r>
              <w:rPr>
                <w:rStyle w:val="Hyperlink"/>
                <w:rFonts w:ascii="Calibri" w:hAnsi="Calibri"/>
                <w:bCs/>
                <w:szCs w:val="24"/>
                <w:lang w:val="en-US"/>
              </w:rPr>
              <w:fldChar w:fldCharType="end"/>
            </w:r>
          </w:p>
          <w:p w14:paraId="49A275CA" w14:textId="3349F62B" w:rsidR="00804CBF" w:rsidRPr="00804CBF" w:rsidRDefault="00BB5F58" w:rsidP="000723D6">
            <w:pPr>
              <w:snapToGrid w:val="0"/>
              <w:spacing w:before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19" w:history="1">
              <w:r w:rsidR="00804CBF" w:rsidRPr="00804CB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9/9</w:t>
              </w:r>
            </w:hyperlink>
          </w:p>
          <w:p w14:paraId="3B688AE5" w14:textId="5D388728" w:rsidR="00804CBF" w:rsidRPr="009B00BD" w:rsidRDefault="00804CBF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9A495F" w:rsidRPr="006F7A2B" w14:paraId="415062BF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00EBA650" w14:textId="29094E9A" w:rsidR="00BE31D3" w:rsidRDefault="00BE31D3" w:rsidP="008C60AB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  <w:p w14:paraId="7B1316E4" w14:textId="77777777" w:rsidR="00BE31D3" w:rsidRDefault="00BE31D3" w:rsidP="00BE1E7D">
            <w:pPr>
              <w:spacing w:before="0"/>
              <w:jc w:val="center"/>
              <w:rPr>
                <w:rFonts w:ascii="Calibri" w:hAnsi="Calibri"/>
                <w:b/>
                <w:szCs w:val="24"/>
              </w:rPr>
            </w:pPr>
          </w:p>
          <w:p w14:paraId="4660685E" w14:textId="051AF1E9" w:rsidR="009A495F" w:rsidRDefault="00050D0A" w:rsidP="00BE1E7D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BE31D3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6B57F971" w14:textId="45341B96" w:rsidR="00BE31D3" w:rsidRPr="00BE31D3" w:rsidRDefault="00BE31D3" w:rsidP="00BE31D3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Pr="00BE31D3">
              <w:rPr>
                <w:rFonts w:ascii="Calibri" w:hAnsi="Calibri"/>
              </w:rPr>
              <w:t>ew UN system-wide action plan for gender equality and the empowerment of women</w:t>
            </w:r>
          </w:p>
          <w:p w14:paraId="7B90C638" w14:textId="77777777" w:rsidR="009A495F" w:rsidRDefault="009A495F" w:rsidP="00BE1E7D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Report to Council</w:t>
            </w:r>
          </w:p>
        </w:tc>
        <w:tc>
          <w:tcPr>
            <w:tcW w:w="2303" w:type="dxa"/>
          </w:tcPr>
          <w:p w14:paraId="7C115E02" w14:textId="4D29CBDB" w:rsidR="009A495F" w:rsidRPr="009B00BD" w:rsidRDefault="009A495F" w:rsidP="002D5239">
            <w:pPr>
              <w:snapToGrid w:val="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9A495F" w:rsidRPr="006F7A2B" w14:paraId="61967D80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43E90224" w14:textId="4233C970" w:rsidR="009A495F" w:rsidRDefault="009A495F" w:rsidP="00BE1E7D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BE31D3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D04073A" w14:textId="77777777" w:rsidR="009A495F" w:rsidRDefault="009A495F" w:rsidP="00BE1E7D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meeting</w:t>
            </w:r>
          </w:p>
        </w:tc>
        <w:tc>
          <w:tcPr>
            <w:tcW w:w="2303" w:type="dxa"/>
          </w:tcPr>
          <w:p w14:paraId="7E962857" w14:textId="77777777" w:rsidR="009A495F" w:rsidRPr="009B00BD" w:rsidRDefault="009A495F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  <w:tr w:rsidR="009A495F" w:rsidRPr="006F7A2B" w14:paraId="6607A4B2" w14:textId="77777777" w:rsidTr="002F527E">
        <w:trPr>
          <w:trHeight w:val="567"/>
        </w:trPr>
        <w:tc>
          <w:tcPr>
            <w:tcW w:w="622" w:type="dxa"/>
            <w:shd w:val="clear" w:color="auto" w:fill="auto"/>
          </w:tcPr>
          <w:p w14:paraId="655986EB" w14:textId="04DF9BAC" w:rsidR="009A495F" w:rsidRDefault="009A495F" w:rsidP="00BE1E7D">
            <w:pPr>
              <w:snapToGrid w:val="0"/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BE31D3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3699C308" w14:textId="1296313E" w:rsidR="002F40B6" w:rsidRDefault="009A495F" w:rsidP="00BE1E7D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before="24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business</w:t>
            </w:r>
          </w:p>
        </w:tc>
        <w:tc>
          <w:tcPr>
            <w:tcW w:w="2303" w:type="dxa"/>
          </w:tcPr>
          <w:p w14:paraId="43DBE5B2" w14:textId="77777777" w:rsidR="009A495F" w:rsidRPr="009B00BD" w:rsidRDefault="009A495F" w:rsidP="00AA2E5E">
            <w:pPr>
              <w:snapToGrid w:val="0"/>
              <w:spacing w:before="240"/>
              <w:rPr>
                <w:rFonts w:ascii="Calibri" w:hAnsi="Calibri"/>
                <w:bCs/>
                <w:szCs w:val="24"/>
                <w:lang w:val="en-US"/>
              </w:rPr>
            </w:pPr>
          </w:p>
        </w:tc>
      </w:tr>
    </w:tbl>
    <w:p w14:paraId="4E4621FF" w14:textId="2D590774" w:rsidR="00A61FA6" w:rsidRDefault="00A61FA6" w:rsidP="00AA2E5E">
      <w:pPr>
        <w:tabs>
          <w:tab w:val="left" w:pos="215"/>
          <w:tab w:val="left" w:pos="284"/>
        </w:tabs>
        <w:snapToGrid w:val="0"/>
        <w:spacing w:before="0"/>
        <w:ind w:left="-284"/>
        <w:rPr>
          <w:rFonts w:asciiTheme="minorHAnsi" w:hAnsiTheme="minorHAnsi"/>
          <w:b/>
        </w:rPr>
      </w:pPr>
    </w:p>
    <w:sectPr w:rsidR="00A61FA6" w:rsidSect="00B17316">
      <w:headerReference w:type="default" r:id="rId20"/>
      <w:footerReference w:type="first" r:id="rId21"/>
      <w:pgSz w:w="11907" w:h="16834"/>
      <w:pgMar w:top="964" w:right="1134" w:bottom="284" w:left="1134" w:header="567" w:footer="164" w:gutter="0"/>
      <w:paperSrc w:first="1519" w:other="151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78172" w14:textId="77777777" w:rsidR="00836AFE" w:rsidRDefault="00836AFE">
      <w:r>
        <w:separator/>
      </w:r>
    </w:p>
  </w:endnote>
  <w:endnote w:type="continuationSeparator" w:id="0">
    <w:p w14:paraId="4A3212DC" w14:textId="77777777" w:rsidR="00836AFE" w:rsidRDefault="0083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73862" w14:textId="77777777" w:rsidR="00836AFE" w:rsidRDefault="00836AFE">
      <w:r>
        <w:t>____________________</w:t>
      </w:r>
    </w:p>
    <w:p w14:paraId="2D6ADCDF" w14:textId="77777777" w:rsidR="00836AFE" w:rsidRDefault="00836AFE"/>
  </w:footnote>
  <w:footnote w:type="continuationSeparator" w:id="0">
    <w:p w14:paraId="08B7C045" w14:textId="77777777" w:rsidR="00836AFE" w:rsidRDefault="0083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22D2" w14:textId="77777777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BB5F58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3"/>
  </w:num>
  <w:num w:numId="5">
    <w:abstractNumId w:val="3"/>
  </w:num>
  <w:num w:numId="6">
    <w:abstractNumId w:val="12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4438"/>
    <w:rsid w:val="00006803"/>
    <w:rsid w:val="000125C8"/>
    <w:rsid w:val="000150D8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586D"/>
    <w:rsid w:val="00056CE0"/>
    <w:rsid w:val="0005729A"/>
    <w:rsid w:val="00057994"/>
    <w:rsid w:val="0006006C"/>
    <w:rsid w:val="00060490"/>
    <w:rsid w:val="00060642"/>
    <w:rsid w:val="00060A00"/>
    <w:rsid w:val="000625EC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E3D"/>
    <w:rsid w:val="000A6C3C"/>
    <w:rsid w:val="000A7E8C"/>
    <w:rsid w:val="000B1385"/>
    <w:rsid w:val="000B1705"/>
    <w:rsid w:val="000B1804"/>
    <w:rsid w:val="000B1C8B"/>
    <w:rsid w:val="000B32FB"/>
    <w:rsid w:val="000B71F1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53E0"/>
    <w:rsid w:val="000F4A1A"/>
    <w:rsid w:val="000F5580"/>
    <w:rsid w:val="000F6646"/>
    <w:rsid w:val="000F67F0"/>
    <w:rsid w:val="000F78DD"/>
    <w:rsid w:val="001007B7"/>
    <w:rsid w:val="00102D20"/>
    <w:rsid w:val="0010302C"/>
    <w:rsid w:val="001057E5"/>
    <w:rsid w:val="001121F5"/>
    <w:rsid w:val="001124D5"/>
    <w:rsid w:val="00112934"/>
    <w:rsid w:val="00112A2E"/>
    <w:rsid w:val="00113423"/>
    <w:rsid w:val="00114F53"/>
    <w:rsid w:val="00115BC4"/>
    <w:rsid w:val="00121262"/>
    <w:rsid w:val="00126AF0"/>
    <w:rsid w:val="00126B92"/>
    <w:rsid w:val="00126E5D"/>
    <w:rsid w:val="001306A4"/>
    <w:rsid w:val="00130B7C"/>
    <w:rsid w:val="00132D99"/>
    <w:rsid w:val="00133A76"/>
    <w:rsid w:val="001341B3"/>
    <w:rsid w:val="001373B3"/>
    <w:rsid w:val="001413FF"/>
    <w:rsid w:val="00141B6D"/>
    <w:rsid w:val="00143A98"/>
    <w:rsid w:val="00143CC0"/>
    <w:rsid w:val="001451CB"/>
    <w:rsid w:val="0014539F"/>
    <w:rsid w:val="00145AE9"/>
    <w:rsid w:val="00151C09"/>
    <w:rsid w:val="001522D1"/>
    <w:rsid w:val="00155C57"/>
    <w:rsid w:val="00155EF2"/>
    <w:rsid w:val="0015615B"/>
    <w:rsid w:val="00156D87"/>
    <w:rsid w:val="00157923"/>
    <w:rsid w:val="00157E22"/>
    <w:rsid w:val="00161E2F"/>
    <w:rsid w:val="001642B3"/>
    <w:rsid w:val="00164E99"/>
    <w:rsid w:val="00164F90"/>
    <w:rsid w:val="00167DF3"/>
    <w:rsid w:val="00171B5B"/>
    <w:rsid w:val="00173589"/>
    <w:rsid w:val="0017539C"/>
    <w:rsid w:val="0017609F"/>
    <w:rsid w:val="00177C2D"/>
    <w:rsid w:val="0018324B"/>
    <w:rsid w:val="00183F90"/>
    <w:rsid w:val="00186C0B"/>
    <w:rsid w:val="00187B59"/>
    <w:rsid w:val="0019164E"/>
    <w:rsid w:val="00191F72"/>
    <w:rsid w:val="00194769"/>
    <w:rsid w:val="001947CC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9E4"/>
    <w:rsid w:val="002012A0"/>
    <w:rsid w:val="00201382"/>
    <w:rsid w:val="00202088"/>
    <w:rsid w:val="002034FE"/>
    <w:rsid w:val="0020390E"/>
    <w:rsid w:val="0020628E"/>
    <w:rsid w:val="00207892"/>
    <w:rsid w:val="00207B40"/>
    <w:rsid w:val="00211C39"/>
    <w:rsid w:val="0021218A"/>
    <w:rsid w:val="00213E72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109B"/>
    <w:rsid w:val="00283723"/>
    <w:rsid w:val="002866D2"/>
    <w:rsid w:val="0028728A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A97"/>
    <w:rsid w:val="002B42B9"/>
    <w:rsid w:val="002C060D"/>
    <w:rsid w:val="002C1C7A"/>
    <w:rsid w:val="002D2867"/>
    <w:rsid w:val="002D35BD"/>
    <w:rsid w:val="002D3CA6"/>
    <w:rsid w:val="002D448E"/>
    <w:rsid w:val="002D47F7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3002E7"/>
    <w:rsid w:val="00301C98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4392"/>
    <w:rsid w:val="00374449"/>
    <w:rsid w:val="00375038"/>
    <w:rsid w:val="00375336"/>
    <w:rsid w:val="00375CE5"/>
    <w:rsid w:val="00376CE8"/>
    <w:rsid w:val="00381395"/>
    <w:rsid w:val="0038246E"/>
    <w:rsid w:val="00384EED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CC7"/>
    <w:rsid w:val="003D3135"/>
    <w:rsid w:val="003D34FB"/>
    <w:rsid w:val="003D46A6"/>
    <w:rsid w:val="003D5EE4"/>
    <w:rsid w:val="003E0947"/>
    <w:rsid w:val="003E103B"/>
    <w:rsid w:val="003E417E"/>
    <w:rsid w:val="003E632C"/>
    <w:rsid w:val="003E66B0"/>
    <w:rsid w:val="003E67F9"/>
    <w:rsid w:val="003E6D41"/>
    <w:rsid w:val="003F18A6"/>
    <w:rsid w:val="003F1F7F"/>
    <w:rsid w:val="003F5F61"/>
    <w:rsid w:val="003F6736"/>
    <w:rsid w:val="004002BF"/>
    <w:rsid w:val="0040150B"/>
    <w:rsid w:val="004018EB"/>
    <w:rsid w:val="00401C9E"/>
    <w:rsid w:val="00403075"/>
    <w:rsid w:val="00403B22"/>
    <w:rsid w:val="0040450C"/>
    <w:rsid w:val="00415966"/>
    <w:rsid w:val="0041739B"/>
    <w:rsid w:val="004210A4"/>
    <w:rsid w:val="00422F6E"/>
    <w:rsid w:val="00423CF3"/>
    <w:rsid w:val="0042461B"/>
    <w:rsid w:val="0042520B"/>
    <w:rsid w:val="004254CF"/>
    <w:rsid w:val="00426FD7"/>
    <w:rsid w:val="00431EC5"/>
    <w:rsid w:val="00433CE8"/>
    <w:rsid w:val="00434BEE"/>
    <w:rsid w:val="004353D6"/>
    <w:rsid w:val="00436CB4"/>
    <w:rsid w:val="0044020B"/>
    <w:rsid w:val="00440A2A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F0D"/>
    <w:rsid w:val="00486F7D"/>
    <w:rsid w:val="004921C8"/>
    <w:rsid w:val="00492710"/>
    <w:rsid w:val="00494122"/>
    <w:rsid w:val="004941F1"/>
    <w:rsid w:val="00494F0E"/>
    <w:rsid w:val="00497457"/>
    <w:rsid w:val="004A0168"/>
    <w:rsid w:val="004A0295"/>
    <w:rsid w:val="004A2D22"/>
    <w:rsid w:val="004A4164"/>
    <w:rsid w:val="004A4D2F"/>
    <w:rsid w:val="004A7476"/>
    <w:rsid w:val="004B135A"/>
    <w:rsid w:val="004B34BD"/>
    <w:rsid w:val="004B6270"/>
    <w:rsid w:val="004B7CF2"/>
    <w:rsid w:val="004C0978"/>
    <w:rsid w:val="004C1374"/>
    <w:rsid w:val="004C4CD5"/>
    <w:rsid w:val="004C52EE"/>
    <w:rsid w:val="004C581A"/>
    <w:rsid w:val="004C5F8D"/>
    <w:rsid w:val="004D3236"/>
    <w:rsid w:val="004E1229"/>
    <w:rsid w:val="004E1AA9"/>
    <w:rsid w:val="004E1AEE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18A3"/>
    <w:rsid w:val="00552337"/>
    <w:rsid w:val="005546E9"/>
    <w:rsid w:val="00555654"/>
    <w:rsid w:val="00555B75"/>
    <w:rsid w:val="00557E06"/>
    <w:rsid w:val="0056108F"/>
    <w:rsid w:val="0056199E"/>
    <w:rsid w:val="00563D37"/>
    <w:rsid w:val="00564FBC"/>
    <w:rsid w:val="00565E5A"/>
    <w:rsid w:val="005703B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E01"/>
    <w:rsid w:val="00594700"/>
    <w:rsid w:val="005A07F8"/>
    <w:rsid w:val="005A0D53"/>
    <w:rsid w:val="005A1CA3"/>
    <w:rsid w:val="005A473B"/>
    <w:rsid w:val="005A56BD"/>
    <w:rsid w:val="005A573A"/>
    <w:rsid w:val="005A5763"/>
    <w:rsid w:val="005A58A8"/>
    <w:rsid w:val="005A6927"/>
    <w:rsid w:val="005A6AA8"/>
    <w:rsid w:val="005B1DDC"/>
    <w:rsid w:val="005B3E16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4208"/>
    <w:rsid w:val="0067515C"/>
    <w:rsid w:val="0067523C"/>
    <w:rsid w:val="006765A3"/>
    <w:rsid w:val="00676AC3"/>
    <w:rsid w:val="00676CDE"/>
    <w:rsid w:val="006808CF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13AA"/>
    <w:rsid w:val="006D1FC0"/>
    <w:rsid w:val="006D3DF1"/>
    <w:rsid w:val="006D4DBA"/>
    <w:rsid w:val="006D5192"/>
    <w:rsid w:val="006D55D4"/>
    <w:rsid w:val="006D741B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B61"/>
    <w:rsid w:val="0074173F"/>
    <w:rsid w:val="00743B89"/>
    <w:rsid w:val="00744F50"/>
    <w:rsid w:val="00745C73"/>
    <w:rsid w:val="0075057F"/>
    <w:rsid w:val="00753137"/>
    <w:rsid w:val="0075359A"/>
    <w:rsid w:val="00753C27"/>
    <w:rsid w:val="00756C35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A12"/>
    <w:rsid w:val="007900FA"/>
    <w:rsid w:val="007904DA"/>
    <w:rsid w:val="00790908"/>
    <w:rsid w:val="00793AB0"/>
    <w:rsid w:val="00794BEC"/>
    <w:rsid w:val="0079687E"/>
    <w:rsid w:val="007969E9"/>
    <w:rsid w:val="00796FA5"/>
    <w:rsid w:val="007972A9"/>
    <w:rsid w:val="007978E3"/>
    <w:rsid w:val="007A05E1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E06"/>
    <w:rsid w:val="007C6E96"/>
    <w:rsid w:val="007C7CD9"/>
    <w:rsid w:val="007C7D3F"/>
    <w:rsid w:val="007D0C22"/>
    <w:rsid w:val="007D173C"/>
    <w:rsid w:val="007D1B5F"/>
    <w:rsid w:val="007D5084"/>
    <w:rsid w:val="007D5356"/>
    <w:rsid w:val="007D55AD"/>
    <w:rsid w:val="007E1756"/>
    <w:rsid w:val="007E37A2"/>
    <w:rsid w:val="007E419B"/>
    <w:rsid w:val="007E73DD"/>
    <w:rsid w:val="007F0840"/>
    <w:rsid w:val="007F2124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25ADF"/>
    <w:rsid w:val="00826692"/>
    <w:rsid w:val="00826774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FFC"/>
    <w:rsid w:val="00844A08"/>
    <w:rsid w:val="008460EE"/>
    <w:rsid w:val="00850CD5"/>
    <w:rsid w:val="00850CE9"/>
    <w:rsid w:val="008544DD"/>
    <w:rsid w:val="00854F64"/>
    <w:rsid w:val="00857F7A"/>
    <w:rsid w:val="0086214B"/>
    <w:rsid w:val="00862A59"/>
    <w:rsid w:val="00864821"/>
    <w:rsid w:val="008648B9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453D"/>
    <w:rsid w:val="008A5FDD"/>
    <w:rsid w:val="008B16A3"/>
    <w:rsid w:val="008B1F57"/>
    <w:rsid w:val="008B1F62"/>
    <w:rsid w:val="008B2F6E"/>
    <w:rsid w:val="008B58CA"/>
    <w:rsid w:val="008B72C9"/>
    <w:rsid w:val="008C1452"/>
    <w:rsid w:val="008C30F7"/>
    <w:rsid w:val="008C3517"/>
    <w:rsid w:val="008C5328"/>
    <w:rsid w:val="008C561E"/>
    <w:rsid w:val="008C60AB"/>
    <w:rsid w:val="008C6A5C"/>
    <w:rsid w:val="008D2D0A"/>
    <w:rsid w:val="008D43E7"/>
    <w:rsid w:val="008D494D"/>
    <w:rsid w:val="008D4BF7"/>
    <w:rsid w:val="008D79A8"/>
    <w:rsid w:val="008E3393"/>
    <w:rsid w:val="008E5474"/>
    <w:rsid w:val="008E5A16"/>
    <w:rsid w:val="008E6086"/>
    <w:rsid w:val="008E66A4"/>
    <w:rsid w:val="008E724F"/>
    <w:rsid w:val="008F0717"/>
    <w:rsid w:val="008F100A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59A1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7664F"/>
    <w:rsid w:val="00976F04"/>
    <w:rsid w:val="009807C5"/>
    <w:rsid w:val="00981F5D"/>
    <w:rsid w:val="009821AE"/>
    <w:rsid w:val="0098421E"/>
    <w:rsid w:val="00984458"/>
    <w:rsid w:val="00986F8E"/>
    <w:rsid w:val="009918BB"/>
    <w:rsid w:val="00991996"/>
    <w:rsid w:val="0099251A"/>
    <w:rsid w:val="00992622"/>
    <w:rsid w:val="00993C22"/>
    <w:rsid w:val="00995376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58F1"/>
    <w:rsid w:val="009B637E"/>
    <w:rsid w:val="009B6C58"/>
    <w:rsid w:val="009C168A"/>
    <w:rsid w:val="009C2FCE"/>
    <w:rsid w:val="009C6101"/>
    <w:rsid w:val="009D1E01"/>
    <w:rsid w:val="009D3B98"/>
    <w:rsid w:val="009D537E"/>
    <w:rsid w:val="009D6EA5"/>
    <w:rsid w:val="009E17BD"/>
    <w:rsid w:val="009E2292"/>
    <w:rsid w:val="009E335D"/>
    <w:rsid w:val="009E3CD1"/>
    <w:rsid w:val="009E3EED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2C68"/>
    <w:rsid w:val="00A17CB1"/>
    <w:rsid w:val="00A20884"/>
    <w:rsid w:val="00A22633"/>
    <w:rsid w:val="00A26297"/>
    <w:rsid w:val="00A27F92"/>
    <w:rsid w:val="00A305AA"/>
    <w:rsid w:val="00A321B6"/>
    <w:rsid w:val="00A32654"/>
    <w:rsid w:val="00A33971"/>
    <w:rsid w:val="00A35E16"/>
    <w:rsid w:val="00A433EA"/>
    <w:rsid w:val="00A44101"/>
    <w:rsid w:val="00A45AB3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F3B"/>
    <w:rsid w:val="00A87B50"/>
    <w:rsid w:val="00A91DE4"/>
    <w:rsid w:val="00A93F8D"/>
    <w:rsid w:val="00A94AD4"/>
    <w:rsid w:val="00A95603"/>
    <w:rsid w:val="00A9612D"/>
    <w:rsid w:val="00A97D37"/>
    <w:rsid w:val="00AA24D1"/>
    <w:rsid w:val="00AA2E5E"/>
    <w:rsid w:val="00AA5496"/>
    <w:rsid w:val="00AA5B14"/>
    <w:rsid w:val="00AB0340"/>
    <w:rsid w:val="00AB42F6"/>
    <w:rsid w:val="00AB75B9"/>
    <w:rsid w:val="00AC1E55"/>
    <w:rsid w:val="00AC2051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2BB6"/>
    <w:rsid w:val="00AE6D7E"/>
    <w:rsid w:val="00AF2963"/>
    <w:rsid w:val="00AF484C"/>
    <w:rsid w:val="00AF5F5E"/>
    <w:rsid w:val="00AF5FEB"/>
    <w:rsid w:val="00B024D2"/>
    <w:rsid w:val="00B02A3F"/>
    <w:rsid w:val="00B03467"/>
    <w:rsid w:val="00B06425"/>
    <w:rsid w:val="00B07E5B"/>
    <w:rsid w:val="00B13315"/>
    <w:rsid w:val="00B14B5A"/>
    <w:rsid w:val="00B1644C"/>
    <w:rsid w:val="00B17316"/>
    <w:rsid w:val="00B203F4"/>
    <w:rsid w:val="00B21462"/>
    <w:rsid w:val="00B21F34"/>
    <w:rsid w:val="00B2270F"/>
    <w:rsid w:val="00B23E7E"/>
    <w:rsid w:val="00B25B41"/>
    <w:rsid w:val="00B27123"/>
    <w:rsid w:val="00B27A9E"/>
    <w:rsid w:val="00B31DCF"/>
    <w:rsid w:val="00B343E7"/>
    <w:rsid w:val="00B36EA1"/>
    <w:rsid w:val="00B371AF"/>
    <w:rsid w:val="00B37CDC"/>
    <w:rsid w:val="00B40538"/>
    <w:rsid w:val="00B40A81"/>
    <w:rsid w:val="00B44910"/>
    <w:rsid w:val="00B50ED3"/>
    <w:rsid w:val="00B54B8F"/>
    <w:rsid w:val="00B576FA"/>
    <w:rsid w:val="00B60CC2"/>
    <w:rsid w:val="00B635D7"/>
    <w:rsid w:val="00B63B35"/>
    <w:rsid w:val="00B64213"/>
    <w:rsid w:val="00B67C24"/>
    <w:rsid w:val="00B7000E"/>
    <w:rsid w:val="00B72023"/>
    <w:rsid w:val="00B72267"/>
    <w:rsid w:val="00B7480D"/>
    <w:rsid w:val="00B750EB"/>
    <w:rsid w:val="00B760AF"/>
    <w:rsid w:val="00B76EB6"/>
    <w:rsid w:val="00B77B71"/>
    <w:rsid w:val="00B817C7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E88"/>
    <w:rsid w:val="00BB3C2B"/>
    <w:rsid w:val="00BB5F58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F0EA1"/>
    <w:rsid w:val="00BF1FFF"/>
    <w:rsid w:val="00BF2BF9"/>
    <w:rsid w:val="00BF370B"/>
    <w:rsid w:val="00BF43D6"/>
    <w:rsid w:val="00BF4B40"/>
    <w:rsid w:val="00BF546E"/>
    <w:rsid w:val="00C01189"/>
    <w:rsid w:val="00C01C8A"/>
    <w:rsid w:val="00C03AD5"/>
    <w:rsid w:val="00C104DD"/>
    <w:rsid w:val="00C108D2"/>
    <w:rsid w:val="00C15588"/>
    <w:rsid w:val="00C17270"/>
    <w:rsid w:val="00C17609"/>
    <w:rsid w:val="00C178F8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62C05"/>
    <w:rsid w:val="00C667DB"/>
    <w:rsid w:val="00C66E21"/>
    <w:rsid w:val="00C7146D"/>
    <w:rsid w:val="00C7397E"/>
    <w:rsid w:val="00C73A8D"/>
    <w:rsid w:val="00C74F0B"/>
    <w:rsid w:val="00C83C49"/>
    <w:rsid w:val="00C86954"/>
    <w:rsid w:val="00C90506"/>
    <w:rsid w:val="00C90911"/>
    <w:rsid w:val="00C92320"/>
    <w:rsid w:val="00C94145"/>
    <w:rsid w:val="00C9560A"/>
    <w:rsid w:val="00C9601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D0C08"/>
    <w:rsid w:val="00CD5BBD"/>
    <w:rsid w:val="00CD66E3"/>
    <w:rsid w:val="00CE2140"/>
    <w:rsid w:val="00CE222A"/>
    <w:rsid w:val="00CE554A"/>
    <w:rsid w:val="00CE6C35"/>
    <w:rsid w:val="00CF0D9F"/>
    <w:rsid w:val="00CF203C"/>
    <w:rsid w:val="00CF24ED"/>
    <w:rsid w:val="00CF33F3"/>
    <w:rsid w:val="00CF341B"/>
    <w:rsid w:val="00CF3EC3"/>
    <w:rsid w:val="00CF4B80"/>
    <w:rsid w:val="00CF6AD5"/>
    <w:rsid w:val="00CF72FF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B52"/>
    <w:rsid w:val="00D44B5C"/>
    <w:rsid w:val="00D45DC4"/>
    <w:rsid w:val="00D4769E"/>
    <w:rsid w:val="00D5014A"/>
    <w:rsid w:val="00D51331"/>
    <w:rsid w:val="00D534B0"/>
    <w:rsid w:val="00D56493"/>
    <w:rsid w:val="00D57CFE"/>
    <w:rsid w:val="00D57E69"/>
    <w:rsid w:val="00D617BD"/>
    <w:rsid w:val="00D626F5"/>
    <w:rsid w:val="00D6406D"/>
    <w:rsid w:val="00D7144D"/>
    <w:rsid w:val="00D7225A"/>
    <w:rsid w:val="00D745D9"/>
    <w:rsid w:val="00D74A3F"/>
    <w:rsid w:val="00D7501A"/>
    <w:rsid w:val="00D76A33"/>
    <w:rsid w:val="00D77167"/>
    <w:rsid w:val="00D77D6D"/>
    <w:rsid w:val="00D81D92"/>
    <w:rsid w:val="00D841E6"/>
    <w:rsid w:val="00D86145"/>
    <w:rsid w:val="00D86F8E"/>
    <w:rsid w:val="00D9217C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E80"/>
    <w:rsid w:val="00E113AF"/>
    <w:rsid w:val="00E124F0"/>
    <w:rsid w:val="00E137BC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51C7E"/>
    <w:rsid w:val="00E544AC"/>
    <w:rsid w:val="00E54FDE"/>
    <w:rsid w:val="00E55559"/>
    <w:rsid w:val="00E574CE"/>
    <w:rsid w:val="00E6246E"/>
    <w:rsid w:val="00E70AF0"/>
    <w:rsid w:val="00E73AED"/>
    <w:rsid w:val="00E77551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A2217"/>
    <w:rsid w:val="00EA2BE9"/>
    <w:rsid w:val="00EB2232"/>
    <w:rsid w:val="00EB2ED4"/>
    <w:rsid w:val="00EB43C8"/>
    <w:rsid w:val="00EB4849"/>
    <w:rsid w:val="00EB66CD"/>
    <w:rsid w:val="00EB73A9"/>
    <w:rsid w:val="00EB7DBC"/>
    <w:rsid w:val="00EC3551"/>
    <w:rsid w:val="00EC5551"/>
    <w:rsid w:val="00ED029B"/>
    <w:rsid w:val="00ED0430"/>
    <w:rsid w:val="00ED063D"/>
    <w:rsid w:val="00ED1BE1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532A"/>
    <w:rsid w:val="00EE620A"/>
    <w:rsid w:val="00EF00BD"/>
    <w:rsid w:val="00EF0ADB"/>
    <w:rsid w:val="00EF34E0"/>
    <w:rsid w:val="00EF48AD"/>
    <w:rsid w:val="00EF7B11"/>
    <w:rsid w:val="00EF7D55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DB9"/>
    <w:rsid w:val="00F331FA"/>
    <w:rsid w:val="00F33243"/>
    <w:rsid w:val="00F3600D"/>
    <w:rsid w:val="00F37B77"/>
    <w:rsid w:val="00F43265"/>
    <w:rsid w:val="00F47B60"/>
    <w:rsid w:val="00F5131A"/>
    <w:rsid w:val="00F5168B"/>
    <w:rsid w:val="00F523CD"/>
    <w:rsid w:val="00F524E4"/>
    <w:rsid w:val="00F54A24"/>
    <w:rsid w:val="00F55BF1"/>
    <w:rsid w:val="00F60740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51C4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667D"/>
    <w:rsid w:val="00FD0557"/>
    <w:rsid w:val="00FD0563"/>
    <w:rsid w:val="00FD0BB9"/>
    <w:rsid w:val="00FD0E17"/>
    <w:rsid w:val="00FD3677"/>
    <w:rsid w:val="00FD5482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9AC82D1"/>
  <w15:docId w15:val="{9E951351-B3E0-4525-9546-C3ACBEFC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9-CLCWGFHR09-C-0003/en" TargetMode="External"/><Relationship Id="rId18" Type="http://schemas.openxmlformats.org/officeDocument/2006/relationships/hyperlink" Target="https://www.itu.int/md/S19-CLCWGFHR09-C-0002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9-CLCWGFHR09-C-0005/en" TargetMode="External"/><Relationship Id="rId17" Type="http://schemas.openxmlformats.org/officeDocument/2006/relationships/hyperlink" Target="https://www.itu.int/md/S19-CLCWGFHR09-C-000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CWGFHR09-C-0007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CLCWGFHR09-C-0004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9-CLCWGFHR09-C-0010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S19-CLCWGFHR09-C-0009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9-CLCWGFHR09-C-0011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</cp:lastModifiedBy>
  <cp:revision>2</cp:revision>
  <cp:lastPrinted>2018-12-19T14:31:00Z</cp:lastPrinted>
  <dcterms:created xsi:type="dcterms:W3CDTF">2019-01-22T12:15:00Z</dcterms:created>
  <dcterms:modified xsi:type="dcterms:W3CDTF">2019-01-22T12:15:00Z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