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73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16F51" w:rsidRPr="00354645" w14:paraId="0D6E4CC4" w14:textId="77777777" w:rsidTr="00A32257">
        <w:trPr>
          <w:cantSplit/>
        </w:trPr>
        <w:tc>
          <w:tcPr>
            <w:tcW w:w="6911" w:type="dxa"/>
          </w:tcPr>
          <w:p w14:paraId="225774B9" w14:textId="77777777" w:rsidR="009318D5" w:rsidRPr="00354645" w:rsidRDefault="00E16CC1" w:rsidP="00841787">
            <w:pPr>
              <w:spacing w:before="0"/>
              <w:rPr>
                <w:position w:val="6"/>
                <w:lang w:val="fr-FR"/>
              </w:rPr>
            </w:pPr>
            <w:r w:rsidRPr="00354645">
              <w:rPr>
                <w:b/>
                <w:bCs/>
                <w:position w:val="6"/>
                <w:sz w:val="30"/>
                <w:szCs w:val="30"/>
                <w:lang w:val="fr-FR"/>
              </w:rPr>
              <w:t>Session additionnelle de 2019 du Conseil</w:t>
            </w:r>
            <w:r w:rsidR="006A4A26" w:rsidRPr="00354645">
              <w:rPr>
                <w:rFonts w:cs="Times"/>
                <w:b/>
                <w:position w:val="6"/>
                <w:sz w:val="26"/>
                <w:szCs w:val="26"/>
                <w:lang w:val="fr-FR"/>
              </w:rPr>
              <w:br/>
            </w:r>
            <w:r w:rsidR="00E60F26" w:rsidRPr="00354645">
              <w:rPr>
                <w:b/>
                <w:bCs/>
                <w:position w:val="6"/>
                <w:szCs w:val="24"/>
                <w:lang w:val="fr-FR"/>
              </w:rPr>
              <w:t>Genève, 27 septembre 2019</w:t>
            </w:r>
          </w:p>
        </w:tc>
        <w:tc>
          <w:tcPr>
            <w:tcW w:w="3120" w:type="dxa"/>
          </w:tcPr>
          <w:p w14:paraId="10259914" w14:textId="77777777" w:rsidR="009318D5" w:rsidRPr="00354645" w:rsidRDefault="006A4A26" w:rsidP="00841787">
            <w:pPr>
              <w:spacing w:before="0"/>
              <w:rPr>
                <w:lang w:val="fr-FR"/>
              </w:rPr>
            </w:pPr>
            <w:bookmarkStart w:id="0" w:name="ditulogo"/>
            <w:bookmarkEnd w:id="0"/>
            <w:r w:rsidRPr="00354645">
              <w:rPr>
                <w:lang w:val="fr-FR" w:eastAsia="zh-CN"/>
              </w:rPr>
              <w:drawing>
                <wp:inline distT="0" distB="0" distL="0" distR="0" wp14:anchorId="29E9855A" wp14:editId="7EAD8E5B">
                  <wp:extent cx="682406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235828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F51" w:rsidRPr="00354645" w14:paraId="27F40FE6" w14:textId="77777777" w:rsidTr="00A3225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B83AD07" w14:textId="77777777" w:rsidR="009318D5" w:rsidRPr="00354645" w:rsidRDefault="009318D5" w:rsidP="00841787">
            <w:pPr>
              <w:spacing w:before="0"/>
              <w:rPr>
                <w:b/>
                <w:smallCaps/>
                <w:szCs w:val="24"/>
                <w:lang w:val="fr-FR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591DDBA" w14:textId="77777777" w:rsidR="009318D5" w:rsidRPr="00354645" w:rsidRDefault="009318D5" w:rsidP="00841787">
            <w:pPr>
              <w:spacing w:before="0"/>
              <w:rPr>
                <w:szCs w:val="24"/>
                <w:lang w:val="fr-FR"/>
              </w:rPr>
            </w:pPr>
          </w:p>
        </w:tc>
      </w:tr>
      <w:tr w:rsidR="00316F51" w:rsidRPr="00354645" w14:paraId="7A06B425" w14:textId="77777777" w:rsidTr="00A3225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912B089" w14:textId="77777777" w:rsidR="009318D5" w:rsidRPr="00354645" w:rsidRDefault="009318D5" w:rsidP="00841787">
            <w:pPr>
              <w:snapToGrid w:val="0"/>
              <w:spacing w:before="0"/>
              <w:rPr>
                <w:b/>
                <w:smallCaps/>
                <w:szCs w:val="24"/>
                <w:lang w:val="fr-FR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D0B6AA3" w14:textId="77777777" w:rsidR="009318D5" w:rsidRPr="00354645" w:rsidRDefault="009318D5" w:rsidP="00841787">
            <w:pPr>
              <w:snapToGrid w:val="0"/>
              <w:spacing w:before="0"/>
              <w:rPr>
                <w:szCs w:val="24"/>
                <w:lang w:val="fr-FR"/>
              </w:rPr>
            </w:pPr>
          </w:p>
        </w:tc>
      </w:tr>
      <w:tr w:rsidR="00316F51" w:rsidRPr="00354645" w14:paraId="4BC3903F" w14:textId="77777777" w:rsidTr="00A32257">
        <w:trPr>
          <w:cantSplit/>
          <w:trHeight w:val="23"/>
        </w:trPr>
        <w:tc>
          <w:tcPr>
            <w:tcW w:w="6911" w:type="dxa"/>
            <w:vMerge w:val="restart"/>
          </w:tcPr>
          <w:p w14:paraId="6E39F3D6" w14:textId="77777777" w:rsidR="009318D5" w:rsidRPr="00354645" w:rsidRDefault="009318D5" w:rsidP="00841787">
            <w:pPr>
              <w:tabs>
                <w:tab w:val="left" w:pos="851"/>
              </w:tabs>
              <w:snapToGrid w:val="0"/>
              <w:spacing w:before="0"/>
              <w:rPr>
                <w:b/>
                <w:lang w:val="fr-FR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404C5772" w14:textId="77777777" w:rsidR="009318D5" w:rsidRPr="00354645" w:rsidRDefault="00CF4709" w:rsidP="00841787">
            <w:pPr>
              <w:tabs>
                <w:tab w:val="left" w:pos="851"/>
              </w:tabs>
              <w:snapToGrid w:val="0"/>
              <w:spacing w:before="0"/>
              <w:rPr>
                <w:b/>
                <w:lang w:val="fr-FR"/>
              </w:rPr>
            </w:pPr>
            <w:r w:rsidRPr="00354645">
              <w:rPr>
                <w:b/>
                <w:lang w:val="fr-FR"/>
              </w:rPr>
              <w:t>Document C19-ADD/6-F</w:t>
            </w:r>
          </w:p>
        </w:tc>
      </w:tr>
      <w:tr w:rsidR="00316F51" w:rsidRPr="00354645" w14:paraId="1C6DC718" w14:textId="77777777" w:rsidTr="00A32257">
        <w:trPr>
          <w:cantSplit/>
          <w:trHeight w:val="23"/>
        </w:trPr>
        <w:tc>
          <w:tcPr>
            <w:tcW w:w="6911" w:type="dxa"/>
            <w:vMerge/>
          </w:tcPr>
          <w:p w14:paraId="2881A6F1" w14:textId="77777777" w:rsidR="009318D5" w:rsidRPr="00354645" w:rsidRDefault="009318D5" w:rsidP="00841787">
            <w:pPr>
              <w:tabs>
                <w:tab w:val="left" w:pos="851"/>
              </w:tabs>
              <w:snapToGrid w:val="0"/>
              <w:spacing w:before="0"/>
              <w:rPr>
                <w:b/>
                <w:lang w:val="fr-FR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10EE2E2A" w14:textId="6982B0FB" w:rsidR="009318D5" w:rsidRPr="00354645" w:rsidRDefault="00602ADE" w:rsidP="00841787">
            <w:pPr>
              <w:tabs>
                <w:tab w:val="left" w:pos="993"/>
              </w:tabs>
              <w:snapToGrid w:val="0"/>
              <w:spacing w:before="0"/>
              <w:rPr>
                <w:b/>
                <w:lang w:val="fr-FR"/>
              </w:rPr>
            </w:pPr>
            <w:r w:rsidRPr="00354645">
              <w:rPr>
                <w:b/>
                <w:lang w:val="fr-FR"/>
              </w:rPr>
              <w:t>14 novembre 2019</w:t>
            </w:r>
          </w:p>
        </w:tc>
      </w:tr>
      <w:tr w:rsidR="00316F51" w:rsidRPr="00354645" w14:paraId="088164F4" w14:textId="77777777" w:rsidTr="00A32257">
        <w:trPr>
          <w:cantSplit/>
          <w:trHeight w:val="23"/>
        </w:trPr>
        <w:tc>
          <w:tcPr>
            <w:tcW w:w="6911" w:type="dxa"/>
            <w:vMerge/>
          </w:tcPr>
          <w:p w14:paraId="3A7BA249" w14:textId="77777777" w:rsidR="009318D5" w:rsidRPr="00354645" w:rsidRDefault="009318D5" w:rsidP="00841787">
            <w:pPr>
              <w:tabs>
                <w:tab w:val="left" w:pos="851"/>
              </w:tabs>
              <w:snapToGrid w:val="0"/>
              <w:spacing w:before="0"/>
              <w:rPr>
                <w:b/>
                <w:lang w:val="fr-FR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340D97B2" w14:textId="77777777" w:rsidR="009318D5" w:rsidRPr="00354645" w:rsidRDefault="00650D02" w:rsidP="00841787">
            <w:pPr>
              <w:tabs>
                <w:tab w:val="left" w:pos="993"/>
              </w:tabs>
              <w:snapToGrid w:val="0"/>
              <w:spacing w:before="0"/>
              <w:rPr>
                <w:b/>
                <w:lang w:val="fr-FR"/>
              </w:rPr>
            </w:pPr>
            <w:r w:rsidRPr="00354645">
              <w:rPr>
                <w:b/>
                <w:lang w:val="fr-FR"/>
              </w:rPr>
              <w:t>Original: anglais</w:t>
            </w:r>
          </w:p>
        </w:tc>
      </w:tr>
      <w:tr w:rsidR="00316F51" w:rsidRPr="00354645" w14:paraId="59B682FD" w14:textId="77777777" w:rsidTr="00A32257">
        <w:trPr>
          <w:cantSplit/>
        </w:trPr>
        <w:tc>
          <w:tcPr>
            <w:tcW w:w="10031" w:type="dxa"/>
            <w:gridSpan w:val="2"/>
          </w:tcPr>
          <w:p w14:paraId="670A9D96" w14:textId="77777777" w:rsidR="0099424B" w:rsidRPr="00354645" w:rsidRDefault="00D654DB" w:rsidP="00841787">
            <w:pPr>
              <w:pStyle w:val="Title1"/>
              <w:snapToGrid w:val="0"/>
              <w:spacing w:before="840" w:after="120"/>
              <w:rPr>
                <w:lang w:val="fr-FR"/>
              </w:rPr>
            </w:pPr>
            <w:bookmarkStart w:id="5" w:name="dtitle1" w:colFirst="0" w:colLast="0"/>
            <w:bookmarkEnd w:id="4"/>
            <w:r w:rsidRPr="00354645">
              <w:rPr>
                <w:lang w:val="fr-FR"/>
              </w:rPr>
              <w:t>Compte rendu</w:t>
            </w:r>
          </w:p>
          <w:p w14:paraId="1D4C5F22" w14:textId="77777777" w:rsidR="0099424B" w:rsidRPr="00354645" w:rsidRDefault="00AC19A7" w:rsidP="00841787">
            <w:pPr>
              <w:pStyle w:val="Title1"/>
              <w:snapToGrid w:val="0"/>
              <w:spacing w:before="120" w:after="120"/>
              <w:rPr>
                <w:lang w:val="fr-FR"/>
              </w:rPr>
            </w:pPr>
            <w:r w:rsidRPr="00354645">
              <w:rPr>
                <w:lang w:val="fr-FR"/>
              </w:rPr>
              <w:t>de la</w:t>
            </w:r>
          </w:p>
          <w:p w14:paraId="15EA5473" w14:textId="77777777" w:rsidR="0099424B" w:rsidRPr="00354645" w:rsidRDefault="0063340B" w:rsidP="00841787">
            <w:pPr>
              <w:pStyle w:val="Title2"/>
              <w:snapToGrid w:val="0"/>
              <w:spacing w:before="120" w:after="120"/>
              <w:rPr>
                <w:lang w:val="fr-FR"/>
              </w:rPr>
            </w:pPr>
            <w:r w:rsidRPr="00354645">
              <w:rPr>
                <w:lang w:val="fr-FR"/>
              </w:rPr>
              <w:t>SESSION ADDITIONNELLE DE 2019 DU CONSEIL</w:t>
            </w:r>
          </w:p>
        </w:tc>
      </w:tr>
      <w:tr w:rsidR="00316F51" w:rsidRPr="00354645" w14:paraId="22F94689" w14:textId="77777777" w:rsidTr="00A32257">
        <w:trPr>
          <w:cantSplit/>
        </w:trPr>
        <w:tc>
          <w:tcPr>
            <w:tcW w:w="10031" w:type="dxa"/>
            <w:gridSpan w:val="2"/>
          </w:tcPr>
          <w:tbl>
            <w:tblPr>
              <w:tblpPr w:leftFromText="180" w:rightFromText="180" w:horzAnchor="margin" w:tblpY="-690"/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10173"/>
            </w:tblGrid>
            <w:tr w:rsidR="00316F51" w:rsidRPr="00354645" w14:paraId="316DE4F3" w14:textId="77777777" w:rsidTr="007F3519">
              <w:trPr>
                <w:cantSplit/>
              </w:trPr>
              <w:tc>
                <w:tcPr>
                  <w:tcW w:w="10173" w:type="dxa"/>
                </w:tcPr>
                <w:p w14:paraId="49CBFB20" w14:textId="77777777" w:rsidR="00AD3BA1" w:rsidRPr="00354645" w:rsidRDefault="004474D1" w:rsidP="00841787">
                  <w:pPr>
                    <w:snapToGrid w:val="0"/>
                    <w:spacing w:after="120"/>
                    <w:jc w:val="center"/>
                    <w:rPr>
                      <w:lang w:val="fr-FR"/>
                    </w:rPr>
                  </w:pPr>
                  <w:bookmarkStart w:id="6" w:name="dtitle2" w:colFirst="0" w:colLast="0"/>
                  <w:bookmarkEnd w:id="5"/>
                  <w:r w:rsidRPr="00354645">
                    <w:rPr>
                      <w:lang w:val="fr-FR"/>
                    </w:rPr>
                    <w:t>Vendredi 27 septembre 2019, de 9 h 20 à 12 h 10</w:t>
                  </w:r>
                </w:p>
              </w:tc>
            </w:tr>
          </w:tbl>
          <w:p w14:paraId="5FF50E73" w14:textId="77777777" w:rsidR="00AD3BA1" w:rsidRPr="00354645" w:rsidRDefault="00E6099E" w:rsidP="00841787">
            <w:pPr>
              <w:snapToGrid w:val="0"/>
              <w:spacing w:after="120"/>
              <w:jc w:val="center"/>
              <w:rPr>
                <w:lang w:val="fr-FR"/>
              </w:rPr>
            </w:pPr>
            <w:r w:rsidRPr="00354645">
              <w:rPr>
                <w:b/>
                <w:lang w:val="fr-FR"/>
              </w:rPr>
              <w:t xml:space="preserve">Président faisant fonction: </w:t>
            </w:r>
            <w:r w:rsidRPr="00354645">
              <w:rPr>
                <w:lang w:val="fr-FR"/>
              </w:rPr>
              <w:t>M. F. BIGI (Italie)</w:t>
            </w:r>
          </w:p>
          <w:p w14:paraId="57383941" w14:textId="77777777" w:rsidR="0099424B" w:rsidRPr="00354645" w:rsidRDefault="0099424B" w:rsidP="00841787">
            <w:pPr>
              <w:pStyle w:val="Title2"/>
              <w:snapToGrid w:val="0"/>
              <w:spacing w:before="120" w:after="600"/>
              <w:rPr>
                <w:lang w:val="fr-FR"/>
              </w:rPr>
            </w:pPr>
          </w:p>
        </w:tc>
      </w:tr>
      <w:bookmarkEnd w:id="6"/>
    </w:tbl>
    <w:tbl>
      <w:tblPr>
        <w:tblW w:w="5233" w:type="pct"/>
        <w:tblLook w:val="0000" w:firstRow="0" w:lastRow="0" w:firstColumn="0" w:lastColumn="0" w:noHBand="0" w:noVBand="0"/>
      </w:tblPr>
      <w:tblGrid>
        <w:gridCol w:w="521"/>
        <w:gridCol w:w="6795"/>
        <w:gridCol w:w="2772"/>
      </w:tblGrid>
      <w:tr w:rsidR="00316F51" w:rsidRPr="00354645" w14:paraId="187BEF41" w14:textId="77777777" w:rsidTr="00186C2F">
        <w:tc>
          <w:tcPr>
            <w:tcW w:w="258" w:type="pct"/>
          </w:tcPr>
          <w:p w14:paraId="5013BA07" w14:textId="77777777" w:rsidR="0099424B" w:rsidRPr="00354645" w:rsidRDefault="0099424B" w:rsidP="00841787">
            <w:pPr>
              <w:pStyle w:val="toc0"/>
              <w:snapToGrid w:val="0"/>
              <w:spacing w:after="120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  <w:tc>
          <w:tcPr>
            <w:tcW w:w="3368" w:type="pct"/>
          </w:tcPr>
          <w:p w14:paraId="1FD48A98" w14:textId="77777777" w:rsidR="0099424B" w:rsidRPr="00354645" w:rsidRDefault="00943F8D" w:rsidP="00841787">
            <w:pPr>
              <w:snapToGrid w:val="0"/>
              <w:spacing w:after="120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354645">
              <w:rPr>
                <w:rFonts w:asciiTheme="minorHAnsi" w:hAnsiTheme="minorHAnsi" w:cstheme="minorHAnsi"/>
                <w:b/>
                <w:bCs/>
                <w:lang w:val="fr-FR"/>
              </w:rPr>
              <w:t>Sujets traités</w:t>
            </w:r>
          </w:p>
        </w:tc>
        <w:tc>
          <w:tcPr>
            <w:tcW w:w="1374" w:type="pct"/>
          </w:tcPr>
          <w:p w14:paraId="37D599D9" w14:textId="77777777" w:rsidR="0099424B" w:rsidRPr="00354645" w:rsidRDefault="0017040A" w:rsidP="00841787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354645">
              <w:rPr>
                <w:rFonts w:asciiTheme="minorHAnsi" w:hAnsiTheme="minorHAnsi" w:cstheme="minorHAnsi"/>
                <w:b/>
                <w:bCs/>
                <w:lang w:val="fr-FR"/>
              </w:rPr>
              <w:t>Documents</w:t>
            </w:r>
          </w:p>
        </w:tc>
      </w:tr>
      <w:tr w:rsidR="00316F51" w:rsidRPr="00354645" w14:paraId="60FECF59" w14:textId="77777777" w:rsidTr="00186C2F">
        <w:tc>
          <w:tcPr>
            <w:tcW w:w="258" w:type="pct"/>
          </w:tcPr>
          <w:p w14:paraId="659646C9" w14:textId="77777777" w:rsidR="009318D5" w:rsidRPr="00354645" w:rsidRDefault="006A4A26" w:rsidP="00841787">
            <w:pPr>
              <w:pStyle w:val="toc0"/>
              <w:snapToGrid w:val="0"/>
              <w:spacing w:after="120"/>
              <w:rPr>
                <w:rFonts w:asciiTheme="minorHAnsi" w:hAnsiTheme="minorHAnsi" w:cstheme="minorHAnsi"/>
                <w:b w:val="0"/>
                <w:bCs/>
                <w:szCs w:val="24"/>
                <w:lang w:val="fr-FR"/>
              </w:rPr>
            </w:pPr>
            <w:r w:rsidRPr="00354645">
              <w:rPr>
                <w:rFonts w:asciiTheme="minorHAnsi" w:hAnsiTheme="minorHAnsi" w:cstheme="minorHAnsi"/>
                <w:b w:val="0"/>
                <w:bCs/>
                <w:szCs w:val="24"/>
                <w:lang w:val="fr-FR"/>
              </w:rPr>
              <w:t>1</w:t>
            </w:r>
          </w:p>
        </w:tc>
        <w:tc>
          <w:tcPr>
            <w:tcW w:w="3368" w:type="pct"/>
          </w:tcPr>
          <w:p w14:paraId="5126735F" w14:textId="77777777" w:rsidR="009318D5" w:rsidRPr="00354645" w:rsidRDefault="00A56E2D" w:rsidP="00841787">
            <w:pPr>
              <w:snapToGrid w:val="0"/>
              <w:spacing w:after="120"/>
              <w:rPr>
                <w:rFonts w:asciiTheme="minorHAnsi" w:hAnsiTheme="minorHAnsi" w:cstheme="minorHAnsi"/>
                <w:lang w:val="fr-FR"/>
              </w:rPr>
            </w:pPr>
            <w:r w:rsidRPr="00354645">
              <w:rPr>
                <w:rFonts w:asciiTheme="minorHAnsi" w:hAnsiTheme="minorHAnsi" w:cstheme="minorHAnsi"/>
                <w:lang w:val="fr-FR"/>
              </w:rPr>
              <w:t>Remarques liminaires</w:t>
            </w:r>
          </w:p>
        </w:tc>
        <w:tc>
          <w:tcPr>
            <w:tcW w:w="1374" w:type="pct"/>
          </w:tcPr>
          <w:p w14:paraId="4B24E1FF" w14:textId="77777777" w:rsidR="009318D5" w:rsidRPr="00354645" w:rsidRDefault="006A4A26" w:rsidP="00841787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54645">
              <w:rPr>
                <w:rFonts w:asciiTheme="minorHAnsi" w:hAnsiTheme="minorHAnsi" w:cstheme="minorHAnsi"/>
                <w:lang w:val="fr-FR"/>
              </w:rPr>
              <w:t>–</w:t>
            </w:r>
          </w:p>
        </w:tc>
      </w:tr>
      <w:tr w:rsidR="00316F51" w:rsidRPr="00354645" w14:paraId="2910FD06" w14:textId="77777777" w:rsidTr="00186C2F">
        <w:tc>
          <w:tcPr>
            <w:tcW w:w="258" w:type="pct"/>
          </w:tcPr>
          <w:p w14:paraId="2A656FC3" w14:textId="77777777" w:rsidR="009318D5" w:rsidRPr="00354645" w:rsidRDefault="006A4A26" w:rsidP="00841787">
            <w:pPr>
              <w:pStyle w:val="toc0"/>
              <w:snapToGrid w:val="0"/>
              <w:spacing w:after="120"/>
              <w:rPr>
                <w:rFonts w:asciiTheme="minorHAnsi" w:hAnsiTheme="minorHAnsi" w:cstheme="minorHAnsi"/>
                <w:b w:val="0"/>
                <w:bCs/>
                <w:szCs w:val="24"/>
                <w:lang w:val="fr-FR"/>
              </w:rPr>
            </w:pPr>
            <w:r w:rsidRPr="00354645">
              <w:rPr>
                <w:rFonts w:asciiTheme="minorHAnsi" w:hAnsiTheme="minorHAnsi" w:cstheme="minorHAnsi"/>
                <w:b w:val="0"/>
                <w:bCs/>
                <w:szCs w:val="24"/>
                <w:lang w:val="fr-FR"/>
              </w:rPr>
              <w:t>2</w:t>
            </w:r>
          </w:p>
        </w:tc>
        <w:tc>
          <w:tcPr>
            <w:tcW w:w="3368" w:type="pct"/>
          </w:tcPr>
          <w:p w14:paraId="107D4AEF" w14:textId="77777777" w:rsidR="009318D5" w:rsidRPr="00354645" w:rsidRDefault="005420EF" w:rsidP="00841787">
            <w:pPr>
              <w:snapToGrid w:val="0"/>
              <w:spacing w:after="120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354645">
              <w:rPr>
                <w:rFonts w:asciiTheme="minorHAnsi" w:hAnsiTheme="minorHAnsi" w:cstheme="minorHAnsi"/>
                <w:lang w:val="fr-FR"/>
              </w:rPr>
              <w:t>Rapport du Secrétaire général sur l'avancement du projet de locaux du siège de l'Union</w:t>
            </w:r>
          </w:p>
        </w:tc>
        <w:tc>
          <w:tcPr>
            <w:tcW w:w="1374" w:type="pct"/>
          </w:tcPr>
          <w:p w14:paraId="31B0640E" w14:textId="77777777" w:rsidR="002D06CA" w:rsidRPr="00354645" w:rsidRDefault="00354645" w:rsidP="00841787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lang w:val="fr-FR"/>
              </w:rPr>
            </w:pPr>
            <w:hyperlink r:id="rId9" w:history="1">
              <w:r w:rsidR="006A4A26" w:rsidRPr="00354645">
                <w:rPr>
                  <w:rStyle w:val="Hyperlink"/>
                  <w:rFonts w:asciiTheme="minorHAnsi" w:hAnsiTheme="minorHAnsi" w:cstheme="minorHAnsi"/>
                  <w:lang w:val="fr-FR"/>
                </w:rPr>
                <w:t>C19-ADD/2(R</w:t>
              </w:r>
              <w:r w:rsidR="00F47A02" w:rsidRPr="00354645">
                <w:rPr>
                  <w:rStyle w:val="Hyperlink"/>
                  <w:rFonts w:asciiTheme="minorHAnsi" w:hAnsiTheme="minorHAnsi" w:cstheme="minorHAnsi"/>
                  <w:lang w:val="fr-FR"/>
                </w:rPr>
                <w:t>é</w:t>
              </w:r>
              <w:r w:rsidR="006A4A26" w:rsidRPr="00354645">
                <w:rPr>
                  <w:rStyle w:val="Hyperlink"/>
                  <w:rFonts w:asciiTheme="minorHAnsi" w:hAnsiTheme="minorHAnsi" w:cstheme="minorHAnsi"/>
                  <w:lang w:val="fr-FR"/>
                </w:rPr>
                <w:t>v.1)</w:t>
              </w:r>
            </w:hyperlink>
          </w:p>
          <w:p w14:paraId="56FB2D86" w14:textId="77777777" w:rsidR="002D06CA" w:rsidRPr="00354645" w:rsidRDefault="00354645" w:rsidP="00841787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lang w:val="fr-FR"/>
              </w:rPr>
            </w:pPr>
            <w:hyperlink r:id="rId10" w:history="1">
              <w:r w:rsidR="006A4A26" w:rsidRPr="00354645">
                <w:rPr>
                  <w:rStyle w:val="Hyperlink"/>
                  <w:rFonts w:asciiTheme="minorHAnsi" w:hAnsiTheme="minorHAnsi" w:cstheme="minorHAnsi"/>
                  <w:lang w:val="fr-FR"/>
                </w:rPr>
                <w:t>C19-ADD/3</w:t>
              </w:r>
            </w:hyperlink>
          </w:p>
          <w:p w14:paraId="7D0E4F9C" w14:textId="77777777" w:rsidR="009318D5" w:rsidRPr="00354645" w:rsidRDefault="00354645" w:rsidP="00841787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hyperlink r:id="rId11" w:history="1">
              <w:r w:rsidR="002D06CA" w:rsidRPr="00354645">
                <w:rPr>
                  <w:rStyle w:val="Hyperlink"/>
                  <w:rFonts w:asciiTheme="minorHAnsi" w:hAnsiTheme="minorHAnsi" w:cstheme="minorHAnsi"/>
                  <w:lang w:val="fr-FR"/>
                </w:rPr>
                <w:t>C19-ADD/4</w:t>
              </w:r>
            </w:hyperlink>
          </w:p>
        </w:tc>
      </w:tr>
      <w:tr w:rsidR="00316F51" w:rsidRPr="00354645" w14:paraId="133CB171" w14:textId="77777777" w:rsidTr="00186C2F">
        <w:tc>
          <w:tcPr>
            <w:tcW w:w="258" w:type="pct"/>
          </w:tcPr>
          <w:p w14:paraId="0BC791A5" w14:textId="77777777" w:rsidR="009318D5" w:rsidRPr="00354645" w:rsidRDefault="006A4A26" w:rsidP="00841787">
            <w:pPr>
              <w:pStyle w:val="toc0"/>
              <w:snapToGrid w:val="0"/>
              <w:spacing w:after="120"/>
              <w:rPr>
                <w:rFonts w:asciiTheme="minorHAnsi" w:hAnsiTheme="minorHAnsi" w:cstheme="minorHAnsi"/>
                <w:b w:val="0"/>
                <w:bCs/>
                <w:szCs w:val="24"/>
                <w:lang w:val="fr-FR"/>
              </w:rPr>
            </w:pPr>
            <w:r w:rsidRPr="00354645">
              <w:rPr>
                <w:rFonts w:asciiTheme="minorHAnsi" w:hAnsiTheme="minorHAnsi" w:cstheme="minorHAnsi"/>
                <w:b w:val="0"/>
                <w:bCs/>
                <w:szCs w:val="24"/>
                <w:lang w:val="fr-FR"/>
              </w:rPr>
              <w:t>3</w:t>
            </w:r>
          </w:p>
        </w:tc>
        <w:tc>
          <w:tcPr>
            <w:tcW w:w="3368" w:type="pct"/>
          </w:tcPr>
          <w:p w14:paraId="022B1ED8" w14:textId="77777777" w:rsidR="009318D5" w:rsidRPr="00354645" w:rsidRDefault="00A24A34" w:rsidP="00841787">
            <w:pPr>
              <w:snapToGrid w:val="0"/>
              <w:spacing w:after="120"/>
              <w:rPr>
                <w:rFonts w:asciiTheme="minorHAnsi" w:hAnsiTheme="minorHAnsi" w:cstheme="minorHAnsi"/>
                <w:lang w:val="fr-FR"/>
              </w:rPr>
            </w:pPr>
            <w:r w:rsidRPr="00354645">
              <w:rPr>
                <w:rFonts w:asciiTheme="minorHAnsi" w:hAnsiTheme="minorHAnsi" w:cstheme="minorHAnsi"/>
                <w:lang w:val="fr-FR"/>
              </w:rPr>
              <w:t>Déclaration du Conseiller des Bahamas</w:t>
            </w:r>
          </w:p>
        </w:tc>
        <w:tc>
          <w:tcPr>
            <w:tcW w:w="1374" w:type="pct"/>
          </w:tcPr>
          <w:p w14:paraId="4B4AE4EA" w14:textId="77777777" w:rsidR="009318D5" w:rsidRPr="00354645" w:rsidRDefault="006A4A26" w:rsidP="00841787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54645">
              <w:rPr>
                <w:rFonts w:asciiTheme="minorHAnsi" w:hAnsiTheme="minorHAnsi" w:cstheme="minorHAnsi"/>
                <w:lang w:val="fr-FR"/>
              </w:rPr>
              <w:t>–</w:t>
            </w:r>
          </w:p>
        </w:tc>
      </w:tr>
      <w:tr w:rsidR="00316F51" w:rsidRPr="00354645" w14:paraId="3763040F" w14:textId="77777777" w:rsidTr="00186C2F">
        <w:tc>
          <w:tcPr>
            <w:tcW w:w="258" w:type="pct"/>
          </w:tcPr>
          <w:p w14:paraId="1A6FEAA9" w14:textId="77777777" w:rsidR="009318D5" w:rsidRPr="00354645" w:rsidRDefault="006A4A26" w:rsidP="00841787">
            <w:pPr>
              <w:pStyle w:val="toc0"/>
              <w:snapToGrid w:val="0"/>
              <w:spacing w:after="120"/>
              <w:rPr>
                <w:rFonts w:asciiTheme="minorHAnsi" w:hAnsiTheme="minorHAnsi" w:cstheme="minorHAnsi"/>
                <w:b w:val="0"/>
                <w:bCs/>
                <w:szCs w:val="24"/>
                <w:lang w:val="fr-FR"/>
              </w:rPr>
            </w:pPr>
            <w:r w:rsidRPr="00354645">
              <w:rPr>
                <w:rFonts w:asciiTheme="minorHAnsi" w:hAnsiTheme="minorHAnsi" w:cstheme="minorHAnsi"/>
                <w:b w:val="0"/>
                <w:bCs/>
                <w:szCs w:val="24"/>
                <w:lang w:val="fr-FR"/>
              </w:rPr>
              <w:t>4</w:t>
            </w:r>
          </w:p>
        </w:tc>
        <w:tc>
          <w:tcPr>
            <w:tcW w:w="3368" w:type="pct"/>
          </w:tcPr>
          <w:p w14:paraId="528A081F" w14:textId="77777777" w:rsidR="009318D5" w:rsidRPr="00354645" w:rsidRDefault="00380C01" w:rsidP="00841787">
            <w:pPr>
              <w:snapToGrid w:val="0"/>
              <w:spacing w:after="120"/>
              <w:rPr>
                <w:rFonts w:asciiTheme="minorHAnsi" w:hAnsiTheme="minorHAnsi" w:cstheme="minorHAnsi"/>
                <w:lang w:val="fr-FR"/>
              </w:rPr>
            </w:pPr>
            <w:r w:rsidRPr="00354645">
              <w:rPr>
                <w:rFonts w:asciiTheme="minorHAnsi" w:hAnsiTheme="minorHAnsi" w:cstheme="minorHAnsi"/>
                <w:lang w:val="fr-FR"/>
              </w:rPr>
              <w:t>Questions relevant des Groupes de travail du Conseil</w:t>
            </w:r>
          </w:p>
        </w:tc>
        <w:tc>
          <w:tcPr>
            <w:tcW w:w="1374" w:type="pct"/>
          </w:tcPr>
          <w:p w14:paraId="146665FB" w14:textId="77777777" w:rsidR="009318D5" w:rsidRPr="00354645" w:rsidRDefault="006A4A26" w:rsidP="00841787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54645">
              <w:rPr>
                <w:rFonts w:asciiTheme="minorHAnsi" w:hAnsiTheme="minorHAnsi" w:cstheme="minorHAnsi"/>
                <w:lang w:val="fr-FR"/>
              </w:rPr>
              <w:t>–</w:t>
            </w:r>
          </w:p>
        </w:tc>
      </w:tr>
      <w:tr w:rsidR="00316F51" w:rsidRPr="00354645" w14:paraId="63917459" w14:textId="77777777" w:rsidTr="00186C2F">
        <w:tc>
          <w:tcPr>
            <w:tcW w:w="258" w:type="pct"/>
          </w:tcPr>
          <w:p w14:paraId="6C9F7DED" w14:textId="77777777" w:rsidR="00E53C05" w:rsidRPr="00354645" w:rsidRDefault="006A4A26" w:rsidP="00841787">
            <w:pPr>
              <w:pStyle w:val="toc0"/>
              <w:snapToGrid w:val="0"/>
              <w:spacing w:after="120"/>
              <w:rPr>
                <w:rFonts w:asciiTheme="minorHAnsi" w:hAnsiTheme="minorHAnsi" w:cstheme="minorHAnsi"/>
                <w:b w:val="0"/>
                <w:bCs/>
                <w:szCs w:val="24"/>
                <w:lang w:val="fr-FR"/>
              </w:rPr>
            </w:pPr>
            <w:r w:rsidRPr="00354645">
              <w:rPr>
                <w:rFonts w:asciiTheme="minorHAnsi" w:hAnsiTheme="minorHAnsi" w:cstheme="minorHAnsi"/>
                <w:b w:val="0"/>
                <w:bCs/>
                <w:szCs w:val="24"/>
                <w:lang w:val="fr-FR"/>
              </w:rPr>
              <w:t>5</w:t>
            </w:r>
          </w:p>
        </w:tc>
        <w:tc>
          <w:tcPr>
            <w:tcW w:w="3368" w:type="pct"/>
          </w:tcPr>
          <w:p w14:paraId="3DAEDC11" w14:textId="77777777" w:rsidR="00E53C05" w:rsidRPr="00354645" w:rsidRDefault="00523E3F" w:rsidP="00841787">
            <w:pPr>
              <w:snapToGrid w:val="0"/>
              <w:spacing w:after="120"/>
              <w:rPr>
                <w:rFonts w:asciiTheme="minorHAnsi" w:hAnsiTheme="minorHAnsi" w:cstheme="minorHAnsi"/>
                <w:lang w:val="fr-FR"/>
              </w:rPr>
            </w:pPr>
            <w:r w:rsidRPr="00354645">
              <w:rPr>
                <w:rFonts w:asciiTheme="minorHAnsi" w:hAnsiTheme="minorHAnsi" w:cstheme="minorHAnsi"/>
                <w:lang w:val="fr-FR"/>
              </w:rPr>
              <w:t>Clôture de la session additionnelle</w:t>
            </w:r>
          </w:p>
        </w:tc>
        <w:tc>
          <w:tcPr>
            <w:tcW w:w="1374" w:type="pct"/>
          </w:tcPr>
          <w:p w14:paraId="783D5276" w14:textId="77777777" w:rsidR="00E53C05" w:rsidRPr="00354645" w:rsidRDefault="006A4A26" w:rsidP="00841787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54645">
              <w:rPr>
                <w:rFonts w:asciiTheme="minorHAnsi" w:hAnsiTheme="minorHAnsi" w:cstheme="minorHAnsi"/>
                <w:lang w:val="fr-FR"/>
              </w:rPr>
              <w:t>–</w:t>
            </w:r>
          </w:p>
        </w:tc>
      </w:tr>
    </w:tbl>
    <w:p w14:paraId="5E29615B" w14:textId="77777777" w:rsidR="0064144F" w:rsidRPr="00354645" w:rsidRDefault="006A4A26" w:rsidP="008417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textAlignment w:val="auto"/>
        <w:rPr>
          <w:rFonts w:asciiTheme="minorHAnsi" w:hAnsiTheme="minorHAnsi" w:cstheme="minorHAnsi"/>
          <w:szCs w:val="24"/>
          <w:lang w:val="fr-FR"/>
        </w:rPr>
      </w:pPr>
      <w:r w:rsidRPr="00354645">
        <w:rPr>
          <w:rFonts w:asciiTheme="minorHAnsi" w:hAnsiTheme="minorHAnsi" w:cstheme="minorHAnsi"/>
          <w:szCs w:val="24"/>
          <w:lang w:val="fr-FR"/>
        </w:rPr>
        <w:br w:type="page"/>
      </w:r>
    </w:p>
    <w:p w14:paraId="7488D6E4" w14:textId="77777777" w:rsidR="0064144F" w:rsidRPr="00354645" w:rsidRDefault="006A4A26" w:rsidP="00CC631E">
      <w:pPr>
        <w:pStyle w:val="Heading1"/>
        <w:rPr>
          <w:lang w:val="fr-FR"/>
        </w:rPr>
      </w:pPr>
      <w:r w:rsidRPr="00354645">
        <w:rPr>
          <w:lang w:val="fr-FR"/>
        </w:rPr>
        <w:lastRenderedPageBreak/>
        <w:t>1</w:t>
      </w:r>
      <w:r w:rsidRPr="00354645">
        <w:rPr>
          <w:lang w:val="fr-FR"/>
        </w:rPr>
        <w:tab/>
      </w:r>
      <w:r w:rsidR="00633FDC" w:rsidRPr="00354645">
        <w:rPr>
          <w:lang w:val="fr-FR"/>
        </w:rPr>
        <w:t>Remarques liminaires</w:t>
      </w:r>
    </w:p>
    <w:p w14:paraId="40A8EC2D" w14:textId="6DEBEA77" w:rsidR="0064144F" w:rsidRPr="00354645" w:rsidRDefault="00E53C05" w:rsidP="009C35B2">
      <w:pPr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1.1</w:t>
      </w:r>
      <w:r w:rsidRPr="00354645">
        <w:rPr>
          <w:rFonts w:asciiTheme="minorHAnsi" w:hAnsiTheme="minorHAnsi" w:cstheme="minorHAnsi"/>
          <w:lang w:val="fr-FR"/>
        </w:rPr>
        <w:tab/>
      </w:r>
      <w:r w:rsidR="003B47B8" w:rsidRPr="00354645">
        <w:rPr>
          <w:rFonts w:asciiTheme="minorHAnsi" w:hAnsiTheme="minorHAnsi" w:cstheme="minorHAnsi"/>
          <w:lang w:val="fr-FR"/>
        </w:rPr>
        <w:t xml:space="preserve">Le Secrétaire général souhaite la bienvenue aux </w:t>
      </w:r>
      <w:r w:rsidR="001935BA" w:rsidRPr="00354645">
        <w:rPr>
          <w:rFonts w:asciiTheme="minorHAnsi" w:hAnsiTheme="minorHAnsi" w:cstheme="minorHAnsi"/>
          <w:lang w:val="fr-FR"/>
        </w:rPr>
        <w:t>c</w:t>
      </w:r>
      <w:r w:rsidR="003B47B8" w:rsidRPr="00354645">
        <w:rPr>
          <w:rFonts w:asciiTheme="minorHAnsi" w:hAnsiTheme="minorHAnsi" w:cstheme="minorHAnsi"/>
          <w:lang w:val="fr-FR"/>
        </w:rPr>
        <w:t>onseille</w:t>
      </w:r>
      <w:r w:rsidR="00F47A02" w:rsidRPr="00354645">
        <w:rPr>
          <w:rFonts w:asciiTheme="minorHAnsi" w:hAnsiTheme="minorHAnsi" w:cstheme="minorHAnsi"/>
          <w:lang w:val="fr-FR"/>
        </w:rPr>
        <w:t>r</w:t>
      </w:r>
      <w:r w:rsidR="003B47B8" w:rsidRPr="00354645">
        <w:rPr>
          <w:rFonts w:asciiTheme="minorHAnsi" w:hAnsiTheme="minorHAnsi" w:cstheme="minorHAnsi"/>
          <w:lang w:val="fr-FR"/>
        </w:rPr>
        <w:t>s à la session additionnelle du Conseil et les informe que le Président, M. E.</w:t>
      </w:r>
      <w:r w:rsidR="001935BA" w:rsidRPr="00354645">
        <w:rPr>
          <w:rFonts w:asciiTheme="minorHAnsi" w:hAnsiTheme="minorHAnsi" w:cstheme="minorHAnsi"/>
          <w:lang w:val="fr-FR"/>
        </w:rPr>
        <w:t xml:space="preserve"> </w:t>
      </w:r>
      <w:r w:rsidR="003B47B8" w:rsidRPr="00354645">
        <w:rPr>
          <w:rFonts w:asciiTheme="minorHAnsi" w:hAnsiTheme="minorHAnsi" w:cstheme="minorHAnsi"/>
          <w:lang w:val="fr-FR"/>
        </w:rPr>
        <w:t xml:space="preserve">E. Azzouz (Égypte) </w:t>
      </w:r>
      <w:r w:rsidR="00FD6351" w:rsidRPr="00354645">
        <w:rPr>
          <w:rFonts w:asciiTheme="minorHAnsi" w:hAnsiTheme="minorHAnsi" w:cstheme="minorHAnsi"/>
          <w:lang w:val="fr-FR"/>
        </w:rPr>
        <w:t>n'est pas en mesure</w:t>
      </w:r>
      <w:r w:rsidR="003B47B8" w:rsidRPr="00354645">
        <w:rPr>
          <w:rFonts w:asciiTheme="minorHAnsi" w:hAnsiTheme="minorHAnsi" w:cstheme="minorHAnsi"/>
          <w:lang w:val="fr-FR"/>
        </w:rPr>
        <w:t xml:space="preserve">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3B47B8" w:rsidRPr="00354645">
        <w:rPr>
          <w:rFonts w:asciiTheme="minorHAnsi" w:hAnsiTheme="minorHAnsi" w:cstheme="minorHAnsi"/>
          <w:lang w:val="fr-FR"/>
        </w:rPr>
        <w:t xml:space="preserve">y </w:t>
      </w:r>
      <w:r w:rsidR="00FD6351" w:rsidRPr="00354645">
        <w:rPr>
          <w:rFonts w:asciiTheme="minorHAnsi" w:hAnsiTheme="minorHAnsi" w:cstheme="minorHAnsi"/>
          <w:lang w:val="fr-FR"/>
        </w:rPr>
        <w:t>assister</w:t>
      </w:r>
      <w:r w:rsidR="003B47B8" w:rsidRPr="00354645">
        <w:rPr>
          <w:rFonts w:asciiTheme="minorHAnsi" w:hAnsiTheme="minorHAnsi" w:cstheme="minorHAnsi"/>
          <w:lang w:val="fr-FR"/>
        </w:rPr>
        <w:t xml:space="preserve"> en raison de sa participation aux travaux préparatoires en vue de la CMR-19.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AB50C8" w:rsidRPr="00354645">
        <w:rPr>
          <w:rFonts w:asciiTheme="minorHAnsi" w:hAnsiTheme="minorHAnsi" w:cstheme="minorHAnsi"/>
          <w:lang w:val="fr-FR"/>
        </w:rPr>
        <w:t>Il est remplacé par M.</w:t>
      </w:r>
      <w:r w:rsidR="001935BA" w:rsidRPr="00354645">
        <w:rPr>
          <w:rFonts w:asciiTheme="minorHAnsi" w:hAnsiTheme="minorHAnsi" w:cstheme="minorHAnsi"/>
          <w:lang w:val="fr-FR"/>
        </w:rPr>
        <w:t> </w:t>
      </w:r>
      <w:r w:rsidR="00AB50C8" w:rsidRPr="00354645">
        <w:rPr>
          <w:rFonts w:asciiTheme="minorHAnsi" w:hAnsiTheme="minorHAnsi" w:cstheme="minorHAnsi"/>
          <w:lang w:val="fr-FR"/>
        </w:rPr>
        <w:t>F.</w:t>
      </w:r>
      <w:r w:rsidR="001935BA" w:rsidRPr="00354645">
        <w:rPr>
          <w:rFonts w:asciiTheme="minorHAnsi" w:hAnsiTheme="minorHAnsi" w:cstheme="minorHAnsi"/>
          <w:lang w:val="fr-FR"/>
        </w:rPr>
        <w:t> </w:t>
      </w:r>
      <w:r w:rsidR="00AB50C8" w:rsidRPr="00354645">
        <w:rPr>
          <w:rFonts w:asciiTheme="minorHAnsi" w:hAnsiTheme="minorHAnsi" w:cstheme="minorHAnsi"/>
          <w:lang w:val="fr-FR"/>
        </w:rPr>
        <w:t xml:space="preserve">Bigi (Italie), en qualité de </w:t>
      </w:r>
      <w:r w:rsidR="004509D1" w:rsidRPr="00354645">
        <w:rPr>
          <w:rFonts w:asciiTheme="minorHAnsi" w:hAnsiTheme="minorHAnsi" w:cstheme="minorHAnsi"/>
          <w:lang w:val="fr-FR"/>
        </w:rPr>
        <w:t xml:space="preserve">Président </w:t>
      </w:r>
      <w:r w:rsidR="00AB50C8" w:rsidRPr="00354645">
        <w:rPr>
          <w:rFonts w:asciiTheme="minorHAnsi" w:hAnsiTheme="minorHAnsi" w:cstheme="minorHAnsi"/>
          <w:lang w:val="fr-FR"/>
        </w:rPr>
        <w:t>faisant fonction</w:t>
      </w:r>
      <w:r w:rsidR="00FD6351" w:rsidRPr="00354645">
        <w:rPr>
          <w:rFonts w:asciiTheme="minorHAnsi" w:hAnsiTheme="minorHAnsi" w:cstheme="minorHAnsi"/>
          <w:lang w:val="fr-FR"/>
        </w:rPr>
        <w:t>,</w:t>
      </w:r>
      <w:r w:rsidR="00AB50C8" w:rsidRPr="00354645">
        <w:rPr>
          <w:rFonts w:asciiTheme="minorHAnsi" w:hAnsiTheme="minorHAnsi" w:cstheme="minorHAnsi"/>
          <w:lang w:val="fr-FR"/>
        </w:rPr>
        <w:t xml:space="preserve"> M. Bigi </w:t>
      </w:r>
      <w:r w:rsidR="00FD6351" w:rsidRPr="00354645">
        <w:rPr>
          <w:rFonts w:asciiTheme="minorHAnsi" w:hAnsiTheme="minorHAnsi" w:cstheme="minorHAnsi"/>
          <w:lang w:val="fr-FR"/>
        </w:rPr>
        <w:t>ayant exercé cette fonction</w:t>
      </w:r>
      <w:r w:rsidR="00AB50C8" w:rsidRPr="00354645">
        <w:rPr>
          <w:rFonts w:asciiTheme="minorHAnsi" w:hAnsiTheme="minorHAnsi" w:cstheme="minorHAnsi"/>
          <w:lang w:val="fr-FR"/>
        </w:rPr>
        <w:t xml:space="preserve"> pendant la session ordinaire de 2019 du Conseil.</w:t>
      </w:r>
    </w:p>
    <w:p w14:paraId="2B796439" w14:textId="0207B946" w:rsidR="005D1994" w:rsidRPr="00354645" w:rsidRDefault="00B3282D" w:rsidP="009C35B2">
      <w:pPr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1.2</w:t>
      </w:r>
      <w:r w:rsidRPr="00354645">
        <w:rPr>
          <w:rFonts w:asciiTheme="minorHAnsi" w:hAnsiTheme="minorHAnsi" w:cstheme="minorHAnsi"/>
          <w:lang w:val="fr-FR"/>
        </w:rPr>
        <w:tab/>
      </w:r>
      <w:r w:rsidR="003D7828" w:rsidRPr="00354645">
        <w:rPr>
          <w:rFonts w:asciiTheme="minorHAnsi" w:hAnsiTheme="minorHAnsi" w:cstheme="minorHAnsi"/>
          <w:lang w:val="fr-FR"/>
        </w:rPr>
        <w:t>Après avoir passé brièvement en revue les travaux menés à bien au cours de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3D7828" w:rsidRPr="00354645">
        <w:rPr>
          <w:rFonts w:asciiTheme="minorHAnsi" w:hAnsiTheme="minorHAnsi" w:cstheme="minorHAnsi"/>
          <w:lang w:val="fr-FR"/>
        </w:rPr>
        <w:t>année précédente en ce qui concerne le projet de locaux du siège, le Secrétaire général déclare qu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3D7828" w:rsidRPr="00354645">
        <w:rPr>
          <w:rFonts w:asciiTheme="minorHAnsi" w:hAnsiTheme="minorHAnsi" w:cstheme="minorHAnsi"/>
          <w:lang w:val="fr-FR"/>
        </w:rPr>
        <w:t>il est temps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3D7828" w:rsidRPr="00354645">
        <w:rPr>
          <w:rFonts w:asciiTheme="minorHAnsi" w:hAnsiTheme="minorHAnsi" w:cstheme="minorHAnsi"/>
          <w:lang w:val="fr-FR"/>
        </w:rPr>
        <w:t>aller de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3D7828" w:rsidRPr="00354645">
        <w:rPr>
          <w:rFonts w:asciiTheme="minorHAnsi" w:hAnsiTheme="minorHAnsi" w:cstheme="minorHAnsi"/>
          <w:lang w:val="fr-FR"/>
        </w:rPr>
        <w:t>avant</w:t>
      </w:r>
      <w:r w:rsidR="001935BA" w:rsidRPr="00354645">
        <w:rPr>
          <w:rFonts w:asciiTheme="minorHAnsi" w:hAnsiTheme="minorHAnsi" w:cstheme="minorHAnsi"/>
          <w:lang w:val="fr-FR"/>
        </w:rPr>
        <w:t>,</w:t>
      </w:r>
      <w:r w:rsidR="003D7828" w:rsidRPr="00354645">
        <w:rPr>
          <w:rFonts w:asciiTheme="minorHAnsi" w:hAnsiTheme="minorHAnsi" w:cstheme="minorHAnsi"/>
          <w:lang w:val="fr-FR"/>
        </w:rPr>
        <w:t xml:space="preserve"> avec un projet et une enveloppe de coût définitifs.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900F96" w:rsidRPr="00354645">
        <w:rPr>
          <w:rFonts w:asciiTheme="minorHAnsi" w:hAnsiTheme="minorHAnsi" w:cstheme="minorHAnsi"/>
          <w:spacing w:val="2"/>
          <w:lang w:val="fr-FR"/>
        </w:rPr>
        <w:t>À l</w:t>
      </w:r>
      <w:r w:rsidR="000A02F4" w:rsidRPr="00354645">
        <w:rPr>
          <w:rFonts w:asciiTheme="minorHAnsi" w:hAnsiTheme="minorHAnsi" w:cstheme="minorHAnsi"/>
          <w:spacing w:val="2"/>
          <w:lang w:val="fr-FR"/>
        </w:rPr>
        <w:t>'</w:t>
      </w:r>
      <w:r w:rsidR="00900F96" w:rsidRPr="00354645">
        <w:rPr>
          <w:rFonts w:asciiTheme="minorHAnsi" w:hAnsiTheme="minorHAnsi" w:cstheme="minorHAnsi"/>
          <w:spacing w:val="2"/>
          <w:lang w:val="fr-FR"/>
        </w:rPr>
        <w:t>issue de la session ordinaire de 2019 du Conseil, le Secrétaire général a donné à l</w:t>
      </w:r>
      <w:r w:rsidR="000A02F4" w:rsidRPr="00354645">
        <w:rPr>
          <w:rFonts w:asciiTheme="minorHAnsi" w:hAnsiTheme="minorHAnsi" w:cstheme="minorHAnsi"/>
          <w:spacing w:val="2"/>
          <w:lang w:val="fr-FR"/>
        </w:rPr>
        <w:t>'</w:t>
      </w:r>
      <w:r w:rsidR="00900F96" w:rsidRPr="00354645">
        <w:rPr>
          <w:rFonts w:asciiTheme="minorHAnsi" w:hAnsiTheme="minorHAnsi" w:cstheme="minorHAnsi"/>
          <w:spacing w:val="2"/>
          <w:lang w:val="fr-FR"/>
        </w:rPr>
        <w:t xml:space="preserve">équipe de projet des instructions </w:t>
      </w:r>
      <w:r w:rsidR="00900F96" w:rsidRPr="00354645">
        <w:rPr>
          <w:rFonts w:asciiTheme="minorHAnsi" w:hAnsiTheme="minorHAnsi" w:cstheme="minorHAnsi"/>
          <w:spacing w:val="-3"/>
          <w:lang w:val="fr-FR"/>
        </w:rPr>
        <w:t>claires consistant à modifier le parti architectural pour qu</w:t>
      </w:r>
      <w:r w:rsidR="000A02F4" w:rsidRPr="00354645">
        <w:rPr>
          <w:rFonts w:asciiTheme="minorHAnsi" w:hAnsiTheme="minorHAnsi" w:cstheme="minorHAnsi"/>
          <w:spacing w:val="-3"/>
          <w:lang w:val="fr-FR"/>
        </w:rPr>
        <w:t>'</w:t>
      </w:r>
      <w:r w:rsidR="00900F96" w:rsidRPr="00354645">
        <w:rPr>
          <w:rFonts w:asciiTheme="minorHAnsi" w:hAnsiTheme="minorHAnsi" w:cstheme="minorHAnsi"/>
          <w:spacing w:val="-3"/>
          <w:lang w:val="fr-FR"/>
        </w:rPr>
        <w:t>il soit en adéquation avec le financement</w:t>
      </w:r>
      <w:r w:rsidR="00900F96" w:rsidRPr="00354645">
        <w:rPr>
          <w:rFonts w:asciiTheme="minorHAnsi" w:hAnsiTheme="minorHAnsi" w:cstheme="minorHAnsi"/>
          <w:spacing w:val="2"/>
          <w:lang w:val="fr-FR"/>
        </w:rPr>
        <w:t xml:space="preserve"> actuellement disponible, </w:t>
      </w:r>
      <w:r w:rsidR="001935BA" w:rsidRPr="00354645">
        <w:rPr>
          <w:rFonts w:asciiTheme="minorHAnsi" w:hAnsiTheme="minorHAnsi" w:cstheme="minorHAnsi"/>
          <w:spacing w:val="2"/>
          <w:lang w:val="fr-FR"/>
        </w:rPr>
        <w:t>d'</w:t>
      </w:r>
      <w:r w:rsidR="00900F96" w:rsidRPr="00354645">
        <w:rPr>
          <w:rFonts w:asciiTheme="minorHAnsi" w:hAnsiTheme="minorHAnsi" w:cstheme="minorHAnsi"/>
          <w:spacing w:val="2"/>
          <w:lang w:val="fr-FR"/>
        </w:rPr>
        <w:t>un montant de 170,14</w:t>
      </w:r>
      <w:r w:rsidR="00FD6351" w:rsidRPr="00354645">
        <w:rPr>
          <w:rFonts w:asciiTheme="minorHAnsi" w:hAnsiTheme="minorHAnsi" w:cstheme="minorHAnsi"/>
          <w:spacing w:val="2"/>
          <w:lang w:val="fr-FR"/>
        </w:rPr>
        <w:t xml:space="preserve"> millions</w:t>
      </w:r>
      <w:r w:rsidR="00900F96" w:rsidRPr="00354645">
        <w:rPr>
          <w:rFonts w:asciiTheme="minorHAnsi" w:hAnsiTheme="minorHAnsi" w:cstheme="minorHAnsi"/>
          <w:spacing w:val="2"/>
          <w:lang w:val="fr-FR"/>
        </w:rPr>
        <w:t xml:space="preserve"> CHF (dont 150 millions CHF prêtés par l</w:t>
      </w:r>
      <w:r w:rsidR="00FD6351" w:rsidRPr="00354645">
        <w:rPr>
          <w:rFonts w:asciiTheme="minorHAnsi" w:hAnsiTheme="minorHAnsi" w:cstheme="minorHAnsi"/>
          <w:spacing w:val="2"/>
          <w:lang w:val="fr-FR"/>
        </w:rPr>
        <w:t xml:space="preserve">e </w:t>
      </w:r>
      <w:r w:rsidR="001935BA" w:rsidRPr="00354645">
        <w:rPr>
          <w:rFonts w:asciiTheme="minorHAnsi" w:hAnsiTheme="minorHAnsi" w:cstheme="minorHAnsi"/>
          <w:spacing w:val="2"/>
          <w:lang w:val="fr-FR"/>
        </w:rPr>
        <w:t>G</w:t>
      </w:r>
      <w:r w:rsidR="00FD6351" w:rsidRPr="00354645">
        <w:rPr>
          <w:rFonts w:asciiTheme="minorHAnsi" w:hAnsiTheme="minorHAnsi" w:cstheme="minorHAnsi"/>
          <w:spacing w:val="2"/>
          <w:lang w:val="fr-FR"/>
        </w:rPr>
        <w:t xml:space="preserve">ouvernement </w:t>
      </w:r>
      <w:r w:rsidR="00900F96" w:rsidRPr="00354645">
        <w:rPr>
          <w:rFonts w:asciiTheme="minorHAnsi" w:hAnsiTheme="minorHAnsi" w:cstheme="minorHAnsi"/>
          <w:spacing w:val="2"/>
          <w:lang w:val="fr-FR"/>
        </w:rPr>
        <w:t xml:space="preserve">suisse, plus de 15 millions CHF </w:t>
      </w:r>
      <w:r w:rsidR="001935BA" w:rsidRPr="00354645">
        <w:rPr>
          <w:rFonts w:asciiTheme="minorHAnsi" w:hAnsiTheme="minorHAnsi" w:cstheme="minorHAnsi"/>
          <w:spacing w:val="2"/>
          <w:lang w:val="fr-FR"/>
        </w:rPr>
        <w:t xml:space="preserve">correspondant à </w:t>
      </w:r>
      <w:r w:rsidR="00900F96" w:rsidRPr="00354645">
        <w:rPr>
          <w:rFonts w:asciiTheme="minorHAnsi" w:hAnsiTheme="minorHAnsi" w:cstheme="minorHAnsi"/>
          <w:spacing w:val="2"/>
          <w:lang w:val="fr-FR"/>
        </w:rPr>
        <w:t>de</w:t>
      </w:r>
      <w:r w:rsidR="001935BA" w:rsidRPr="00354645">
        <w:rPr>
          <w:rFonts w:asciiTheme="minorHAnsi" w:hAnsiTheme="minorHAnsi" w:cstheme="minorHAnsi"/>
          <w:spacing w:val="2"/>
          <w:lang w:val="fr-FR"/>
        </w:rPr>
        <w:t>s</w:t>
      </w:r>
      <w:r w:rsidR="00900F96" w:rsidRPr="00354645">
        <w:rPr>
          <w:rFonts w:asciiTheme="minorHAnsi" w:hAnsiTheme="minorHAnsi" w:cstheme="minorHAnsi"/>
          <w:spacing w:val="2"/>
          <w:lang w:val="fr-FR"/>
        </w:rPr>
        <w:t xml:space="preserve"> parrainages et </w:t>
      </w:r>
      <w:r w:rsidR="001935BA" w:rsidRPr="00354645">
        <w:rPr>
          <w:rFonts w:asciiTheme="minorHAnsi" w:hAnsiTheme="minorHAnsi" w:cstheme="minorHAnsi"/>
          <w:spacing w:val="2"/>
          <w:lang w:val="fr-FR"/>
        </w:rPr>
        <w:t xml:space="preserve">à </w:t>
      </w:r>
      <w:r w:rsidR="00900F96" w:rsidRPr="00354645">
        <w:rPr>
          <w:rFonts w:asciiTheme="minorHAnsi" w:hAnsiTheme="minorHAnsi" w:cstheme="minorHAnsi"/>
          <w:spacing w:val="2"/>
          <w:lang w:val="fr-FR"/>
        </w:rPr>
        <w:t>de</w:t>
      </w:r>
      <w:r w:rsidR="001935BA" w:rsidRPr="00354645">
        <w:rPr>
          <w:rFonts w:asciiTheme="minorHAnsi" w:hAnsiTheme="minorHAnsi" w:cstheme="minorHAnsi"/>
          <w:spacing w:val="2"/>
          <w:lang w:val="fr-FR"/>
        </w:rPr>
        <w:t>s</w:t>
      </w:r>
      <w:r w:rsidR="00900F96" w:rsidRPr="00354645">
        <w:rPr>
          <w:rFonts w:asciiTheme="minorHAnsi" w:hAnsiTheme="minorHAnsi" w:cstheme="minorHAnsi"/>
          <w:spacing w:val="2"/>
          <w:lang w:val="fr-FR"/>
        </w:rPr>
        <w:t xml:space="preserve"> dons et 5 millions CHF </w:t>
      </w:r>
      <w:r w:rsidR="001935BA" w:rsidRPr="00354645">
        <w:rPr>
          <w:rFonts w:asciiTheme="minorHAnsi" w:hAnsiTheme="minorHAnsi" w:cstheme="minorHAnsi"/>
          <w:spacing w:val="2"/>
          <w:lang w:val="fr-FR"/>
        </w:rPr>
        <w:t xml:space="preserve">issus de </w:t>
      </w:r>
      <w:r w:rsidR="00900F96" w:rsidRPr="00354645">
        <w:rPr>
          <w:rFonts w:asciiTheme="minorHAnsi" w:hAnsiTheme="minorHAnsi" w:cstheme="minorHAnsi"/>
          <w:spacing w:val="2"/>
          <w:lang w:val="fr-FR"/>
        </w:rPr>
        <w:t>l</w:t>
      </w:r>
      <w:r w:rsidR="000A02F4" w:rsidRPr="00354645">
        <w:rPr>
          <w:rFonts w:asciiTheme="minorHAnsi" w:hAnsiTheme="minorHAnsi" w:cstheme="minorHAnsi"/>
          <w:spacing w:val="2"/>
          <w:lang w:val="fr-FR"/>
        </w:rPr>
        <w:t>'</w:t>
      </w:r>
      <w:r w:rsidR="00900F96" w:rsidRPr="00354645">
        <w:rPr>
          <w:rFonts w:asciiTheme="minorHAnsi" w:hAnsiTheme="minorHAnsi" w:cstheme="minorHAnsi"/>
          <w:spacing w:val="2"/>
          <w:lang w:val="fr-FR"/>
        </w:rPr>
        <w:t>excédent budgétaire pour 2018), et à consulter le Groupe consultatif d</w:t>
      </w:r>
      <w:r w:rsidR="000A02F4" w:rsidRPr="00354645">
        <w:rPr>
          <w:rFonts w:asciiTheme="minorHAnsi" w:hAnsiTheme="minorHAnsi" w:cstheme="minorHAnsi"/>
          <w:spacing w:val="2"/>
          <w:lang w:val="fr-FR"/>
        </w:rPr>
        <w:t>'</w:t>
      </w:r>
      <w:r w:rsidR="00900F96" w:rsidRPr="00354645">
        <w:rPr>
          <w:rFonts w:asciiTheme="minorHAnsi" w:hAnsiTheme="minorHAnsi" w:cstheme="minorHAnsi"/>
          <w:spacing w:val="2"/>
          <w:lang w:val="fr-FR"/>
        </w:rPr>
        <w:t>États Membres (Groupe MSAG) et le Conseil du personnel de l</w:t>
      </w:r>
      <w:r w:rsidR="000A02F4" w:rsidRPr="00354645">
        <w:rPr>
          <w:rFonts w:asciiTheme="minorHAnsi" w:hAnsiTheme="minorHAnsi" w:cstheme="minorHAnsi"/>
          <w:spacing w:val="2"/>
          <w:lang w:val="fr-FR"/>
        </w:rPr>
        <w:t>'</w:t>
      </w:r>
      <w:r w:rsidR="00900F96" w:rsidRPr="00354645">
        <w:rPr>
          <w:rFonts w:asciiTheme="minorHAnsi" w:hAnsiTheme="minorHAnsi" w:cstheme="minorHAnsi"/>
          <w:spacing w:val="2"/>
          <w:lang w:val="fr-FR"/>
        </w:rPr>
        <w:t xml:space="preserve">UIT </w:t>
      </w:r>
      <w:r w:rsidR="00FD6351" w:rsidRPr="00354645">
        <w:rPr>
          <w:rFonts w:asciiTheme="minorHAnsi" w:hAnsiTheme="minorHAnsi" w:cstheme="minorHAnsi"/>
          <w:spacing w:val="2"/>
          <w:lang w:val="fr-FR"/>
        </w:rPr>
        <w:t>tout au long</w:t>
      </w:r>
      <w:r w:rsidR="00900F96" w:rsidRPr="00354645">
        <w:rPr>
          <w:rFonts w:asciiTheme="minorHAnsi" w:hAnsiTheme="minorHAnsi" w:cstheme="minorHAnsi"/>
          <w:spacing w:val="2"/>
          <w:lang w:val="fr-FR"/>
        </w:rPr>
        <w:t xml:space="preserve"> du processus.</w:t>
      </w:r>
      <w:r w:rsidR="00BA1255" w:rsidRPr="00354645">
        <w:rPr>
          <w:rFonts w:asciiTheme="minorHAnsi" w:hAnsiTheme="minorHAnsi" w:cstheme="minorHAnsi"/>
          <w:lang w:val="fr-FR"/>
        </w:rPr>
        <w:t xml:space="preserve"> </w:t>
      </w:r>
      <w:r w:rsidR="00481FF9" w:rsidRPr="00354645">
        <w:rPr>
          <w:rFonts w:asciiTheme="minorHAnsi" w:hAnsiTheme="minorHAnsi" w:cstheme="minorHAnsi"/>
          <w:lang w:val="fr-FR"/>
        </w:rPr>
        <w:t>La proposition définitive sera soumise aux autorités du pays hôte en décembre 2019.</w:t>
      </w:r>
      <w:r w:rsidR="00BA1255" w:rsidRPr="00354645">
        <w:rPr>
          <w:rFonts w:asciiTheme="minorHAnsi" w:hAnsiTheme="minorHAnsi" w:cstheme="minorHAnsi"/>
          <w:lang w:val="fr-FR"/>
        </w:rPr>
        <w:t xml:space="preserve"> </w:t>
      </w:r>
      <w:r w:rsidR="001E59F0" w:rsidRPr="00354645">
        <w:rPr>
          <w:rFonts w:asciiTheme="minorHAnsi" w:hAnsiTheme="minorHAnsi" w:cstheme="minorHAnsi"/>
          <w:lang w:val="fr-FR"/>
        </w:rPr>
        <w:t>Les éventuels parrainages ou dons futurs seront sans conséquence</w:t>
      </w:r>
      <w:r w:rsidR="00FD6351" w:rsidRPr="00354645">
        <w:rPr>
          <w:rFonts w:asciiTheme="minorHAnsi" w:hAnsiTheme="minorHAnsi" w:cstheme="minorHAnsi"/>
          <w:lang w:val="fr-FR"/>
        </w:rPr>
        <w:t>s</w:t>
      </w:r>
      <w:r w:rsidR="001E59F0" w:rsidRPr="00354645">
        <w:rPr>
          <w:rFonts w:asciiTheme="minorHAnsi" w:hAnsiTheme="minorHAnsi" w:cstheme="minorHAnsi"/>
          <w:lang w:val="fr-FR"/>
        </w:rPr>
        <w:t xml:space="preserve"> pour cette proposition.</w:t>
      </w:r>
    </w:p>
    <w:p w14:paraId="6B06AB6E" w14:textId="682C2F3B" w:rsidR="00BA1255" w:rsidRPr="00354645" w:rsidRDefault="00BD2421" w:rsidP="009C35B2">
      <w:pPr>
        <w:rPr>
          <w:lang w:val="fr-FR"/>
        </w:rPr>
      </w:pPr>
      <w:r w:rsidRPr="00354645">
        <w:rPr>
          <w:rFonts w:asciiTheme="minorHAnsi" w:hAnsiTheme="minorHAnsi" w:cstheme="minorHAnsi"/>
          <w:lang w:val="fr-FR"/>
        </w:rPr>
        <w:t>1.3</w:t>
      </w:r>
      <w:r w:rsidRPr="00354645">
        <w:rPr>
          <w:rFonts w:asciiTheme="minorHAnsi" w:hAnsiTheme="minorHAnsi" w:cstheme="minorHAnsi"/>
          <w:lang w:val="fr-FR"/>
        </w:rPr>
        <w:tab/>
      </w:r>
      <w:r w:rsidR="00545337" w:rsidRPr="00354645">
        <w:rPr>
          <w:rFonts w:asciiTheme="minorHAnsi" w:hAnsiTheme="minorHAnsi" w:cstheme="minorHAnsi"/>
          <w:lang w:val="fr-FR"/>
        </w:rPr>
        <w:t xml:space="preserve">Le Président faisant fonction souhaite également la bienvenue aux conseillers à la session additionnelle, qui se tient conformément à la décision prise par le Conseil à </w:t>
      </w:r>
      <w:r w:rsidR="00FD6351" w:rsidRPr="00354645">
        <w:rPr>
          <w:rFonts w:asciiTheme="minorHAnsi" w:hAnsiTheme="minorHAnsi" w:cstheme="minorHAnsi"/>
          <w:lang w:val="fr-FR"/>
        </w:rPr>
        <w:t xml:space="preserve">sa </w:t>
      </w:r>
      <w:r w:rsidR="00545337" w:rsidRPr="00354645">
        <w:rPr>
          <w:rFonts w:asciiTheme="minorHAnsi" w:hAnsiTheme="minorHAnsi" w:cstheme="minorHAnsi"/>
          <w:lang w:val="fr-FR"/>
        </w:rPr>
        <w:t xml:space="preserve">session de juin 2019 </w:t>
      </w:r>
      <w:r w:rsidR="001935BA" w:rsidRPr="00354645">
        <w:rPr>
          <w:rFonts w:asciiTheme="minorHAnsi" w:hAnsiTheme="minorHAnsi" w:cstheme="minorHAnsi"/>
          <w:lang w:val="fr-FR"/>
        </w:rPr>
        <w:t xml:space="preserve">visant </w:t>
      </w:r>
      <w:r w:rsidR="00545337" w:rsidRPr="00354645">
        <w:rPr>
          <w:rFonts w:asciiTheme="minorHAnsi" w:hAnsiTheme="minorHAnsi" w:cstheme="minorHAnsi"/>
          <w:lang w:val="fr-FR"/>
        </w:rPr>
        <w:t>à examiner le rapport sur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545337" w:rsidRPr="00354645">
        <w:rPr>
          <w:rFonts w:asciiTheme="minorHAnsi" w:hAnsiTheme="minorHAnsi" w:cstheme="minorHAnsi"/>
          <w:lang w:val="fr-FR"/>
        </w:rPr>
        <w:t>avancement du projet de locaux du siège de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545337" w:rsidRPr="00354645">
        <w:rPr>
          <w:rFonts w:asciiTheme="minorHAnsi" w:hAnsiTheme="minorHAnsi" w:cstheme="minorHAnsi"/>
          <w:lang w:val="fr-FR"/>
        </w:rPr>
        <w:t>Union.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320107" w:rsidRPr="00354645">
        <w:rPr>
          <w:rFonts w:asciiTheme="minorHAnsi" w:hAnsiTheme="minorHAnsi" w:cstheme="minorHAnsi"/>
          <w:lang w:val="fr-FR"/>
        </w:rPr>
        <w:t xml:space="preserve">Le </w:t>
      </w:r>
      <w:r w:rsidR="00FD6351" w:rsidRPr="00354645">
        <w:rPr>
          <w:rFonts w:asciiTheme="minorHAnsi" w:hAnsiTheme="minorHAnsi" w:cstheme="minorHAnsi"/>
          <w:lang w:val="fr-FR"/>
        </w:rPr>
        <w:t>secrétariat</w:t>
      </w:r>
      <w:r w:rsidR="00320107" w:rsidRPr="00354645">
        <w:rPr>
          <w:rFonts w:asciiTheme="minorHAnsi" w:hAnsiTheme="minorHAnsi" w:cstheme="minorHAnsi"/>
          <w:lang w:val="fr-FR"/>
        </w:rPr>
        <w:t xml:space="preserve"> </w:t>
      </w:r>
      <w:r w:rsidR="00FD6351" w:rsidRPr="00354645">
        <w:rPr>
          <w:rFonts w:asciiTheme="minorHAnsi" w:hAnsiTheme="minorHAnsi" w:cstheme="minorHAnsi"/>
          <w:lang w:val="fr-FR"/>
        </w:rPr>
        <w:t>a fait preuve de</w:t>
      </w:r>
      <w:r w:rsidR="00320107" w:rsidRPr="00354645">
        <w:rPr>
          <w:rFonts w:asciiTheme="minorHAnsi" w:hAnsiTheme="minorHAnsi" w:cstheme="minorHAnsi"/>
          <w:lang w:val="fr-FR"/>
        </w:rPr>
        <w:t xml:space="preserve"> la plus grande </w:t>
      </w:r>
      <w:r w:rsidR="00FD6351" w:rsidRPr="00354645">
        <w:rPr>
          <w:rFonts w:asciiTheme="minorHAnsi" w:hAnsiTheme="minorHAnsi" w:cstheme="minorHAnsi"/>
          <w:lang w:val="fr-FR"/>
        </w:rPr>
        <w:t>diligence</w:t>
      </w:r>
      <w:r w:rsidR="00320107" w:rsidRPr="00354645">
        <w:rPr>
          <w:rFonts w:asciiTheme="minorHAnsi" w:hAnsiTheme="minorHAnsi" w:cstheme="minorHAnsi"/>
          <w:lang w:val="fr-FR"/>
        </w:rPr>
        <w:t xml:space="preserve"> </w:t>
      </w:r>
      <w:r w:rsidR="00FD6351" w:rsidRPr="00354645">
        <w:rPr>
          <w:rFonts w:asciiTheme="minorHAnsi" w:hAnsiTheme="minorHAnsi" w:cstheme="minorHAnsi"/>
          <w:lang w:val="fr-FR"/>
        </w:rPr>
        <w:t>pour</w:t>
      </w:r>
      <w:r w:rsidR="00320107" w:rsidRPr="00354645">
        <w:rPr>
          <w:rFonts w:asciiTheme="minorHAnsi" w:hAnsiTheme="minorHAnsi" w:cstheme="minorHAnsi"/>
          <w:lang w:val="fr-FR"/>
        </w:rPr>
        <w:t xml:space="preserve"> traiter les questions soulevées par le Conseil </w:t>
      </w:r>
      <w:r w:rsidR="00FD6351" w:rsidRPr="00354645">
        <w:rPr>
          <w:rFonts w:asciiTheme="minorHAnsi" w:hAnsiTheme="minorHAnsi" w:cstheme="minorHAnsi"/>
          <w:lang w:val="fr-FR"/>
        </w:rPr>
        <w:t>à sa session de</w:t>
      </w:r>
      <w:r w:rsidR="00320107" w:rsidRPr="00354645">
        <w:rPr>
          <w:rFonts w:asciiTheme="minorHAnsi" w:hAnsiTheme="minorHAnsi" w:cstheme="minorHAnsi"/>
          <w:lang w:val="fr-FR"/>
        </w:rPr>
        <w:t xml:space="preserve"> juin.</w:t>
      </w:r>
    </w:p>
    <w:p w14:paraId="79EB9B29" w14:textId="4BA13C8B" w:rsidR="00B84478" w:rsidRPr="00354645" w:rsidRDefault="006A4A26" w:rsidP="009C35B2">
      <w:pPr>
        <w:pStyle w:val="Heading1"/>
        <w:rPr>
          <w:lang w:val="fr-FR"/>
        </w:rPr>
      </w:pPr>
      <w:r w:rsidRPr="00354645">
        <w:rPr>
          <w:lang w:val="fr-FR"/>
        </w:rPr>
        <w:t>2</w:t>
      </w:r>
      <w:r w:rsidRPr="00354645">
        <w:rPr>
          <w:lang w:val="fr-FR"/>
        </w:rPr>
        <w:tab/>
      </w:r>
      <w:r w:rsidR="00DE0CFF" w:rsidRPr="00354645">
        <w:rPr>
          <w:lang w:val="fr-FR"/>
        </w:rPr>
        <w:t>Rapport du Secrétaire général sur l</w:t>
      </w:r>
      <w:r w:rsidR="000A02F4" w:rsidRPr="00354645">
        <w:rPr>
          <w:lang w:val="fr-FR"/>
        </w:rPr>
        <w:t>'</w:t>
      </w:r>
      <w:r w:rsidR="00DE0CFF" w:rsidRPr="00354645">
        <w:rPr>
          <w:lang w:val="fr-FR"/>
        </w:rPr>
        <w:t>avancement du projet de locaux du siège de l</w:t>
      </w:r>
      <w:r w:rsidR="000A02F4" w:rsidRPr="00354645">
        <w:rPr>
          <w:lang w:val="fr-FR"/>
        </w:rPr>
        <w:t>'</w:t>
      </w:r>
      <w:r w:rsidR="00DE0CFF" w:rsidRPr="00354645">
        <w:rPr>
          <w:lang w:val="fr-FR"/>
        </w:rPr>
        <w:t xml:space="preserve">Union (Documents </w:t>
      </w:r>
      <w:hyperlink r:id="rId12" w:history="1">
        <w:r w:rsidR="00DE0CFF" w:rsidRPr="00354645">
          <w:rPr>
            <w:rStyle w:val="Hyperlink"/>
            <w:rFonts w:asciiTheme="minorHAnsi" w:hAnsiTheme="minorHAnsi" w:cstheme="minorHAnsi"/>
            <w:bCs/>
            <w:szCs w:val="26"/>
            <w:lang w:val="fr-FR"/>
          </w:rPr>
          <w:t>C19-ADD/2(Rév. 1)</w:t>
        </w:r>
      </w:hyperlink>
      <w:r w:rsidR="00DE0CFF" w:rsidRPr="00354645">
        <w:rPr>
          <w:rStyle w:val="Hyperlink"/>
          <w:rFonts w:asciiTheme="minorHAnsi" w:hAnsiTheme="minorHAnsi" w:cstheme="minorHAnsi"/>
          <w:bCs/>
          <w:color w:val="auto"/>
          <w:szCs w:val="26"/>
          <w:u w:val="none"/>
          <w:lang w:val="fr-FR"/>
        </w:rPr>
        <w:t xml:space="preserve">, </w:t>
      </w:r>
      <w:hyperlink r:id="rId13" w:history="1">
        <w:r w:rsidR="00DE0CFF" w:rsidRPr="00354645">
          <w:rPr>
            <w:rStyle w:val="Hyperlink"/>
            <w:rFonts w:asciiTheme="minorHAnsi" w:hAnsiTheme="minorHAnsi" w:cstheme="minorHAnsi"/>
            <w:bCs/>
            <w:szCs w:val="26"/>
            <w:lang w:val="fr-FR"/>
          </w:rPr>
          <w:t>C19-ADD/3</w:t>
        </w:r>
      </w:hyperlink>
      <w:r w:rsidR="00DE0CFF" w:rsidRPr="00354645">
        <w:rPr>
          <w:rStyle w:val="Hyperlink"/>
          <w:rFonts w:asciiTheme="minorHAnsi" w:hAnsiTheme="minorHAnsi" w:cstheme="minorHAnsi"/>
          <w:bCs/>
          <w:color w:val="auto"/>
          <w:szCs w:val="26"/>
          <w:u w:val="none"/>
          <w:lang w:val="fr-FR"/>
        </w:rPr>
        <w:t xml:space="preserve"> et </w:t>
      </w:r>
      <w:hyperlink r:id="rId14" w:history="1">
        <w:r w:rsidR="00DE0CFF" w:rsidRPr="00354645">
          <w:rPr>
            <w:rStyle w:val="Hyperlink"/>
            <w:rFonts w:asciiTheme="minorHAnsi" w:hAnsiTheme="minorHAnsi" w:cstheme="minorHAnsi"/>
            <w:bCs/>
            <w:szCs w:val="26"/>
            <w:lang w:val="fr-FR"/>
          </w:rPr>
          <w:t>C19-ADD/4</w:t>
        </w:r>
      </w:hyperlink>
      <w:r w:rsidR="00DE0CFF" w:rsidRPr="00354645">
        <w:rPr>
          <w:rStyle w:val="Hyperlink"/>
          <w:rFonts w:asciiTheme="minorHAnsi" w:hAnsiTheme="minorHAnsi" w:cstheme="minorHAnsi"/>
          <w:bCs/>
          <w:color w:val="auto"/>
          <w:szCs w:val="26"/>
          <w:u w:val="none"/>
          <w:lang w:val="fr-FR"/>
        </w:rPr>
        <w:t>)</w:t>
      </w:r>
    </w:p>
    <w:p w14:paraId="5EAC6C01" w14:textId="2447AFD7" w:rsidR="001370CC" w:rsidRPr="00354645" w:rsidRDefault="007275FA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2.1</w:t>
      </w:r>
      <w:r w:rsidRPr="00354645">
        <w:rPr>
          <w:rFonts w:asciiTheme="minorHAnsi" w:hAnsiTheme="minorHAnsi" w:cstheme="minorHAnsi"/>
          <w:lang w:val="fr-FR"/>
        </w:rPr>
        <w:tab/>
      </w:r>
      <w:r w:rsidR="003C1679" w:rsidRPr="00354645">
        <w:rPr>
          <w:rFonts w:asciiTheme="minorHAnsi" w:hAnsiTheme="minorHAnsi" w:cstheme="minorHAnsi"/>
          <w:lang w:val="fr-FR"/>
        </w:rPr>
        <w:t xml:space="preserve">Le Vice-Secrétaire général </w:t>
      </w:r>
      <w:r w:rsidR="00FD6351" w:rsidRPr="00354645">
        <w:rPr>
          <w:rFonts w:asciiTheme="minorHAnsi" w:hAnsiTheme="minorHAnsi" w:cstheme="minorHAnsi"/>
          <w:lang w:val="fr-FR"/>
        </w:rPr>
        <w:t>présente</w:t>
      </w:r>
      <w:r w:rsidR="003C1679" w:rsidRPr="00354645">
        <w:rPr>
          <w:rFonts w:asciiTheme="minorHAnsi" w:hAnsiTheme="minorHAnsi" w:cstheme="minorHAnsi"/>
          <w:lang w:val="fr-FR"/>
        </w:rPr>
        <w:t xml:space="preserve"> le Document C19-ADD/2(Rév.1), qui contient le rapport du Secrétaire général sur l</w:t>
      </w:r>
      <w:r w:rsidR="00FD6351" w:rsidRPr="00354645">
        <w:rPr>
          <w:rFonts w:asciiTheme="minorHAnsi" w:hAnsiTheme="minorHAnsi" w:cstheme="minorHAnsi"/>
          <w:lang w:val="fr-FR"/>
        </w:rPr>
        <w:t>'avancement du</w:t>
      </w:r>
      <w:r w:rsidR="003C1679" w:rsidRPr="00354645">
        <w:rPr>
          <w:rFonts w:asciiTheme="minorHAnsi" w:hAnsiTheme="minorHAnsi" w:cstheme="minorHAnsi"/>
          <w:lang w:val="fr-FR"/>
        </w:rPr>
        <w:t xml:space="preserve"> projet de locaux du siège de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3C1679" w:rsidRPr="00354645">
        <w:rPr>
          <w:rFonts w:asciiTheme="minorHAnsi" w:hAnsiTheme="minorHAnsi" w:cstheme="minorHAnsi"/>
          <w:lang w:val="fr-FR"/>
        </w:rPr>
        <w:t>Union et les informations demandées par les États</w:t>
      </w:r>
      <w:r w:rsidR="00FD6351" w:rsidRPr="00354645">
        <w:rPr>
          <w:rFonts w:asciiTheme="minorHAnsi" w:hAnsiTheme="minorHAnsi" w:cstheme="minorHAnsi"/>
          <w:lang w:val="fr-FR"/>
        </w:rPr>
        <w:t xml:space="preserve"> </w:t>
      </w:r>
      <w:r w:rsidR="003C1679" w:rsidRPr="00354645">
        <w:rPr>
          <w:rFonts w:asciiTheme="minorHAnsi" w:hAnsiTheme="minorHAnsi" w:cstheme="minorHAnsi"/>
          <w:lang w:val="fr-FR"/>
        </w:rPr>
        <w:t xml:space="preserve">Membres. </w:t>
      </w:r>
      <w:r w:rsidR="00FD6351" w:rsidRPr="00354645">
        <w:rPr>
          <w:rFonts w:asciiTheme="minorHAnsi" w:hAnsiTheme="minorHAnsi" w:cstheme="minorHAnsi"/>
          <w:lang w:val="fr-FR"/>
        </w:rPr>
        <w:t>Des garanties y sont données selon lesquelles,</w:t>
      </w:r>
      <w:r w:rsidR="003C1679" w:rsidRPr="00354645">
        <w:rPr>
          <w:rFonts w:asciiTheme="minorHAnsi" w:hAnsiTheme="minorHAnsi" w:cstheme="minorHAnsi"/>
          <w:lang w:val="fr-FR"/>
        </w:rPr>
        <w:t xml:space="preserve"> moyennant certaines modifications sur le plan de la conception, le projet pourra être mis en </w:t>
      </w:r>
      <w:r w:rsidR="00FD6351" w:rsidRPr="00354645">
        <w:rPr>
          <w:rFonts w:asciiTheme="minorHAnsi" w:hAnsiTheme="minorHAnsi" w:cstheme="minorHAnsi"/>
          <w:lang w:val="fr-FR"/>
        </w:rPr>
        <w:t>œuvre</w:t>
      </w:r>
      <w:r w:rsidR="003C1679" w:rsidRPr="00354645">
        <w:rPr>
          <w:rFonts w:asciiTheme="minorHAnsi" w:hAnsiTheme="minorHAnsi" w:cstheme="minorHAnsi"/>
          <w:lang w:val="fr-FR"/>
        </w:rPr>
        <w:t xml:space="preserve"> dans les limites du financement disponible.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765B7B" w:rsidRPr="00354645">
        <w:rPr>
          <w:rFonts w:asciiTheme="minorHAnsi" w:hAnsiTheme="minorHAnsi" w:cstheme="minorHAnsi"/>
          <w:lang w:val="fr-FR"/>
        </w:rPr>
        <w:t xml:space="preserve">Le Conseil est invité à examiner et à approuver le rapport ainsi que les coûts directs et indirects proposés du projet, et à autoriser le Secrétaire général à </w:t>
      </w:r>
      <w:r w:rsidR="002063C4" w:rsidRPr="00354645">
        <w:rPr>
          <w:rFonts w:asciiTheme="minorHAnsi" w:hAnsiTheme="minorHAnsi" w:cstheme="minorHAnsi"/>
          <w:lang w:val="fr-FR"/>
        </w:rPr>
        <w:t xml:space="preserve">soumettre </w:t>
      </w:r>
      <w:r w:rsidR="00765B7B" w:rsidRPr="00354645">
        <w:rPr>
          <w:rFonts w:asciiTheme="minorHAnsi" w:hAnsiTheme="minorHAnsi" w:cstheme="minorHAnsi"/>
          <w:lang w:val="fr-FR"/>
        </w:rPr>
        <w:t>la demande relative à la seconde tranche du prêt.</w:t>
      </w:r>
    </w:p>
    <w:p w14:paraId="17B842CC" w14:textId="29B4D1C0" w:rsidR="001370CC" w:rsidRPr="00354645" w:rsidRDefault="001A1209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2.2</w:t>
      </w:r>
      <w:r w:rsidRPr="00354645">
        <w:rPr>
          <w:rFonts w:asciiTheme="minorHAnsi" w:hAnsiTheme="minorHAnsi" w:cstheme="minorHAnsi"/>
          <w:lang w:val="fr-FR"/>
        </w:rPr>
        <w:tab/>
      </w:r>
      <w:r w:rsidR="00F21CA2" w:rsidRPr="00354645">
        <w:rPr>
          <w:rFonts w:asciiTheme="minorHAnsi" w:hAnsiTheme="minorHAnsi" w:cstheme="minorHAnsi"/>
          <w:lang w:val="fr-FR"/>
        </w:rPr>
        <w:t>L</w:t>
      </w:r>
      <w:r w:rsidR="002063C4" w:rsidRPr="00354645">
        <w:rPr>
          <w:rFonts w:asciiTheme="minorHAnsi" w:hAnsiTheme="minorHAnsi" w:cstheme="minorHAnsi"/>
          <w:lang w:val="fr-FR"/>
        </w:rPr>
        <w:t>e</w:t>
      </w:r>
      <w:r w:rsidR="00F21CA2" w:rsidRPr="00354645">
        <w:rPr>
          <w:rFonts w:asciiTheme="minorHAnsi" w:hAnsiTheme="minorHAnsi" w:cstheme="minorHAnsi"/>
          <w:lang w:val="fr-FR"/>
        </w:rPr>
        <w:t xml:space="preserve"> Président du Conseil du personnel </w:t>
      </w:r>
      <w:r w:rsidR="00FD6351" w:rsidRPr="00354645">
        <w:rPr>
          <w:rFonts w:asciiTheme="minorHAnsi" w:hAnsiTheme="minorHAnsi" w:cstheme="minorHAnsi"/>
          <w:lang w:val="fr-FR"/>
        </w:rPr>
        <w:t>fait une allocution</w:t>
      </w:r>
      <w:r w:rsidR="00F21CA2" w:rsidRPr="00354645">
        <w:rPr>
          <w:rFonts w:asciiTheme="minorHAnsi" w:hAnsiTheme="minorHAnsi" w:cstheme="minorHAnsi"/>
          <w:lang w:val="fr-FR"/>
        </w:rPr>
        <w:t>, reproduite à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F21CA2" w:rsidRPr="00354645">
        <w:rPr>
          <w:rFonts w:asciiTheme="minorHAnsi" w:hAnsiTheme="minorHAnsi" w:cstheme="minorHAnsi"/>
          <w:lang w:val="fr-FR"/>
        </w:rPr>
        <w:t>adresse:</w:t>
      </w:r>
      <w:r w:rsidRPr="00354645">
        <w:rPr>
          <w:rFonts w:asciiTheme="minorHAnsi" w:hAnsiTheme="minorHAnsi" w:cstheme="minorHAnsi"/>
          <w:lang w:val="fr-FR"/>
        </w:rPr>
        <w:br/>
      </w:r>
      <w:hyperlink r:id="rId15" w:history="1">
        <w:r w:rsidR="00602ADE" w:rsidRPr="00354645">
          <w:rPr>
            <w:rStyle w:val="Hyperlink"/>
            <w:lang w:val="fr-FR"/>
          </w:rPr>
          <w:t>https://www.itu.int/en/council/ties/Documents/2019/StaffCouncil-e.pdf</w:t>
        </w:r>
      </w:hyperlink>
    </w:p>
    <w:p w14:paraId="12E75D2F" w14:textId="35D1938A" w:rsidR="001370CC" w:rsidRPr="00354645" w:rsidRDefault="003008CD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2.3</w:t>
      </w:r>
      <w:r w:rsidRPr="00354645">
        <w:rPr>
          <w:rFonts w:asciiTheme="minorHAnsi" w:hAnsiTheme="minorHAnsi" w:cstheme="minorHAnsi"/>
          <w:lang w:val="fr-FR"/>
        </w:rPr>
        <w:tab/>
      </w:r>
      <w:r w:rsidR="00173091" w:rsidRPr="00354645">
        <w:rPr>
          <w:rFonts w:asciiTheme="minorHAnsi" w:hAnsiTheme="minorHAnsi" w:cstheme="minorHAnsi"/>
          <w:lang w:val="fr-FR"/>
        </w:rPr>
        <w:t xml:space="preserve">M. István Manno, Commissaire ministériel du Ministère des affaires étrangères et du commerce de la Hongrie, </w:t>
      </w:r>
      <w:r w:rsidR="00FD6351" w:rsidRPr="00354645">
        <w:rPr>
          <w:rFonts w:asciiTheme="minorHAnsi" w:hAnsiTheme="minorHAnsi" w:cstheme="minorHAnsi"/>
          <w:lang w:val="fr-FR"/>
        </w:rPr>
        <w:t>f</w:t>
      </w:r>
      <w:r w:rsidR="00173091" w:rsidRPr="00354645">
        <w:rPr>
          <w:rFonts w:asciiTheme="minorHAnsi" w:hAnsiTheme="minorHAnsi" w:cstheme="minorHAnsi"/>
          <w:lang w:val="fr-FR"/>
        </w:rPr>
        <w:t xml:space="preserve">ait une déclaration dans laquelle </w:t>
      </w:r>
      <w:r w:rsidR="00FD6351" w:rsidRPr="00354645">
        <w:rPr>
          <w:rFonts w:asciiTheme="minorHAnsi" w:hAnsiTheme="minorHAnsi" w:cstheme="minorHAnsi"/>
          <w:lang w:val="fr-FR"/>
        </w:rPr>
        <w:t>il met</w:t>
      </w:r>
      <w:r w:rsidR="00173091" w:rsidRPr="00354645">
        <w:rPr>
          <w:rFonts w:asciiTheme="minorHAnsi" w:hAnsiTheme="minorHAnsi" w:cstheme="minorHAnsi"/>
          <w:lang w:val="fr-FR"/>
        </w:rPr>
        <w:t xml:space="preserve"> en évidence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173091" w:rsidRPr="00354645">
        <w:rPr>
          <w:rFonts w:asciiTheme="minorHAnsi" w:hAnsiTheme="minorHAnsi" w:cstheme="minorHAnsi"/>
          <w:lang w:val="fr-FR"/>
        </w:rPr>
        <w:t>engagement de la Hongrie en faveur de la promotion des TIC en Europe centrale et en Europe de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173091" w:rsidRPr="00354645">
        <w:rPr>
          <w:rFonts w:asciiTheme="minorHAnsi" w:hAnsiTheme="minorHAnsi" w:cstheme="minorHAnsi"/>
          <w:lang w:val="fr-FR"/>
        </w:rPr>
        <w:t>Est</w:t>
      </w:r>
      <w:r w:rsidR="00FD6351" w:rsidRPr="00354645">
        <w:rPr>
          <w:rFonts w:asciiTheme="minorHAnsi" w:hAnsiTheme="minorHAnsi" w:cstheme="minorHAnsi"/>
          <w:lang w:val="fr-FR"/>
        </w:rPr>
        <w:t xml:space="preserve"> et en faveur de </w:t>
      </w:r>
      <w:r w:rsidR="00173091" w:rsidRPr="00354645">
        <w:rPr>
          <w:rFonts w:asciiTheme="minorHAnsi" w:hAnsiTheme="minorHAnsi" w:cstheme="minorHAnsi"/>
          <w:lang w:val="fr-FR"/>
        </w:rPr>
        <w:t>la collaboration avec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173091" w:rsidRPr="00354645">
        <w:rPr>
          <w:rFonts w:asciiTheme="minorHAnsi" w:hAnsiTheme="minorHAnsi" w:cstheme="minorHAnsi"/>
          <w:lang w:val="fr-FR"/>
        </w:rPr>
        <w:t>UIT, comme en témoigne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173091" w:rsidRPr="00354645">
        <w:rPr>
          <w:rFonts w:asciiTheme="minorHAnsi" w:hAnsiTheme="minorHAnsi" w:cstheme="minorHAnsi"/>
          <w:lang w:val="fr-FR"/>
        </w:rPr>
        <w:t>organisation récente, par la Hongrie, de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173091" w:rsidRPr="00354645">
        <w:rPr>
          <w:rFonts w:asciiTheme="minorHAnsi" w:hAnsiTheme="minorHAnsi" w:cstheme="minorHAnsi"/>
          <w:lang w:val="fr-FR"/>
        </w:rPr>
        <w:t>édition de 2019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173091" w:rsidRPr="00354645">
        <w:rPr>
          <w:rFonts w:asciiTheme="minorHAnsi" w:hAnsiTheme="minorHAnsi" w:cstheme="minorHAnsi"/>
          <w:lang w:val="fr-FR"/>
        </w:rPr>
        <w:t>ITU Telecom World.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DA3CDD" w:rsidRPr="00354645">
        <w:rPr>
          <w:rFonts w:asciiTheme="minorHAnsi" w:hAnsiTheme="minorHAnsi" w:cstheme="minorHAnsi"/>
          <w:lang w:val="fr-FR"/>
        </w:rPr>
        <w:t>Il renouvelle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DA3CDD" w:rsidRPr="00354645">
        <w:rPr>
          <w:rFonts w:asciiTheme="minorHAnsi" w:hAnsiTheme="minorHAnsi" w:cstheme="minorHAnsi"/>
          <w:lang w:val="fr-FR"/>
        </w:rPr>
        <w:t>offre qui a été faite précédemment par la Hongrie de mener des négociations avec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DA3CDD" w:rsidRPr="00354645">
        <w:rPr>
          <w:rFonts w:asciiTheme="minorHAnsi" w:hAnsiTheme="minorHAnsi" w:cstheme="minorHAnsi"/>
          <w:lang w:val="fr-FR"/>
        </w:rPr>
        <w:t xml:space="preserve">UIT </w:t>
      </w:r>
      <w:r w:rsidR="00FD6351" w:rsidRPr="00354645">
        <w:rPr>
          <w:rFonts w:asciiTheme="minorHAnsi" w:hAnsiTheme="minorHAnsi" w:cstheme="minorHAnsi"/>
          <w:lang w:val="fr-FR"/>
        </w:rPr>
        <w:t>en vue</w:t>
      </w:r>
      <w:r w:rsidR="00DA3CDD" w:rsidRPr="00354645">
        <w:rPr>
          <w:rFonts w:asciiTheme="minorHAnsi" w:hAnsiTheme="minorHAnsi" w:cstheme="minorHAnsi"/>
          <w:lang w:val="fr-FR"/>
        </w:rPr>
        <w:t xml:space="preserve">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DA3CDD" w:rsidRPr="00354645">
        <w:rPr>
          <w:rFonts w:asciiTheme="minorHAnsi" w:hAnsiTheme="minorHAnsi" w:cstheme="minorHAnsi"/>
          <w:lang w:val="fr-FR"/>
        </w:rPr>
        <w:t>accueillir temporairement certaines des conférences et réunions de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DA3CDD" w:rsidRPr="00354645">
        <w:rPr>
          <w:rFonts w:asciiTheme="minorHAnsi" w:hAnsiTheme="minorHAnsi" w:cstheme="minorHAnsi"/>
          <w:lang w:val="fr-FR"/>
        </w:rPr>
        <w:t xml:space="preserve">UIT pendant la phase de mise en </w:t>
      </w:r>
      <w:r w:rsidR="00FD6351" w:rsidRPr="00354645">
        <w:rPr>
          <w:rFonts w:asciiTheme="minorHAnsi" w:hAnsiTheme="minorHAnsi" w:cstheme="minorHAnsi"/>
          <w:lang w:val="fr-FR"/>
        </w:rPr>
        <w:t>œuvre</w:t>
      </w:r>
      <w:r w:rsidR="00DA3CDD" w:rsidRPr="00354645">
        <w:rPr>
          <w:rFonts w:asciiTheme="minorHAnsi" w:hAnsiTheme="minorHAnsi" w:cstheme="minorHAnsi"/>
          <w:lang w:val="fr-FR"/>
        </w:rPr>
        <w:t xml:space="preserve"> du projet de </w:t>
      </w:r>
      <w:r w:rsidR="00FD6351" w:rsidRPr="00354645">
        <w:rPr>
          <w:rFonts w:asciiTheme="minorHAnsi" w:hAnsiTheme="minorHAnsi" w:cstheme="minorHAnsi"/>
          <w:lang w:val="fr-FR"/>
        </w:rPr>
        <w:t xml:space="preserve">nouveaux </w:t>
      </w:r>
      <w:r w:rsidR="00DA3CDD" w:rsidRPr="00354645">
        <w:rPr>
          <w:rFonts w:asciiTheme="minorHAnsi" w:hAnsiTheme="minorHAnsi" w:cstheme="minorHAnsi"/>
          <w:lang w:val="fr-FR"/>
        </w:rPr>
        <w:t>locaux du siège de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DA3CDD" w:rsidRPr="00354645">
        <w:rPr>
          <w:rFonts w:asciiTheme="minorHAnsi" w:hAnsiTheme="minorHAnsi" w:cstheme="minorHAnsi"/>
          <w:lang w:val="fr-FR"/>
        </w:rPr>
        <w:t>UIT (2023-2026).</w:t>
      </w:r>
    </w:p>
    <w:p w14:paraId="37B906D6" w14:textId="77777777" w:rsidR="009C35B2" w:rsidRPr="00354645" w:rsidRDefault="009C35B2" w:rsidP="008417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br w:type="page"/>
      </w:r>
    </w:p>
    <w:p w14:paraId="50EE9C14" w14:textId="6A082B04" w:rsidR="001370CC" w:rsidRPr="00354645" w:rsidRDefault="001A1209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FR"/>
        </w:rPr>
      </w:pPr>
      <w:r w:rsidRPr="00354645">
        <w:rPr>
          <w:rFonts w:asciiTheme="minorHAnsi" w:hAnsiTheme="minorHAnsi" w:cstheme="minorHAnsi"/>
          <w:lang w:val="fr-FR"/>
        </w:rPr>
        <w:lastRenderedPageBreak/>
        <w:t>2.4</w:t>
      </w:r>
      <w:r w:rsidRPr="00354645">
        <w:rPr>
          <w:rFonts w:asciiTheme="minorHAnsi" w:hAnsiTheme="minorHAnsi" w:cstheme="minorHAnsi"/>
          <w:lang w:val="fr-FR"/>
        </w:rPr>
        <w:tab/>
      </w:r>
      <w:r w:rsidR="008A1F7E" w:rsidRPr="00354645">
        <w:rPr>
          <w:rStyle w:val="Hyperlink"/>
          <w:rFonts w:asciiTheme="minorHAnsi" w:hAnsiTheme="minorHAnsi" w:cstheme="minorHAnsi"/>
          <w:color w:val="auto"/>
          <w:u w:val="none"/>
          <w:lang w:val="fr-FR"/>
        </w:rPr>
        <w:t>S.</w:t>
      </w:r>
      <w:r w:rsidR="002063C4" w:rsidRPr="00354645">
        <w:rPr>
          <w:rStyle w:val="Hyperlink"/>
          <w:rFonts w:asciiTheme="minorHAnsi" w:hAnsiTheme="minorHAnsi" w:cstheme="minorHAnsi"/>
          <w:color w:val="auto"/>
          <w:u w:val="none"/>
          <w:lang w:val="fr-FR"/>
        </w:rPr>
        <w:t xml:space="preserve"> </w:t>
      </w:r>
      <w:r w:rsidR="008A1F7E" w:rsidRPr="00354645">
        <w:rPr>
          <w:rStyle w:val="Hyperlink"/>
          <w:rFonts w:asciiTheme="minorHAnsi" w:hAnsiTheme="minorHAnsi" w:cstheme="minorHAnsi"/>
          <w:color w:val="auto"/>
          <w:u w:val="none"/>
          <w:lang w:val="fr-FR"/>
        </w:rPr>
        <w:t>E.</w:t>
      </w:r>
      <w:r w:rsidR="002063C4" w:rsidRPr="00354645">
        <w:rPr>
          <w:rStyle w:val="Hyperlink"/>
          <w:rFonts w:asciiTheme="minorHAnsi" w:hAnsiTheme="minorHAnsi" w:cstheme="minorHAnsi"/>
          <w:color w:val="auto"/>
          <w:u w:val="none"/>
          <w:lang w:val="fr-FR"/>
        </w:rPr>
        <w:t xml:space="preserve"> </w:t>
      </w:r>
      <w:r w:rsidR="008A1F7E" w:rsidRPr="00354645">
        <w:rPr>
          <w:rStyle w:val="Hyperlink"/>
          <w:rFonts w:asciiTheme="minorHAnsi" w:hAnsiTheme="minorHAnsi" w:cstheme="minorHAnsi"/>
          <w:color w:val="auto"/>
          <w:u w:val="none"/>
          <w:lang w:val="fr-FR"/>
        </w:rPr>
        <w:t xml:space="preserve">M. Valentin Zellweger, </w:t>
      </w:r>
      <w:r w:rsidR="00FD6351" w:rsidRPr="00354645">
        <w:rPr>
          <w:rStyle w:val="Hyperlink"/>
          <w:rFonts w:asciiTheme="minorHAnsi" w:hAnsiTheme="minorHAnsi" w:cstheme="minorHAnsi"/>
          <w:color w:val="auto"/>
          <w:u w:val="none"/>
          <w:lang w:val="fr-FR"/>
        </w:rPr>
        <w:t>A</w:t>
      </w:r>
      <w:r w:rsidR="008A1F7E" w:rsidRPr="00354645">
        <w:rPr>
          <w:rStyle w:val="Hyperlink"/>
          <w:rFonts w:asciiTheme="minorHAnsi" w:hAnsiTheme="minorHAnsi" w:cstheme="minorHAnsi"/>
          <w:color w:val="auto"/>
          <w:u w:val="none"/>
          <w:lang w:val="fr-FR"/>
        </w:rPr>
        <w:t>mbassadeur de la Mission permanente de la Suisse auprès de l</w:t>
      </w:r>
      <w:r w:rsidR="000A02F4" w:rsidRPr="00354645">
        <w:rPr>
          <w:rStyle w:val="Hyperlink"/>
          <w:rFonts w:asciiTheme="minorHAnsi" w:hAnsiTheme="minorHAnsi" w:cstheme="minorHAnsi"/>
          <w:color w:val="auto"/>
          <w:u w:val="none"/>
          <w:lang w:val="fr-FR"/>
        </w:rPr>
        <w:t>'</w:t>
      </w:r>
      <w:r w:rsidR="008A1F7E" w:rsidRPr="00354645">
        <w:rPr>
          <w:rStyle w:val="Hyperlink"/>
          <w:rFonts w:asciiTheme="minorHAnsi" w:hAnsiTheme="minorHAnsi" w:cstheme="minorHAnsi"/>
          <w:color w:val="auto"/>
          <w:u w:val="none"/>
          <w:lang w:val="fr-FR"/>
        </w:rPr>
        <w:t xml:space="preserve">Office des Nations Unies et des autres organisations internationales à Genève, prononce une </w:t>
      </w:r>
      <w:r w:rsidR="008A1F7E" w:rsidRPr="00354645">
        <w:rPr>
          <w:rStyle w:val="Hyperlink"/>
          <w:rFonts w:asciiTheme="minorHAnsi" w:hAnsiTheme="minorHAnsi" w:cstheme="minorHAnsi"/>
          <w:color w:val="auto"/>
          <w:spacing w:val="-5"/>
          <w:u w:val="none"/>
          <w:lang w:val="fr-FR"/>
        </w:rPr>
        <w:t>allocution reproduite à l</w:t>
      </w:r>
      <w:r w:rsidR="000A02F4" w:rsidRPr="00354645">
        <w:rPr>
          <w:rStyle w:val="Hyperlink"/>
          <w:rFonts w:asciiTheme="minorHAnsi" w:hAnsiTheme="minorHAnsi" w:cstheme="minorHAnsi"/>
          <w:color w:val="auto"/>
          <w:spacing w:val="-5"/>
          <w:u w:val="none"/>
          <w:lang w:val="fr-FR"/>
        </w:rPr>
        <w:t>'</w:t>
      </w:r>
      <w:r w:rsidR="008A1F7E" w:rsidRPr="00354645">
        <w:rPr>
          <w:rStyle w:val="Hyperlink"/>
          <w:rFonts w:asciiTheme="minorHAnsi" w:hAnsiTheme="minorHAnsi" w:cstheme="minorHAnsi"/>
          <w:color w:val="auto"/>
          <w:spacing w:val="-5"/>
          <w:u w:val="none"/>
          <w:lang w:val="fr-FR"/>
        </w:rPr>
        <w:t xml:space="preserve">adresse </w:t>
      </w:r>
      <w:hyperlink r:id="rId16" w:history="1">
        <w:r w:rsidR="009C35B2" w:rsidRPr="00354645">
          <w:rPr>
            <w:rStyle w:val="Hyperlink"/>
            <w:rFonts w:asciiTheme="minorHAnsi" w:hAnsiTheme="minorHAnsi" w:cstheme="minorHAnsi"/>
            <w:spacing w:val="-5"/>
            <w:lang w:val="fr-FR"/>
          </w:rPr>
          <w:t>https://www.itu.int/en/council/ties/Documents/2019/</w:t>
        </w:r>
        <w:r w:rsidR="009C35B2" w:rsidRPr="00354645">
          <w:rPr>
            <w:rStyle w:val="Hyperlink"/>
            <w:rFonts w:asciiTheme="minorHAnsi" w:hAnsiTheme="minorHAnsi" w:cstheme="minorHAnsi"/>
            <w:spacing w:val="-5"/>
            <w:lang w:val="fr-FR"/>
          </w:rPr>
          <w:br/>
          <w:t>Switzerland.pdf</w:t>
        </w:r>
      </w:hyperlink>
      <w:r w:rsidR="00602ADE" w:rsidRPr="00354645">
        <w:rPr>
          <w:rStyle w:val="Hyperlink"/>
          <w:rFonts w:asciiTheme="minorHAnsi" w:hAnsiTheme="minorHAnsi" w:cstheme="minorHAnsi"/>
          <w:color w:val="auto"/>
          <w:spacing w:val="-5"/>
          <w:u w:val="none"/>
          <w:lang w:val="fr-FR"/>
        </w:rPr>
        <w:t xml:space="preserve">. </w:t>
      </w:r>
      <w:r w:rsidR="00E5170B" w:rsidRPr="00354645">
        <w:rPr>
          <w:rFonts w:asciiTheme="minorHAnsi" w:hAnsiTheme="minorHAnsi" w:cstheme="minorHAnsi"/>
          <w:lang w:val="fr-FR"/>
        </w:rPr>
        <w:t>Il</w:t>
      </w:r>
      <w:r w:rsidR="00602ADE" w:rsidRPr="00354645">
        <w:rPr>
          <w:rFonts w:asciiTheme="minorHAnsi" w:hAnsiTheme="minorHAnsi" w:cstheme="minorHAnsi"/>
          <w:lang w:val="fr-FR"/>
        </w:rPr>
        <w:t xml:space="preserve"> déclare notamment que le pays hôte </w:t>
      </w:r>
      <w:r w:rsidR="00E5170B" w:rsidRPr="00354645">
        <w:rPr>
          <w:rFonts w:asciiTheme="minorHAnsi" w:hAnsiTheme="minorHAnsi" w:cstheme="minorHAnsi"/>
          <w:lang w:val="fr-FR"/>
        </w:rPr>
        <w:t>se tient</w:t>
      </w:r>
      <w:r w:rsidR="00602ADE" w:rsidRPr="00354645">
        <w:rPr>
          <w:rFonts w:asciiTheme="minorHAnsi" w:hAnsiTheme="minorHAnsi" w:cstheme="minorHAnsi"/>
          <w:lang w:val="fr-FR"/>
        </w:rPr>
        <w:t xml:space="preserve"> à la disposition de l'UIT </w:t>
      </w:r>
      <w:r w:rsidR="00E5170B" w:rsidRPr="00354645">
        <w:rPr>
          <w:rFonts w:asciiTheme="minorHAnsi" w:hAnsiTheme="minorHAnsi" w:cstheme="minorHAnsi"/>
          <w:lang w:val="fr-FR"/>
        </w:rPr>
        <w:t>afin de</w:t>
      </w:r>
      <w:r w:rsidR="00602ADE" w:rsidRPr="00354645">
        <w:rPr>
          <w:rFonts w:asciiTheme="minorHAnsi" w:hAnsiTheme="minorHAnsi" w:cstheme="minorHAnsi"/>
          <w:lang w:val="fr-FR"/>
        </w:rPr>
        <w:t xml:space="preserve"> l'aider à trouver l</w:t>
      </w:r>
      <w:r w:rsidR="00E5170B" w:rsidRPr="00354645">
        <w:rPr>
          <w:rFonts w:asciiTheme="minorHAnsi" w:hAnsiTheme="minorHAnsi" w:cstheme="minorHAnsi"/>
          <w:lang w:val="fr-FR"/>
        </w:rPr>
        <w:t xml:space="preserve">es solutions les mieux indiquées pour l'ensemble </w:t>
      </w:r>
      <w:r w:rsidR="00B1280A" w:rsidRPr="00354645">
        <w:rPr>
          <w:rFonts w:asciiTheme="minorHAnsi" w:hAnsiTheme="minorHAnsi" w:cstheme="minorHAnsi"/>
          <w:lang w:val="fr-FR"/>
        </w:rPr>
        <w:t>de l'</w:t>
      </w:r>
      <w:r w:rsidR="00E5170B" w:rsidRPr="00354645">
        <w:rPr>
          <w:rFonts w:asciiTheme="minorHAnsi" w:hAnsiTheme="minorHAnsi" w:cstheme="minorHAnsi"/>
          <w:lang w:val="fr-FR"/>
        </w:rPr>
        <w:t xml:space="preserve">organisation, </w:t>
      </w:r>
      <w:r w:rsidR="00B1280A" w:rsidRPr="00354645">
        <w:rPr>
          <w:rFonts w:asciiTheme="minorHAnsi" w:hAnsiTheme="minorHAnsi" w:cstheme="minorHAnsi"/>
          <w:lang w:val="fr-FR"/>
        </w:rPr>
        <w:t>du</w:t>
      </w:r>
      <w:r w:rsidR="00E5170B" w:rsidRPr="00354645">
        <w:rPr>
          <w:rFonts w:asciiTheme="minorHAnsi" w:hAnsiTheme="minorHAnsi" w:cstheme="minorHAnsi"/>
          <w:lang w:val="fr-FR"/>
        </w:rPr>
        <w:t xml:space="preserve"> personnel et </w:t>
      </w:r>
      <w:r w:rsidR="00B1280A" w:rsidRPr="00354645">
        <w:rPr>
          <w:rFonts w:asciiTheme="minorHAnsi" w:hAnsiTheme="minorHAnsi" w:cstheme="minorHAnsi"/>
          <w:lang w:val="fr-FR"/>
        </w:rPr>
        <w:t>des</w:t>
      </w:r>
      <w:r w:rsidR="00E5170B" w:rsidRPr="00354645">
        <w:rPr>
          <w:rFonts w:asciiTheme="minorHAnsi" w:hAnsiTheme="minorHAnsi" w:cstheme="minorHAnsi"/>
          <w:lang w:val="fr-FR"/>
        </w:rPr>
        <w:t xml:space="preserve"> États Membres en vue de l'organisation des conférences et des réunions de l'Union pendant la phase de mise en œuvre du projet à Genève. Genève dispose </w:t>
      </w:r>
      <w:r w:rsidR="00841787" w:rsidRPr="00354645">
        <w:rPr>
          <w:rFonts w:asciiTheme="minorHAnsi" w:hAnsiTheme="minorHAnsi" w:cstheme="minorHAnsi"/>
          <w:lang w:val="fr-FR"/>
        </w:rPr>
        <w:t>d'</w:t>
      </w:r>
      <w:r w:rsidR="00E5170B" w:rsidRPr="00354645">
        <w:rPr>
          <w:rFonts w:asciiTheme="minorHAnsi" w:hAnsiTheme="minorHAnsi" w:cstheme="minorHAnsi"/>
          <w:lang w:val="fr-FR"/>
        </w:rPr>
        <w:t xml:space="preserve">infrastructures suffisantes pour accueillir les conférences et réunions. L'Ambassadeur </w:t>
      </w:r>
      <w:r w:rsidR="00B1280A" w:rsidRPr="00354645">
        <w:rPr>
          <w:rFonts w:asciiTheme="minorHAnsi" w:hAnsiTheme="minorHAnsi" w:cstheme="minorHAnsi"/>
          <w:lang w:val="fr-FR"/>
        </w:rPr>
        <w:t>met en évidence les préoccupations du pays hôte, selon lesquelles</w:t>
      </w:r>
      <w:r w:rsidR="00E5170B" w:rsidRPr="00354645">
        <w:rPr>
          <w:rFonts w:asciiTheme="minorHAnsi" w:hAnsiTheme="minorHAnsi" w:cstheme="minorHAnsi"/>
          <w:lang w:val="fr-FR"/>
        </w:rPr>
        <w:t xml:space="preserve"> le fait d'organiser bon nombre </w:t>
      </w:r>
      <w:r w:rsidR="00B1280A" w:rsidRPr="00354645">
        <w:rPr>
          <w:rFonts w:asciiTheme="minorHAnsi" w:hAnsiTheme="minorHAnsi" w:cstheme="minorHAnsi"/>
          <w:lang w:val="fr-FR"/>
        </w:rPr>
        <w:t>d</w:t>
      </w:r>
      <w:r w:rsidR="00E5170B" w:rsidRPr="00354645">
        <w:rPr>
          <w:rFonts w:asciiTheme="minorHAnsi" w:hAnsiTheme="minorHAnsi" w:cstheme="minorHAnsi"/>
          <w:lang w:val="fr-FR"/>
        </w:rPr>
        <w:t xml:space="preserve">es réunions de l'UIT </w:t>
      </w:r>
      <w:r w:rsidR="00B1280A" w:rsidRPr="00354645">
        <w:rPr>
          <w:rFonts w:asciiTheme="minorHAnsi" w:hAnsiTheme="minorHAnsi" w:cstheme="minorHAnsi"/>
          <w:lang w:val="fr-FR"/>
        </w:rPr>
        <w:t>en un lieu où elles ne bénéficieraient pas de</w:t>
      </w:r>
      <w:r w:rsidR="00E5170B" w:rsidRPr="00354645">
        <w:rPr>
          <w:rFonts w:asciiTheme="minorHAnsi" w:hAnsiTheme="minorHAnsi" w:cstheme="minorHAnsi"/>
          <w:lang w:val="fr-FR"/>
        </w:rPr>
        <w:t xml:space="preserve"> l'écosystème unique </w:t>
      </w:r>
      <w:r w:rsidR="00B1280A" w:rsidRPr="00354645">
        <w:rPr>
          <w:rFonts w:asciiTheme="minorHAnsi" w:hAnsiTheme="minorHAnsi" w:cstheme="minorHAnsi"/>
          <w:lang w:val="fr-FR"/>
        </w:rPr>
        <w:t>que constituent le</w:t>
      </w:r>
      <w:r w:rsidR="00E5170B" w:rsidRPr="00354645">
        <w:rPr>
          <w:rFonts w:asciiTheme="minorHAnsi" w:hAnsiTheme="minorHAnsi" w:cstheme="minorHAnsi"/>
          <w:lang w:val="fr-FR"/>
        </w:rPr>
        <w:t xml:space="preserve">s institutions spécialisées, </w:t>
      </w:r>
      <w:r w:rsidR="00B1280A" w:rsidRPr="00354645">
        <w:rPr>
          <w:rFonts w:asciiTheme="minorHAnsi" w:hAnsiTheme="minorHAnsi" w:cstheme="minorHAnsi"/>
          <w:lang w:val="fr-FR"/>
        </w:rPr>
        <w:t>l</w:t>
      </w:r>
      <w:r w:rsidR="00E5170B" w:rsidRPr="00354645">
        <w:rPr>
          <w:rFonts w:asciiTheme="minorHAnsi" w:hAnsiTheme="minorHAnsi" w:cstheme="minorHAnsi"/>
          <w:lang w:val="fr-FR"/>
        </w:rPr>
        <w:t xml:space="preserve">es ONG et </w:t>
      </w:r>
      <w:r w:rsidR="00B1280A" w:rsidRPr="00354645">
        <w:rPr>
          <w:rFonts w:asciiTheme="minorHAnsi" w:hAnsiTheme="minorHAnsi" w:cstheme="minorHAnsi"/>
          <w:lang w:val="fr-FR"/>
        </w:rPr>
        <w:t>l</w:t>
      </w:r>
      <w:r w:rsidR="00E5170B" w:rsidRPr="00354645">
        <w:rPr>
          <w:rFonts w:asciiTheme="minorHAnsi" w:hAnsiTheme="minorHAnsi" w:cstheme="minorHAnsi"/>
          <w:lang w:val="fr-FR"/>
        </w:rPr>
        <w:t>es missions permanentes des États membres situées à Genève</w:t>
      </w:r>
      <w:r w:rsidR="00B1280A" w:rsidRPr="00354645">
        <w:rPr>
          <w:rFonts w:asciiTheme="minorHAnsi" w:hAnsiTheme="minorHAnsi" w:cstheme="minorHAnsi"/>
          <w:lang w:val="fr-FR"/>
        </w:rPr>
        <w:t>, et ce pendant une période prolongée,</w:t>
      </w:r>
      <w:r w:rsidR="00E5170B" w:rsidRPr="00354645">
        <w:rPr>
          <w:rFonts w:asciiTheme="minorHAnsi" w:hAnsiTheme="minorHAnsi" w:cstheme="minorHAnsi"/>
          <w:lang w:val="fr-FR"/>
        </w:rPr>
        <w:t xml:space="preserve"> </w:t>
      </w:r>
      <w:r w:rsidR="00B1280A" w:rsidRPr="00354645">
        <w:rPr>
          <w:rFonts w:asciiTheme="minorHAnsi" w:hAnsiTheme="minorHAnsi" w:cstheme="minorHAnsi"/>
          <w:lang w:val="fr-FR"/>
        </w:rPr>
        <w:t>pourrait nuire</w:t>
      </w:r>
      <w:r w:rsidR="00E5170B" w:rsidRPr="00354645">
        <w:rPr>
          <w:rFonts w:asciiTheme="minorHAnsi" w:hAnsiTheme="minorHAnsi" w:cstheme="minorHAnsi"/>
          <w:lang w:val="fr-FR"/>
        </w:rPr>
        <w:t xml:space="preserve"> à la qualité des résultats de ces réunions.</w:t>
      </w:r>
    </w:p>
    <w:p w14:paraId="6CE69A75" w14:textId="4F126C6E" w:rsidR="00B84478" w:rsidRPr="00354645" w:rsidRDefault="00E53C05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2.5</w:t>
      </w:r>
      <w:r w:rsidRPr="00354645">
        <w:rPr>
          <w:rFonts w:asciiTheme="minorHAnsi" w:hAnsiTheme="minorHAnsi" w:cstheme="minorHAnsi"/>
          <w:lang w:val="fr-FR"/>
        </w:rPr>
        <w:tab/>
      </w:r>
      <w:r w:rsidR="00FD76AB" w:rsidRPr="00354645">
        <w:rPr>
          <w:rFonts w:asciiTheme="minorHAnsi" w:hAnsiTheme="minorHAnsi" w:cstheme="minorHAnsi"/>
          <w:lang w:val="fr-FR"/>
        </w:rPr>
        <w:t xml:space="preserve">La </w:t>
      </w:r>
      <w:r w:rsidR="002063C4" w:rsidRPr="00354645">
        <w:rPr>
          <w:rFonts w:asciiTheme="minorHAnsi" w:hAnsiTheme="minorHAnsi" w:cstheme="minorHAnsi"/>
          <w:lang w:val="fr-FR"/>
        </w:rPr>
        <w:t>c</w:t>
      </w:r>
      <w:r w:rsidR="00FD76AB" w:rsidRPr="00354645">
        <w:rPr>
          <w:rFonts w:asciiTheme="minorHAnsi" w:hAnsiTheme="minorHAnsi" w:cstheme="minorHAnsi"/>
          <w:lang w:val="fr-FR"/>
        </w:rPr>
        <w:t>onseillère des États-Unis présente le Document C19-ADD/3 et déclare que bon nombre des préoccupations qui y sont soulevées au sujet de</w:t>
      </w:r>
      <w:r w:rsidR="00FD6351" w:rsidRPr="00354645">
        <w:rPr>
          <w:rFonts w:asciiTheme="minorHAnsi" w:hAnsiTheme="minorHAnsi" w:cstheme="minorHAnsi"/>
          <w:lang w:val="fr-FR"/>
        </w:rPr>
        <w:t>s</w:t>
      </w:r>
      <w:r w:rsidR="00FD76AB" w:rsidRPr="00354645">
        <w:rPr>
          <w:rFonts w:asciiTheme="minorHAnsi" w:hAnsiTheme="minorHAnsi" w:cstheme="minorHAnsi"/>
          <w:lang w:val="fr-FR"/>
        </w:rPr>
        <w:t xml:space="preserve"> impératif</w:t>
      </w:r>
      <w:r w:rsidR="00FD6351" w:rsidRPr="00354645">
        <w:rPr>
          <w:rFonts w:asciiTheme="minorHAnsi" w:hAnsiTheme="minorHAnsi" w:cstheme="minorHAnsi"/>
          <w:lang w:val="fr-FR"/>
        </w:rPr>
        <w:t>s</w:t>
      </w:r>
      <w:r w:rsidR="00FD76AB" w:rsidRPr="00354645">
        <w:rPr>
          <w:rFonts w:asciiTheme="minorHAnsi" w:hAnsiTheme="minorHAnsi" w:cstheme="minorHAnsi"/>
          <w:lang w:val="fr-FR"/>
        </w:rPr>
        <w:t xml:space="preserve"> de clarté, de transparence et de bonne planification financière ont été traitées dans les remarques liminaires du Secrétaire général et dans son rapport, reproduit dans le Document C19-ADD/2(Rév.1).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D13196" w:rsidRPr="00354645">
        <w:rPr>
          <w:rFonts w:asciiTheme="minorHAnsi" w:hAnsiTheme="minorHAnsi" w:cstheme="minorHAnsi"/>
          <w:lang w:val="fr-FR"/>
        </w:rPr>
        <w:t>Dans ce contexte, les États</w:t>
      </w:r>
      <w:r w:rsidR="002063C4" w:rsidRPr="00354645">
        <w:rPr>
          <w:rFonts w:asciiTheme="minorHAnsi" w:hAnsiTheme="minorHAnsi" w:cstheme="minorHAnsi"/>
          <w:lang w:val="fr-FR"/>
        </w:rPr>
        <w:noBreakHyphen/>
      </w:r>
      <w:r w:rsidR="00D13196" w:rsidRPr="00354645">
        <w:rPr>
          <w:rFonts w:asciiTheme="minorHAnsi" w:hAnsiTheme="minorHAnsi" w:cstheme="minorHAnsi"/>
          <w:lang w:val="fr-FR"/>
        </w:rPr>
        <w:t>Unis ont été parmi les premiers à proposer le projet de décision figurant dans le Document</w:t>
      </w:r>
      <w:r w:rsidR="009C35B2" w:rsidRPr="00354645">
        <w:rPr>
          <w:rFonts w:asciiTheme="minorHAnsi" w:hAnsiTheme="minorHAnsi" w:cstheme="minorHAnsi"/>
          <w:lang w:val="fr-FR"/>
        </w:rPr>
        <w:t> </w:t>
      </w:r>
      <w:r w:rsidR="00D13196" w:rsidRPr="00354645">
        <w:rPr>
          <w:rFonts w:asciiTheme="minorHAnsi" w:hAnsiTheme="minorHAnsi" w:cstheme="minorHAnsi"/>
          <w:lang w:val="fr-FR"/>
        </w:rPr>
        <w:t>C19-ADD/4.</w:t>
      </w:r>
    </w:p>
    <w:p w14:paraId="65C0699F" w14:textId="161CEF68" w:rsidR="00AB0987" w:rsidRPr="00354645" w:rsidRDefault="007820A0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2.6</w:t>
      </w:r>
      <w:r w:rsidRPr="00354645">
        <w:rPr>
          <w:rFonts w:asciiTheme="minorHAnsi" w:hAnsiTheme="minorHAnsi" w:cstheme="minorHAnsi"/>
          <w:lang w:val="fr-FR"/>
        </w:rPr>
        <w:tab/>
      </w:r>
      <w:r w:rsidR="00CE5C2B" w:rsidRPr="00354645">
        <w:rPr>
          <w:rFonts w:asciiTheme="minorHAnsi" w:hAnsiTheme="minorHAnsi" w:cstheme="minorHAnsi"/>
          <w:lang w:val="fr-FR"/>
        </w:rPr>
        <w:t>Le Président du Groupe MSAG indique que le groupe s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CE5C2B" w:rsidRPr="00354645">
        <w:rPr>
          <w:rFonts w:asciiTheme="minorHAnsi" w:hAnsiTheme="minorHAnsi" w:cstheme="minorHAnsi"/>
          <w:lang w:val="fr-FR"/>
        </w:rPr>
        <w:t>est réuni le 19 septembre 2019 pour examiner le Document C19-ADD/2(Rév.1).</w:t>
      </w:r>
      <w:r w:rsidR="00FD6351" w:rsidRPr="00354645">
        <w:rPr>
          <w:rFonts w:asciiTheme="minorHAnsi" w:hAnsiTheme="minorHAnsi" w:cstheme="minorHAnsi"/>
          <w:lang w:val="fr-FR"/>
        </w:rPr>
        <w:t xml:space="preserve"> </w:t>
      </w:r>
      <w:r w:rsidR="00060BC7" w:rsidRPr="00354645">
        <w:rPr>
          <w:rFonts w:asciiTheme="minorHAnsi" w:hAnsiTheme="minorHAnsi" w:cstheme="minorHAnsi"/>
          <w:lang w:val="fr-FR"/>
        </w:rPr>
        <w:t>Il a conclu que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060BC7" w:rsidRPr="00354645">
        <w:rPr>
          <w:rFonts w:asciiTheme="minorHAnsi" w:hAnsiTheme="minorHAnsi" w:cstheme="minorHAnsi"/>
          <w:lang w:val="fr-FR"/>
        </w:rPr>
        <w:t>avenir de la salle Popov était une question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060BC7" w:rsidRPr="00354645">
        <w:rPr>
          <w:rFonts w:asciiTheme="minorHAnsi" w:hAnsiTheme="minorHAnsi" w:cstheme="minorHAnsi"/>
          <w:lang w:val="fr-FR"/>
        </w:rPr>
        <w:t xml:space="preserve">ordre politique qui devait être résolue par la Fédération de Russie et le </w:t>
      </w:r>
      <w:r w:rsidR="00FD6351" w:rsidRPr="00354645">
        <w:rPr>
          <w:rFonts w:asciiTheme="minorHAnsi" w:hAnsiTheme="minorHAnsi" w:cstheme="minorHAnsi"/>
          <w:lang w:val="fr-FR"/>
        </w:rPr>
        <w:t>secrétariat</w:t>
      </w:r>
      <w:r w:rsidR="00060BC7" w:rsidRPr="00354645">
        <w:rPr>
          <w:rFonts w:asciiTheme="minorHAnsi" w:hAnsiTheme="minorHAnsi" w:cstheme="minorHAnsi"/>
          <w:lang w:val="fr-FR"/>
        </w:rPr>
        <w:t xml:space="preserve"> (la vente de la Tour n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060BC7" w:rsidRPr="00354645">
        <w:rPr>
          <w:rFonts w:asciiTheme="minorHAnsi" w:hAnsiTheme="minorHAnsi" w:cstheme="minorHAnsi"/>
          <w:lang w:val="fr-FR"/>
        </w:rPr>
        <w:t>a</w:t>
      </w:r>
      <w:r w:rsidR="002063C4" w:rsidRPr="00354645">
        <w:rPr>
          <w:rFonts w:asciiTheme="minorHAnsi" w:hAnsiTheme="minorHAnsi" w:cstheme="minorHAnsi"/>
          <w:lang w:val="fr-FR"/>
        </w:rPr>
        <w:t xml:space="preserve"> </w:t>
      </w:r>
      <w:r w:rsidR="00060BC7" w:rsidRPr="00354645">
        <w:rPr>
          <w:rFonts w:asciiTheme="minorHAnsi" w:hAnsiTheme="minorHAnsi" w:cstheme="minorHAnsi"/>
          <w:lang w:val="fr-FR"/>
        </w:rPr>
        <w:t>pas été prise en compte dans le financement du projet étant donné que, conformément à la Résolution 212 (Dubaï, 2018)</w:t>
      </w:r>
      <w:r w:rsidR="00FD6351" w:rsidRPr="00354645">
        <w:rPr>
          <w:rFonts w:asciiTheme="minorHAnsi" w:hAnsiTheme="minorHAnsi" w:cstheme="minorHAnsi"/>
          <w:lang w:val="fr-FR"/>
        </w:rPr>
        <w:t xml:space="preserve"> de la Conférence de plénipotentiaires</w:t>
      </w:r>
      <w:r w:rsidR="00060BC7" w:rsidRPr="00354645">
        <w:rPr>
          <w:rFonts w:asciiTheme="minorHAnsi" w:hAnsiTheme="minorHAnsi" w:cstheme="minorHAnsi"/>
          <w:lang w:val="fr-FR"/>
        </w:rPr>
        <w:t xml:space="preserve">, les produits tirés de la vente de la Tour seront utilisés pour rembourser </w:t>
      </w:r>
      <w:r w:rsidR="00FD6351" w:rsidRPr="00354645">
        <w:rPr>
          <w:rFonts w:asciiTheme="minorHAnsi" w:hAnsiTheme="minorHAnsi" w:cstheme="minorHAnsi"/>
          <w:lang w:val="fr-FR"/>
        </w:rPr>
        <w:t>l'emprunt contracté auprès du</w:t>
      </w:r>
      <w:r w:rsidR="00060BC7" w:rsidRPr="00354645">
        <w:rPr>
          <w:rFonts w:asciiTheme="minorHAnsi" w:hAnsiTheme="minorHAnsi" w:cstheme="minorHAnsi"/>
          <w:lang w:val="fr-FR"/>
        </w:rPr>
        <w:t xml:space="preserve"> </w:t>
      </w:r>
      <w:r w:rsidR="004509D1" w:rsidRPr="00354645">
        <w:rPr>
          <w:rFonts w:asciiTheme="minorHAnsi" w:hAnsiTheme="minorHAnsi" w:cstheme="minorHAnsi"/>
          <w:lang w:val="fr-FR"/>
        </w:rPr>
        <w:t xml:space="preserve">Gouvernement </w:t>
      </w:r>
      <w:r w:rsidR="00060BC7" w:rsidRPr="00354645">
        <w:rPr>
          <w:rFonts w:asciiTheme="minorHAnsi" w:hAnsiTheme="minorHAnsi" w:cstheme="minorHAnsi"/>
          <w:lang w:val="fr-FR"/>
        </w:rPr>
        <w:t>suisse dès que possible).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164D45" w:rsidRPr="00354645">
        <w:rPr>
          <w:rFonts w:asciiTheme="minorHAnsi" w:hAnsiTheme="minorHAnsi" w:cstheme="minorHAnsi"/>
          <w:lang w:val="fr-FR"/>
        </w:rPr>
        <w:t xml:space="preserve">Le Groupe MSAG a également conclu que le projet de locaux du siège était stable, le </w:t>
      </w:r>
      <w:r w:rsidR="002063C4" w:rsidRPr="00354645">
        <w:rPr>
          <w:rFonts w:asciiTheme="minorHAnsi" w:hAnsiTheme="minorHAnsi" w:cstheme="minorHAnsi"/>
          <w:lang w:val="fr-FR"/>
        </w:rPr>
        <w:t xml:space="preserve">coût </w:t>
      </w:r>
      <w:r w:rsidR="00164D45" w:rsidRPr="00354645">
        <w:rPr>
          <w:rFonts w:asciiTheme="minorHAnsi" w:hAnsiTheme="minorHAnsi" w:cstheme="minorHAnsi"/>
          <w:lang w:val="fr-FR"/>
        </w:rPr>
        <w:t>estimé s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164D45" w:rsidRPr="00354645">
        <w:rPr>
          <w:rFonts w:asciiTheme="minorHAnsi" w:hAnsiTheme="minorHAnsi" w:cstheme="minorHAnsi"/>
          <w:lang w:val="fr-FR"/>
        </w:rPr>
        <w:t>élevant à 170 millions CHF.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19195A" w:rsidRPr="00354645">
        <w:rPr>
          <w:rFonts w:asciiTheme="minorHAnsi" w:hAnsiTheme="minorHAnsi" w:cstheme="minorHAnsi"/>
          <w:lang w:val="fr-FR"/>
        </w:rPr>
        <w:t>Il a pris note du fait que le Registre des risques ne tenait pas compte du scénario le plus défavorable du point de vue financier. À la suite de consultations, un montant de 12,6 millions CHF a été estimé pour ce scénario.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ED2F68" w:rsidRPr="00354645">
        <w:rPr>
          <w:rFonts w:asciiTheme="minorHAnsi" w:hAnsiTheme="minorHAnsi" w:cstheme="minorHAnsi"/>
          <w:lang w:val="fr-FR"/>
        </w:rPr>
        <w:t>Ce montant p</w:t>
      </w:r>
      <w:r w:rsidR="00FD6351" w:rsidRPr="00354645">
        <w:rPr>
          <w:rFonts w:asciiTheme="minorHAnsi" w:hAnsiTheme="minorHAnsi" w:cstheme="minorHAnsi"/>
          <w:lang w:val="fr-FR"/>
        </w:rPr>
        <w:t>eu</w:t>
      </w:r>
      <w:r w:rsidR="00ED2F68" w:rsidRPr="00354645">
        <w:rPr>
          <w:rFonts w:asciiTheme="minorHAnsi" w:hAnsiTheme="minorHAnsi" w:cstheme="minorHAnsi"/>
          <w:lang w:val="fr-FR"/>
        </w:rPr>
        <w:t xml:space="preserve">t être revu à la hausse, </w:t>
      </w:r>
      <w:r w:rsidR="00FD6351" w:rsidRPr="00354645">
        <w:rPr>
          <w:rFonts w:asciiTheme="minorHAnsi" w:hAnsiTheme="minorHAnsi" w:cstheme="minorHAnsi"/>
          <w:lang w:val="fr-FR"/>
        </w:rPr>
        <w:t>conformément aux</w:t>
      </w:r>
      <w:r w:rsidR="00ED2F68" w:rsidRPr="00354645">
        <w:rPr>
          <w:rFonts w:asciiTheme="minorHAnsi" w:hAnsiTheme="minorHAnsi" w:cstheme="minorHAnsi"/>
          <w:lang w:val="fr-FR"/>
        </w:rPr>
        <w:t xml:space="preserve"> Règles financières et </w:t>
      </w:r>
      <w:r w:rsidR="00FD6351" w:rsidRPr="00354645">
        <w:rPr>
          <w:rFonts w:asciiTheme="minorHAnsi" w:hAnsiTheme="minorHAnsi" w:cstheme="minorHAnsi"/>
          <w:lang w:val="fr-FR"/>
        </w:rPr>
        <w:t>a</w:t>
      </w:r>
      <w:r w:rsidR="00ED2F68" w:rsidRPr="00354645">
        <w:rPr>
          <w:rFonts w:asciiTheme="minorHAnsi" w:hAnsiTheme="minorHAnsi" w:cstheme="minorHAnsi"/>
          <w:lang w:val="fr-FR"/>
        </w:rPr>
        <w:t xml:space="preserve">u Règlement financier, soit en utilisant les économies, soit en faisant un </w:t>
      </w:r>
      <w:r w:rsidR="00FD6351" w:rsidRPr="00354645">
        <w:rPr>
          <w:rFonts w:asciiTheme="minorHAnsi" w:hAnsiTheme="minorHAnsi" w:cstheme="minorHAnsi"/>
          <w:lang w:val="fr-FR"/>
        </w:rPr>
        <w:t>prélèvement</w:t>
      </w:r>
      <w:r w:rsidR="00ED2F68" w:rsidRPr="00354645">
        <w:rPr>
          <w:rFonts w:asciiTheme="minorHAnsi" w:hAnsiTheme="minorHAnsi" w:cstheme="minorHAnsi"/>
          <w:lang w:val="fr-FR"/>
        </w:rPr>
        <w:t xml:space="preserve"> sur le Fonds de Réserve, soit en associant </w:t>
      </w:r>
      <w:r w:rsidR="00FD6351" w:rsidRPr="00354645">
        <w:rPr>
          <w:rFonts w:asciiTheme="minorHAnsi" w:hAnsiTheme="minorHAnsi" w:cstheme="minorHAnsi"/>
          <w:lang w:val="fr-FR"/>
        </w:rPr>
        <w:t>c</w:t>
      </w:r>
      <w:r w:rsidR="00ED2F68" w:rsidRPr="00354645">
        <w:rPr>
          <w:rFonts w:asciiTheme="minorHAnsi" w:hAnsiTheme="minorHAnsi" w:cstheme="minorHAnsi"/>
          <w:lang w:val="fr-FR"/>
        </w:rPr>
        <w:t>es deux solutions. Le Groupe MSAG a estimé qu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ED2F68" w:rsidRPr="00354645">
        <w:rPr>
          <w:rFonts w:asciiTheme="minorHAnsi" w:hAnsiTheme="minorHAnsi" w:cstheme="minorHAnsi"/>
          <w:lang w:val="fr-FR"/>
        </w:rPr>
        <w:t>il n</w:t>
      </w:r>
      <w:r w:rsidR="00FD6351" w:rsidRPr="00354645">
        <w:rPr>
          <w:rFonts w:asciiTheme="minorHAnsi" w:hAnsiTheme="minorHAnsi" w:cstheme="minorHAnsi"/>
          <w:lang w:val="fr-FR"/>
        </w:rPr>
        <w:t>'</w:t>
      </w:r>
      <w:r w:rsidR="00ED2F68" w:rsidRPr="00354645">
        <w:rPr>
          <w:rFonts w:asciiTheme="minorHAnsi" w:hAnsiTheme="minorHAnsi" w:cstheme="minorHAnsi"/>
          <w:lang w:val="fr-FR"/>
        </w:rPr>
        <w:t xml:space="preserve">était pas envisageable </w:t>
      </w:r>
      <w:r w:rsidR="002063C4" w:rsidRPr="00354645">
        <w:rPr>
          <w:rFonts w:asciiTheme="minorHAnsi" w:hAnsiTheme="minorHAnsi" w:cstheme="minorHAnsi"/>
          <w:lang w:val="fr-FR"/>
        </w:rPr>
        <w:t xml:space="preserve">de chercher à </w:t>
      </w:r>
      <w:r w:rsidR="00ED2F68" w:rsidRPr="00354645">
        <w:rPr>
          <w:rFonts w:asciiTheme="minorHAnsi" w:hAnsiTheme="minorHAnsi" w:cstheme="minorHAnsi"/>
          <w:lang w:val="fr-FR"/>
        </w:rPr>
        <w:t>accroître les contributions des États Membres pour couvrir ce montant.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142722" w:rsidRPr="00354645">
        <w:rPr>
          <w:rFonts w:asciiTheme="minorHAnsi" w:hAnsiTheme="minorHAnsi" w:cstheme="minorHAnsi"/>
          <w:lang w:val="fr-FR"/>
        </w:rPr>
        <w:t xml:space="preserve">Certains membres du Groupe MSAG ont fait remarquer que les coûts indirects du projet comprenaient un montant de 1,07 million CHF </w:t>
      </w:r>
      <w:r w:rsidR="00FD6351" w:rsidRPr="00354645">
        <w:rPr>
          <w:rFonts w:asciiTheme="minorHAnsi" w:hAnsiTheme="minorHAnsi" w:cstheme="minorHAnsi"/>
          <w:lang w:val="fr-FR"/>
        </w:rPr>
        <w:t>affecté à</w:t>
      </w:r>
      <w:r w:rsidR="00142722" w:rsidRPr="00354645">
        <w:rPr>
          <w:rFonts w:asciiTheme="minorHAnsi" w:hAnsiTheme="minorHAnsi" w:cstheme="minorHAnsi"/>
          <w:lang w:val="fr-FR"/>
        </w:rPr>
        <w:t xml:space="preserve"> la mise en place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142722" w:rsidRPr="00354645">
        <w:rPr>
          <w:rFonts w:asciiTheme="minorHAnsi" w:hAnsiTheme="minorHAnsi" w:cstheme="minorHAnsi"/>
          <w:lang w:val="fr-FR"/>
        </w:rPr>
        <w:t xml:space="preserve">un environnement </w:t>
      </w:r>
      <w:r w:rsidR="00FD6351" w:rsidRPr="00354645">
        <w:rPr>
          <w:rFonts w:asciiTheme="minorHAnsi" w:hAnsiTheme="minorHAnsi" w:cstheme="minorHAnsi"/>
          <w:lang w:val="fr-FR"/>
        </w:rPr>
        <w:t xml:space="preserve">de travail </w:t>
      </w:r>
      <w:r w:rsidR="00142722" w:rsidRPr="00354645">
        <w:rPr>
          <w:rFonts w:asciiTheme="minorHAnsi" w:hAnsiTheme="minorHAnsi" w:cstheme="minorHAnsi"/>
          <w:lang w:val="fr-FR"/>
        </w:rPr>
        <w:t xml:space="preserve">sans papier et ont indiqué </w:t>
      </w:r>
      <w:r w:rsidR="00FD6351" w:rsidRPr="00354645">
        <w:rPr>
          <w:rFonts w:asciiTheme="minorHAnsi" w:hAnsiTheme="minorHAnsi" w:cstheme="minorHAnsi"/>
          <w:lang w:val="fr-FR"/>
        </w:rPr>
        <w:t>que</w:t>
      </w:r>
      <w:r w:rsidR="00142722" w:rsidRPr="00354645">
        <w:rPr>
          <w:rFonts w:asciiTheme="minorHAnsi" w:hAnsiTheme="minorHAnsi" w:cstheme="minorHAnsi"/>
          <w:lang w:val="fr-FR"/>
        </w:rPr>
        <w:t xml:space="preserve"> cette tâche </w:t>
      </w:r>
      <w:r w:rsidR="00FD6351" w:rsidRPr="00354645">
        <w:rPr>
          <w:rFonts w:asciiTheme="minorHAnsi" w:hAnsiTheme="minorHAnsi" w:cstheme="minorHAnsi"/>
          <w:lang w:val="fr-FR"/>
        </w:rPr>
        <w:t xml:space="preserve">était </w:t>
      </w:r>
      <w:r w:rsidR="00142722" w:rsidRPr="00354645">
        <w:rPr>
          <w:rFonts w:asciiTheme="minorHAnsi" w:hAnsiTheme="minorHAnsi" w:cstheme="minorHAnsi"/>
          <w:lang w:val="fr-FR"/>
        </w:rPr>
        <w:t>indépendante du projet.</w:t>
      </w:r>
      <w:r w:rsidR="00DE15A8" w:rsidRPr="00354645">
        <w:rPr>
          <w:rFonts w:asciiTheme="minorHAnsi" w:hAnsiTheme="minorHAnsi" w:cstheme="minorHAnsi"/>
          <w:spacing w:val="-2"/>
          <w:lang w:val="fr-FR"/>
        </w:rPr>
        <w:t xml:space="preserve"> </w:t>
      </w:r>
      <w:r w:rsidR="00BF0B90" w:rsidRPr="00354645">
        <w:rPr>
          <w:rFonts w:asciiTheme="minorHAnsi" w:hAnsiTheme="minorHAnsi" w:cstheme="minorHAnsi"/>
          <w:spacing w:val="-2"/>
          <w:lang w:val="fr-FR"/>
        </w:rPr>
        <w:t>Le Groupe MSAG a néanmoins décidé de conserver ce montant dans le cadre de la proposition de projet, étant donné qu</w:t>
      </w:r>
      <w:r w:rsidR="000A02F4" w:rsidRPr="00354645">
        <w:rPr>
          <w:rFonts w:asciiTheme="minorHAnsi" w:hAnsiTheme="minorHAnsi" w:cstheme="minorHAnsi"/>
          <w:spacing w:val="-2"/>
          <w:lang w:val="fr-FR"/>
        </w:rPr>
        <w:t>'</w:t>
      </w:r>
      <w:r w:rsidR="00BF0B90" w:rsidRPr="00354645">
        <w:rPr>
          <w:rFonts w:asciiTheme="minorHAnsi" w:hAnsiTheme="minorHAnsi" w:cstheme="minorHAnsi"/>
          <w:spacing w:val="-2"/>
          <w:lang w:val="fr-FR"/>
        </w:rPr>
        <w:t>aucun montant correspondant n</w:t>
      </w:r>
      <w:r w:rsidR="000A02F4" w:rsidRPr="00354645">
        <w:rPr>
          <w:rFonts w:asciiTheme="minorHAnsi" w:hAnsiTheme="minorHAnsi" w:cstheme="minorHAnsi"/>
          <w:spacing w:val="-2"/>
          <w:lang w:val="fr-FR"/>
        </w:rPr>
        <w:t>'</w:t>
      </w:r>
      <w:r w:rsidR="00BF0B90" w:rsidRPr="00354645">
        <w:rPr>
          <w:rFonts w:asciiTheme="minorHAnsi" w:hAnsiTheme="minorHAnsi" w:cstheme="minorHAnsi"/>
          <w:spacing w:val="-2"/>
          <w:lang w:val="fr-FR"/>
        </w:rPr>
        <w:t xml:space="preserve">a été </w:t>
      </w:r>
      <w:r w:rsidR="00FD6351" w:rsidRPr="00354645">
        <w:rPr>
          <w:rFonts w:asciiTheme="minorHAnsi" w:hAnsiTheme="minorHAnsi" w:cstheme="minorHAnsi"/>
          <w:spacing w:val="-2"/>
          <w:lang w:val="fr-FR"/>
        </w:rPr>
        <w:t>affecté</w:t>
      </w:r>
      <w:r w:rsidR="00BF0B90" w:rsidRPr="00354645">
        <w:rPr>
          <w:rFonts w:asciiTheme="minorHAnsi" w:hAnsiTheme="minorHAnsi" w:cstheme="minorHAnsi"/>
          <w:spacing w:val="-2"/>
          <w:lang w:val="fr-FR"/>
        </w:rPr>
        <w:t xml:space="preserve"> dans le plan financier pour la période 2020-2023 et que la numérisation de tous les documents papier aura été effectuée d</w:t>
      </w:r>
      <w:r w:rsidR="000A02F4" w:rsidRPr="00354645">
        <w:rPr>
          <w:rFonts w:asciiTheme="minorHAnsi" w:hAnsiTheme="minorHAnsi" w:cstheme="minorHAnsi"/>
          <w:spacing w:val="-2"/>
          <w:lang w:val="fr-FR"/>
        </w:rPr>
        <w:t>'</w:t>
      </w:r>
      <w:r w:rsidR="00BF0B90" w:rsidRPr="00354645">
        <w:rPr>
          <w:rFonts w:asciiTheme="minorHAnsi" w:hAnsiTheme="minorHAnsi" w:cstheme="minorHAnsi"/>
          <w:spacing w:val="-2"/>
          <w:lang w:val="fr-FR"/>
        </w:rPr>
        <w:t>ici à 2022, au moment de la démolition du bâtiment Varembé.</w:t>
      </w:r>
    </w:p>
    <w:p w14:paraId="21A0E0FD" w14:textId="48B2D723" w:rsidR="00DA4B77" w:rsidRPr="00354645" w:rsidRDefault="006A4A26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2.7</w:t>
      </w:r>
      <w:r w:rsidRPr="00354645">
        <w:rPr>
          <w:rFonts w:asciiTheme="minorHAnsi" w:hAnsiTheme="minorHAnsi" w:cstheme="minorHAnsi"/>
          <w:lang w:val="fr-FR"/>
        </w:rPr>
        <w:tab/>
      </w:r>
      <w:r w:rsidR="003F6AC5" w:rsidRPr="00354645">
        <w:rPr>
          <w:rFonts w:asciiTheme="minorHAnsi" w:hAnsiTheme="minorHAnsi" w:cstheme="minorHAnsi"/>
          <w:lang w:val="fr-FR"/>
        </w:rPr>
        <w:t>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3F6AC5" w:rsidRPr="00354645">
        <w:rPr>
          <w:rFonts w:asciiTheme="minorHAnsi" w:hAnsiTheme="minorHAnsi" w:cstheme="minorHAnsi"/>
          <w:lang w:val="fr-FR"/>
        </w:rPr>
        <w:t>une manière générale, plusieurs conseillers se disent favorables à la proposition du secrétariat et expriment leurs remerciements au secrétariat et au Groupe MSAG pour les travaux qu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3F6AC5" w:rsidRPr="00354645">
        <w:rPr>
          <w:rFonts w:asciiTheme="minorHAnsi" w:hAnsiTheme="minorHAnsi" w:cstheme="minorHAnsi"/>
          <w:lang w:val="fr-FR"/>
        </w:rPr>
        <w:t>ils ont menés</w:t>
      </w:r>
      <w:r w:rsidR="00FD6351" w:rsidRPr="00354645">
        <w:rPr>
          <w:rFonts w:asciiTheme="minorHAnsi" w:hAnsiTheme="minorHAnsi" w:cstheme="minorHAnsi"/>
          <w:lang w:val="fr-FR"/>
        </w:rPr>
        <w:t xml:space="preserve"> à bien</w:t>
      </w:r>
      <w:r w:rsidR="003F6AC5" w:rsidRPr="00354645">
        <w:rPr>
          <w:rFonts w:asciiTheme="minorHAnsi" w:hAnsiTheme="minorHAnsi" w:cstheme="minorHAnsi"/>
          <w:lang w:val="fr-FR"/>
        </w:rPr>
        <w:t xml:space="preserve"> depuis la session de juin du Conseil, notamment en vue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3F6AC5" w:rsidRPr="00354645">
        <w:rPr>
          <w:rFonts w:asciiTheme="minorHAnsi" w:hAnsiTheme="minorHAnsi" w:cstheme="minorHAnsi"/>
          <w:lang w:val="fr-FR"/>
        </w:rPr>
        <w:t>élaborer le Document C19-ADD/2(Rév.1).</w:t>
      </w:r>
    </w:p>
    <w:p w14:paraId="33E416CA" w14:textId="70DB0EF3" w:rsidR="00DA4B77" w:rsidRPr="00354645" w:rsidRDefault="00CE73BF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2.8</w:t>
      </w:r>
      <w:r w:rsidRPr="00354645">
        <w:rPr>
          <w:rFonts w:asciiTheme="minorHAnsi" w:hAnsiTheme="minorHAnsi" w:cstheme="minorHAnsi"/>
          <w:lang w:val="fr-FR"/>
        </w:rPr>
        <w:tab/>
      </w:r>
      <w:r w:rsidR="00005C1D" w:rsidRPr="00354645">
        <w:rPr>
          <w:rFonts w:asciiTheme="minorHAnsi" w:hAnsiTheme="minorHAnsi" w:cstheme="minorHAnsi"/>
          <w:lang w:val="fr-FR"/>
        </w:rPr>
        <w:t>Un conseiller suggère qu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005C1D" w:rsidRPr="00354645">
        <w:rPr>
          <w:rFonts w:asciiTheme="minorHAnsi" w:hAnsiTheme="minorHAnsi" w:cstheme="minorHAnsi"/>
          <w:lang w:val="fr-FR"/>
        </w:rPr>
        <w:t>il pourrait y avoir de meilleures solutions pour réaliser des économies plutôt que de supprimer certains aspects du projet liés à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005C1D" w:rsidRPr="00354645">
        <w:rPr>
          <w:rFonts w:asciiTheme="minorHAnsi" w:hAnsiTheme="minorHAnsi" w:cstheme="minorHAnsi"/>
          <w:lang w:val="fr-FR"/>
        </w:rPr>
        <w:t>écologie, comme la récupération des eaux grises.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4C23F2" w:rsidRPr="00354645">
        <w:rPr>
          <w:rFonts w:asciiTheme="minorHAnsi" w:hAnsiTheme="minorHAnsi" w:cstheme="minorHAnsi"/>
          <w:lang w:val="fr-FR"/>
        </w:rPr>
        <w:t xml:space="preserve">Un autre conseiller souligne la nécessité de mettre en place un </w:t>
      </w:r>
      <w:r w:rsidR="004C23F2" w:rsidRPr="00354645">
        <w:rPr>
          <w:rFonts w:asciiTheme="minorHAnsi" w:hAnsiTheme="minorHAnsi" w:cstheme="minorHAnsi"/>
          <w:lang w:val="fr-FR"/>
        </w:rPr>
        <w:lastRenderedPageBreak/>
        <w:t>mécanisme de suivi du projet.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CD6CF2" w:rsidRPr="00354645">
        <w:rPr>
          <w:rFonts w:asciiTheme="minorHAnsi" w:hAnsiTheme="minorHAnsi" w:cstheme="minorHAnsi"/>
          <w:lang w:val="fr-FR"/>
        </w:rPr>
        <w:t>Un troisième conseiller fait part de ses préoccupations quant aux conditions de travail du personnel de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CD6CF2" w:rsidRPr="00354645">
        <w:rPr>
          <w:rFonts w:asciiTheme="minorHAnsi" w:hAnsiTheme="minorHAnsi" w:cstheme="minorHAnsi"/>
          <w:lang w:val="fr-FR"/>
        </w:rPr>
        <w:t>UIT pendant la phase de construction du nouveau bâtiment.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FD6351" w:rsidRPr="00354645">
        <w:rPr>
          <w:rFonts w:asciiTheme="minorHAnsi" w:hAnsiTheme="minorHAnsi" w:cstheme="minorHAnsi"/>
          <w:lang w:val="fr-FR"/>
        </w:rPr>
        <w:t>I</w:t>
      </w:r>
      <w:r w:rsidR="00040643" w:rsidRPr="00354645">
        <w:rPr>
          <w:rFonts w:asciiTheme="minorHAnsi" w:hAnsiTheme="minorHAnsi" w:cstheme="minorHAnsi"/>
          <w:lang w:val="fr-FR"/>
        </w:rPr>
        <w:t xml:space="preserve">l demande si les conditions liées à la santé et à la sécurité seront respectées si le personnel est relogé temporairement dans le bâtiment Montbrillant et dans la Tour selon les </w:t>
      </w:r>
      <w:r w:rsidR="00FD6351" w:rsidRPr="00354645">
        <w:rPr>
          <w:rFonts w:asciiTheme="minorHAnsi" w:hAnsiTheme="minorHAnsi" w:cstheme="minorHAnsi"/>
          <w:lang w:val="fr-FR"/>
        </w:rPr>
        <w:t>chiffres</w:t>
      </w:r>
      <w:r w:rsidR="00040643" w:rsidRPr="00354645">
        <w:rPr>
          <w:rFonts w:asciiTheme="minorHAnsi" w:hAnsiTheme="minorHAnsi" w:cstheme="minorHAnsi"/>
          <w:lang w:val="fr-FR"/>
        </w:rPr>
        <w:t xml:space="preserve"> indiqués, et s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040643" w:rsidRPr="00354645">
        <w:rPr>
          <w:rFonts w:asciiTheme="minorHAnsi" w:hAnsiTheme="minorHAnsi" w:cstheme="minorHAnsi"/>
          <w:lang w:val="fr-FR"/>
        </w:rPr>
        <w:t>il est prévu de mettre en place une organisation en espace ouvert dans le bâtiment Montbrillant.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FD6351" w:rsidRPr="00354645">
        <w:rPr>
          <w:rFonts w:asciiTheme="minorHAnsi" w:hAnsiTheme="minorHAnsi" w:cstheme="minorHAnsi"/>
          <w:lang w:val="fr-FR"/>
        </w:rPr>
        <w:t>L</w:t>
      </w:r>
      <w:r w:rsidR="00ED3B63" w:rsidRPr="00354645">
        <w:rPr>
          <w:rFonts w:asciiTheme="minorHAnsi" w:hAnsiTheme="minorHAnsi" w:cstheme="minorHAnsi"/>
          <w:lang w:val="fr-FR"/>
        </w:rPr>
        <w:t>es coûts indirects dont il est question dans le § 4.4 du Document C19-ADD/2(Rév.1), notamment en ce qui concerne le personnel de sécurité et les consultants, sont également un</w:t>
      </w:r>
      <w:r w:rsidR="002063C4" w:rsidRPr="00354645">
        <w:rPr>
          <w:rFonts w:asciiTheme="minorHAnsi" w:hAnsiTheme="minorHAnsi" w:cstheme="minorHAnsi"/>
          <w:lang w:val="fr-FR"/>
        </w:rPr>
        <w:t>e</w:t>
      </w:r>
      <w:r w:rsidR="00ED3B63" w:rsidRPr="00354645">
        <w:rPr>
          <w:rFonts w:asciiTheme="minorHAnsi" w:hAnsiTheme="minorHAnsi" w:cstheme="minorHAnsi"/>
          <w:lang w:val="fr-FR"/>
        </w:rPr>
        <w:t xml:space="preserve"> source de préoccupations.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963FD6" w:rsidRPr="00354645">
        <w:rPr>
          <w:rFonts w:asciiTheme="minorHAnsi" w:hAnsiTheme="minorHAnsi" w:cstheme="minorHAnsi"/>
          <w:lang w:val="fr-FR"/>
        </w:rPr>
        <w:t>Il est à espérer que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963FD6" w:rsidRPr="00354645">
        <w:rPr>
          <w:rFonts w:asciiTheme="minorHAnsi" w:hAnsiTheme="minorHAnsi" w:cstheme="minorHAnsi"/>
          <w:lang w:val="fr-FR"/>
        </w:rPr>
        <w:t>UIT ne fera pas appel à des consultants</w:t>
      </w:r>
      <w:r w:rsidR="00FD6351" w:rsidRPr="00354645">
        <w:rPr>
          <w:rFonts w:asciiTheme="minorHAnsi" w:hAnsiTheme="minorHAnsi" w:cstheme="minorHAnsi"/>
          <w:lang w:val="fr-FR"/>
        </w:rPr>
        <w:t xml:space="preserve"> lorsqu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963FD6" w:rsidRPr="00354645">
        <w:rPr>
          <w:rFonts w:asciiTheme="minorHAnsi" w:hAnsiTheme="minorHAnsi" w:cstheme="minorHAnsi"/>
          <w:lang w:val="fr-FR"/>
        </w:rPr>
        <w:t>elle dispose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963FD6" w:rsidRPr="00354645">
        <w:rPr>
          <w:rFonts w:asciiTheme="minorHAnsi" w:hAnsiTheme="minorHAnsi" w:cstheme="minorHAnsi"/>
          <w:lang w:val="fr-FR"/>
        </w:rPr>
        <w:t>un personnel qualifié.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2541E4" w:rsidRPr="00354645">
        <w:rPr>
          <w:rFonts w:asciiTheme="minorHAnsi" w:hAnsiTheme="minorHAnsi" w:cstheme="minorHAnsi"/>
          <w:lang w:val="fr-FR"/>
        </w:rPr>
        <w:t xml:space="preserve">Le </w:t>
      </w:r>
      <w:r w:rsidR="002063C4" w:rsidRPr="00354645">
        <w:rPr>
          <w:rFonts w:asciiTheme="minorHAnsi" w:hAnsiTheme="minorHAnsi" w:cstheme="minorHAnsi"/>
          <w:lang w:val="fr-FR"/>
        </w:rPr>
        <w:t>c</w:t>
      </w:r>
      <w:r w:rsidR="002541E4" w:rsidRPr="00354645">
        <w:rPr>
          <w:rFonts w:asciiTheme="minorHAnsi" w:hAnsiTheme="minorHAnsi" w:cstheme="minorHAnsi"/>
          <w:lang w:val="fr-FR"/>
        </w:rPr>
        <w:t xml:space="preserve">onseiller </w:t>
      </w:r>
      <w:r w:rsidR="00FD6351" w:rsidRPr="00354645">
        <w:rPr>
          <w:rFonts w:asciiTheme="minorHAnsi" w:hAnsiTheme="minorHAnsi" w:cstheme="minorHAnsi"/>
          <w:lang w:val="fr-FR"/>
        </w:rPr>
        <w:t>exprime des doutes quant aux</w:t>
      </w:r>
      <w:r w:rsidR="002541E4" w:rsidRPr="00354645">
        <w:rPr>
          <w:rFonts w:asciiTheme="minorHAnsi" w:hAnsiTheme="minorHAnsi" w:cstheme="minorHAnsi"/>
          <w:lang w:val="fr-FR"/>
        </w:rPr>
        <w:t xml:space="preserve"> montants alloués pour la numérisation des documents.</w:t>
      </w:r>
    </w:p>
    <w:p w14:paraId="504B04CB" w14:textId="797DF018" w:rsidR="00CE73BF" w:rsidRPr="00354645" w:rsidRDefault="002F6963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2.9</w:t>
      </w:r>
      <w:r w:rsidRPr="00354645">
        <w:rPr>
          <w:rFonts w:asciiTheme="minorHAnsi" w:hAnsiTheme="minorHAnsi" w:cstheme="minorHAnsi"/>
          <w:lang w:val="fr-FR"/>
        </w:rPr>
        <w:tab/>
      </w:r>
      <w:r w:rsidR="00C5620F" w:rsidRPr="00354645">
        <w:rPr>
          <w:rFonts w:asciiTheme="minorHAnsi" w:hAnsiTheme="minorHAnsi" w:cstheme="minorHAnsi"/>
          <w:lang w:val="fr-FR"/>
        </w:rPr>
        <w:t>Le Secrétariat général indique qu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C5620F" w:rsidRPr="00354645">
        <w:rPr>
          <w:rFonts w:asciiTheme="minorHAnsi" w:hAnsiTheme="minorHAnsi" w:cstheme="minorHAnsi"/>
          <w:lang w:val="fr-FR"/>
        </w:rPr>
        <w:t>en raison de contraintes budgétaires, les nouvelles technologies dans le secteur d</w:t>
      </w:r>
      <w:r w:rsidR="00FD6351" w:rsidRPr="00354645">
        <w:rPr>
          <w:rFonts w:asciiTheme="minorHAnsi" w:hAnsiTheme="minorHAnsi" w:cstheme="minorHAnsi"/>
          <w:lang w:val="fr-FR"/>
        </w:rPr>
        <w:t>u bâtiment</w:t>
      </w:r>
      <w:r w:rsidR="00C5620F" w:rsidRPr="00354645">
        <w:rPr>
          <w:rFonts w:asciiTheme="minorHAnsi" w:hAnsiTheme="minorHAnsi" w:cstheme="minorHAnsi"/>
          <w:lang w:val="fr-FR"/>
        </w:rPr>
        <w:t>, notamment la récupération des eaux grises, ne peuvent être intégrées dans</w:t>
      </w:r>
      <w:r w:rsidR="00FD6351" w:rsidRPr="00354645">
        <w:rPr>
          <w:rFonts w:asciiTheme="minorHAnsi" w:hAnsiTheme="minorHAnsi" w:cstheme="minorHAnsi"/>
          <w:lang w:val="fr-FR"/>
        </w:rPr>
        <w:t xml:space="preserve"> le cadre de</w:t>
      </w:r>
      <w:r w:rsidR="00C5620F" w:rsidRPr="00354645">
        <w:rPr>
          <w:rFonts w:asciiTheme="minorHAnsi" w:hAnsiTheme="minorHAnsi" w:cstheme="minorHAnsi"/>
          <w:lang w:val="fr-FR"/>
        </w:rPr>
        <w:t xml:space="preserve"> ce projet. Il assure aux conseillers qu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C5620F" w:rsidRPr="00354645">
        <w:rPr>
          <w:rFonts w:asciiTheme="minorHAnsi" w:hAnsiTheme="minorHAnsi" w:cstheme="minorHAnsi"/>
          <w:lang w:val="fr-FR"/>
        </w:rPr>
        <w:t>aucun consultant ne sera engagé pour mener à bien des tâches pour lesquelles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C5620F" w:rsidRPr="00354645">
        <w:rPr>
          <w:rFonts w:asciiTheme="minorHAnsi" w:hAnsiTheme="minorHAnsi" w:cstheme="minorHAnsi"/>
          <w:lang w:val="fr-FR"/>
        </w:rPr>
        <w:t>UIT dispose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C5620F" w:rsidRPr="00354645">
        <w:rPr>
          <w:rFonts w:asciiTheme="minorHAnsi" w:hAnsiTheme="minorHAnsi" w:cstheme="minorHAnsi"/>
          <w:lang w:val="fr-FR"/>
        </w:rPr>
        <w:t xml:space="preserve">un personnel qualifié, et que les fonctionnaires concernés pourront mener à bien lesdites tâches en plus de leurs </w:t>
      </w:r>
      <w:r w:rsidR="00FD6351" w:rsidRPr="00354645">
        <w:rPr>
          <w:rFonts w:asciiTheme="minorHAnsi" w:hAnsiTheme="minorHAnsi" w:cstheme="minorHAnsi"/>
          <w:lang w:val="fr-FR"/>
        </w:rPr>
        <w:t>fonctions</w:t>
      </w:r>
      <w:r w:rsidR="00C5620F" w:rsidRPr="00354645">
        <w:rPr>
          <w:rFonts w:asciiTheme="minorHAnsi" w:hAnsiTheme="minorHAnsi" w:cstheme="minorHAnsi"/>
          <w:lang w:val="fr-FR"/>
        </w:rPr>
        <w:t xml:space="preserve"> principales.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3E77F1" w:rsidRPr="00354645">
        <w:rPr>
          <w:rFonts w:asciiTheme="minorHAnsi" w:hAnsiTheme="minorHAnsi" w:cstheme="minorHAnsi"/>
          <w:lang w:val="fr-FR"/>
        </w:rPr>
        <w:t>S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3E77F1" w:rsidRPr="00354645">
        <w:rPr>
          <w:rFonts w:asciiTheme="minorHAnsi" w:hAnsiTheme="minorHAnsi" w:cstheme="minorHAnsi"/>
          <w:lang w:val="fr-FR"/>
        </w:rPr>
        <w:t>agissant des espaces de travail ouverts, bien qu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3E77F1" w:rsidRPr="00354645">
        <w:rPr>
          <w:rFonts w:asciiTheme="minorHAnsi" w:hAnsiTheme="minorHAnsi" w:cstheme="minorHAnsi"/>
          <w:lang w:val="fr-FR"/>
        </w:rPr>
        <w:t xml:space="preserve">ils </w:t>
      </w:r>
      <w:r w:rsidR="002063C4" w:rsidRPr="00354645">
        <w:rPr>
          <w:rFonts w:asciiTheme="minorHAnsi" w:hAnsiTheme="minorHAnsi" w:cstheme="minorHAnsi"/>
          <w:lang w:val="fr-FR"/>
        </w:rPr>
        <w:t>so</w:t>
      </w:r>
      <w:r w:rsidR="003E77F1" w:rsidRPr="00354645">
        <w:rPr>
          <w:rFonts w:asciiTheme="minorHAnsi" w:hAnsiTheme="minorHAnsi" w:cstheme="minorHAnsi"/>
          <w:lang w:val="fr-FR"/>
        </w:rPr>
        <w:t>ient en principe prévus pour tout le personnel, la configuration du bâtiment Montbrillant limitera peut</w:t>
      </w:r>
      <w:r w:rsidR="00885732" w:rsidRPr="00354645">
        <w:rPr>
          <w:rFonts w:asciiTheme="minorHAnsi" w:hAnsiTheme="minorHAnsi" w:cstheme="minorHAnsi"/>
          <w:lang w:val="fr-FR"/>
        </w:rPr>
        <w:noBreakHyphen/>
      </w:r>
      <w:r w:rsidR="003E77F1" w:rsidRPr="00354645">
        <w:rPr>
          <w:rFonts w:asciiTheme="minorHAnsi" w:hAnsiTheme="minorHAnsi" w:cstheme="minorHAnsi"/>
          <w:lang w:val="fr-FR"/>
        </w:rPr>
        <w:t xml:space="preserve">être la mise en place de tels espaces. </w:t>
      </w:r>
      <w:r w:rsidR="00FD6351" w:rsidRPr="00354645">
        <w:rPr>
          <w:rFonts w:asciiTheme="minorHAnsi" w:hAnsiTheme="minorHAnsi" w:cstheme="minorHAnsi"/>
          <w:lang w:val="fr-FR"/>
        </w:rPr>
        <w:t>Le secrétariat veillera à</w:t>
      </w:r>
      <w:r w:rsidR="00C03BD1" w:rsidRPr="00354645">
        <w:rPr>
          <w:rFonts w:asciiTheme="minorHAnsi" w:hAnsiTheme="minorHAnsi" w:cstheme="minorHAnsi"/>
          <w:lang w:val="fr-FR"/>
        </w:rPr>
        <w:t xml:space="preserve"> ce que le personnel bénéficie, a minima, des conditions minimales de travail requises pour toutes les institutions du système des Nations Unies</w:t>
      </w:r>
      <w:r w:rsidR="00FD6351" w:rsidRPr="00354645">
        <w:rPr>
          <w:rFonts w:asciiTheme="minorHAnsi" w:hAnsiTheme="minorHAnsi" w:cstheme="minorHAnsi"/>
          <w:lang w:val="fr-FR"/>
        </w:rPr>
        <w:t xml:space="preserve"> et </w:t>
      </w:r>
      <w:r w:rsidR="00C03BD1" w:rsidRPr="00354645">
        <w:rPr>
          <w:rFonts w:asciiTheme="minorHAnsi" w:hAnsiTheme="minorHAnsi" w:cstheme="minorHAnsi"/>
          <w:lang w:val="fr-FR"/>
        </w:rPr>
        <w:t>continuera d</w:t>
      </w:r>
      <w:r w:rsidR="00FD6351" w:rsidRPr="00354645">
        <w:rPr>
          <w:rFonts w:asciiTheme="minorHAnsi" w:hAnsiTheme="minorHAnsi" w:cstheme="minorHAnsi"/>
          <w:lang w:val="fr-FR"/>
        </w:rPr>
        <w:t xml:space="preserve">'agir en collaboration </w:t>
      </w:r>
      <w:r w:rsidR="00C03BD1" w:rsidRPr="00354645">
        <w:rPr>
          <w:rFonts w:asciiTheme="minorHAnsi" w:hAnsiTheme="minorHAnsi" w:cstheme="minorHAnsi"/>
          <w:lang w:val="fr-FR"/>
        </w:rPr>
        <w:t>avec le personnel à cette fin.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1162AF" w:rsidRPr="00354645">
        <w:rPr>
          <w:rFonts w:asciiTheme="minorHAnsi" w:hAnsiTheme="minorHAnsi" w:cstheme="minorHAnsi"/>
          <w:lang w:val="fr-FR"/>
        </w:rPr>
        <w:t>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1162AF" w:rsidRPr="00354645">
        <w:rPr>
          <w:rFonts w:asciiTheme="minorHAnsi" w:hAnsiTheme="minorHAnsi" w:cstheme="minorHAnsi"/>
          <w:lang w:val="fr-FR"/>
        </w:rPr>
        <w:t xml:space="preserve">objectif est </w:t>
      </w:r>
      <w:r w:rsidR="00FD6351" w:rsidRPr="00354645">
        <w:rPr>
          <w:rFonts w:asciiTheme="minorHAnsi" w:hAnsiTheme="minorHAnsi" w:cstheme="minorHAnsi"/>
          <w:lang w:val="fr-FR"/>
        </w:rPr>
        <w:t xml:space="preserve">d'avoir </w:t>
      </w:r>
      <w:r w:rsidR="001162AF" w:rsidRPr="00354645">
        <w:rPr>
          <w:rFonts w:asciiTheme="minorHAnsi" w:hAnsiTheme="minorHAnsi" w:cstheme="minorHAnsi"/>
          <w:lang w:val="fr-FR"/>
        </w:rPr>
        <w:t xml:space="preserve">un bâtiment </w:t>
      </w:r>
      <w:r w:rsidR="00FD6351" w:rsidRPr="00354645">
        <w:rPr>
          <w:rFonts w:asciiTheme="minorHAnsi" w:hAnsiTheme="minorHAnsi" w:cstheme="minorHAnsi"/>
          <w:lang w:val="fr-FR"/>
        </w:rPr>
        <w:t>à la pointe de la technologie dans le domaine de l'environnement</w:t>
      </w:r>
      <w:r w:rsidR="001162AF" w:rsidRPr="00354645">
        <w:rPr>
          <w:rFonts w:asciiTheme="minorHAnsi" w:hAnsiTheme="minorHAnsi" w:cstheme="minorHAnsi"/>
          <w:lang w:val="fr-FR"/>
        </w:rPr>
        <w:t>, mais l</w:t>
      </w:r>
      <w:r w:rsidR="00FD6351" w:rsidRPr="00354645">
        <w:rPr>
          <w:rFonts w:asciiTheme="minorHAnsi" w:hAnsiTheme="minorHAnsi" w:cstheme="minorHAnsi"/>
          <w:lang w:val="fr-FR"/>
        </w:rPr>
        <w:t xml:space="preserve">a version définitive du </w:t>
      </w:r>
      <w:r w:rsidR="001162AF" w:rsidRPr="00354645">
        <w:rPr>
          <w:rFonts w:asciiTheme="minorHAnsi" w:hAnsiTheme="minorHAnsi" w:cstheme="minorHAnsi"/>
          <w:lang w:val="fr-FR"/>
        </w:rPr>
        <w:t xml:space="preserve">projet </w:t>
      </w:r>
      <w:r w:rsidR="002063C4" w:rsidRPr="00354645">
        <w:rPr>
          <w:rFonts w:asciiTheme="minorHAnsi" w:hAnsiTheme="minorHAnsi" w:cstheme="minorHAnsi"/>
          <w:lang w:val="fr-FR"/>
        </w:rPr>
        <w:t xml:space="preserve">doit </w:t>
      </w:r>
      <w:r w:rsidR="001162AF" w:rsidRPr="00354645">
        <w:rPr>
          <w:rFonts w:asciiTheme="minorHAnsi" w:hAnsiTheme="minorHAnsi" w:cstheme="minorHAnsi"/>
          <w:lang w:val="fr-FR"/>
        </w:rPr>
        <w:t xml:space="preserve">être </w:t>
      </w:r>
      <w:r w:rsidR="00FD6351" w:rsidRPr="00354645">
        <w:rPr>
          <w:rFonts w:asciiTheme="minorHAnsi" w:hAnsiTheme="minorHAnsi" w:cstheme="minorHAnsi"/>
          <w:lang w:val="fr-FR"/>
        </w:rPr>
        <w:t>arrêtée</w:t>
      </w:r>
      <w:r w:rsidR="001162AF" w:rsidRPr="00354645">
        <w:rPr>
          <w:rFonts w:asciiTheme="minorHAnsi" w:hAnsiTheme="minorHAnsi" w:cstheme="minorHAnsi"/>
          <w:lang w:val="fr-FR"/>
        </w:rPr>
        <w:t xml:space="preserve"> à un moment ou à un autre</w:t>
      </w:r>
      <w:r w:rsidR="00FD6351" w:rsidRPr="00354645">
        <w:rPr>
          <w:rFonts w:asciiTheme="minorHAnsi" w:hAnsiTheme="minorHAnsi" w:cstheme="minorHAnsi"/>
          <w:lang w:val="fr-FR"/>
        </w:rPr>
        <w:t xml:space="preserve">. Elle </w:t>
      </w:r>
      <w:r w:rsidR="001162AF" w:rsidRPr="00354645">
        <w:rPr>
          <w:rFonts w:asciiTheme="minorHAnsi" w:hAnsiTheme="minorHAnsi" w:cstheme="minorHAnsi"/>
          <w:lang w:val="fr-FR"/>
        </w:rPr>
        <w:t>ne peut être adapté en permanence en fonction des avancées technologiques.</w:t>
      </w:r>
      <w:r w:rsidRPr="00354645">
        <w:rPr>
          <w:rFonts w:asciiTheme="minorHAnsi" w:hAnsiTheme="minorHAnsi" w:cstheme="minorHAnsi"/>
          <w:lang w:val="fr-FR"/>
        </w:rPr>
        <w:t xml:space="preserve"> </w:t>
      </w:r>
    </w:p>
    <w:p w14:paraId="6903CF89" w14:textId="78FDB403" w:rsidR="00BE43C8" w:rsidRPr="00354645" w:rsidRDefault="007050F2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2.10</w:t>
      </w:r>
      <w:r w:rsidRPr="00354645">
        <w:rPr>
          <w:rFonts w:asciiTheme="minorHAnsi" w:hAnsiTheme="minorHAnsi" w:cstheme="minorHAnsi"/>
          <w:lang w:val="fr-FR"/>
        </w:rPr>
        <w:tab/>
      </w:r>
      <w:r w:rsidR="003F7F07" w:rsidRPr="00354645">
        <w:rPr>
          <w:rFonts w:asciiTheme="minorHAnsi" w:hAnsiTheme="minorHAnsi" w:cstheme="minorHAnsi"/>
          <w:lang w:val="fr-FR"/>
        </w:rPr>
        <w:t>De nombreux conseillers se</w:t>
      </w:r>
      <w:r w:rsidR="002063C4" w:rsidRPr="00354645">
        <w:rPr>
          <w:rFonts w:asciiTheme="minorHAnsi" w:hAnsiTheme="minorHAnsi" w:cstheme="minorHAnsi"/>
          <w:lang w:val="fr-FR"/>
        </w:rPr>
        <w:t xml:space="preserve"> disent </w:t>
      </w:r>
      <w:r w:rsidR="003F7F07" w:rsidRPr="00354645">
        <w:rPr>
          <w:rFonts w:asciiTheme="minorHAnsi" w:hAnsiTheme="minorHAnsi" w:cstheme="minorHAnsi"/>
          <w:lang w:val="fr-FR"/>
        </w:rPr>
        <w:t>satisfaits des informations détaillées figurant dans le Document C19-ADD/2(Rév.1), qui</w:t>
      </w:r>
      <w:r w:rsidR="00FD6351" w:rsidRPr="00354645">
        <w:rPr>
          <w:rFonts w:asciiTheme="minorHAnsi" w:hAnsiTheme="minorHAnsi" w:cstheme="minorHAnsi"/>
          <w:lang w:val="fr-FR"/>
        </w:rPr>
        <w:t xml:space="preserve"> </w:t>
      </w:r>
      <w:r w:rsidR="003F7F07" w:rsidRPr="00354645">
        <w:rPr>
          <w:rFonts w:asciiTheme="minorHAnsi" w:hAnsiTheme="minorHAnsi" w:cstheme="minorHAnsi"/>
          <w:lang w:val="fr-FR"/>
        </w:rPr>
        <w:t>répond dans une large mesure à leurs préoccupations.</w:t>
      </w:r>
    </w:p>
    <w:p w14:paraId="523DBB45" w14:textId="77777777" w:rsidR="005852C1" w:rsidRPr="00354645" w:rsidRDefault="006A4A26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2.11</w:t>
      </w:r>
      <w:r w:rsidRPr="00354645">
        <w:rPr>
          <w:rFonts w:asciiTheme="minorHAnsi" w:hAnsiTheme="minorHAnsi" w:cstheme="minorHAnsi"/>
          <w:lang w:val="fr-FR"/>
        </w:rPr>
        <w:tab/>
        <w:t xml:space="preserve">Il est </w:t>
      </w:r>
      <w:r w:rsidRPr="00354645">
        <w:rPr>
          <w:rFonts w:asciiTheme="minorHAnsi" w:hAnsiTheme="minorHAnsi" w:cstheme="minorHAnsi"/>
          <w:b/>
          <w:lang w:val="fr-FR"/>
        </w:rPr>
        <w:t xml:space="preserve">pris note </w:t>
      </w:r>
      <w:r w:rsidRPr="00354645">
        <w:rPr>
          <w:rFonts w:asciiTheme="minorHAnsi" w:hAnsiTheme="minorHAnsi" w:cstheme="minorHAnsi"/>
          <w:lang w:val="fr-FR"/>
        </w:rPr>
        <w:t>du Document C19-ADD/2(Rév.1).</w:t>
      </w:r>
    </w:p>
    <w:p w14:paraId="2546339D" w14:textId="5BBF033C" w:rsidR="005852C1" w:rsidRPr="00354645" w:rsidRDefault="006A4A26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2.12</w:t>
      </w:r>
      <w:r w:rsidRPr="00354645">
        <w:rPr>
          <w:rFonts w:asciiTheme="minorHAnsi" w:hAnsiTheme="minorHAnsi" w:cstheme="minorHAnsi"/>
          <w:lang w:val="fr-FR"/>
        </w:rPr>
        <w:tab/>
      </w:r>
      <w:r w:rsidR="00A476FC" w:rsidRPr="00354645">
        <w:rPr>
          <w:rFonts w:asciiTheme="minorHAnsi" w:hAnsiTheme="minorHAnsi" w:cstheme="minorHAnsi"/>
          <w:lang w:val="fr-FR"/>
        </w:rPr>
        <w:t xml:space="preserve">Le </w:t>
      </w:r>
      <w:r w:rsidR="00931ADC" w:rsidRPr="00354645">
        <w:rPr>
          <w:rFonts w:asciiTheme="minorHAnsi" w:hAnsiTheme="minorHAnsi" w:cstheme="minorHAnsi"/>
          <w:lang w:val="fr-FR"/>
        </w:rPr>
        <w:t>C</w:t>
      </w:r>
      <w:r w:rsidR="00A476FC" w:rsidRPr="00354645">
        <w:rPr>
          <w:rFonts w:asciiTheme="minorHAnsi" w:hAnsiTheme="minorHAnsi" w:cstheme="minorHAnsi"/>
          <w:lang w:val="fr-FR"/>
        </w:rPr>
        <w:t>onseiller de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A476FC" w:rsidRPr="00354645">
        <w:rPr>
          <w:rFonts w:asciiTheme="minorHAnsi" w:hAnsiTheme="minorHAnsi" w:cstheme="minorHAnsi"/>
          <w:lang w:val="fr-FR"/>
        </w:rPr>
        <w:t xml:space="preserve">Allemagne présente le projet de décision soumis par plusieurs </w:t>
      </w:r>
      <w:r w:rsidR="00FD6351" w:rsidRPr="00354645">
        <w:rPr>
          <w:rFonts w:asciiTheme="minorHAnsi" w:hAnsiTheme="minorHAnsi" w:cstheme="minorHAnsi"/>
          <w:lang w:val="fr-FR"/>
        </w:rPr>
        <w:t>É</w:t>
      </w:r>
      <w:r w:rsidR="00A476FC" w:rsidRPr="00354645">
        <w:rPr>
          <w:rFonts w:asciiTheme="minorHAnsi" w:hAnsiTheme="minorHAnsi" w:cstheme="minorHAnsi"/>
          <w:lang w:val="fr-FR"/>
        </w:rPr>
        <w:t xml:space="preserve">tats Membres dans le Document C19-ADD/4, qui </w:t>
      </w:r>
      <w:r w:rsidR="00FD6351" w:rsidRPr="00354645">
        <w:rPr>
          <w:rFonts w:asciiTheme="minorHAnsi" w:hAnsiTheme="minorHAnsi" w:cstheme="minorHAnsi"/>
          <w:lang w:val="fr-FR"/>
        </w:rPr>
        <w:t>étoffe le contenu</w:t>
      </w:r>
      <w:r w:rsidR="00A476FC" w:rsidRPr="00354645">
        <w:rPr>
          <w:rFonts w:asciiTheme="minorHAnsi" w:hAnsiTheme="minorHAnsi" w:cstheme="minorHAnsi"/>
          <w:lang w:val="fr-FR"/>
        </w:rPr>
        <w:t xml:space="preserve"> du </w:t>
      </w:r>
      <w:r w:rsidR="00A476FC" w:rsidRPr="00354645">
        <w:rPr>
          <w:rFonts w:asciiTheme="minorHAnsi" w:hAnsiTheme="minorHAnsi" w:cstheme="minorHAnsi"/>
          <w:i/>
          <w:lang w:val="fr-FR"/>
        </w:rPr>
        <w:t xml:space="preserve">décide </w:t>
      </w:r>
      <w:r w:rsidR="00A476FC" w:rsidRPr="00354645">
        <w:rPr>
          <w:rFonts w:asciiTheme="minorHAnsi" w:hAnsiTheme="minorHAnsi" w:cstheme="minorHAnsi"/>
          <w:lang w:val="fr-FR"/>
        </w:rPr>
        <w:t xml:space="preserve">et du </w:t>
      </w:r>
      <w:r w:rsidR="00A476FC" w:rsidRPr="00354645">
        <w:rPr>
          <w:rFonts w:asciiTheme="minorHAnsi" w:hAnsiTheme="minorHAnsi" w:cstheme="minorHAnsi"/>
          <w:i/>
          <w:lang w:val="fr-FR"/>
        </w:rPr>
        <w:t xml:space="preserve">charge le Secrétaire général </w:t>
      </w:r>
      <w:r w:rsidR="00A476FC" w:rsidRPr="00354645">
        <w:rPr>
          <w:rFonts w:asciiTheme="minorHAnsi" w:hAnsiTheme="minorHAnsi" w:cstheme="minorHAnsi"/>
          <w:lang w:val="fr-FR"/>
        </w:rPr>
        <w:t xml:space="preserve">du projet de décision figurant dans le Document C19-ADD/2(Rév.1), afin de définir </w:t>
      </w:r>
      <w:r w:rsidR="00FD6351" w:rsidRPr="00354645">
        <w:rPr>
          <w:rFonts w:asciiTheme="minorHAnsi" w:hAnsiTheme="minorHAnsi" w:cstheme="minorHAnsi"/>
          <w:lang w:val="fr-FR"/>
        </w:rPr>
        <w:t>des limites claires</w:t>
      </w:r>
      <w:r w:rsidR="00A476FC" w:rsidRPr="00354645">
        <w:rPr>
          <w:rFonts w:asciiTheme="minorHAnsi" w:hAnsiTheme="minorHAnsi" w:cstheme="minorHAnsi"/>
          <w:lang w:val="fr-FR"/>
        </w:rPr>
        <w:t>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677422" w:rsidRPr="00354645">
        <w:rPr>
          <w:rFonts w:asciiTheme="minorHAnsi" w:hAnsiTheme="minorHAnsi" w:cstheme="minorHAnsi"/>
          <w:lang w:val="fr-FR"/>
        </w:rPr>
        <w:t xml:space="preserve">Ce projet de décision vise particulièrement à fixer le coût </w:t>
      </w:r>
      <w:r w:rsidR="00FD6351" w:rsidRPr="00354645">
        <w:rPr>
          <w:rFonts w:asciiTheme="minorHAnsi" w:hAnsiTheme="minorHAnsi" w:cstheme="minorHAnsi"/>
          <w:lang w:val="fr-FR"/>
        </w:rPr>
        <w:t>final</w:t>
      </w:r>
      <w:r w:rsidR="00677422" w:rsidRPr="00354645">
        <w:rPr>
          <w:rFonts w:asciiTheme="minorHAnsi" w:hAnsiTheme="minorHAnsi" w:cstheme="minorHAnsi"/>
          <w:lang w:val="fr-FR"/>
        </w:rPr>
        <w:t xml:space="preserve"> du projet et à traiter la question des risques non atténués</w:t>
      </w:r>
      <w:r w:rsidR="002063C4" w:rsidRPr="00354645">
        <w:rPr>
          <w:rFonts w:asciiTheme="minorHAnsi" w:hAnsiTheme="minorHAnsi" w:cstheme="minorHAnsi"/>
          <w:lang w:val="fr-FR"/>
        </w:rPr>
        <w:t>,</w:t>
      </w:r>
      <w:r w:rsidR="00677422" w:rsidRPr="00354645">
        <w:rPr>
          <w:rFonts w:asciiTheme="minorHAnsi" w:hAnsiTheme="minorHAnsi" w:cstheme="minorHAnsi"/>
          <w:lang w:val="fr-FR"/>
        </w:rPr>
        <w:t xml:space="preserve">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677422" w:rsidRPr="00354645">
        <w:rPr>
          <w:rFonts w:asciiTheme="minorHAnsi" w:hAnsiTheme="minorHAnsi" w:cstheme="minorHAnsi"/>
          <w:lang w:val="fr-FR"/>
        </w:rPr>
        <w:t xml:space="preserve">un montant </w:t>
      </w:r>
      <w:r w:rsidR="00FD6351" w:rsidRPr="00354645">
        <w:rPr>
          <w:rFonts w:asciiTheme="minorHAnsi" w:hAnsiTheme="minorHAnsi" w:cstheme="minorHAnsi"/>
          <w:lang w:val="fr-FR"/>
        </w:rPr>
        <w:t xml:space="preserve">maximal </w:t>
      </w:r>
      <w:r w:rsidR="00677422" w:rsidRPr="00354645">
        <w:rPr>
          <w:rFonts w:asciiTheme="minorHAnsi" w:hAnsiTheme="minorHAnsi" w:cstheme="minorHAnsi"/>
          <w:lang w:val="fr-FR"/>
        </w:rPr>
        <w:t>de 12,6 millions CHF</w:t>
      </w:r>
      <w:r w:rsidR="002063C4" w:rsidRPr="00354645">
        <w:rPr>
          <w:rFonts w:asciiTheme="minorHAnsi" w:hAnsiTheme="minorHAnsi" w:cstheme="minorHAnsi"/>
          <w:lang w:val="fr-FR"/>
        </w:rPr>
        <w:t>,</w:t>
      </w:r>
      <w:r w:rsidR="00677422" w:rsidRPr="00354645">
        <w:rPr>
          <w:rFonts w:asciiTheme="minorHAnsi" w:hAnsiTheme="minorHAnsi" w:cstheme="minorHAnsi"/>
          <w:lang w:val="fr-FR"/>
        </w:rPr>
        <w:t xml:space="preserve"> et des coûts indirects; le Secrétaire général y est également chargé de </w:t>
      </w:r>
      <w:r w:rsidR="00E5170B" w:rsidRPr="00354645">
        <w:rPr>
          <w:rFonts w:asciiTheme="minorHAnsi" w:hAnsiTheme="minorHAnsi" w:cstheme="minorHAnsi"/>
          <w:lang w:val="fr-FR"/>
        </w:rPr>
        <w:t>collaborer avec le pays hôte en ce qui concerne la</w:t>
      </w:r>
      <w:r w:rsidR="00677422" w:rsidRPr="00354645">
        <w:rPr>
          <w:rFonts w:asciiTheme="minorHAnsi" w:hAnsiTheme="minorHAnsi" w:cstheme="minorHAnsi"/>
          <w:lang w:val="fr-FR"/>
        </w:rPr>
        <w:t xml:space="preserve"> mise en </w:t>
      </w:r>
      <w:r w:rsidR="00FD6351" w:rsidRPr="00354645">
        <w:rPr>
          <w:rFonts w:asciiTheme="minorHAnsi" w:hAnsiTheme="minorHAnsi" w:cstheme="minorHAnsi"/>
          <w:lang w:val="fr-FR"/>
        </w:rPr>
        <w:t>œuvre</w:t>
      </w:r>
      <w:r w:rsidR="00677422" w:rsidRPr="00354645">
        <w:rPr>
          <w:rFonts w:asciiTheme="minorHAnsi" w:hAnsiTheme="minorHAnsi" w:cstheme="minorHAnsi"/>
          <w:lang w:val="fr-FR"/>
        </w:rPr>
        <w:t xml:space="preserve"> des exigences du Département de la sûreté et de la sécurité (DSS) de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677422" w:rsidRPr="00354645">
        <w:rPr>
          <w:rFonts w:asciiTheme="minorHAnsi" w:hAnsiTheme="minorHAnsi" w:cstheme="minorHAnsi"/>
          <w:lang w:val="fr-FR"/>
        </w:rPr>
        <w:t>ONU, de façon à assurer la conformité aux normes UN-MOSS,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677422" w:rsidRPr="00354645">
        <w:rPr>
          <w:rFonts w:asciiTheme="minorHAnsi" w:hAnsiTheme="minorHAnsi" w:cstheme="minorHAnsi"/>
          <w:lang w:val="fr-FR"/>
        </w:rPr>
        <w:t xml:space="preserve">élaborer une Stratégie et un Plan de mise en </w:t>
      </w:r>
      <w:r w:rsidR="00354645" w:rsidRPr="00354645">
        <w:rPr>
          <w:rFonts w:asciiTheme="minorHAnsi" w:hAnsiTheme="minorHAnsi" w:cstheme="minorHAnsi"/>
          <w:lang w:val="fr-FR"/>
        </w:rPr>
        <w:t>œuvre</w:t>
      </w:r>
      <w:r w:rsidR="00677422" w:rsidRPr="00354645">
        <w:rPr>
          <w:rFonts w:asciiTheme="minorHAnsi" w:hAnsiTheme="minorHAnsi" w:cstheme="minorHAnsi"/>
          <w:lang w:val="fr-FR"/>
        </w:rPr>
        <w:t xml:space="preserve"> pour les conditions de travail du personnel, et de respecter les normes les plus strictes en matière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677422" w:rsidRPr="00354645">
        <w:rPr>
          <w:rFonts w:asciiTheme="minorHAnsi" w:hAnsiTheme="minorHAnsi" w:cstheme="minorHAnsi"/>
          <w:lang w:val="fr-FR"/>
        </w:rPr>
        <w:t>éthique et de passation de marchés.</w:t>
      </w:r>
    </w:p>
    <w:p w14:paraId="1136D6F2" w14:textId="66C5A8F8" w:rsidR="008D3F74" w:rsidRPr="00354645" w:rsidRDefault="006A4A26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2.13</w:t>
      </w:r>
      <w:r w:rsidRPr="00354645">
        <w:rPr>
          <w:rFonts w:asciiTheme="minorHAnsi" w:hAnsiTheme="minorHAnsi" w:cstheme="minorHAnsi"/>
          <w:lang w:val="fr-FR"/>
        </w:rPr>
        <w:tab/>
      </w:r>
      <w:r w:rsidR="00730D1D" w:rsidRPr="00354645">
        <w:rPr>
          <w:rFonts w:asciiTheme="minorHAnsi" w:hAnsiTheme="minorHAnsi" w:cstheme="minorHAnsi"/>
          <w:lang w:val="fr-FR"/>
        </w:rPr>
        <w:t>Le Secrétaire général assure aux conseillers que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730D1D" w:rsidRPr="00354645">
        <w:rPr>
          <w:rFonts w:asciiTheme="minorHAnsi" w:hAnsiTheme="minorHAnsi" w:cstheme="minorHAnsi"/>
          <w:lang w:val="fr-FR"/>
        </w:rPr>
        <w:t>UIT applique les bonnes pratiques de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730D1D" w:rsidRPr="00354645">
        <w:rPr>
          <w:rFonts w:asciiTheme="minorHAnsi" w:hAnsiTheme="minorHAnsi" w:cstheme="minorHAnsi"/>
          <w:lang w:val="fr-FR"/>
        </w:rPr>
        <w:t>ONU dans le domaine de la passation de marchés.</w:t>
      </w:r>
    </w:p>
    <w:p w14:paraId="7FE0AB45" w14:textId="302854DF" w:rsidR="001370CC" w:rsidRPr="00354645" w:rsidRDefault="006A4A26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2.14</w:t>
      </w:r>
      <w:r w:rsidRPr="00354645">
        <w:rPr>
          <w:rFonts w:asciiTheme="minorHAnsi" w:hAnsiTheme="minorHAnsi" w:cstheme="minorHAnsi"/>
          <w:lang w:val="fr-FR"/>
        </w:rPr>
        <w:tab/>
      </w:r>
      <w:r w:rsidR="00D42F9B" w:rsidRPr="00354645">
        <w:rPr>
          <w:rFonts w:asciiTheme="minorHAnsi" w:hAnsiTheme="minorHAnsi" w:cstheme="minorHAnsi"/>
          <w:lang w:val="fr-FR"/>
        </w:rPr>
        <w:t xml:space="preserve">Les conseillers conviennent de </w:t>
      </w:r>
      <w:r w:rsidR="00FD6351" w:rsidRPr="00354645">
        <w:rPr>
          <w:rFonts w:asciiTheme="minorHAnsi" w:hAnsiTheme="minorHAnsi" w:cstheme="minorHAnsi"/>
          <w:lang w:val="fr-FR"/>
        </w:rPr>
        <w:t>mener</w:t>
      </w:r>
      <w:r w:rsidR="00D42F9B" w:rsidRPr="00354645">
        <w:rPr>
          <w:rFonts w:asciiTheme="minorHAnsi" w:hAnsiTheme="minorHAnsi" w:cstheme="minorHAnsi"/>
          <w:lang w:val="fr-FR"/>
        </w:rPr>
        <w:t xml:space="preserve"> la discussion sur l</w:t>
      </w:r>
      <w:r w:rsidR="00FD6351" w:rsidRPr="00354645">
        <w:rPr>
          <w:rFonts w:asciiTheme="minorHAnsi" w:hAnsiTheme="minorHAnsi" w:cstheme="minorHAnsi"/>
          <w:lang w:val="fr-FR"/>
        </w:rPr>
        <w:t>a base du</w:t>
      </w:r>
      <w:r w:rsidR="00D42F9B" w:rsidRPr="00354645">
        <w:rPr>
          <w:rFonts w:asciiTheme="minorHAnsi" w:hAnsiTheme="minorHAnsi" w:cstheme="minorHAnsi"/>
          <w:lang w:val="fr-FR"/>
        </w:rPr>
        <w:t xml:space="preserve"> texte du projet de décision soumis par plusieurs </w:t>
      </w:r>
      <w:r w:rsidR="00FD6351" w:rsidRPr="00354645">
        <w:rPr>
          <w:rFonts w:asciiTheme="minorHAnsi" w:hAnsiTheme="minorHAnsi" w:cstheme="minorHAnsi"/>
          <w:lang w:val="fr-FR"/>
        </w:rPr>
        <w:t>É</w:t>
      </w:r>
      <w:r w:rsidR="00D42F9B" w:rsidRPr="00354645">
        <w:rPr>
          <w:rFonts w:asciiTheme="minorHAnsi" w:hAnsiTheme="minorHAnsi" w:cstheme="minorHAnsi"/>
          <w:lang w:val="fr-FR"/>
        </w:rPr>
        <w:t>tats Membres par voie du Document C19-ADD/4.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8008D0" w:rsidRPr="00354645">
        <w:rPr>
          <w:rFonts w:asciiTheme="minorHAnsi" w:hAnsiTheme="minorHAnsi" w:cstheme="minorHAnsi"/>
          <w:lang w:val="fr-FR"/>
        </w:rPr>
        <w:t xml:space="preserve">Au cours du débat, un </w:t>
      </w:r>
      <w:r w:rsidR="00FD6351" w:rsidRPr="00354645">
        <w:rPr>
          <w:rFonts w:asciiTheme="minorHAnsi" w:hAnsiTheme="minorHAnsi" w:cstheme="minorHAnsi"/>
          <w:lang w:val="fr-FR"/>
        </w:rPr>
        <w:t>conseiller</w:t>
      </w:r>
      <w:r w:rsidR="008008D0" w:rsidRPr="00354645">
        <w:rPr>
          <w:rFonts w:asciiTheme="minorHAnsi" w:hAnsiTheme="minorHAnsi" w:cstheme="minorHAnsi"/>
          <w:lang w:val="fr-FR"/>
        </w:rPr>
        <w:t xml:space="preserve"> propose de supprimer le point 9 du </w:t>
      </w:r>
      <w:r w:rsidR="008008D0" w:rsidRPr="00354645">
        <w:rPr>
          <w:rFonts w:asciiTheme="minorHAnsi" w:hAnsiTheme="minorHAnsi" w:cstheme="minorHAnsi"/>
          <w:i/>
          <w:lang w:val="fr-FR"/>
        </w:rPr>
        <w:t>charge le Secrétaire général</w:t>
      </w:r>
      <w:r w:rsidR="008008D0" w:rsidRPr="00354645">
        <w:rPr>
          <w:rFonts w:asciiTheme="minorHAnsi" w:hAnsiTheme="minorHAnsi" w:cstheme="minorHAnsi"/>
          <w:lang w:val="fr-FR"/>
        </w:rPr>
        <w:t>, qui sous-entend que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8008D0" w:rsidRPr="00354645">
        <w:rPr>
          <w:rFonts w:asciiTheme="minorHAnsi" w:hAnsiTheme="minorHAnsi" w:cstheme="minorHAnsi"/>
          <w:lang w:val="fr-FR"/>
        </w:rPr>
        <w:t>UIT ne respecte pas les normes les plus strictes en matière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8008D0" w:rsidRPr="00354645">
        <w:rPr>
          <w:rFonts w:asciiTheme="minorHAnsi" w:hAnsiTheme="minorHAnsi" w:cstheme="minorHAnsi"/>
          <w:lang w:val="fr-FR"/>
        </w:rPr>
        <w:t>éthique et de passation de marchés.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D74461" w:rsidRPr="00354645">
        <w:rPr>
          <w:rFonts w:asciiTheme="minorHAnsi" w:hAnsiTheme="minorHAnsi" w:cstheme="minorHAnsi"/>
          <w:lang w:val="fr-FR"/>
        </w:rPr>
        <w:t>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D74461" w:rsidRPr="00354645">
        <w:rPr>
          <w:rFonts w:asciiTheme="minorHAnsi" w:hAnsiTheme="minorHAnsi" w:cstheme="minorHAnsi"/>
          <w:lang w:val="fr-FR"/>
        </w:rPr>
        <w:t xml:space="preserve">autres conseillers soulignent </w:t>
      </w:r>
      <w:r w:rsidR="00FD6351" w:rsidRPr="00354645">
        <w:rPr>
          <w:rFonts w:asciiTheme="minorHAnsi" w:hAnsiTheme="minorHAnsi" w:cstheme="minorHAnsi"/>
          <w:lang w:val="fr-FR"/>
        </w:rPr>
        <w:t xml:space="preserve">qu'il est </w:t>
      </w:r>
      <w:r w:rsidR="00D74461" w:rsidRPr="00354645">
        <w:rPr>
          <w:rFonts w:asciiTheme="minorHAnsi" w:hAnsiTheme="minorHAnsi" w:cstheme="minorHAnsi"/>
          <w:lang w:val="fr-FR"/>
        </w:rPr>
        <w:t>importan</w:t>
      </w:r>
      <w:r w:rsidR="00FD6351" w:rsidRPr="00354645">
        <w:rPr>
          <w:rFonts w:asciiTheme="minorHAnsi" w:hAnsiTheme="minorHAnsi" w:cstheme="minorHAnsi"/>
          <w:lang w:val="fr-FR"/>
        </w:rPr>
        <w:t>t</w:t>
      </w:r>
      <w:r w:rsidR="00D74461" w:rsidRPr="00354645">
        <w:rPr>
          <w:rFonts w:asciiTheme="minorHAnsi" w:hAnsiTheme="minorHAnsi" w:cstheme="minorHAnsi"/>
          <w:lang w:val="fr-FR"/>
        </w:rPr>
        <w:t xml:space="preserve"> de faire référence à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D74461" w:rsidRPr="00354645">
        <w:rPr>
          <w:rFonts w:asciiTheme="minorHAnsi" w:hAnsiTheme="minorHAnsi" w:cstheme="minorHAnsi"/>
          <w:lang w:val="fr-FR"/>
        </w:rPr>
        <w:t>éthique et aux normes</w:t>
      </w:r>
      <w:r w:rsidR="00FD6351" w:rsidRPr="00354645">
        <w:rPr>
          <w:rFonts w:asciiTheme="minorHAnsi" w:hAnsiTheme="minorHAnsi" w:cstheme="minorHAnsi"/>
          <w:lang w:val="fr-FR"/>
        </w:rPr>
        <w:t>,</w:t>
      </w:r>
      <w:r w:rsidR="00D74461" w:rsidRPr="00354645">
        <w:rPr>
          <w:rFonts w:asciiTheme="minorHAnsi" w:hAnsiTheme="minorHAnsi" w:cstheme="minorHAnsi"/>
          <w:lang w:val="fr-FR"/>
        </w:rPr>
        <w:t xml:space="preserve"> compte tenu du cas de fraude qui s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D74461" w:rsidRPr="00354645">
        <w:rPr>
          <w:rFonts w:asciiTheme="minorHAnsi" w:hAnsiTheme="minorHAnsi" w:cstheme="minorHAnsi"/>
          <w:lang w:val="fr-FR"/>
        </w:rPr>
        <w:t>est produit récemment.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9202B3" w:rsidRPr="00354645">
        <w:rPr>
          <w:rFonts w:asciiTheme="minorHAnsi" w:hAnsiTheme="minorHAnsi" w:cstheme="minorHAnsi"/>
          <w:lang w:val="fr-FR"/>
        </w:rPr>
        <w:t xml:space="preserve">Une conseillère </w:t>
      </w:r>
      <w:r w:rsidR="00FD6351" w:rsidRPr="00354645">
        <w:rPr>
          <w:rFonts w:asciiTheme="minorHAnsi" w:hAnsiTheme="minorHAnsi" w:cstheme="minorHAnsi"/>
          <w:lang w:val="fr-FR"/>
        </w:rPr>
        <w:t>fait observer</w:t>
      </w:r>
      <w:r w:rsidR="009202B3" w:rsidRPr="00354645">
        <w:rPr>
          <w:rFonts w:asciiTheme="minorHAnsi" w:hAnsiTheme="minorHAnsi" w:cstheme="minorHAnsi"/>
          <w:lang w:val="fr-FR"/>
        </w:rPr>
        <w:t xml:space="preserve"> que le cas de fraude a été traité comme il convient et que des mécanismes sont en train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9202B3" w:rsidRPr="00354645">
        <w:rPr>
          <w:rFonts w:asciiTheme="minorHAnsi" w:hAnsiTheme="minorHAnsi" w:cstheme="minorHAnsi"/>
          <w:lang w:val="fr-FR"/>
        </w:rPr>
        <w:t xml:space="preserve">être mis </w:t>
      </w:r>
      <w:r w:rsidR="009202B3" w:rsidRPr="00354645">
        <w:rPr>
          <w:rFonts w:asciiTheme="minorHAnsi" w:hAnsiTheme="minorHAnsi" w:cstheme="minorHAnsi"/>
          <w:lang w:val="fr-FR"/>
        </w:rPr>
        <w:lastRenderedPageBreak/>
        <w:t>en place.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E92BEA" w:rsidRPr="00354645">
        <w:rPr>
          <w:rFonts w:asciiTheme="minorHAnsi" w:hAnsiTheme="minorHAnsi" w:cstheme="minorHAnsi"/>
          <w:lang w:val="fr-FR"/>
        </w:rPr>
        <w:t xml:space="preserve">Néanmoins, elle propose de modifier le début du paragraphe en y ajoutant </w:t>
      </w:r>
      <w:r w:rsidR="000A02F4" w:rsidRPr="00354645">
        <w:rPr>
          <w:rFonts w:asciiTheme="minorHAnsi" w:hAnsiTheme="minorHAnsi" w:cstheme="minorHAnsi"/>
          <w:lang w:val="fr-FR"/>
        </w:rPr>
        <w:t>"</w:t>
      </w:r>
      <w:r w:rsidR="00E92BEA" w:rsidRPr="00354645">
        <w:rPr>
          <w:rFonts w:asciiTheme="minorHAnsi" w:hAnsiTheme="minorHAnsi" w:cstheme="minorHAnsi"/>
          <w:lang w:val="fr-FR"/>
        </w:rPr>
        <w:t>de continuer de respecter</w:t>
      </w:r>
      <w:r w:rsidR="000A02F4" w:rsidRPr="00354645">
        <w:rPr>
          <w:rFonts w:asciiTheme="minorHAnsi" w:hAnsiTheme="minorHAnsi" w:cstheme="minorHAnsi"/>
          <w:lang w:val="fr-FR"/>
        </w:rPr>
        <w:t>"</w:t>
      </w:r>
      <w:r w:rsidR="00E92BEA" w:rsidRPr="00354645">
        <w:rPr>
          <w:rFonts w:asciiTheme="minorHAnsi" w:hAnsiTheme="minorHAnsi" w:cstheme="minorHAnsi"/>
          <w:lang w:val="fr-FR"/>
        </w:rPr>
        <w:t>, de façon à conserver la référence à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E92BEA" w:rsidRPr="00354645">
        <w:rPr>
          <w:rFonts w:asciiTheme="minorHAnsi" w:hAnsiTheme="minorHAnsi" w:cstheme="minorHAnsi"/>
          <w:lang w:val="fr-FR"/>
        </w:rPr>
        <w:t xml:space="preserve">éthique et aux normes tout en reconnaissant </w:t>
      </w:r>
      <w:r w:rsidR="00B5644F" w:rsidRPr="00354645">
        <w:rPr>
          <w:rFonts w:asciiTheme="minorHAnsi" w:hAnsiTheme="minorHAnsi" w:cstheme="minorHAnsi"/>
          <w:lang w:val="fr-FR"/>
        </w:rPr>
        <w:t>le fait que les</w:t>
      </w:r>
      <w:r w:rsidR="00E92BEA" w:rsidRPr="00354645">
        <w:rPr>
          <w:rFonts w:asciiTheme="minorHAnsi" w:hAnsiTheme="minorHAnsi" w:cstheme="minorHAnsi"/>
          <w:lang w:val="fr-FR"/>
        </w:rPr>
        <w:t xml:space="preserve"> normes les plus strictes</w:t>
      </w:r>
      <w:r w:rsidR="00B5644F" w:rsidRPr="00354645">
        <w:rPr>
          <w:rFonts w:asciiTheme="minorHAnsi" w:hAnsiTheme="minorHAnsi" w:cstheme="minorHAnsi"/>
          <w:lang w:val="fr-FR"/>
        </w:rPr>
        <w:t xml:space="preserve"> sont globalement respectées</w:t>
      </w:r>
      <w:r w:rsidR="00E92BEA" w:rsidRPr="00354645">
        <w:rPr>
          <w:rFonts w:asciiTheme="minorHAnsi" w:hAnsiTheme="minorHAnsi" w:cstheme="minorHAnsi"/>
          <w:lang w:val="fr-FR"/>
        </w:rPr>
        <w:t>.</w:t>
      </w:r>
    </w:p>
    <w:p w14:paraId="69178075" w14:textId="77777777" w:rsidR="001370CC" w:rsidRPr="00354645" w:rsidRDefault="006A4A26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2.15</w:t>
      </w:r>
      <w:r w:rsidRPr="00354645">
        <w:rPr>
          <w:rFonts w:asciiTheme="minorHAnsi" w:hAnsiTheme="minorHAnsi" w:cstheme="minorHAnsi"/>
          <w:lang w:val="fr-FR"/>
        </w:rPr>
        <w:tab/>
      </w:r>
      <w:r w:rsidR="00D433CD" w:rsidRPr="00354645">
        <w:rPr>
          <w:rFonts w:asciiTheme="minorHAnsi" w:hAnsiTheme="minorHAnsi" w:cstheme="minorHAnsi"/>
          <w:lang w:val="fr-FR"/>
        </w:rPr>
        <w:t xml:space="preserve">Il en est ainsi </w:t>
      </w:r>
      <w:r w:rsidR="00D433CD" w:rsidRPr="00354645">
        <w:rPr>
          <w:rFonts w:asciiTheme="minorHAnsi" w:hAnsiTheme="minorHAnsi" w:cstheme="minorHAnsi"/>
          <w:b/>
          <w:lang w:val="fr-FR"/>
        </w:rPr>
        <w:t>décidé</w:t>
      </w:r>
      <w:r w:rsidR="00D433CD" w:rsidRPr="00354645">
        <w:rPr>
          <w:rFonts w:asciiTheme="minorHAnsi" w:hAnsiTheme="minorHAnsi" w:cstheme="minorHAnsi"/>
          <w:lang w:val="fr-FR"/>
        </w:rPr>
        <w:t>.</w:t>
      </w:r>
    </w:p>
    <w:p w14:paraId="45A7F53A" w14:textId="06E58F49" w:rsidR="001370CC" w:rsidRPr="00354645" w:rsidRDefault="006A4A26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2.16</w:t>
      </w:r>
      <w:r w:rsidRPr="00354645">
        <w:rPr>
          <w:rFonts w:asciiTheme="minorHAnsi" w:hAnsiTheme="minorHAnsi" w:cstheme="minorHAnsi"/>
          <w:lang w:val="fr-FR"/>
        </w:rPr>
        <w:tab/>
      </w:r>
      <w:r w:rsidR="007D64EA" w:rsidRPr="00354645">
        <w:rPr>
          <w:rFonts w:asciiTheme="minorHAnsi" w:hAnsiTheme="minorHAnsi" w:cstheme="minorHAnsi"/>
          <w:lang w:val="fr-FR"/>
        </w:rPr>
        <w:t xml:space="preserve">Un conseiller propose de supprimer le point 6 du </w:t>
      </w:r>
      <w:r w:rsidR="007D64EA" w:rsidRPr="00354645">
        <w:rPr>
          <w:rFonts w:asciiTheme="minorHAnsi" w:hAnsiTheme="minorHAnsi" w:cstheme="minorHAnsi"/>
          <w:i/>
          <w:lang w:val="fr-FR"/>
        </w:rPr>
        <w:t>décide</w:t>
      </w:r>
      <w:r w:rsidR="007D64EA" w:rsidRPr="00354645">
        <w:rPr>
          <w:rFonts w:asciiTheme="minorHAnsi" w:hAnsiTheme="minorHAnsi" w:cstheme="minorHAnsi"/>
          <w:lang w:val="fr-FR"/>
        </w:rPr>
        <w:t xml:space="preserve">, </w:t>
      </w:r>
      <w:r w:rsidR="00B5644F" w:rsidRPr="00354645">
        <w:rPr>
          <w:rFonts w:asciiTheme="minorHAnsi" w:hAnsiTheme="minorHAnsi" w:cstheme="minorHAnsi"/>
          <w:lang w:val="fr-FR"/>
        </w:rPr>
        <w:t>puis</w:t>
      </w:r>
      <w:r w:rsidR="007D64EA" w:rsidRPr="00354645">
        <w:rPr>
          <w:rFonts w:asciiTheme="minorHAnsi" w:hAnsiTheme="minorHAnsi" w:cstheme="minorHAnsi"/>
          <w:lang w:val="fr-FR"/>
        </w:rPr>
        <w:t>qu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7D64EA" w:rsidRPr="00354645">
        <w:rPr>
          <w:rFonts w:asciiTheme="minorHAnsi" w:hAnsiTheme="minorHAnsi" w:cstheme="minorHAnsi"/>
          <w:lang w:val="fr-FR"/>
        </w:rPr>
        <w:t>il n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7D64EA" w:rsidRPr="00354645">
        <w:rPr>
          <w:rFonts w:asciiTheme="minorHAnsi" w:hAnsiTheme="minorHAnsi" w:cstheme="minorHAnsi"/>
          <w:lang w:val="fr-FR"/>
        </w:rPr>
        <w:t>appartient pas au Conseil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7D64EA" w:rsidRPr="00354645">
        <w:rPr>
          <w:rFonts w:asciiTheme="minorHAnsi" w:hAnsiTheme="minorHAnsi" w:cstheme="minorHAnsi"/>
          <w:lang w:val="fr-FR"/>
        </w:rPr>
        <w:t xml:space="preserve">interpréter les décisions de la Conférence de plénipotentiaires et que de telles références </w:t>
      </w:r>
      <w:r w:rsidR="00B5644F" w:rsidRPr="00354645">
        <w:rPr>
          <w:rFonts w:asciiTheme="minorHAnsi" w:hAnsiTheme="minorHAnsi" w:cstheme="minorHAnsi"/>
          <w:lang w:val="fr-FR"/>
        </w:rPr>
        <w:t>auraient davantage leur place</w:t>
      </w:r>
      <w:r w:rsidR="007D64EA" w:rsidRPr="00354645">
        <w:rPr>
          <w:rFonts w:asciiTheme="minorHAnsi" w:hAnsiTheme="minorHAnsi" w:cstheme="minorHAnsi"/>
          <w:lang w:val="fr-FR"/>
        </w:rPr>
        <w:t xml:space="preserve"> dans le préambule.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9A5901" w:rsidRPr="00354645">
        <w:rPr>
          <w:rFonts w:asciiTheme="minorHAnsi" w:hAnsiTheme="minorHAnsi" w:cstheme="minorHAnsi"/>
          <w:lang w:val="fr-FR"/>
        </w:rPr>
        <w:t xml:space="preserve">Deux autres conseillers préfèrent conserver le point 6 du </w:t>
      </w:r>
      <w:r w:rsidR="009A5901" w:rsidRPr="00354645">
        <w:rPr>
          <w:rFonts w:asciiTheme="minorHAnsi" w:hAnsiTheme="minorHAnsi" w:cstheme="minorHAnsi"/>
          <w:i/>
          <w:lang w:val="fr-FR"/>
        </w:rPr>
        <w:t>décide</w:t>
      </w:r>
      <w:r w:rsidR="009A5901" w:rsidRPr="00354645">
        <w:rPr>
          <w:rFonts w:asciiTheme="minorHAnsi" w:hAnsiTheme="minorHAnsi" w:cstheme="minorHAnsi"/>
          <w:lang w:val="fr-FR"/>
        </w:rPr>
        <w:t xml:space="preserve">, </w:t>
      </w:r>
      <w:r w:rsidR="00B5644F" w:rsidRPr="00354645">
        <w:rPr>
          <w:rFonts w:asciiTheme="minorHAnsi" w:hAnsiTheme="minorHAnsi" w:cstheme="minorHAnsi"/>
          <w:lang w:val="fr-FR"/>
        </w:rPr>
        <w:t>dans la mesure où il</w:t>
      </w:r>
      <w:r w:rsidR="009A5901" w:rsidRPr="00354645">
        <w:rPr>
          <w:rFonts w:asciiTheme="minorHAnsi" w:hAnsiTheme="minorHAnsi" w:cstheme="minorHAnsi"/>
          <w:lang w:val="fr-FR"/>
        </w:rPr>
        <w:t xml:space="preserve"> est logique de faire mention du préambule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9A5901" w:rsidRPr="00354645">
        <w:rPr>
          <w:rFonts w:asciiTheme="minorHAnsi" w:hAnsiTheme="minorHAnsi" w:cstheme="minorHAnsi"/>
          <w:lang w:val="fr-FR"/>
        </w:rPr>
        <w:t>une Résolution de la Conférence de plénipotentiaires dans le dispositif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9A5901" w:rsidRPr="00354645">
        <w:rPr>
          <w:rFonts w:asciiTheme="minorHAnsi" w:hAnsiTheme="minorHAnsi" w:cstheme="minorHAnsi"/>
          <w:lang w:val="fr-FR"/>
        </w:rPr>
        <w:t>une décision du Conseil.</w:t>
      </w:r>
    </w:p>
    <w:p w14:paraId="57777B0D" w14:textId="77777777" w:rsidR="001370CC" w:rsidRPr="00354645" w:rsidRDefault="006A4A26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2.17</w:t>
      </w:r>
      <w:r w:rsidRPr="00354645">
        <w:rPr>
          <w:rFonts w:asciiTheme="minorHAnsi" w:hAnsiTheme="minorHAnsi" w:cstheme="minorHAnsi"/>
          <w:lang w:val="fr-FR"/>
        </w:rPr>
        <w:tab/>
      </w:r>
      <w:r w:rsidR="00200AFE" w:rsidRPr="00354645">
        <w:rPr>
          <w:rFonts w:asciiTheme="minorHAnsi" w:hAnsiTheme="minorHAnsi" w:cstheme="minorHAnsi"/>
          <w:lang w:val="fr-FR"/>
        </w:rPr>
        <w:t xml:space="preserve">Il en est ainsi </w:t>
      </w:r>
      <w:r w:rsidR="00200AFE" w:rsidRPr="00354645">
        <w:rPr>
          <w:rFonts w:asciiTheme="minorHAnsi" w:hAnsiTheme="minorHAnsi" w:cstheme="minorHAnsi"/>
          <w:b/>
          <w:lang w:val="fr-FR"/>
        </w:rPr>
        <w:t>décidé</w:t>
      </w:r>
      <w:r w:rsidR="00200AFE" w:rsidRPr="00354645">
        <w:rPr>
          <w:rFonts w:asciiTheme="minorHAnsi" w:hAnsiTheme="minorHAnsi" w:cstheme="minorHAnsi"/>
          <w:lang w:val="fr-FR"/>
        </w:rPr>
        <w:t>.</w:t>
      </w:r>
    </w:p>
    <w:p w14:paraId="1DB8786B" w14:textId="7A4AF059" w:rsidR="001370CC" w:rsidRPr="00354645" w:rsidRDefault="006A4A26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2.18</w:t>
      </w:r>
      <w:r w:rsidRPr="00354645">
        <w:rPr>
          <w:rFonts w:asciiTheme="minorHAnsi" w:hAnsiTheme="minorHAnsi" w:cstheme="minorHAnsi"/>
          <w:lang w:val="fr-FR"/>
        </w:rPr>
        <w:tab/>
      </w:r>
      <w:r w:rsidR="00060828" w:rsidRPr="00354645">
        <w:rPr>
          <w:rFonts w:asciiTheme="minorHAnsi" w:hAnsiTheme="minorHAnsi" w:cstheme="minorHAnsi"/>
          <w:lang w:val="fr-FR"/>
        </w:rPr>
        <w:t xml:space="preserve">A la suite de plusieurs observations concernant le point 5 du </w:t>
      </w:r>
      <w:r w:rsidR="00060828" w:rsidRPr="00354645">
        <w:rPr>
          <w:rFonts w:asciiTheme="minorHAnsi" w:hAnsiTheme="minorHAnsi" w:cstheme="minorHAnsi"/>
          <w:i/>
          <w:lang w:val="fr-FR"/>
        </w:rPr>
        <w:t>décide</w:t>
      </w:r>
      <w:r w:rsidR="00060828" w:rsidRPr="00354645">
        <w:rPr>
          <w:rFonts w:asciiTheme="minorHAnsi" w:hAnsiTheme="minorHAnsi" w:cstheme="minorHAnsi"/>
          <w:lang w:val="fr-FR"/>
        </w:rPr>
        <w:t xml:space="preserve">, il est </w:t>
      </w:r>
      <w:r w:rsidR="00060828" w:rsidRPr="00354645">
        <w:rPr>
          <w:rFonts w:asciiTheme="minorHAnsi" w:hAnsiTheme="minorHAnsi" w:cstheme="minorHAnsi"/>
          <w:b/>
          <w:lang w:val="fr-FR"/>
        </w:rPr>
        <w:t>décidé</w:t>
      </w:r>
      <w:r w:rsidR="00060828" w:rsidRPr="00354645">
        <w:rPr>
          <w:rFonts w:asciiTheme="minorHAnsi" w:hAnsiTheme="minorHAnsi" w:cstheme="minorHAnsi"/>
          <w:lang w:val="fr-FR"/>
        </w:rPr>
        <w:t xml:space="preserve">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060828" w:rsidRPr="00354645">
        <w:rPr>
          <w:rFonts w:asciiTheme="minorHAnsi" w:hAnsiTheme="minorHAnsi" w:cstheme="minorHAnsi"/>
          <w:lang w:val="fr-FR"/>
        </w:rPr>
        <w:t xml:space="preserve">ajouter le terme </w:t>
      </w:r>
      <w:r w:rsidR="000A02F4" w:rsidRPr="00354645">
        <w:rPr>
          <w:rFonts w:asciiTheme="minorHAnsi" w:hAnsiTheme="minorHAnsi" w:cstheme="minorHAnsi"/>
          <w:lang w:val="fr-FR"/>
        </w:rPr>
        <w:t>"</w:t>
      </w:r>
      <w:r w:rsidR="00060828" w:rsidRPr="00354645">
        <w:rPr>
          <w:rFonts w:asciiTheme="minorHAnsi" w:hAnsiTheme="minorHAnsi" w:cstheme="minorHAnsi"/>
          <w:lang w:val="fr-FR"/>
        </w:rPr>
        <w:t>maximal</w:t>
      </w:r>
      <w:r w:rsidR="000A02F4" w:rsidRPr="00354645">
        <w:rPr>
          <w:rFonts w:asciiTheme="minorHAnsi" w:hAnsiTheme="minorHAnsi" w:cstheme="minorHAnsi"/>
          <w:lang w:val="fr-FR"/>
        </w:rPr>
        <w:t>"</w:t>
      </w:r>
      <w:r w:rsidR="00060828" w:rsidRPr="00354645">
        <w:rPr>
          <w:rFonts w:asciiTheme="minorHAnsi" w:hAnsiTheme="minorHAnsi" w:cstheme="minorHAnsi"/>
          <w:lang w:val="fr-FR"/>
        </w:rPr>
        <w:t xml:space="preserve"> après </w:t>
      </w:r>
      <w:r w:rsidR="000A02F4" w:rsidRPr="00354645">
        <w:rPr>
          <w:rFonts w:asciiTheme="minorHAnsi" w:hAnsiTheme="minorHAnsi" w:cstheme="minorHAnsi"/>
          <w:lang w:val="fr-FR"/>
        </w:rPr>
        <w:t>"</w:t>
      </w:r>
      <w:r w:rsidR="00060828" w:rsidRPr="00354645">
        <w:rPr>
          <w:rFonts w:asciiTheme="minorHAnsi" w:hAnsiTheme="minorHAnsi" w:cstheme="minorHAnsi"/>
          <w:lang w:val="fr-FR"/>
        </w:rPr>
        <w:t>coûts indirects du projet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060828" w:rsidRPr="00354645">
        <w:rPr>
          <w:rFonts w:asciiTheme="minorHAnsi" w:hAnsiTheme="minorHAnsi" w:cstheme="minorHAnsi"/>
          <w:lang w:val="fr-FR"/>
        </w:rPr>
        <w:t>un montant</w:t>
      </w:r>
      <w:r w:rsidR="00B5644F" w:rsidRPr="00354645">
        <w:rPr>
          <w:rFonts w:asciiTheme="minorHAnsi" w:hAnsiTheme="minorHAnsi" w:cstheme="minorHAnsi"/>
          <w:lang w:val="fr-FR"/>
        </w:rPr>
        <w:t>"</w:t>
      </w:r>
      <w:r w:rsidR="00060828" w:rsidRPr="00354645">
        <w:rPr>
          <w:rFonts w:asciiTheme="minorHAnsi" w:hAnsiTheme="minorHAnsi" w:cstheme="minorHAnsi"/>
          <w:lang w:val="fr-FR"/>
        </w:rPr>
        <w:t>, afin de répondre aux préoccupations soulevées et de rendre le texte plus clair.</w:t>
      </w:r>
    </w:p>
    <w:p w14:paraId="48F05A6A" w14:textId="48605EC7" w:rsidR="001370CC" w:rsidRPr="00354645" w:rsidRDefault="006A4A26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2.19</w:t>
      </w:r>
      <w:r w:rsidRPr="00354645">
        <w:rPr>
          <w:rFonts w:asciiTheme="minorHAnsi" w:hAnsiTheme="minorHAnsi" w:cstheme="minorHAnsi"/>
          <w:lang w:val="fr-FR"/>
        </w:rPr>
        <w:tab/>
      </w:r>
      <w:r w:rsidR="00EC014A" w:rsidRPr="00354645">
        <w:rPr>
          <w:rFonts w:asciiTheme="minorHAnsi" w:hAnsiTheme="minorHAnsi" w:cstheme="minorHAnsi"/>
          <w:lang w:val="fr-FR"/>
        </w:rPr>
        <w:t xml:space="preserve">Le </w:t>
      </w:r>
      <w:r w:rsidR="00931ADC" w:rsidRPr="00354645">
        <w:rPr>
          <w:rFonts w:asciiTheme="minorHAnsi" w:hAnsiTheme="minorHAnsi" w:cstheme="minorHAnsi"/>
          <w:lang w:val="fr-FR"/>
        </w:rPr>
        <w:t>Co</w:t>
      </w:r>
      <w:r w:rsidR="00EC014A" w:rsidRPr="00354645">
        <w:rPr>
          <w:rFonts w:asciiTheme="minorHAnsi" w:hAnsiTheme="minorHAnsi" w:cstheme="minorHAnsi"/>
          <w:lang w:val="fr-FR"/>
        </w:rPr>
        <w:t>nseiller de la Fédération de Russie souligne que la recommandation relative à la Salle Popov qui a été approuvée par le Conseil en juin devrait être appliquée sous sa forme actuelle.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A16DB0" w:rsidRPr="00354645">
        <w:rPr>
          <w:rFonts w:asciiTheme="minorHAnsi" w:hAnsiTheme="minorHAnsi" w:cstheme="minorHAnsi"/>
          <w:lang w:val="fr-FR"/>
        </w:rPr>
        <w:t xml:space="preserve">Par conséquent, il propose d'ajouter un point </w:t>
      </w:r>
      <w:r w:rsidR="00A16DB0" w:rsidRPr="00354645">
        <w:rPr>
          <w:rFonts w:asciiTheme="minorHAnsi" w:hAnsiTheme="minorHAnsi" w:cstheme="minorHAnsi"/>
          <w:i/>
          <w:lang w:val="fr-FR"/>
        </w:rPr>
        <w:t>3bis</w:t>
      </w:r>
      <w:r w:rsidR="00A16DB0" w:rsidRPr="00354645">
        <w:rPr>
          <w:rFonts w:asciiTheme="minorHAnsi" w:hAnsiTheme="minorHAnsi" w:cstheme="minorHAnsi"/>
          <w:lang w:val="fr-FR"/>
        </w:rPr>
        <w:t xml:space="preserve"> au </w:t>
      </w:r>
      <w:r w:rsidR="00A16DB0" w:rsidRPr="00354645">
        <w:rPr>
          <w:rFonts w:asciiTheme="minorHAnsi" w:hAnsiTheme="minorHAnsi" w:cstheme="minorHAnsi"/>
          <w:i/>
          <w:lang w:val="fr-FR"/>
        </w:rPr>
        <w:t xml:space="preserve">charge le Secrétaire général </w:t>
      </w:r>
      <w:r w:rsidR="00A16DB0" w:rsidRPr="00354645">
        <w:rPr>
          <w:rFonts w:asciiTheme="minorHAnsi" w:hAnsiTheme="minorHAnsi" w:cstheme="minorHAnsi"/>
          <w:lang w:val="fr-FR"/>
        </w:rPr>
        <w:t xml:space="preserve">du projet de décision, libellé comme suit: </w:t>
      </w:r>
    </w:p>
    <w:p w14:paraId="47C98187" w14:textId="39186117" w:rsidR="0012573A" w:rsidRPr="00354645" w:rsidRDefault="000A02F4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"</w:t>
      </w:r>
      <w:r w:rsidR="007D28C5" w:rsidRPr="00354645">
        <w:rPr>
          <w:rFonts w:asciiTheme="minorHAnsi" w:hAnsiTheme="minorHAnsi" w:cstheme="minorHAnsi"/>
          <w:lang w:val="fr-FR"/>
        </w:rPr>
        <w:t xml:space="preserve">de poursuivre la mise en œuvre des décisions du Conseil concernant la conservation </w:t>
      </w:r>
      <w:r w:rsidR="00B5644F" w:rsidRPr="00354645">
        <w:rPr>
          <w:rFonts w:asciiTheme="minorHAnsi" w:hAnsiTheme="minorHAnsi" w:cstheme="minorHAnsi"/>
          <w:lang w:val="fr-FR"/>
        </w:rPr>
        <w:t>de la</w:t>
      </w:r>
      <w:r w:rsidR="007D28C5" w:rsidRPr="00354645">
        <w:rPr>
          <w:rFonts w:asciiTheme="minorHAnsi" w:hAnsiTheme="minorHAnsi" w:cstheme="minorHAnsi"/>
          <w:lang w:val="fr-FR"/>
        </w:rPr>
        <w:t xml:space="preserve"> salle Popov, notamment du § 2.2.18.13 du compte rendu de la neuvième et dernière séance plénière de la session ordinaire de 2019 du Conseil (Document C19/120)</w:t>
      </w:r>
      <w:r w:rsidRPr="00354645">
        <w:rPr>
          <w:rFonts w:asciiTheme="minorHAnsi" w:hAnsiTheme="minorHAnsi" w:cstheme="minorHAnsi"/>
          <w:lang w:val="fr-FR"/>
        </w:rPr>
        <w:t>"</w:t>
      </w:r>
      <w:r w:rsidR="007D28C5" w:rsidRPr="00354645">
        <w:rPr>
          <w:rFonts w:asciiTheme="minorHAnsi" w:hAnsiTheme="minorHAnsi" w:cstheme="minorHAnsi"/>
          <w:lang w:val="fr-FR"/>
        </w:rPr>
        <w:t>.</w:t>
      </w:r>
    </w:p>
    <w:p w14:paraId="187AFCE6" w14:textId="27C81E7C" w:rsidR="001370CC" w:rsidRPr="00354645" w:rsidRDefault="006A4A26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2.20</w:t>
      </w:r>
      <w:r w:rsidRPr="00354645">
        <w:rPr>
          <w:rFonts w:asciiTheme="minorHAnsi" w:hAnsiTheme="minorHAnsi" w:cstheme="minorHAnsi"/>
          <w:lang w:val="fr-FR"/>
        </w:rPr>
        <w:tab/>
      </w:r>
      <w:r w:rsidR="007C359A" w:rsidRPr="00354645">
        <w:rPr>
          <w:rFonts w:asciiTheme="minorHAnsi" w:hAnsiTheme="minorHAnsi" w:cstheme="minorHAnsi"/>
          <w:lang w:val="fr-FR"/>
        </w:rPr>
        <w:t>Plusieurs conseillers sont opposés à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7C359A" w:rsidRPr="00354645">
        <w:rPr>
          <w:rFonts w:asciiTheme="minorHAnsi" w:hAnsiTheme="minorHAnsi" w:cstheme="minorHAnsi"/>
          <w:lang w:val="fr-FR"/>
        </w:rPr>
        <w:t xml:space="preserve">ajout du nouveau paragraphe proposé, </w:t>
      </w:r>
      <w:r w:rsidR="00B5644F" w:rsidRPr="00354645">
        <w:rPr>
          <w:rFonts w:asciiTheme="minorHAnsi" w:hAnsiTheme="minorHAnsi" w:cstheme="minorHAnsi"/>
          <w:lang w:val="fr-FR"/>
        </w:rPr>
        <w:t>celui-ci étant</w:t>
      </w:r>
      <w:r w:rsidR="007C359A" w:rsidRPr="00354645">
        <w:rPr>
          <w:rFonts w:asciiTheme="minorHAnsi" w:hAnsiTheme="minorHAnsi" w:cstheme="minorHAnsi"/>
          <w:lang w:val="fr-FR"/>
        </w:rPr>
        <w:t xml:space="preserve"> déjà reflété dans une recommandation du Conseil, au § 2.2.18.13 du Document </w:t>
      </w:r>
      <w:hyperlink r:id="rId17" w:history="1">
        <w:r w:rsidR="007C359A" w:rsidRPr="00354645">
          <w:rPr>
            <w:rStyle w:val="Hyperlink"/>
            <w:rFonts w:asciiTheme="minorHAnsi" w:hAnsiTheme="minorHAnsi" w:cstheme="minorHAnsi"/>
            <w:lang w:val="fr-FR"/>
          </w:rPr>
          <w:t>C19/120</w:t>
        </w:r>
      </w:hyperlink>
      <w:r w:rsidR="007C359A" w:rsidRPr="00354645">
        <w:rPr>
          <w:rStyle w:val="Hyperlink"/>
          <w:rFonts w:asciiTheme="minorHAnsi" w:hAnsiTheme="minorHAnsi" w:cstheme="minorHAnsi"/>
          <w:color w:val="auto"/>
          <w:u w:val="none"/>
          <w:lang w:val="fr-FR"/>
        </w:rPr>
        <w:t xml:space="preserve"> (compte rendu de la neuvième séance plénière de la session de 2019 du Conseil).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6D288B" w:rsidRPr="00354645">
        <w:rPr>
          <w:rFonts w:asciiTheme="minorHAnsi" w:hAnsiTheme="minorHAnsi" w:cstheme="minorHAnsi"/>
          <w:lang w:val="fr-FR"/>
        </w:rPr>
        <w:t xml:space="preserve">Ce paragraphe devrait </w:t>
      </w:r>
      <w:r w:rsidR="00B5644F" w:rsidRPr="00354645">
        <w:rPr>
          <w:rFonts w:asciiTheme="minorHAnsi" w:hAnsiTheme="minorHAnsi" w:cstheme="minorHAnsi"/>
          <w:lang w:val="fr-FR"/>
        </w:rPr>
        <w:t>conserver son statut de</w:t>
      </w:r>
      <w:r w:rsidR="006D288B" w:rsidRPr="00354645">
        <w:rPr>
          <w:rFonts w:asciiTheme="minorHAnsi" w:hAnsiTheme="minorHAnsi" w:cstheme="minorHAnsi"/>
          <w:lang w:val="fr-FR"/>
        </w:rPr>
        <w:t xml:space="preserve"> recommandation.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1A7A8D" w:rsidRPr="00354645">
        <w:rPr>
          <w:rFonts w:asciiTheme="minorHAnsi" w:hAnsiTheme="minorHAnsi" w:cstheme="minorHAnsi"/>
          <w:lang w:val="fr-FR"/>
        </w:rPr>
        <w:t>Les conseillers sont attachés à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1A7A8D" w:rsidRPr="00354645">
        <w:rPr>
          <w:rFonts w:asciiTheme="minorHAnsi" w:hAnsiTheme="minorHAnsi" w:cstheme="minorHAnsi"/>
          <w:lang w:val="fr-FR"/>
        </w:rPr>
        <w:t>idée de disposer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1A7A8D" w:rsidRPr="00354645">
        <w:rPr>
          <w:rFonts w:asciiTheme="minorHAnsi" w:hAnsiTheme="minorHAnsi" w:cstheme="minorHAnsi"/>
          <w:lang w:val="fr-FR"/>
        </w:rPr>
        <w:t xml:space="preserve">une </w:t>
      </w:r>
      <w:r w:rsidR="002063C4" w:rsidRPr="00354645">
        <w:rPr>
          <w:rFonts w:asciiTheme="minorHAnsi" w:hAnsiTheme="minorHAnsi" w:cstheme="minorHAnsi"/>
          <w:lang w:val="fr-FR"/>
        </w:rPr>
        <w:t>s</w:t>
      </w:r>
      <w:r w:rsidR="001A7A8D" w:rsidRPr="00354645">
        <w:rPr>
          <w:rFonts w:asciiTheme="minorHAnsi" w:hAnsiTheme="minorHAnsi" w:cstheme="minorHAnsi"/>
          <w:lang w:val="fr-FR"/>
        </w:rPr>
        <w:t xml:space="preserve">alle Popov, mais </w:t>
      </w:r>
      <w:r w:rsidR="00B5644F" w:rsidRPr="00354645">
        <w:rPr>
          <w:rFonts w:asciiTheme="minorHAnsi" w:hAnsiTheme="minorHAnsi" w:cstheme="minorHAnsi"/>
          <w:lang w:val="fr-FR"/>
        </w:rPr>
        <w:t>estiment que le fait de conserver</w:t>
      </w:r>
      <w:r w:rsidR="001A7A8D" w:rsidRPr="00354645">
        <w:rPr>
          <w:rFonts w:asciiTheme="minorHAnsi" w:hAnsiTheme="minorHAnsi" w:cstheme="minorHAnsi"/>
          <w:lang w:val="fr-FR"/>
        </w:rPr>
        <w:t xml:space="preserve"> la </w:t>
      </w:r>
      <w:r w:rsidR="002063C4" w:rsidRPr="00354645">
        <w:rPr>
          <w:rFonts w:asciiTheme="minorHAnsi" w:hAnsiTheme="minorHAnsi" w:cstheme="minorHAnsi"/>
          <w:lang w:val="fr-FR"/>
        </w:rPr>
        <w:t>s</w:t>
      </w:r>
      <w:r w:rsidR="001A7A8D" w:rsidRPr="00354645">
        <w:rPr>
          <w:rFonts w:asciiTheme="minorHAnsi" w:hAnsiTheme="minorHAnsi" w:cstheme="minorHAnsi"/>
          <w:lang w:val="fr-FR"/>
        </w:rPr>
        <w:t>alle Popov existante, et par conséquent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1A7A8D" w:rsidRPr="00354645">
        <w:rPr>
          <w:rFonts w:asciiTheme="minorHAnsi" w:hAnsiTheme="minorHAnsi" w:cstheme="minorHAnsi"/>
          <w:lang w:val="fr-FR"/>
        </w:rPr>
        <w:t>avoir deux grandes salles de réunion dans le futur bâtiment du siège, serait difficile à réaliser.</w:t>
      </w:r>
    </w:p>
    <w:p w14:paraId="4144C9C3" w14:textId="364D3C47" w:rsidR="001370CC" w:rsidRPr="00354645" w:rsidRDefault="006A4A26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2.21</w:t>
      </w:r>
      <w:r w:rsidRPr="00354645">
        <w:rPr>
          <w:rFonts w:asciiTheme="minorHAnsi" w:hAnsiTheme="minorHAnsi" w:cstheme="minorHAnsi"/>
          <w:lang w:val="fr-FR"/>
        </w:rPr>
        <w:tab/>
      </w:r>
      <w:r w:rsidR="00ED33B7" w:rsidRPr="00354645">
        <w:rPr>
          <w:rFonts w:asciiTheme="minorHAnsi" w:hAnsiTheme="minorHAnsi" w:cstheme="minorHAnsi"/>
          <w:lang w:val="fr-FR"/>
        </w:rPr>
        <w:t xml:space="preserve">Après avoir tenu des consultations informelles, le </w:t>
      </w:r>
      <w:r w:rsidR="00931ADC" w:rsidRPr="00354645">
        <w:rPr>
          <w:rFonts w:asciiTheme="minorHAnsi" w:hAnsiTheme="minorHAnsi" w:cstheme="minorHAnsi"/>
          <w:lang w:val="fr-FR"/>
        </w:rPr>
        <w:t>C</w:t>
      </w:r>
      <w:r w:rsidR="00ED33B7" w:rsidRPr="00354645">
        <w:rPr>
          <w:rFonts w:asciiTheme="minorHAnsi" w:hAnsiTheme="minorHAnsi" w:cstheme="minorHAnsi"/>
          <w:lang w:val="fr-FR"/>
        </w:rPr>
        <w:t xml:space="preserve">onseiller de la Fédération de Russie propose une version modifiée du point </w:t>
      </w:r>
      <w:r w:rsidR="00ED33B7" w:rsidRPr="00354645">
        <w:rPr>
          <w:rFonts w:asciiTheme="minorHAnsi" w:hAnsiTheme="minorHAnsi" w:cstheme="minorHAnsi"/>
          <w:i/>
          <w:lang w:val="fr-FR"/>
        </w:rPr>
        <w:t xml:space="preserve">3bis </w:t>
      </w:r>
      <w:r w:rsidR="00ED33B7" w:rsidRPr="00354645">
        <w:rPr>
          <w:rFonts w:asciiTheme="minorHAnsi" w:hAnsiTheme="minorHAnsi" w:cstheme="minorHAnsi"/>
          <w:lang w:val="fr-FR"/>
        </w:rPr>
        <w:t xml:space="preserve">du </w:t>
      </w:r>
      <w:r w:rsidR="00ED33B7" w:rsidRPr="00354645">
        <w:rPr>
          <w:rFonts w:asciiTheme="minorHAnsi" w:hAnsiTheme="minorHAnsi" w:cstheme="minorHAnsi"/>
          <w:i/>
          <w:lang w:val="fr-FR"/>
        </w:rPr>
        <w:t>charge le Secrétaire général</w:t>
      </w:r>
      <w:r w:rsidR="00ED33B7" w:rsidRPr="00354645">
        <w:rPr>
          <w:rFonts w:asciiTheme="minorHAnsi" w:hAnsiTheme="minorHAnsi" w:cstheme="minorHAnsi"/>
          <w:lang w:val="fr-FR"/>
        </w:rPr>
        <w:t>, libellé comme suit:</w:t>
      </w:r>
    </w:p>
    <w:p w14:paraId="06FD1F40" w14:textId="4593DFAE" w:rsidR="001370CC" w:rsidRPr="00354645" w:rsidRDefault="000A02F4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"</w:t>
      </w:r>
      <w:r w:rsidR="004B4CCC" w:rsidRPr="00354645">
        <w:rPr>
          <w:rFonts w:asciiTheme="minorHAnsi" w:hAnsiTheme="minorHAnsi" w:cstheme="minorHAnsi"/>
          <w:lang w:val="fr-FR"/>
        </w:rPr>
        <w:t>de poursuivre la mise en œuvre des décisions du Conseil concernant la conservation d'une salle Popov, notamment en fournissant une analyse financière et juridique des options présentées au §</w:t>
      </w:r>
      <w:r w:rsidR="00484963" w:rsidRPr="00354645">
        <w:rPr>
          <w:rFonts w:asciiTheme="minorHAnsi" w:hAnsiTheme="minorHAnsi" w:cstheme="minorHAnsi"/>
          <w:lang w:val="fr-FR"/>
        </w:rPr>
        <w:t> </w:t>
      </w:r>
      <w:r w:rsidR="004B4CCC" w:rsidRPr="00354645">
        <w:rPr>
          <w:rFonts w:asciiTheme="minorHAnsi" w:hAnsiTheme="minorHAnsi" w:cstheme="minorHAnsi"/>
          <w:lang w:val="fr-FR"/>
        </w:rPr>
        <w:t xml:space="preserve">2.2.18.13 du compte rendu de la neuvième et dernière séance plénière de la session ordinaire de 2019 du Conseil (Document </w:t>
      </w:r>
      <w:hyperlink r:id="rId18" w:history="1">
        <w:r w:rsidR="004B4CCC" w:rsidRPr="00354645">
          <w:rPr>
            <w:rStyle w:val="Hyperlink"/>
            <w:rFonts w:asciiTheme="minorHAnsi" w:hAnsiTheme="minorHAnsi" w:cstheme="minorHAnsi"/>
            <w:lang w:val="fr-FR"/>
          </w:rPr>
          <w:t>C19/120</w:t>
        </w:r>
      </w:hyperlink>
      <w:r w:rsidR="004B4CCC" w:rsidRPr="00354645">
        <w:rPr>
          <w:rStyle w:val="Hyperlink"/>
          <w:rFonts w:asciiTheme="minorHAnsi" w:hAnsiTheme="minorHAnsi" w:cstheme="minorHAnsi"/>
          <w:color w:val="auto"/>
          <w:u w:val="none"/>
          <w:lang w:val="fr-FR"/>
        </w:rPr>
        <w:t>)</w:t>
      </w:r>
      <w:r w:rsidRPr="00354645">
        <w:rPr>
          <w:rStyle w:val="Hyperlink"/>
          <w:rFonts w:asciiTheme="minorHAnsi" w:hAnsiTheme="minorHAnsi" w:cstheme="minorHAnsi"/>
          <w:color w:val="auto"/>
          <w:u w:val="none"/>
          <w:lang w:val="fr-FR"/>
        </w:rPr>
        <w:t>"</w:t>
      </w:r>
      <w:r w:rsidR="004B4CCC" w:rsidRPr="00354645">
        <w:rPr>
          <w:rStyle w:val="Hyperlink"/>
          <w:rFonts w:asciiTheme="minorHAnsi" w:hAnsiTheme="minorHAnsi" w:cstheme="minorHAnsi"/>
          <w:color w:val="auto"/>
          <w:u w:val="none"/>
          <w:lang w:val="fr-FR"/>
        </w:rPr>
        <w:t>.</w:t>
      </w:r>
    </w:p>
    <w:p w14:paraId="37A492D2" w14:textId="77777777" w:rsidR="001370CC" w:rsidRPr="00354645" w:rsidRDefault="006A4A26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2.22</w:t>
      </w:r>
      <w:r w:rsidRPr="00354645">
        <w:rPr>
          <w:rFonts w:asciiTheme="minorHAnsi" w:hAnsiTheme="minorHAnsi" w:cstheme="minorHAnsi"/>
          <w:lang w:val="fr-FR"/>
        </w:rPr>
        <w:tab/>
      </w:r>
      <w:r w:rsidR="004B4E8D" w:rsidRPr="00354645">
        <w:rPr>
          <w:rFonts w:asciiTheme="minorHAnsi" w:hAnsiTheme="minorHAnsi" w:cstheme="minorHAnsi"/>
          <w:lang w:val="fr-FR"/>
        </w:rPr>
        <w:t xml:space="preserve">Il en est ainsi </w:t>
      </w:r>
      <w:r w:rsidR="004B4E8D" w:rsidRPr="00354645">
        <w:rPr>
          <w:rFonts w:asciiTheme="minorHAnsi" w:hAnsiTheme="minorHAnsi" w:cstheme="minorHAnsi"/>
          <w:b/>
          <w:lang w:val="fr-FR"/>
        </w:rPr>
        <w:t>décidé</w:t>
      </w:r>
      <w:r w:rsidR="004B4E8D" w:rsidRPr="00354645">
        <w:rPr>
          <w:rFonts w:asciiTheme="minorHAnsi" w:hAnsiTheme="minorHAnsi" w:cstheme="minorHAnsi"/>
          <w:lang w:val="fr-FR"/>
        </w:rPr>
        <w:t>.</w:t>
      </w:r>
    </w:p>
    <w:p w14:paraId="3FA16173" w14:textId="77777777" w:rsidR="001370CC" w:rsidRPr="00354645" w:rsidRDefault="006A4A26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2.23</w:t>
      </w:r>
      <w:r w:rsidRPr="00354645">
        <w:rPr>
          <w:rFonts w:asciiTheme="minorHAnsi" w:hAnsiTheme="minorHAnsi" w:cstheme="minorHAnsi"/>
          <w:lang w:val="fr-FR"/>
        </w:rPr>
        <w:tab/>
      </w:r>
      <w:r w:rsidR="00D4022D" w:rsidRPr="00354645">
        <w:rPr>
          <w:rFonts w:asciiTheme="minorHAnsi" w:hAnsiTheme="minorHAnsi" w:cstheme="minorHAnsi"/>
          <w:lang w:val="fr-FR"/>
        </w:rPr>
        <w:t xml:space="preserve">Le Conseil </w:t>
      </w:r>
      <w:r w:rsidR="00D4022D" w:rsidRPr="00354645">
        <w:rPr>
          <w:rFonts w:asciiTheme="minorHAnsi" w:hAnsiTheme="minorHAnsi" w:cstheme="minorHAnsi"/>
          <w:b/>
          <w:lang w:val="fr-FR"/>
        </w:rPr>
        <w:t>adopte</w:t>
      </w:r>
      <w:r w:rsidR="00D4022D" w:rsidRPr="00354645">
        <w:rPr>
          <w:rFonts w:asciiTheme="minorHAnsi" w:hAnsiTheme="minorHAnsi" w:cstheme="minorHAnsi"/>
          <w:lang w:val="fr-FR"/>
        </w:rPr>
        <w:t xml:space="preserve"> le projet de décision tel que modifié.</w:t>
      </w:r>
    </w:p>
    <w:p w14:paraId="2D24467B" w14:textId="12268894" w:rsidR="00371489" w:rsidRPr="00354645" w:rsidRDefault="006A4A26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textAlignment w:val="auto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2.24</w:t>
      </w:r>
      <w:r w:rsidRPr="00354645">
        <w:rPr>
          <w:rFonts w:asciiTheme="minorHAnsi" w:hAnsiTheme="minorHAnsi" w:cstheme="minorHAnsi"/>
          <w:lang w:val="fr-FR"/>
        </w:rPr>
        <w:tab/>
      </w:r>
      <w:r w:rsidR="00C943D9" w:rsidRPr="00354645">
        <w:rPr>
          <w:rFonts w:asciiTheme="minorHAnsi" w:hAnsiTheme="minorHAnsi" w:cstheme="minorHAnsi"/>
          <w:lang w:val="fr-FR"/>
        </w:rPr>
        <w:t xml:space="preserve">Deux conseillers soulignent que la démolition du bâtiment Varembé ne devrait pas entraver </w:t>
      </w:r>
      <w:r w:rsidR="00B5644F" w:rsidRPr="00354645">
        <w:rPr>
          <w:rFonts w:asciiTheme="minorHAnsi" w:hAnsiTheme="minorHAnsi" w:cstheme="minorHAnsi"/>
          <w:lang w:val="fr-FR"/>
        </w:rPr>
        <w:t>le</w:t>
      </w:r>
      <w:r w:rsidR="00C943D9" w:rsidRPr="00354645">
        <w:rPr>
          <w:rFonts w:asciiTheme="minorHAnsi" w:hAnsiTheme="minorHAnsi" w:cstheme="minorHAnsi"/>
          <w:lang w:val="fr-FR"/>
        </w:rPr>
        <w:t xml:space="preserve"> bon déroulement des réunions.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B5644F" w:rsidRPr="00354645">
        <w:rPr>
          <w:rFonts w:asciiTheme="minorHAnsi" w:hAnsiTheme="minorHAnsi" w:cstheme="minorHAnsi"/>
          <w:lang w:val="fr-FR"/>
        </w:rPr>
        <w:t>À</w:t>
      </w:r>
      <w:r w:rsidR="00F94F91" w:rsidRPr="00354645">
        <w:rPr>
          <w:rFonts w:asciiTheme="minorHAnsi" w:hAnsiTheme="minorHAnsi" w:cstheme="minorHAnsi"/>
          <w:lang w:val="fr-FR"/>
        </w:rPr>
        <w:t xml:space="preserve"> cet égard, il est particulièrement important de </w:t>
      </w:r>
      <w:r w:rsidR="00B5644F" w:rsidRPr="00354645">
        <w:rPr>
          <w:rFonts w:asciiTheme="minorHAnsi" w:hAnsiTheme="minorHAnsi" w:cstheme="minorHAnsi"/>
          <w:lang w:val="fr-FR"/>
        </w:rPr>
        <w:t>veiller</w:t>
      </w:r>
      <w:r w:rsidR="00F94F91" w:rsidRPr="00354645">
        <w:rPr>
          <w:rFonts w:asciiTheme="minorHAnsi" w:hAnsiTheme="minorHAnsi" w:cstheme="minorHAnsi"/>
          <w:lang w:val="fr-FR"/>
        </w:rPr>
        <w:t xml:space="preserve"> à ce que les participants ne rencontrent pas de difficultés pour obtenir </w:t>
      </w:r>
      <w:r w:rsidR="00B5644F" w:rsidRPr="00354645">
        <w:rPr>
          <w:rFonts w:asciiTheme="minorHAnsi" w:hAnsiTheme="minorHAnsi" w:cstheme="minorHAnsi"/>
          <w:lang w:val="fr-FR"/>
        </w:rPr>
        <w:t>un</w:t>
      </w:r>
      <w:r w:rsidR="00F94F91" w:rsidRPr="00354645">
        <w:rPr>
          <w:rFonts w:asciiTheme="minorHAnsi" w:hAnsiTheme="minorHAnsi" w:cstheme="minorHAnsi"/>
          <w:lang w:val="fr-FR"/>
        </w:rPr>
        <w:t xml:space="preserve"> visa si les réunions se tiennent en dehors de la Suisse.</w:t>
      </w:r>
    </w:p>
    <w:p w14:paraId="63B09E05" w14:textId="3F9EEA09" w:rsidR="00285C87" w:rsidRPr="00354645" w:rsidRDefault="006A4A26" w:rsidP="009C35B2">
      <w:pPr>
        <w:pStyle w:val="Heading1"/>
        <w:rPr>
          <w:lang w:val="fr-FR"/>
        </w:rPr>
      </w:pPr>
      <w:r w:rsidRPr="00354645">
        <w:rPr>
          <w:lang w:val="fr-FR"/>
        </w:rPr>
        <w:lastRenderedPageBreak/>
        <w:t>3</w:t>
      </w:r>
      <w:r w:rsidRPr="00354645">
        <w:rPr>
          <w:lang w:val="fr-FR"/>
        </w:rPr>
        <w:tab/>
      </w:r>
      <w:r w:rsidR="00B253C3" w:rsidRPr="00354645">
        <w:rPr>
          <w:lang w:val="fr-FR"/>
        </w:rPr>
        <w:t xml:space="preserve">Déclaration du </w:t>
      </w:r>
      <w:r w:rsidR="00931ADC" w:rsidRPr="00354645">
        <w:rPr>
          <w:lang w:val="fr-FR"/>
        </w:rPr>
        <w:t>C</w:t>
      </w:r>
      <w:r w:rsidR="00B253C3" w:rsidRPr="00354645">
        <w:rPr>
          <w:lang w:val="fr-FR"/>
        </w:rPr>
        <w:t>onseiller des Bahamas</w:t>
      </w:r>
    </w:p>
    <w:p w14:paraId="09AB0EA5" w14:textId="5AE718D5" w:rsidR="00285C87" w:rsidRPr="00354645" w:rsidRDefault="006A4A26" w:rsidP="009C35B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3.1</w:t>
      </w:r>
      <w:r w:rsidRPr="00354645">
        <w:rPr>
          <w:rFonts w:asciiTheme="minorHAnsi" w:hAnsiTheme="minorHAnsi" w:cstheme="minorHAnsi"/>
          <w:lang w:val="fr-FR"/>
        </w:rPr>
        <w:tab/>
      </w:r>
      <w:r w:rsidR="00D34F1B" w:rsidRPr="00354645">
        <w:rPr>
          <w:rFonts w:asciiTheme="minorHAnsi" w:hAnsiTheme="minorHAnsi" w:cstheme="minorHAnsi"/>
          <w:lang w:val="fr-FR"/>
        </w:rPr>
        <w:t xml:space="preserve">Le </w:t>
      </w:r>
      <w:r w:rsidR="00931ADC" w:rsidRPr="00354645">
        <w:rPr>
          <w:rFonts w:asciiTheme="minorHAnsi" w:hAnsiTheme="minorHAnsi" w:cstheme="minorHAnsi"/>
          <w:lang w:val="fr-FR"/>
        </w:rPr>
        <w:t>C</w:t>
      </w:r>
      <w:r w:rsidR="00D34F1B" w:rsidRPr="00354645">
        <w:rPr>
          <w:rFonts w:asciiTheme="minorHAnsi" w:hAnsiTheme="minorHAnsi" w:cstheme="minorHAnsi"/>
          <w:lang w:val="fr-FR"/>
        </w:rPr>
        <w:t>onseiller des Bahamas exprime ses remerciements pour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D34F1B" w:rsidRPr="00354645">
        <w:rPr>
          <w:rFonts w:asciiTheme="minorHAnsi" w:hAnsiTheme="minorHAnsi" w:cstheme="minorHAnsi"/>
          <w:lang w:val="fr-FR"/>
        </w:rPr>
        <w:t>assistance fournie à son pays par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D34F1B" w:rsidRPr="00354645">
        <w:rPr>
          <w:rFonts w:asciiTheme="minorHAnsi" w:hAnsiTheme="minorHAnsi" w:cstheme="minorHAnsi"/>
          <w:lang w:val="fr-FR"/>
        </w:rPr>
        <w:t>UIT après le passage de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D34F1B" w:rsidRPr="00354645">
        <w:rPr>
          <w:rFonts w:asciiTheme="minorHAnsi" w:hAnsiTheme="minorHAnsi" w:cstheme="minorHAnsi"/>
          <w:lang w:val="fr-FR"/>
        </w:rPr>
        <w:t>ouragan Dorian.</w:t>
      </w:r>
    </w:p>
    <w:p w14:paraId="025D87D8" w14:textId="77777777" w:rsidR="00285C87" w:rsidRPr="00354645" w:rsidRDefault="006A4A26" w:rsidP="009C35B2">
      <w:pPr>
        <w:pStyle w:val="Heading1"/>
        <w:rPr>
          <w:lang w:val="fr-FR"/>
        </w:rPr>
      </w:pPr>
      <w:r w:rsidRPr="00354645">
        <w:rPr>
          <w:lang w:val="fr-FR"/>
        </w:rPr>
        <w:t>4</w:t>
      </w:r>
      <w:r w:rsidRPr="00354645">
        <w:rPr>
          <w:lang w:val="fr-FR"/>
        </w:rPr>
        <w:tab/>
      </w:r>
      <w:r w:rsidR="00AD194D" w:rsidRPr="00354645">
        <w:rPr>
          <w:lang w:val="fr-FR"/>
        </w:rPr>
        <w:t>Questions relevant des Groupes de travail du Conseil</w:t>
      </w:r>
    </w:p>
    <w:p w14:paraId="593109E9" w14:textId="0251BEF4" w:rsidR="00285C87" w:rsidRPr="00354645" w:rsidRDefault="006A4A26" w:rsidP="009C35B2">
      <w:pPr>
        <w:pStyle w:val="ListParagraph"/>
        <w:snapToGrid w:val="0"/>
        <w:spacing w:before="120" w:after="120"/>
        <w:ind w:left="0"/>
        <w:contextualSpacing w:val="0"/>
        <w:rPr>
          <w:rFonts w:cstheme="minorHAnsi"/>
          <w:lang w:val="fr-FR"/>
        </w:rPr>
      </w:pPr>
      <w:r w:rsidRPr="00354645">
        <w:rPr>
          <w:rFonts w:cstheme="minorHAnsi"/>
          <w:lang w:val="fr-FR"/>
        </w:rPr>
        <w:t>4.1</w:t>
      </w:r>
      <w:r w:rsidRPr="00354645">
        <w:rPr>
          <w:rFonts w:cstheme="minorHAnsi"/>
          <w:lang w:val="fr-FR"/>
        </w:rPr>
        <w:tab/>
      </w:r>
      <w:r w:rsidR="00627FAE" w:rsidRPr="00354645">
        <w:rPr>
          <w:rFonts w:cstheme="minorHAnsi"/>
          <w:lang w:val="fr-FR"/>
        </w:rPr>
        <w:t xml:space="preserve">Le Conseil </w:t>
      </w:r>
      <w:r w:rsidR="00627FAE" w:rsidRPr="00354645">
        <w:rPr>
          <w:rFonts w:cstheme="minorHAnsi"/>
          <w:b/>
          <w:lang w:val="fr-FR"/>
        </w:rPr>
        <w:t>convient</w:t>
      </w:r>
      <w:r w:rsidR="00627FAE" w:rsidRPr="00354645">
        <w:rPr>
          <w:rFonts w:cstheme="minorHAnsi"/>
          <w:lang w:val="fr-FR"/>
        </w:rPr>
        <w:t xml:space="preserve"> de nommer M. W. Berezowski</w:t>
      </w:r>
      <w:bookmarkStart w:id="7" w:name="_GoBack"/>
      <w:bookmarkEnd w:id="7"/>
      <w:r w:rsidR="00627FAE" w:rsidRPr="00354645">
        <w:rPr>
          <w:rFonts w:cstheme="minorHAnsi"/>
          <w:lang w:val="fr-FR"/>
        </w:rPr>
        <w:t xml:space="preserve"> (Pologne) à la fonction de Vice</w:t>
      </w:r>
      <w:r w:rsidR="0065533B" w:rsidRPr="00354645">
        <w:rPr>
          <w:rFonts w:cstheme="minorHAnsi"/>
          <w:lang w:val="fr-FR"/>
        </w:rPr>
        <w:noBreakHyphen/>
      </w:r>
      <w:r w:rsidR="00627FAE" w:rsidRPr="00354645">
        <w:rPr>
          <w:rFonts w:cstheme="minorHAnsi"/>
          <w:lang w:val="fr-FR"/>
        </w:rPr>
        <w:t>P</w:t>
      </w:r>
      <w:r w:rsidR="00B5644F" w:rsidRPr="00354645">
        <w:rPr>
          <w:rFonts w:cstheme="minorHAnsi"/>
          <w:lang w:val="fr-FR"/>
        </w:rPr>
        <w:t>r</w:t>
      </w:r>
      <w:r w:rsidR="00627FAE" w:rsidRPr="00354645">
        <w:rPr>
          <w:rFonts w:cstheme="minorHAnsi"/>
          <w:lang w:val="fr-FR"/>
        </w:rPr>
        <w:t>ésident pour la région Europe du Groupe de travail du Conseil sur le SMSI et les ODD, le Vice-Président actuel pour la région étant dans l</w:t>
      </w:r>
      <w:r w:rsidR="000A02F4" w:rsidRPr="00354645">
        <w:rPr>
          <w:rFonts w:cstheme="minorHAnsi"/>
          <w:lang w:val="fr-FR"/>
        </w:rPr>
        <w:t>'</w:t>
      </w:r>
      <w:r w:rsidR="00627FAE" w:rsidRPr="00354645">
        <w:rPr>
          <w:rFonts w:cstheme="minorHAnsi"/>
          <w:lang w:val="fr-FR"/>
        </w:rPr>
        <w:t>incapacité de continuer à exercer cette fonction.</w:t>
      </w:r>
    </w:p>
    <w:p w14:paraId="49562270" w14:textId="01AACB81" w:rsidR="00285C87" w:rsidRPr="00354645" w:rsidRDefault="006A4A26" w:rsidP="009C35B2">
      <w:pPr>
        <w:pStyle w:val="ListParagraph"/>
        <w:snapToGrid w:val="0"/>
        <w:spacing w:before="120" w:after="120"/>
        <w:ind w:left="0"/>
        <w:contextualSpacing w:val="0"/>
        <w:rPr>
          <w:rFonts w:cstheme="minorHAnsi"/>
          <w:lang w:val="fr-FR"/>
        </w:rPr>
      </w:pPr>
      <w:r w:rsidRPr="00354645">
        <w:rPr>
          <w:rFonts w:cstheme="minorHAnsi"/>
          <w:lang w:val="fr-FR"/>
        </w:rPr>
        <w:t>4.2</w:t>
      </w:r>
      <w:r w:rsidRPr="00354645">
        <w:rPr>
          <w:rFonts w:cstheme="minorHAnsi"/>
          <w:lang w:val="fr-FR"/>
        </w:rPr>
        <w:tab/>
      </w:r>
      <w:r w:rsidR="00FD0A73" w:rsidRPr="00354645">
        <w:rPr>
          <w:rFonts w:cstheme="minorHAnsi"/>
          <w:lang w:val="fr-FR"/>
        </w:rPr>
        <w:t xml:space="preserve">Un conseiller demande au </w:t>
      </w:r>
      <w:r w:rsidR="00D719A1" w:rsidRPr="00354645">
        <w:rPr>
          <w:rFonts w:cstheme="minorHAnsi"/>
          <w:lang w:val="fr-FR"/>
        </w:rPr>
        <w:t xml:space="preserve">secrétariat </w:t>
      </w:r>
      <w:r w:rsidR="00FD0A73" w:rsidRPr="00354645">
        <w:rPr>
          <w:rFonts w:cstheme="minorHAnsi"/>
          <w:lang w:val="fr-FR"/>
        </w:rPr>
        <w:t xml:space="preserve">de ne pas planifier la série de réunions des Groupes de travail du Conseil au même moment que les réunions des groupes consultatifs, dans la mesure où, souvent, </w:t>
      </w:r>
      <w:r w:rsidR="00B5644F" w:rsidRPr="00354645">
        <w:rPr>
          <w:rFonts w:cstheme="minorHAnsi"/>
          <w:lang w:val="fr-FR"/>
        </w:rPr>
        <w:t xml:space="preserve">ce sont </w:t>
      </w:r>
      <w:r w:rsidR="00FD0A73" w:rsidRPr="00354645">
        <w:rPr>
          <w:rFonts w:cstheme="minorHAnsi"/>
          <w:lang w:val="fr-FR"/>
        </w:rPr>
        <w:t xml:space="preserve">les mêmes experts </w:t>
      </w:r>
      <w:r w:rsidR="00B5644F" w:rsidRPr="00354645">
        <w:rPr>
          <w:rFonts w:cstheme="minorHAnsi"/>
          <w:lang w:val="fr-FR"/>
        </w:rPr>
        <w:t xml:space="preserve">qui </w:t>
      </w:r>
      <w:r w:rsidR="00FD0A73" w:rsidRPr="00354645">
        <w:rPr>
          <w:rFonts w:cstheme="minorHAnsi"/>
          <w:lang w:val="fr-FR"/>
        </w:rPr>
        <w:t>participent aux</w:t>
      </w:r>
      <w:r w:rsidR="002063C4" w:rsidRPr="00354645">
        <w:rPr>
          <w:rFonts w:cstheme="minorHAnsi"/>
          <w:lang w:val="fr-FR"/>
        </w:rPr>
        <w:t xml:space="preserve">dites </w:t>
      </w:r>
      <w:r w:rsidR="00FD0A73" w:rsidRPr="00354645">
        <w:rPr>
          <w:rFonts w:cstheme="minorHAnsi"/>
          <w:lang w:val="fr-FR"/>
        </w:rPr>
        <w:t>réunions.</w:t>
      </w:r>
    </w:p>
    <w:p w14:paraId="0873F7A9" w14:textId="773970E5" w:rsidR="00285C87" w:rsidRPr="00354645" w:rsidRDefault="006A4A26" w:rsidP="009C35B2">
      <w:pPr>
        <w:pStyle w:val="ListParagraph"/>
        <w:snapToGrid w:val="0"/>
        <w:spacing w:before="120" w:after="120"/>
        <w:ind w:left="0"/>
        <w:contextualSpacing w:val="0"/>
        <w:rPr>
          <w:rFonts w:cstheme="minorHAnsi"/>
          <w:lang w:val="fr-FR"/>
        </w:rPr>
      </w:pPr>
      <w:r w:rsidRPr="00354645">
        <w:rPr>
          <w:rFonts w:cstheme="minorHAnsi"/>
          <w:lang w:val="fr-FR"/>
        </w:rPr>
        <w:t>4.3</w:t>
      </w:r>
      <w:r w:rsidRPr="00354645">
        <w:rPr>
          <w:rFonts w:cstheme="minorHAnsi"/>
          <w:lang w:val="fr-FR"/>
        </w:rPr>
        <w:tab/>
      </w:r>
      <w:r w:rsidR="004D39B1" w:rsidRPr="00354645">
        <w:rPr>
          <w:rFonts w:cstheme="minorHAnsi"/>
          <w:lang w:val="fr-FR"/>
        </w:rPr>
        <w:t>Le Président faisant fonction annonce les dates des séries de réunion</w:t>
      </w:r>
      <w:r w:rsidR="002063C4" w:rsidRPr="00354645">
        <w:rPr>
          <w:rFonts w:cstheme="minorHAnsi"/>
          <w:lang w:val="fr-FR"/>
        </w:rPr>
        <w:t>s</w:t>
      </w:r>
      <w:r w:rsidR="004D39B1" w:rsidRPr="00354645">
        <w:rPr>
          <w:rFonts w:cstheme="minorHAnsi"/>
          <w:lang w:val="fr-FR"/>
        </w:rPr>
        <w:t xml:space="preserve"> des Groupes de travail du Conseil pour 2020:</w:t>
      </w:r>
      <w:r w:rsidRPr="00354645">
        <w:rPr>
          <w:rFonts w:cstheme="minorHAnsi"/>
          <w:lang w:val="fr-FR"/>
        </w:rPr>
        <w:t xml:space="preserve"> </w:t>
      </w:r>
      <w:r w:rsidR="00A21300" w:rsidRPr="00354645">
        <w:rPr>
          <w:rFonts w:cstheme="minorHAnsi"/>
          <w:lang w:val="fr-FR"/>
        </w:rPr>
        <w:t>du 3 au 14 février et du 7 au 18 septembre 2020.</w:t>
      </w:r>
    </w:p>
    <w:p w14:paraId="63F0C11E" w14:textId="77777777" w:rsidR="00AA61B8" w:rsidRPr="00354645" w:rsidRDefault="006A4A26" w:rsidP="009C35B2">
      <w:pPr>
        <w:pStyle w:val="Heading1"/>
        <w:rPr>
          <w:lang w:val="fr-FR"/>
        </w:rPr>
      </w:pPr>
      <w:r w:rsidRPr="00354645">
        <w:rPr>
          <w:lang w:val="fr-FR"/>
        </w:rPr>
        <w:t>5</w:t>
      </w:r>
      <w:r w:rsidRPr="00354645">
        <w:rPr>
          <w:lang w:val="fr-FR"/>
        </w:rPr>
        <w:tab/>
      </w:r>
      <w:r w:rsidR="003A1370" w:rsidRPr="00354645">
        <w:rPr>
          <w:lang w:val="fr-FR"/>
        </w:rPr>
        <w:t>Clôture de la session additionnelle</w:t>
      </w:r>
    </w:p>
    <w:p w14:paraId="262D9AFB" w14:textId="7A457860" w:rsidR="00E76F41" w:rsidRPr="00354645" w:rsidRDefault="006A4A26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5.1</w:t>
      </w:r>
      <w:r w:rsidRPr="00354645">
        <w:rPr>
          <w:rFonts w:asciiTheme="minorHAnsi" w:hAnsiTheme="minorHAnsi" w:cstheme="minorHAnsi"/>
          <w:lang w:val="fr-FR"/>
        </w:rPr>
        <w:tab/>
      </w:r>
      <w:r w:rsidR="00C755D9" w:rsidRPr="00354645">
        <w:rPr>
          <w:rFonts w:asciiTheme="minorHAnsi" w:hAnsiTheme="minorHAnsi" w:cstheme="minorHAnsi"/>
          <w:lang w:val="fr-FR"/>
        </w:rPr>
        <w:t>Le Secrétaire général et le Vice-Secrétaire général saluent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C755D9" w:rsidRPr="00354645">
        <w:rPr>
          <w:rFonts w:asciiTheme="minorHAnsi" w:hAnsiTheme="minorHAnsi" w:cstheme="minorHAnsi"/>
          <w:lang w:val="fr-FR"/>
        </w:rPr>
        <w:t xml:space="preserve">adoption par le Conseil de la décision relative aux locaux du siège, </w:t>
      </w:r>
      <w:r w:rsidR="00B5644F" w:rsidRPr="00354645">
        <w:rPr>
          <w:rFonts w:asciiTheme="minorHAnsi" w:hAnsiTheme="minorHAnsi" w:cstheme="minorHAnsi"/>
          <w:lang w:val="fr-FR"/>
        </w:rPr>
        <w:t>laquelle</w:t>
      </w:r>
      <w:r w:rsidR="00C755D9" w:rsidRPr="00354645">
        <w:rPr>
          <w:rFonts w:asciiTheme="minorHAnsi" w:hAnsiTheme="minorHAnsi" w:cstheme="minorHAnsi"/>
          <w:lang w:val="fr-FR"/>
        </w:rPr>
        <w:t xml:space="preserve"> traduit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C755D9" w:rsidRPr="00354645">
        <w:rPr>
          <w:rFonts w:asciiTheme="minorHAnsi" w:hAnsiTheme="minorHAnsi" w:cstheme="minorHAnsi"/>
          <w:lang w:val="fr-FR"/>
        </w:rPr>
        <w:t>esprit de coopération qui règne à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C755D9" w:rsidRPr="00354645">
        <w:rPr>
          <w:rFonts w:asciiTheme="minorHAnsi" w:hAnsiTheme="minorHAnsi" w:cstheme="minorHAnsi"/>
          <w:lang w:val="fr-FR"/>
        </w:rPr>
        <w:t xml:space="preserve">UIT et </w:t>
      </w:r>
      <w:r w:rsidR="00B5644F" w:rsidRPr="00354645">
        <w:rPr>
          <w:rFonts w:asciiTheme="minorHAnsi" w:hAnsiTheme="minorHAnsi" w:cstheme="minorHAnsi"/>
          <w:lang w:val="fr-FR"/>
        </w:rPr>
        <w:t>permet de s'assurer que</w:t>
      </w:r>
      <w:r w:rsidR="00C755D9" w:rsidRPr="00354645">
        <w:rPr>
          <w:rFonts w:asciiTheme="minorHAnsi" w:hAnsiTheme="minorHAnsi" w:cstheme="minorHAnsi"/>
          <w:lang w:val="fr-FR"/>
        </w:rPr>
        <w:t xml:space="preserve"> l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C755D9" w:rsidRPr="00354645">
        <w:rPr>
          <w:rFonts w:asciiTheme="minorHAnsi" w:hAnsiTheme="minorHAnsi" w:cstheme="minorHAnsi"/>
          <w:lang w:val="fr-FR"/>
        </w:rPr>
        <w:t>Union continuera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C755D9" w:rsidRPr="00354645">
        <w:rPr>
          <w:rFonts w:asciiTheme="minorHAnsi" w:hAnsiTheme="minorHAnsi" w:cstheme="minorHAnsi"/>
          <w:lang w:val="fr-FR"/>
        </w:rPr>
        <w:t>occuper une place d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C755D9" w:rsidRPr="00354645">
        <w:rPr>
          <w:rFonts w:asciiTheme="minorHAnsi" w:hAnsiTheme="minorHAnsi" w:cstheme="minorHAnsi"/>
          <w:lang w:val="fr-FR"/>
        </w:rPr>
        <w:t>importance dans Genève.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746618" w:rsidRPr="00354645">
        <w:rPr>
          <w:rFonts w:asciiTheme="minorHAnsi" w:hAnsiTheme="minorHAnsi" w:cstheme="minorHAnsi"/>
          <w:lang w:val="fr-FR"/>
        </w:rPr>
        <w:t>Il convient de remercier tout particulièrement le Président faisant fonction pour sa contribution aux sessions ordinaire et additionnelle de 2019 du Conseil.</w:t>
      </w:r>
    </w:p>
    <w:p w14:paraId="3E9F450F" w14:textId="600DCA4F" w:rsidR="00E76F41" w:rsidRPr="00354645" w:rsidRDefault="00294FAD" w:rsidP="009C35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lang w:val="fr-FR"/>
        </w:rPr>
      </w:pPr>
      <w:r w:rsidRPr="00354645">
        <w:rPr>
          <w:rFonts w:asciiTheme="minorHAnsi" w:hAnsiTheme="minorHAnsi" w:cstheme="minorHAnsi"/>
          <w:lang w:val="fr-FR"/>
        </w:rPr>
        <w:t>5.2</w:t>
      </w:r>
      <w:r w:rsidRPr="00354645">
        <w:rPr>
          <w:rFonts w:asciiTheme="minorHAnsi" w:hAnsiTheme="minorHAnsi" w:cstheme="minorHAnsi"/>
          <w:lang w:val="fr-FR"/>
        </w:rPr>
        <w:tab/>
      </w:r>
      <w:r w:rsidR="007A4FDB" w:rsidRPr="00354645">
        <w:rPr>
          <w:rFonts w:asciiTheme="minorHAnsi" w:hAnsiTheme="minorHAnsi" w:cstheme="minorHAnsi"/>
          <w:lang w:val="fr-FR"/>
        </w:rPr>
        <w:t>Plusieurs conseiller</w:t>
      </w:r>
      <w:r w:rsidR="002063C4" w:rsidRPr="00354645">
        <w:rPr>
          <w:rFonts w:asciiTheme="minorHAnsi" w:hAnsiTheme="minorHAnsi" w:cstheme="minorHAnsi"/>
          <w:lang w:val="fr-FR"/>
        </w:rPr>
        <w:t>s</w:t>
      </w:r>
      <w:r w:rsidR="007A4FDB" w:rsidRPr="00354645">
        <w:rPr>
          <w:rFonts w:asciiTheme="minorHAnsi" w:hAnsiTheme="minorHAnsi" w:cstheme="minorHAnsi"/>
          <w:lang w:val="fr-FR"/>
        </w:rPr>
        <w:t xml:space="preserve"> font écho à </w:t>
      </w:r>
      <w:r w:rsidR="002063C4" w:rsidRPr="00354645">
        <w:rPr>
          <w:rFonts w:asciiTheme="minorHAnsi" w:hAnsiTheme="minorHAnsi" w:cstheme="minorHAnsi"/>
          <w:lang w:val="fr-FR"/>
        </w:rPr>
        <w:t xml:space="preserve">ces </w:t>
      </w:r>
      <w:r w:rsidR="007A4FDB" w:rsidRPr="00354645">
        <w:rPr>
          <w:rFonts w:asciiTheme="minorHAnsi" w:hAnsiTheme="minorHAnsi" w:cstheme="minorHAnsi"/>
          <w:lang w:val="fr-FR"/>
        </w:rPr>
        <w:t>remarque</w:t>
      </w:r>
      <w:r w:rsidR="002063C4" w:rsidRPr="00354645">
        <w:rPr>
          <w:rFonts w:asciiTheme="minorHAnsi" w:hAnsiTheme="minorHAnsi" w:cstheme="minorHAnsi"/>
          <w:lang w:val="fr-FR"/>
        </w:rPr>
        <w:t>s</w:t>
      </w:r>
      <w:r w:rsidR="007A4FDB" w:rsidRPr="00354645">
        <w:rPr>
          <w:rFonts w:asciiTheme="minorHAnsi" w:hAnsiTheme="minorHAnsi" w:cstheme="minorHAnsi"/>
          <w:lang w:val="fr-FR"/>
        </w:rPr>
        <w:t xml:space="preserve"> et remercient le </w:t>
      </w:r>
      <w:r w:rsidR="00D719A1" w:rsidRPr="00354645">
        <w:rPr>
          <w:rFonts w:asciiTheme="minorHAnsi" w:hAnsiTheme="minorHAnsi" w:cstheme="minorHAnsi"/>
          <w:lang w:val="fr-FR"/>
        </w:rPr>
        <w:t>secrétariat</w:t>
      </w:r>
      <w:r w:rsidR="007A4FDB" w:rsidRPr="00354645">
        <w:rPr>
          <w:rFonts w:asciiTheme="minorHAnsi" w:hAnsiTheme="minorHAnsi" w:cstheme="minorHAnsi"/>
          <w:lang w:val="fr-FR"/>
        </w:rPr>
        <w:t>, le Groupe MSAG et le Conseil du personnel pour le travail qu</w:t>
      </w:r>
      <w:r w:rsidR="000A02F4" w:rsidRPr="00354645">
        <w:rPr>
          <w:rFonts w:asciiTheme="minorHAnsi" w:hAnsiTheme="minorHAnsi" w:cstheme="minorHAnsi"/>
          <w:lang w:val="fr-FR"/>
        </w:rPr>
        <w:t>'</w:t>
      </w:r>
      <w:r w:rsidR="007A4FDB" w:rsidRPr="00354645">
        <w:rPr>
          <w:rFonts w:asciiTheme="minorHAnsi" w:hAnsiTheme="minorHAnsi" w:cstheme="minorHAnsi"/>
          <w:lang w:val="fr-FR"/>
        </w:rPr>
        <w:t>ils ont effectué afin de faire progresser le projet.</w:t>
      </w:r>
      <w:r w:rsidRPr="00354645">
        <w:rPr>
          <w:rFonts w:asciiTheme="minorHAnsi" w:hAnsiTheme="minorHAnsi" w:cstheme="minorHAnsi"/>
          <w:lang w:val="fr-FR"/>
        </w:rPr>
        <w:t xml:space="preserve"> </w:t>
      </w:r>
      <w:r w:rsidR="00131F97" w:rsidRPr="00354645">
        <w:rPr>
          <w:rFonts w:asciiTheme="minorHAnsi" w:hAnsiTheme="minorHAnsi" w:cstheme="minorHAnsi"/>
          <w:lang w:val="fr-FR"/>
        </w:rPr>
        <w:t>Le Président faisant fonction remercie tou</w:t>
      </w:r>
      <w:r w:rsidR="002063C4" w:rsidRPr="00354645">
        <w:rPr>
          <w:rFonts w:asciiTheme="minorHAnsi" w:hAnsiTheme="minorHAnsi" w:cstheme="minorHAnsi"/>
          <w:lang w:val="fr-FR"/>
        </w:rPr>
        <w:t>s</w:t>
      </w:r>
      <w:r w:rsidR="00131F97" w:rsidRPr="00354645">
        <w:rPr>
          <w:rFonts w:asciiTheme="minorHAnsi" w:hAnsiTheme="minorHAnsi" w:cstheme="minorHAnsi"/>
          <w:lang w:val="fr-FR"/>
        </w:rPr>
        <w:t xml:space="preserve"> ceux qui ont contribué au succès de la session additionnelle.</w:t>
      </w:r>
    </w:p>
    <w:p w14:paraId="7F291AED" w14:textId="77777777" w:rsidR="00BA1255" w:rsidRPr="00354645" w:rsidRDefault="00D17B89" w:rsidP="0084178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napToGrid w:val="0"/>
        <w:spacing w:before="600"/>
        <w:jc w:val="both"/>
        <w:rPr>
          <w:rFonts w:asciiTheme="minorHAnsi" w:hAnsiTheme="minorHAnsi" w:cstheme="minorHAnsi"/>
          <w:szCs w:val="24"/>
          <w:lang w:val="fr-FR"/>
        </w:rPr>
      </w:pPr>
      <w:r w:rsidRPr="00354645">
        <w:rPr>
          <w:rFonts w:asciiTheme="minorHAnsi" w:hAnsiTheme="minorHAnsi" w:cstheme="minorHAnsi"/>
          <w:szCs w:val="24"/>
          <w:lang w:val="fr-FR"/>
        </w:rPr>
        <w:t>Le Secrétaire général :</w:t>
      </w:r>
      <w:r w:rsidR="006A4A26" w:rsidRPr="00354645">
        <w:rPr>
          <w:rFonts w:asciiTheme="minorHAnsi" w:hAnsiTheme="minorHAnsi" w:cstheme="minorHAnsi"/>
          <w:szCs w:val="24"/>
          <w:lang w:val="fr-FR"/>
        </w:rPr>
        <w:tab/>
      </w:r>
      <w:r w:rsidR="00DE7A10" w:rsidRPr="00354645">
        <w:rPr>
          <w:rFonts w:asciiTheme="minorHAnsi" w:hAnsiTheme="minorHAnsi" w:cstheme="minorHAnsi"/>
          <w:szCs w:val="24"/>
          <w:lang w:val="fr-FR"/>
        </w:rPr>
        <w:t>Le Président faisant fonction:</w:t>
      </w:r>
    </w:p>
    <w:p w14:paraId="66FAE510" w14:textId="77777777" w:rsidR="00BA1255" w:rsidRPr="00354645" w:rsidRDefault="006A4A26" w:rsidP="0084178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napToGrid w:val="0"/>
        <w:spacing w:before="0" w:after="120"/>
        <w:jc w:val="both"/>
        <w:rPr>
          <w:rFonts w:asciiTheme="minorHAnsi" w:hAnsiTheme="minorHAnsi" w:cstheme="minorHAnsi"/>
          <w:szCs w:val="24"/>
          <w:lang w:val="fr-FR"/>
        </w:rPr>
      </w:pPr>
      <w:r w:rsidRPr="00354645">
        <w:rPr>
          <w:rFonts w:asciiTheme="minorHAnsi" w:hAnsiTheme="minorHAnsi" w:cstheme="minorHAnsi"/>
          <w:szCs w:val="24"/>
          <w:lang w:val="fr-FR"/>
        </w:rPr>
        <w:t>H. ZHAO</w:t>
      </w:r>
      <w:r w:rsidRPr="00354645">
        <w:rPr>
          <w:rFonts w:asciiTheme="minorHAnsi" w:hAnsiTheme="minorHAnsi" w:cstheme="minorHAnsi"/>
          <w:szCs w:val="24"/>
          <w:lang w:val="fr-FR"/>
        </w:rPr>
        <w:tab/>
        <w:t>F. BIGI</w:t>
      </w:r>
    </w:p>
    <w:sectPr w:rsidR="00BA1255" w:rsidRPr="00354645" w:rsidSect="004D1851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D3A6B" w14:textId="77777777" w:rsidR="008D2687" w:rsidRDefault="006A4A26">
      <w:pPr>
        <w:spacing w:before="0"/>
      </w:pPr>
      <w:r>
        <w:separator/>
      </w:r>
    </w:p>
  </w:endnote>
  <w:endnote w:type="continuationSeparator" w:id="0">
    <w:p w14:paraId="1D3462B4" w14:textId="77777777" w:rsidR="008D2687" w:rsidRDefault="006A4A2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95F23" w14:textId="5F5F8345" w:rsidR="0033170A" w:rsidRPr="004427BC" w:rsidRDefault="004427BC" w:rsidP="004427BC">
    <w:pPr>
      <w:pStyle w:val="Footer"/>
      <w:rPr>
        <w:lang w:val="fr-CH"/>
      </w:rPr>
    </w:pPr>
    <w:r>
      <w:fldChar w:fldCharType="begin"/>
    </w:r>
    <w:r w:rsidRPr="004427BC">
      <w:rPr>
        <w:lang w:val="fr-CH"/>
      </w:rPr>
      <w:instrText xml:space="preserve"> FILENAME \p  \* MERGEFORMAT </w:instrText>
    </w:r>
    <w:r>
      <w:fldChar w:fldCharType="separate"/>
    </w:r>
    <w:r w:rsidR="00CC631E">
      <w:rPr>
        <w:lang w:val="fr-CH"/>
      </w:rPr>
      <w:t>P:\FRA\SG\CONSEIL\C19-ADD\000\006V2F.docx</w:t>
    </w:r>
    <w:r>
      <w:fldChar w:fldCharType="end"/>
    </w:r>
    <w:r w:rsidRPr="004427BC">
      <w:rPr>
        <w:lang w:val="fr-CH"/>
      </w:rPr>
      <w:t xml:space="preserve"> (</w:t>
    </w:r>
    <w:r>
      <w:rPr>
        <w:lang w:val="fr-CH"/>
      </w:rPr>
      <w:t>461580</w:t>
    </w:r>
    <w:r w:rsidRPr="004427BC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67D6E" w14:textId="77777777" w:rsidR="00322D0D" w:rsidRDefault="006A4A26">
    <w:pPr>
      <w:spacing w:after="120"/>
      <w:jc w:val="center"/>
    </w:pPr>
    <w:r w:rsidRPr="00F47A02">
      <w:t xml:space="preserve">• </w:t>
    </w:r>
    <w:hyperlink r:id="rId1" w:history="1">
      <w:r w:rsidRPr="00F47A02">
        <w:rPr>
          <w:rStyle w:val="Hyperlink"/>
        </w:rPr>
        <w:t>http://www.itu.int/council</w:t>
      </w:r>
    </w:hyperlink>
    <w:r w:rsidRPr="00F47A02"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B2FE5" w14:textId="77777777" w:rsidR="008D2687" w:rsidRDefault="006A4A26">
      <w:pPr>
        <w:spacing w:before="0"/>
      </w:pPr>
      <w:r>
        <w:separator/>
      </w:r>
    </w:p>
  </w:footnote>
  <w:footnote w:type="continuationSeparator" w:id="0">
    <w:p w14:paraId="283C04E4" w14:textId="77777777" w:rsidR="008D2687" w:rsidRDefault="006A4A2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A9D16" w14:textId="77777777" w:rsidR="00322D0D" w:rsidRDefault="006A4A26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3D64D7">
      <w:rPr>
        <w:noProof/>
      </w:rPr>
      <w:t>5</w:t>
    </w:r>
    <w:r>
      <w:rPr>
        <w:noProof/>
      </w:rPr>
      <w:fldChar w:fldCharType="end"/>
    </w:r>
  </w:p>
  <w:p w14:paraId="0EC93FC5" w14:textId="28435FF9" w:rsidR="00322D0D" w:rsidRDefault="006A4A26" w:rsidP="007E5DA1">
    <w:pPr>
      <w:pStyle w:val="Header"/>
    </w:pPr>
    <w:r>
      <w:t>C19-Add/6-</w:t>
    </w:r>
    <w:r w:rsidR="004427BC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E03D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9441E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62E7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AA9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2EB0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CD2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C07D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58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FCC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26B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4B"/>
    <w:rsid w:val="00005C1D"/>
    <w:rsid w:val="00040643"/>
    <w:rsid w:val="0004488F"/>
    <w:rsid w:val="00046541"/>
    <w:rsid w:val="00060828"/>
    <w:rsid w:val="00060BC7"/>
    <w:rsid w:val="00063016"/>
    <w:rsid w:val="00064353"/>
    <w:rsid w:val="00064B09"/>
    <w:rsid w:val="00070435"/>
    <w:rsid w:val="0007264D"/>
    <w:rsid w:val="00074C29"/>
    <w:rsid w:val="00076AF6"/>
    <w:rsid w:val="00082232"/>
    <w:rsid w:val="00085CF2"/>
    <w:rsid w:val="000A02F4"/>
    <w:rsid w:val="000B1705"/>
    <w:rsid w:val="000C78E3"/>
    <w:rsid w:val="000D75B2"/>
    <w:rsid w:val="000E25F6"/>
    <w:rsid w:val="000E64A9"/>
    <w:rsid w:val="000E6E4D"/>
    <w:rsid w:val="001121F5"/>
    <w:rsid w:val="00113F42"/>
    <w:rsid w:val="001162AF"/>
    <w:rsid w:val="0012573A"/>
    <w:rsid w:val="00131F97"/>
    <w:rsid w:val="00132324"/>
    <w:rsid w:val="00135DE5"/>
    <w:rsid w:val="001370CC"/>
    <w:rsid w:val="00140CE1"/>
    <w:rsid w:val="00141B5A"/>
    <w:rsid w:val="00142722"/>
    <w:rsid w:val="00151CEE"/>
    <w:rsid w:val="00161DCD"/>
    <w:rsid w:val="001623D8"/>
    <w:rsid w:val="00163288"/>
    <w:rsid w:val="00163783"/>
    <w:rsid w:val="00164D45"/>
    <w:rsid w:val="001667F3"/>
    <w:rsid w:val="0017040A"/>
    <w:rsid w:val="00173091"/>
    <w:rsid w:val="00173B50"/>
    <w:rsid w:val="00174BFD"/>
    <w:rsid w:val="0017539C"/>
    <w:rsid w:val="00175AC2"/>
    <w:rsid w:val="0017609F"/>
    <w:rsid w:val="00176ED4"/>
    <w:rsid w:val="0019195A"/>
    <w:rsid w:val="001935BA"/>
    <w:rsid w:val="00194B0D"/>
    <w:rsid w:val="001A1209"/>
    <w:rsid w:val="001A135B"/>
    <w:rsid w:val="001A2295"/>
    <w:rsid w:val="001A6A40"/>
    <w:rsid w:val="001A7A8D"/>
    <w:rsid w:val="001B56FA"/>
    <w:rsid w:val="001C628E"/>
    <w:rsid w:val="001D45EC"/>
    <w:rsid w:val="001E0F7B"/>
    <w:rsid w:val="001E2C05"/>
    <w:rsid w:val="001E474C"/>
    <w:rsid w:val="001E59F0"/>
    <w:rsid w:val="001E5C59"/>
    <w:rsid w:val="001F69B1"/>
    <w:rsid w:val="00200AFE"/>
    <w:rsid w:val="002063C4"/>
    <w:rsid w:val="002119FD"/>
    <w:rsid w:val="002130E0"/>
    <w:rsid w:val="0021705E"/>
    <w:rsid w:val="00233319"/>
    <w:rsid w:val="002541E4"/>
    <w:rsid w:val="00254D00"/>
    <w:rsid w:val="00265875"/>
    <w:rsid w:val="0027303B"/>
    <w:rsid w:val="00273472"/>
    <w:rsid w:val="0028109B"/>
    <w:rsid w:val="002839B6"/>
    <w:rsid w:val="00285C87"/>
    <w:rsid w:val="00291C78"/>
    <w:rsid w:val="00293355"/>
    <w:rsid w:val="00294FAD"/>
    <w:rsid w:val="0029782F"/>
    <w:rsid w:val="002A4541"/>
    <w:rsid w:val="002B1F58"/>
    <w:rsid w:val="002B22F1"/>
    <w:rsid w:val="002B678E"/>
    <w:rsid w:val="002B7A3E"/>
    <w:rsid w:val="002C1C7A"/>
    <w:rsid w:val="002C79CB"/>
    <w:rsid w:val="002D06CA"/>
    <w:rsid w:val="002D1933"/>
    <w:rsid w:val="002E4652"/>
    <w:rsid w:val="002F1AE7"/>
    <w:rsid w:val="002F6963"/>
    <w:rsid w:val="003008CD"/>
    <w:rsid w:val="0030160F"/>
    <w:rsid w:val="0030593C"/>
    <w:rsid w:val="003059B2"/>
    <w:rsid w:val="00310A36"/>
    <w:rsid w:val="00312892"/>
    <w:rsid w:val="00316F51"/>
    <w:rsid w:val="00320107"/>
    <w:rsid w:val="00322D0D"/>
    <w:rsid w:val="0033170A"/>
    <w:rsid w:val="00354645"/>
    <w:rsid w:val="00371489"/>
    <w:rsid w:val="00380C01"/>
    <w:rsid w:val="00383652"/>
    <w:rsid w:val="003942D4"/>
    <w:rsid w:val="003958A8"/>
    <w:rsid w:val="003963F1"/>
    <w:rsid w:val="003A1370"/>
    <w:rsid w:val="003A543F"/>
    <w:rsid w:val="003B47B8"/>
    <w:rsid w:val="003C1679"/>
    <w:rsid w:val="003C2533"/>
    <w:rsid w:val="003D64D7"/>
    <w:rsid w:val="003D7828"/>
    <w:rsid w:val="003E77F1"/>
    <w:rsid w:val="003F4BFC"/>
    <w:rsid w:val="003F592D"/>
    <w:rsid w:val="003F6AC5"/>
    <w:rsid w:val="003F7F07"/>
    <w:rsid w:val="0040435A"/>
    <w:rsid w:val="00415A20"/>
    <w:rsid w:val="00416A24"/>
    <w:rsid w:val="00431D9E"/>
    <w:rsid w:val="00433CE8"/>
    <w:rsid w:val="00434A5C"/>
    <w:rsid w:val="004427BC"/>
    <w:rsid w:val="004474D1"/>
    <w:rsid w:val="004509D1"/>
    <w:rsid w:val="004544D9"/>
    <w:rsid w:val="00481FF9"/>
    <w:rsid w:val="0048397F"/>
    <w:rsid w:val="00484963"/>
    <w:rsid w:val="00490E72"/>
    <w:rsid w:val="004921C8"/>
    <w:rsid w:val="004935B8"/>
    <w:rsid w:val="004B4B5F"/>
    <w:rsid w:val="004B4CCC"/>
    <w:rsid w:val="004B4E8D"/>
    <w:rsid w:val="004B7160"/>
    <w:rsid w:val="004C23F2"/>
    <w:rsid w:val="004D1851"/>
    <w:rsid w:val="004D39B1"/>
    <w:rsid w:val="004D599D"/>
    <w:rsid w:val="004D6F10"/>
    <w:rsid w:val="004D75CD"/>
    <w:rsid w:val="004E2EA5"/>
    <w:rsid w:val="004E3AEB"/>
    <w:rsid w:val="004E45AF"/>
    <w:rsid w:val="0050223C"/>
    <w:rsid w:val="005209B9"/>
    <w:rsid w:val="005226EF"/>
    <w:rsid w:val="00523E3F"/>
    <w:rsid w:val="005243FF"/>
    <w:rsid w:val="00527F75"/>
    <w:rsid w:val="00535266"/>
    <w:rsid w:val="005420EF"/>
    <w:rsid w:val="00545337"/>
    <w:rsid w:val="00564FBC"/>
    <w:rsid w:val="00580682"/>
    <w:rsid w:val="0058086D"/>
    <w:rsid w:val="00582442"/>
    <w:rsid w:val="005852C1"/>
    <w:rsid w:val="005871D3"/>
    <w:rsid w:val="005A2DD0"/>
    <w:rsid w:val="005B1B2E"/>
    <w:rsid w:val="005C0295"/>
    <w:rsid w:val="005C211A"/>
    <w:rsid w:val="005C5370"/>
    <w:rsid w:val="005D1994"/>
    <w:rsid w:val="005D218B"/>
    <w:rsid w:val="005E500F"/>
    <w:rsid w:val="00602ADE"/>
    <w:rsid w:val="00611DBC"/>
    <w:rsid w:val="00614E22"/>
    <w:rsid w:val="006206FD"/>
    <w:rsid w:val="00624781"/>
    <w:rsid w:val="00627FAE"/>
    <w:rsid w:val="0063340B"/>
    <w:rsid w:val="00633587"/>
    <w:rsid w:val="00633FDC"/>
    <w:rsid w:val="0064144F"/>
    <w:rsid w:val="00650D02"/>
    <w:rsid w:val="006535F1"/>
    <w:rsid w:val="0065533B"/>
    <w:rsid w:val="0065557D"/>
    <w:rsid w:val="00662984"/>
    <w:rsid w:val="006716BB"/>
    <w:rsid w:val="00677422"/>
    <w:rsid w:val="0069376A"/>
    <w:rsid w:val="0069728C"/>
    <w:rsid w:val="006A2C3D"/>
    <w:rsid w:val="006A4A26"/>
    <w:rsid w:val="006A586D"/>
    <w:rsid w:val="006B6DCC"/>
    <w:rsid w:val="006D288B"/>
    <w:rsid w:val="006F24DA"/>
    <w:rsid w:val="006F7BB5"/>
    <w:rsid w:val="00700B58"/>
    <w:rsid w:val="00701317"/>
    <w:rsid w:val="007050F2"/>
    <w:rsid w:val="00720363"/>
    <w:rsid w:val="007249EC"/>
    <w:rsid w:val="007275FA"/>
    <w:rsid w:val="00730D1D"/>
    <w:rsid w:val="00734E32"/>
    <w:rsid w:val="00746618"/>
    <w:rsid w:val="0075051B"/>
    <w:rsid w:val="00765B7B"/>
    <w:rsid w:val="00771540"/>
    <w:rsid w:val="00772970"/>
    <w:rsid w:val="007820A0"/>
    <w:rsid w:val="00782178"/>
    <w:rsid w:val="00783EA1"/>
    <w:rsid w:val="00790D3E"/>
    <w:rsid w:val="00794D34"/>
    <w:rsid w:val="007A4FDB"/>
    <w:rsid w:val="007C359A"/>
    <w:rsid w:val="007C455C"/>
    <w:rsid w:val="007D28C5"/>
    <w:rsid w:val="007D4088"/>
    <w:rsid w:val="007D64EA"/>
    <w:rsid w:val="007E5DA1"/>
    <w:rsid w:val="007F06C6"/>
    <w:rsid w:val="007F1A5F"/>
    <w:rsid w:val="008008D0"/>
    <w:rsid w:val="00813E5E"/>
    <w:rsid w:val="008154FC"/>
    <w:rsid w:val="0083581B"/>
    <w:rsid w:val="00841787"/>
    <w:rsid w:val="00862DC5"/>
    <w:rsid w:val="00864AFF"/>
    <w:rsid w:val="00867EA1"/>
    <w:rsid w:val="00870117"/>
    <w:rsid w:val="00885732"/>
    <w:rsid w:val="00897EDA"/>
    <w:rsid w:val="008A1F7E"/>
    <w:rsid w:val="008A7009"/>
    <w:rsid w:val="008B4A6A"/>
    <w:rsid w:val="008C7E27"/>
    <w:rsid w:val="008D0BD5"/>
    <w:rsid w:val="008D2687"/>
    <w:rsid w:val="008D382B"/>
    <w:rsid w:val="008D3F74"/>
    <w:rsid w:val="008D6882"/>
    <w:rsid w:val="008E1011"/>
    <w:rsid w:val="00900F96"/>
    <w:rsid w:val="00911970"/>
    <w:rsid w:val="009173EF"/>
    <w:rsid w:val="009202B3"/>
    <w:rsid w:val="009214E7"/>
    <w:rsid w:val="009318D5"/>
    <w:rsid w:val="00931ADC"/>
    <w:rsid w:val="00932906"/>
    <w:rsid w:val="00943F8D"/>
    <w:rsid w:val="00950455"/>
    <w:rsid w:val="00956E4D"/>
    <w:rsid w:val="00961B0B"/>
    <w:rsid w:val="00963FD6"/>
    <w:rsid w:val="00966C5F"/>
    <w:rsid w:val="00973B03"/>
    <w:rsid w:val="00974A9B"/>
    <w:rsid w:val="0099424B"/>
    <w:rsid w:val="009A5901"/>
    <w:rsid w:val="009B6E04"/>
    <w:rsid w:val="009C1EC2"/>
    <w:rsid w:val="009C35B2"/>
    <w:rsid w:val="009D55F7"/>
    <w:rsid w:val="009E17BD"/>
    <w:rsid w:val="009E6F2E"/>
    <w:rsid w:val="009F095D"/>
    <w:rsid w:val="009F185B"/>
    <w:rsid w:val="00A025ED"/>
    <w:rsid w:val="00A04CEC"/>
    <w:rsid w:val="00A068CA"/>
    <w:rsid w:val="00A1558A"/>
    <w:rsid w:val="00A16DB0"/>
    <w:rsid w:val="00A21300"/>
    <w:rsid w:val="00A21AFE"/>
    <w:rsid w:val="00A24A34"/>
    <w:rsid w:val="00A27F92"/>
    <w:rsid w:val="00A309E3"/>
    <w:rsid w:val="00A32257"/>
    <w:rsid w:val="00A476FC"/>
    <w:rsid w:val="00A50E58"/>
    <w:rsid w:val="00A55622"/>
    <w:rsid w:val="00A56E2D"/>
    <w:rsid w:val="00A6355F"/>
    <w:rsid w:val="00A64D1B"/>
    <w:rsid w:val="00A82887"/>
    <w:rsid w:val="00A83502"/>
    <w:rsid w:val="00AA49F2"/>
    <w:rsid w:val="00AA61B8"/>
    <w:rsid w:val="00AB0987"/>
    <w:rsid w:val="00AB2652"/>
    <w:rsid w:val="00AB50C8"/>
    <w:rsid w:val="00AC0AE9"/>
    <w:rsid w:val="00AC19A7"/>
    <w:rsid w:val="00AC530A"/>
    <w:rsid w:val="00AD041E"/>
    <w:rsid w:val="00AD194D"/>
    <w:rsid w:val="00AD3BA1"/>
    <w:rsid w:val="00AF6E49"/>
    <w:rsid w:val="00B012EB"/>
    <w:rsid w:val="00B03A7B"/>
    <w:rsid w:val="00B04A67"/>
    <w:rsid w:val="00B0583C"/>
    <w:rsid w:val="00B1280A"/>
    <w:rsid w:val="00B253C3"/>
    <w:rsid w:val="00B3282D"/>
    <w:rsid w:val="00B40A81"/>
    <w:rsid w:val="00B44910"/>
    <w:rsid w:val="00B51B03"/>
    <w:rsid w:val="00B5644F"/>
    <w:rsid w:val="00B56FE5"/>
    <w:rsid w:val="00B63F7A"/>
    <w:rsid w:val="00B72267"/>
    <w:rsid w:val="00B76C66"/>
    <w:rsid w:val="00B76EB6"/>
    <w:rsid w:val="00B77300"/>
    <w:rsid w:val="00B80245"/>
    <w:rsid w:val="00B824C8"/>
    <w:rsid w:val="00B84478"/>
    <w:rsid w:val="00BA1255"/>
    <w:rsid w:val="00BB2213"/>
    <w:rsid w:val="00BC251A"/>
    <w:rsid w:val="00BC2AA9"/>
    <w:rsid w:val="00BD032B"/>
    <w:rsid w:val="00BD2421"/>
    <w:rsid w:val="00BD2ED9"/>
    <w:rsid w:val="00BE2640"/>
    <w:rsid w:val="00BE298B"/>
    <w:rsid w:val="00BE43C8"/>
    <w:rsid w:val="00BF0B90"/>
    <w:rsid w:val="00BF38F1"/>
    <w:rsid w:val="00BF670C"/>
    <w:rsid w:val="00C01189"/>
    <w:rsid w:val="00C03BD1"/>
    <w:rsid w:val="00C3106C"/>
    <w:rsid w:val="00C374DE"/>
    <w:rsid w:val="00C434CA"/>
    <w:rsid w:val="00C441C7"/>
    <w:rsid w:val="00C47AD4"/>
    <w:rsid w:val="00C52D81"/>
    <w:rsid w:val="00C5470A"/>
    <w:rsid w:val="00C55198"/>
    <w:rsid w:val="00C5620F"/>
    <w:rsid w:val="00C602DA"/>
    <w:rsid w:val="00C66462"/>
    <w:rsid w:val="00C7343D"/>
    <w:rsid w:val="00C73874"/>
    <w:rsid w:val="00C755D9"/>
    <w:rsid w:val="00C943D9"/>
    <w:rsid w:val="00C97805"/>
    <w:rsid w:val="00CA332A"/>
    <w:rsid w:val="00CA6393"/>
    <w:rsid w:val="00CA7776"/>
    <w:rsid w:val="00CB0DC8"/>
    <w:rsid w:val="00CB18FF"/>
    <w:rsid w:val="00CC5AD9"/>
    <w:rsid w:val="00CC631E"/>
    <w:rsid w:val="00CD0C08"/>
    <w:rsid w:val="00CD6CF2"/>
    <w:rsid w:val="00CE433C"/>
    <w:rsid w:val="00CE5C2B"/>
    <w:rsid w:val="00CE5F57"/>
    <w:rsid w:val="00CE73BF"/>
    <w:rsid w:val="00CF33F3"/>
    <w:rsid w:val="00CF4709"/>
    <w:rsid w:val="00D022D4"/>
    <w:rsid w:val="00D06183"/>
    <w:rsid w:val="00D13196"/>
    <w:rsid w:val="00D17B89"/>
    <w:rsid w:val="00D21819"/>
    <w:rsid w:val="00D22C42"/>
    <w:rsid w:val="00D34F1B"/>
    <w:rsid w:val="00D4022D"/>
    <w:rsid w:val="00D42F9B"/>
    <w:rsid w:val="00D433CD"/>
    <w:rsid w:val="00D550BC"/>
    <w:rsid w:val="00D65041"/>
    <w:rsid w:val="00D654DB"/>
    <w:rsid w:val="00D719A1"/>
    <w:rsid w:val="00D72DC6"/>
    <w:rsid w:val="00D74461"/>
    <w:rsid w:val="00D75723"/>
    <w:rsid w:val="00D87C43"/>
    <w:rsid w:val="00D972AE"/>
    <w:rsid w:val="00DA3CDD"/>
    <w:rsid w:val="00DA3FF1"/>
    <w:rsid w:val="00DA4B77"/>
    <w:rsid w:val="00DD7C03"/>
    <w:rsid w:val="00DE00A1"/>
    <w:rsid w:val="00DE024A"/>
    <w:rsid w:val="00DE0CFF"/>
    <w:rsid w:val="00DE15A8"/>
    <w:rsid w:val="00DE443F"/>
    <w:rsid w:val="00DE47BD"/>
    <w:rsid w:val="00DE4DCB"/>
    <w:rsid w:val="00DE734F"/>
    <w:rsid w:val="00DE7A10"/>
    <w:rsid w:val="00DF0ADA"/>
    <w:rsid w:val="00E00EE0"/>
    <w:rsid w:val="00E025FE"/>
    <w:rsid w:val="00E10E80"/>
    <w:rsid w:val="00E124F0"/>
    <w:rsid w:val="00E13F93"/>
    <w:rsid w:val="00E16CC1"/>
    <w:rsid w:val="00E222DA"/>
    <w:rsid w:val="00E32254"/>
    <w:rsid w:val="00E46BAF"/>
    <w:rsid w:val="00E50C18"/>
    <w:rsid w:val="00E5170B"/>
    <w:rsid w:val="00E53C05"/>
    <w:rsid w:val="00E6099E"/>
    <w:rsid w:val="00E60F26"/>
    <w:rsid w:val="00E61E22"/>
    <w:rsid w:val="00E748EF"/>
    <w:rsid w:val="00E76F41"/>
    <w:rsid w:val="00E86A9D"/>
    <w:rsid w:val="00E910BE"/>
    <w:rsid w:val="00E92BEA"/>
    <w:rsid w:val="00EA5AC4"/>
    <w:rsid w:val="00EB0D6F"/>
    <w:rsid w:val="00EB2232"/>
    <w:rsid w:val="00EC014A"/>
    <w:rsid w:val="00EC0986"/>
    <w:rsid w:val="00EC5337"/>
    <w:rsid w:val="00ED2F20"/>
    <w:rsid w:val="00ED2F68"/>
    <w:rsid w:val="00ED33B7"/>
    <w:rsid w:val="00ED3B63"/>
    <w:rsid w:val="00EF4773"/>
    <w:rsid w:val="00F2150A"/>
    <w:rsid w:val="00F21CA2"/>
    <w:rsid w:val="00F231D8"/>
    <w:rsid w:val="00F45EFC"/>
    <w:rsid w:val="00F46C5F"/>
    <w:rsid w:val="00F47A02"/>
    <w:rsid w:val="00F62B8B"/>
    <w:rsid w:val="00F94A63"/>
    <w:rsid w:val="00F94F91"/>
    <w:rsid w:val="00F96D6D"/>
    <w:rsid w:val="00F97C44"/>
    <w:rsid w:val="00FD0A73"/>
    <w:rsid w:val="00FD56FC"/>
    <w:rsid w:val="00FD6351"/>
    <w:rsid w:val="00FD76AB"/>
    <w:rsid w:val="00FE2FF1"/>
    <w:rsid w:val="00FE32BA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C90068"/>
  <w15:docId w15:val="{E2974271-1CD0-44CF-A6A4-7D0B83AF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935BA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styleId="CommentReference">
    <w:name w:val="annotation reference"/>
    <w:basedOn w:val="DefaultParagraphFont"/>
    <w:uiPriority w:val="99"/>
    <w:semiHidden/>
    <w:unhideWhenUsed/>
    <w:rsid w:val="007C4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55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55C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4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455C"/>
    <w:rPr>
      <w:rFonts w:ascii="Calibri" w:hAnsi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7C455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455C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7C455C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4144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HAnsi" w:hAnsiTheme="minorHAnsi" w:cstheme="minorBidi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6351"/>
    <w:rPr>
      <w:color w:val="605E5C"/>
      <w:shd w:val="clear" w:color="auto" w:fill="E1DFDD"/>
    </w:rPr>
  </w:style>
  <w:style w:type="paragraph" w:customStyle="1" w:styleId="Heading10">
    <w:name w:val="Heading_1"/>
    <w:basedOn w:val="Normal"/>
    <w:rsid w:val="00841787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napToGrid w:val="0"/>
      <w:spacing w:after="120"/>
      <w:jc w:val="both"/>
    </w:pPr>
    <w:rPr>
      <w:rFonts w:asciiTheme="minorHAnsi" w:hAnsiTheme="minorHAnsi" w:cstheme="minorHAnsi"/>
      <w:b/>
      <w:bCs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CLADD-C-0003/en" TargetMode="External"/><Relationship Id="rId18" Type="http://schemas.openxmlformats.org/officeDocument/2006/relationships/hyperlink" Target="https://www.itu.int/md/S19-CL-C-0120/e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ADD-C-0002/en" TargetMode="External"/><Relationship Id="rId17" Type="http://schemas.openxmlformats.org/officeDocument/2006/relationships/hyperlink" Target="https://www.itu.int/md/S19-CL-C-0120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ties/Documents/2019/Switzerland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ADD-C-000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ties/Documents/2019/StaffCouncil-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19-CLADD-C-0003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ADD-C-0002/en" TargetMode="External"/><Relationship Id="rId14" Type="http://schemas.openxmlformats.org/officeDocument/2006/relationships/hyperlink" Target="https://www.itu.int/md/S19-CLADD-C-0004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032D-D872-4A67-9805-36DC4CE1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2743</Words>
  <Characters>15142</Characters>
  <Application>Microsoft Office Word</Application>
  <DocSecurity>0</DocSecurity>
  <Lines>315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record of the additional 2019 session of the Council</vt:lpstr>
    </vt:vector>
  </TitlesOfParts>
  <Manager>General Secretariat - Pool</Manager>
  <Company>International Telecommunication Union (ITU)</Company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additional 2019 session of the Council</dc:title>
  <dc:subject>Council 2019</dc:subject>
  <dc:creator>Brouard, Ricarda</dc:creator>
  <cp:keywords>C19, C19-ADD</cp:keywords>
  <cp:lastModifiedBy>French</cp:lastModifiedBy>
  <cp:revision>5</cp:revision>
  <cp:lastPrinted>2019-11-15T21:07:00Z</cp:lastPrinted>
  <dcterms:created xsi:type="dcterms:W3CDTF">2019-11-15T20:18:00Z</dcterms:created>
  <dcterms:modified xsi:type="dcterms:W3CDTF">2019-11-15T22:44:00Z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author">
    <vt:lpwstr/>
  </property>
  <property fmtid="{D5CDD505-2E9C-101B-9397-08002B2CF9AE}" pid="3" name="Docbluepink">
    <vt:lpwstr/>
  </property>
  <property fmtid="{D5CDD505-2E9C-101B-9397-08002B2CF9AE}" pid="4" name="Docdate">
    <vt:lpwstr/>
  </property>
  <property fmtid="{D5CDD505-2E9C-101B-9397-08002B2CF9AE}" pid="5" name="Docdest">
    <vt:lpwstr/>
  </property>
  <property fmtid="{D5CDD505-2E9C-101B-9397-08002B2CF9AE}" pid="6" name="Docnum">
    <vt:lpwstr>PE_C08.DOT</vt:lpwstr>
  </property>
  <property fmtid="{D5CDD505-2E9C-101B-9397-08002B2CF9AE}" pid="7" name="Docorlang">
    <vt:lpwstr/>
  </property>
</Properties>
</file>