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9841941" w14:textId="77777777" w:rsidTr="006C7CC0">
        <w:trPr>
          <w:cantSplit/>
          <w:trHeight w:val="20"/>
        </w:trPr>
        <w:tc>
          <w:tcPr>
            <w:tcW w:w="6620" w:type="dxa"/>
          </w:tcPr>
          <w:p w14:paraId="1D12A654" w14:textId="49603638" w:rsidR="00290728" w:rsidRPr="00290728" w:rsidRDefault="00103311" w:rsidP="0082358A">
            <w:pPr>
              <w:spacing w:before="160"/>
              <w:jc w:val="left"/>
              <w:rPr>
                <w:b/>
                <w:bCs/>
                <w:rtl/>
                <w:lang w:bidi="ar-EG"/>
              </w:rPr>
            </w:pPr>
            <w:r>
              <w:rPr>
                <w:rFonts w:hint="cs"/>
                <w:b/>
                <w:bCs/>
                <w:w w:val="110"/>
                <w:sz w:val="32"/>
                <w:szCs w:val="44"/>
                <w:rtl/>
                <w:lang w:bidi="ar-EG"/>
              </w:rPr>
              <w:t xml:space="preserve">دورة </w:t>
            </w:r>
            <w:r w:rsidRPr="00290728">
              <w:rPr>
                <w:rFonts w:hint="cs"/>
                <w:b/>
                <w:bCs/>
                <w:w w:val="110"/>
                <w:sz w:val="32"/>
                <w:szCs w:val="44"/>
                <w:rtl/>
                <w:lang w:bidi="ar-EG"/>
              </w:rPr>
              <w:t>المجلس</w:t>
            </w:r>
            <w:r>
              <w:rPr>
                <w:rFonts w:hint="cs"/>
                <w:b/>
                <w:bCs/>
                <w:w w:val="110"/>
                <w:sz w:val="32"/>
                <w:szCs w:val="44"/>
                <w:rtl/>
                <w:lang w:bidi="ar-EG"/>
              </w:rPr>
              <w:t xml:space="preserve"> الإضافية لعام</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w:t>
            </w:r>
            <w:r>
              <w:rPr>
                <w:b/>
                <w:bCs/>
                <w:sz w:val="24"/>
                <w:szCs w:val="32"/>
                <w:lang w:bidi="ar-SY"/>
              </w:rPr>
              <w:t>7</w:t>
            </w:r>
            <w:r w:rsidR="00DC1E02">
              <w:rPr>
                <w:rFonts w:hint="cs"/>
                <w:b/>
                <w:bCs/>
                <w:sz w:val="24"/>
                <w:szCs w:val="32"/>
                <w:rtl/>
                <w:lang w:bidi="ar-EG"/>
              </w:rPr>
              <w:t xml:space="preserve"> </w:t>
            </w:r>
            <w:r>
              <w:rPr>
                <w:rFonts w:hint="cs"/>
                <w:b/>
                <w:bCs/>
                <w:sz w:val="24"/>
                <w:szCs w:val="32"/>
                <w:rtl/>
                <w:lang w:bidi="ar-EG"/>
              </w:rPr>
              <w:t>سبتمبر</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14:paraId="6F83ACAB" w14:textId="7C8CDBD2" w:rsidR="00290728" w:rsidRPr="00290728" w:rsidRDefault="00103311" w:rsidP="00290728">
            <w:pPr>
              <w:spacing w:before="0" w:line="240" w:lineRule="auto"/>
              <w:jc w:val="right"/>
              <w:rPr>
                <w:rtl/>
                <w:lang w:bidi="ar-EG"/>
              </w:rPr>
            </w:pPr>
            <w:bookmarkStart w:id="0" w:name="ditulogo"/>
            <w:bookmarkEnd w:id="0"/>
            <w:r w:rsidRPr="005A59F3">
              <w:rPr>
                <w:noProof/>
                <w:lang w:val="en-GB"/>
              </w:rPr>
              <w:drawing>
                <wp:inline distT="0" distB="0" distL="0" distR="0" wp14:anchorId="42D9FD27" wp14:editId="3FD1905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90728" w:rsidRPr="00290728" w14:paraId="6D9F9CB0" w14:textId="77777777" w:rsidTr="009F66A8">
        <w:trPr>
          <w:cantSplit/>
          <w:trHeight w:val="20"/>
        </w:trPr>
        <w:tc>
          <w:tcPr>
            <w:tcW w:w="6620" w:type="dxa"/>
            <w:tcBorders>
              <w:bottom w:val="single" w:sz="12" w:space="0" w:color="auto"/>
            </w:tcBorders>
          </w:tcPr>
          <w:p w14:paraId="4BC99347" w14:textId="77777777"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14:paraId="0F23DB45" w14:textId="77777777" w:rsidR="00290728" w:rsidRPr="00290728" w:rsidRDefault="00290728" w:rsidP="00DC1E02">
            <w:pPr>
              <w:spacing w:before="0" w:line="340" w:lineRule="exact"/>
              <w:rPr>
                <w:lang w:val="en-GB" w:bidi="ar-SY"/>
              </w:rPr>
            </w:pPr>
          </w:p>
        </w:tc>
      </w:tr>
      <w:tr w:rsidR="00290728" w:rsidRPr="00290728" w14:paraId="4655FBD5" w14:textId="77777777" w:rsidTr="009F66A8">
        <w:trPr>
          <w:cantSplit/>
          <w:trHeight w:val="20"/>
        </w:trPr>
        <w:tc>
          <w:tcPr>
            <w:tcW w:w="6620" w:type="dxa"/>
            <w:tcBorders>
              <w:top w:val="single" w:sz="12" w:space="0" w:color="auto"/>
            </w:tcBorders>
          </w:tcPr>
          <w:p w14:paraId="1F4AF5BD"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9C2196C" w14:textId="77777777" w:rsidR="00290728" w:rsidRPr="00290728" w:rsidRDefault="00290728" w:rsidP="00290728">
            <w:pPr>
              <w:spacing w:before="60" w:after="60" w:line="260" w:lineRule="exact"/>
              <w:rPr>
                <w:b/>
                <w:bCs/>
                <w:lang w:bidi="ar-SY"/>
              </w:rPr>
            </w:pPr>
          </w:p>
        </w:tc>
      </w:tr>
      <w:tr w:rsidR="00290728" w:rsidRPr="00290728" w14:paraId="47C87D4F" w14:textId="77777777" w:rsidTr="009F66A8">
        <w:trPr>
          <w:cantSplit/>
        </w:trPr>
        <w:tc>
          <w:tcPr>
            <w:tcW w:w="6620" w:type="dxa"/>
          </w:tcPr>
          <w:p w14:paraId="6BAAEBAC" w14:textId="0E9A4A28" w:rsidR="00290728" w:rsidRPr="005A3170" w:rsidRDefault="00290728" w:rsidP="00592EA5">
            <w:pPr>
              <w:spacing w:before="20" w:after="20" w:line="340" w:lineRule="exact"/>
              <w:rPr>
                <w:b/>
                <w:bCs/>
                <w:highlight w:val="yellow"/>
                <w:rtl/>
                <w:lang w:bidi="ar-EG"/>
              </w:rPr>
            </w:pPr>
          </w:p>
        </w:tc>
        <w:tc>
          <w:tcPr>
            <w:tcW w:w="3052" w:type="dxa"/>
            <w:vAlign w:val="center"/>
          </w:tcPr>
          <w:p w14:paraId="172028C3" w14:textId="265B2A9F" w:rsidR="00290728" w:rsidRPr="00290728" w:rsidRDefault="00290728" w:rsidP="00592EA5">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00103311">
              <w:rPr>
                <w:b/>
                <w:bCs/>
                <w:lang w:bidi="ar-SY"/>
              </w:rPr>
              <w:t>-ADD</w:t>
            </w:r>
            <w:r w:rsidRPr="00290728">
              <w:rPr>
                <w:b/>
                <w:bCs/>
                <w:lang w:bidi="ar-SY"/>
              </w:rPr>
              <w:t>/</w:t>
            </w:r>
            <w:r w:rsidR="00A4009E">
              <w:rPr>
                <w:b/>
                <w:bCs/>
                <w:lang w:bidi="ar-SY"/>
              </w:rPr>
              <w:t>4</w:t>
            </w:r>
            <w:r w:rsidRPr="00290728">
              <w:rPr>
                <w:b/>
                <w:bCs/>
                <w:lang w:bidi="ar-SY"/>
              </w:rPr>
              <w:t>-A</w:t>
            </w:r>
          </w:p>
        </w:tc>
      </w:tr>
      <w:tr w:rsidR="00290728" w:rsidRPr="00290728" w14:paraId="0E7F6198" w14:textId="77777777" w:rsidTr="009F66A8">
        <w:trPr>
          <w:cantSplit/>
        </w:trPr>
        <w:tc>
          <w:tcPr>
            <w:tcW w:w="6620" w:type="dxa"/>
          </w:tcPr>
          <w:p w14:paraId="717C0993" w14:textId="77777777" w:rsidR="00290728" w:rsidRPr="00290728" w:rsidRDefault="00290728" w:rsidP="00592EA5">
            <w:pPr>
              <w:spacing w:before="20" w:after="20" w:line="340" w:lineRule="exact"/>
              <w:rPr>
                <w:b/>
                <w:bCs/>
                <w:lang w:bidi="ar-SY"/>
              </w:rPr>
            </w:pPr>
          </w:p>
        </w:tc>
        <w:tc>
          <w:tcPr>
            <w:tcW w:w="3052" w:type="dxa"/>
            <w:vAlign w:val="center"/>
          </w:tcPr>
          <w:p w14:paraId="3E88505A" w14:textId="01968A89" w:rsidR="00290728" w:rsidRPr="00103311" w:rsidRDefault="00103311" w:rsidP="00592EA5">
            <w:pPr>
              <w:spacing w:before="20" w:after="20" w:line="340" w:lineRule="exact"/>
              <w:rPr>
                <w:b/>
                <w:bCs/>
                <w:rtl/>
                <w:lang w:bidi="ar-EG"/>
              </w:rPr>
            </w:pPr>
            <w:r w:rsidRPr="00103311">
              <w:rPr>
                <w:b/>
                <w:bCs/>
                <w:lang w:bidi="ar-SY"/>
              </w:rPr>
              <w:t>26</w:t>
            </w:r>
            <w:r w:rsidR="00290728" w:rsidRPr="00103311">
              <w:rPr>
                <w:rFonts w:hint="cs"/>
                <w:b/>
                <w:bCs/>
                <w:rtl/>
                <w:lang w:bidi="ar-EG"/>
              </w:rPr>
              <w:t xml:space="preserve"> </w:t>
            </w:r>
            <w:r w:rsidRPr="00103311">
              <w:rPr>
                <w:rFonts w:hint="cs"/>
                <w:b/>
                <w:bCs/>
                <w:rtl/>
                <w:lang w:bidi="ar-EG"/>
              </w:rPr>
              <w:t>سبتمبر</w:t>
            </w:r>
            <w:r w:rsidR="00290728" w:rsidRPr="00103311">
              <w:rPr>
                <w:rFonts w:hint="cs"/>
                <w:b/>
                <w:bCs/>
                <w:rtl/>
                <w:lang w:bidi="ar-EG"/>
              </w:rPr>
              <w:t xml:space="preserve"> </w:t>
            </w:r>
            <w:r w:rsidR="00FE7FCA" w:rsidRPr="00103311">
              <w:rPr>
                <w:b/>
                <w:bCs/>
                <w:lang w:bidi="ar-SY"/>
              </w:rPr>
              <w:t>201</w:t>
            </w:r>
            <w:r w:rsidR="00D10CCF" w:rsidRPr="00103311">
              <w:rPr>
                <w:b/>
                <w:bCs/>
                <w:lang w:bidi="ar-SY"/>
              </w:rPr>
              <w:t>9</w:t>
            </w:r>
          </w:p>
        </w:tc>
      </w:tr>
      <w:tr w:rsidR="00290728" w:rsidRPr="00290728" w14:paraId="3C0396E5" w14:textId="77777777" w:rsidTr="009F66A8">
        <w:trPr>
          <w:cantSplit/>
        </w:trPr>
        <w:tc>
          <w:tcPr>
            <w:tcW w:w="6620" w:type="dxa"/>
          </w:tcPr>
          <w:p w14:paraId="47CFAFFA" w14:textId="77777777" w:rsidR="00290728" w:rsidRPr="0069200F" w:rsidRDefault="00290728" w:rsidP="00592EA5">
            <w:pPr>
              <w:spacing w:before="20" w:after="20" w:line="340" w:lineRule="exact"/>
              <w:rPr>
                <w:b/>
                <w:bCs/>
                <w:lang w:bidi="ar-EG"/>
              </w:rPr>
            </w:pPr>
          </w:p>
        </w:tc>
        <w:tc>
          <w:tcPr>
            <w:tcW w:w="3052" w:type="dxa"/>
            <w:vAlign w:val="center"/>
          </w:tcPr>
          <w:p w14:paraId="059EE6A9" w14:textId="7B0F220D" w:rsidR="00290728" w:rsidRPr="00290728" w:rsidRDefault="00290728" w:rsidP="00592EA5">
            <w:pPr>
              <w:spacing w:before="20" w:after="20" w:line="340" w:lineRule="exact"/>
              <w:rPr>
                <w:b/>
                <w:bCs/>
                <w:lang w:bidi="ar-SY"/>
              </w:rPr>
            </w:pPr>
            <w:r w:rsidRPr="00290728">
              <w:rPr>
                <w:b/>
                <w:bCs/>
                <w:rtl/>
                <w:lang w:bidi="ar-EG"/>
              </w:rPr>
              <w:t xml:space="preserve">الأصل: </w:t>
            </w:r>
            <w:r w:rsidR="00103311">
              <w:rPr>
                <w:rFonts w:hint="cs"/>
                <w:b/>
                <w:bCs/>
                <w:rtl/>
                <w:lang w:bidi="ar-EG"/>
              </w:rPr>
              <w:t>بالإنكليزية</w:t>
            </w:r>
          </w:p>
        </w:tc>
      </w:tr>
      <w:tr w:rsidR="00290728" w:rsidRPr="00290728" w14:paraId="285B3E03" w14:textId="77777777" w:rsidTr="009F66A8">
        <w:trPr>
          <w:cantSplit/>
        </w:trPr>
        <w:tc>
          <w:tcPr>
            <w:tcW w:w="9672" w:type="dxa"/>
            <w:gridSpan w:val="2"/>
          </w:tcPr>
          <w:p w14:paraId="70C09D30" w14:textId="3016E7B3" w:rsidR="00290728" w:rsidRPr="00290728" w:rsidRDefault="00A4009E" w:rsidP="00A4009E">
            <w:pPr>
              <w:pStyle w:val="Source"/>
              <w:rPr>
                <w:rtl/>
                <w:lang w:bidi="ar-SY"/>
              </w:rPr>
            </w:pPr>
            <w:r w:rsidRPr="00A4009E">
              <w:rPr>
                <w:rFonts w:hint="cs"/>
                <w:rtl/>
                <w:lang w:bidi="ar-EG"/>
              </w:rPr>
              <w:t xml:space="preserve">أستراليا والنمسا وكندا والجمهورية التشيكية وفرنسا وألمانيا </w:t>
            </w:r>
            <w:r>
              <w:rPr>
                <w:lang w:bidi="ar-EG"/>
              </w:rPr>
              <w:br/>
            </w:r>
            <w:r w:rsidRPr="00A4009E">
              <w:rPr>
                <w:rFonts w:hint="cs"/>
                <w:rtl/>
                <w:lang w:bidi="ar-EG"/>
              </w:rPr>
              <w:t xml:space="preserve">وإيطاليا والمكسيك وهولندا وبولندا ورومانيا والسويد وسويسرا </w:t>
            </w:r>
            <w:r>
              <w:rPr>
                <w:lang w:bidi="ar-EG"/>
              </w:rPr>
              <w:br/>
            </w:r>
            <w:r w:rsidRPr="00A4009E">
              <w:rPr>
                <w:rFonts w:hint="cs"/>
                <w:rtl/>
                <w:lang w:bidi="ar-EG"/>
              </w:rPr>
              <w:t>والمملكة المتحدة والولايات المتحدة</w:t>
            </w:r>
          </w:p>
        </w:tc>
      </w:tr>
      <w:tr w:rsidR="00290728" w:rsidRPr="00290728" w14:paraId="367D48B8" w14:textId="77777777" w:rsidTr="009F66A8">
        <w:trPr>
          <w:cantSplit/>
        </w:trPr>
        <w:tc>
          <w:tcPr>
            <w:tcW w:w="9672" w:type="dxa"/>
            <w:gridSpan w:val="2"/>
          </w:tcPr>
          <w:p w14:paraId="4F66D16E" w14:textId="5C7F03FD" w:rsidR="00290728" w:rsidRPr="00A4009E" w:rsidRDefault="00A4009E" w:rsidP="00A4009E">
            <w:pPr>
              <w:pStyle w:val="Title1"/>
              <w:rPr>
                <w:rtl/>
              </w:rPr>
            </w:pPr>
            <w:r w:rsidRPr="00A4009E">
              <w:rPr>
                <w:rFonts w:hint="cs"/>
                <w:rtl/>
              </w:rPr>
              <w:t>مشروع مقرر [...]</w:t>
            </w:r>
          </w:p>
        </w:tc>
      </w:tr>
      <w:tr w:rsidR="00A6683B" w:rsidRPr="00290728" w14:paraId="782D0631" w14:textId="77777777" w:rsidTr="009F66A8">
        <w:trPr>
          <w:cantSplit/>
        </w:trPr>
        <w:tc>
          <w:tcPr>
            <w:tcW w:w="9672" w:type="dxa"/>
            <w:gridSpan w:val="2"/>
          </w:tcPr>
          <w:p w14:paraId="7F5B99ED" w14:textId="75DDB9D8" w:rsidR="00A6683B" w:rsidRPr="00383829" w:rsidRDefault="00A4009E" w:rsidP="00A4009E">
            <w:pPr>
              <w:pStyle w:val="Title2"/>
              <w:rPr>
                <w:rtl/>
                <w:lang w:bidi="ar-EG"/>
              </w:rPr>
            </w:pPr>
            <w:r w:rsidRPr="00A4009E">
              <w:rPr>
                <w:rFonts w:hint="cs"/>
                <w:b/>
                <w:bCs/>
                <w:rtl/>
                <w:lang w:bidi="ar-EG"/>
              </w:rPr>
              <w:t>مباني مقر الاتحاد</w:t>
            </w:r>
          </w:p>
        </w:tc>
      </w:tr>
    </w:tbl>
    <w:p w14:paraId="5FF3DDF7" w14:textId="77777777" w:rsidR="00A4009E" w:rsidRPr="00A4009E" w:rsidRDefault="00A4009E" w:rsidP="00A4009E">
      <w:pPr>
        <w:pStyle w:val="Normalaftertitle"/>
        <w:rPr>
          <w:rtl/>
        </w:rPr>
      </w:pPr>
      <w:r w:rsidRPr="00A4009E">
        <w:rPr>
          <w:rFonts w:hint="cs"/>
          <w:rtl/>
        </w:rPr>
        <w:t>إن المجلس،</w:t>
      </w:r>
    </w:p>
    <w:p w14:paraId="299736E8" w14:textId="79C38595" w:rsidR="00A4009E" w:rsidRPr="00A4009E" w:rsidRDefault="00A4009E" w:rsidP="00A4009E">
      <w:pPr>
        <w:pStyle w:val="Call"/>
        <w:rPr>
          <w:rtl/>
        </w:rPr>
      </w:pPr>
      <w:r w:rsidRPr="00A4009E">
        <w:rPr>
          <w:rFonts w:hint="cs"/>
          <w:rtl/>
        </w:rPr>
        <w:t>إذ يذكّر</w:t>
      </w:r>
    </w:p>
    <w:p w14:paraId="29222485" w14:textId="77777777" w:rsidR="00A4009E" w:rsidRPr="00A4009E" w:rsidRDefault="00A4009E" w:rsidP="00A4009E">
      <w:pPr>
        <w:rPr>
          <w:rtl/>
          <w:lang w:bidi="ar-EG"/>
        </w:rPr>
      </w:pPr>
      <w:r w:rsidRPr="00A4009E">
        <w:rPr>
          <w:rFonts w:hint="cs"/>
          <w:rtl/>
        </w:rPr>
        <w:t xml:space="preserve">بالقرار </w:t>
      </w:r>
      <w:r w:rsidRPr="00A4009E">
        <w:rPr>
          <w:lang w:bidi="ar-EG"/>
        </w:rPr>
        <w:t>212</w:t>
      </w:r>
      <w:r w:rsidRPr="00A4009E">
        <w:rPr>
          <w:rFonts w:hint="cs"/>
          <w:rtl/>
          <w:lang w:bidi="ar-EG"/>
        </w:rPr>
        <w:t xml:space="preserve"> (دبي، </w:t>
      </w:r>
      <w:r w:rsidRPr="00A4009E">
        <w:rPr>
          <w:lang w:bidi="ar-EG"/>
        </w:rPr>
        <w:t>2018</w:t>
      </w:r>
      <w:r w:rsidRPr="00A4009E">
        <w:rPr>
          <w:rFonts w:hint="cs"/>
          <w:rtl/>
          <w:lang w:bidi="ar-EG"/>
        </w:rPr>
        <w:t xml:space="preserve">) بشأن مباني مقر الاتحاد في المستقبل في الأجل الطويل، والمقرر </w:t>
      </w:r>
      <w:r w:rsidRPr="00A4009E">
        <w:rPr>
          <w:lang w:bidi="ar-EG"/>
        </w:rPr>
        <w:t>588</w:t>
      </w:r>
      <w:r w:rsidRPr="00A4009E">
        <w:rPr>
          <w:rFonts w:hint="cs"/>
          <w:rtl/>
          <w:lang w:bidi="ar-EG"/>
        </w:rPr>
        <w:t xml:space="preserve"> للمجلس بشأن مباني مقر </w:t>
      </w:r>
      <w:r w:rsidRPr="00AC5215">
        <w:rPr>
          <w:rFonts w:hint="cs"/>
          <w:rtl/>
          <w:lang w:bidi="ar-EG"/>
        </w:rPr>
        <w:t>الاتحاد</w:t>
      </w:r>
      <w:r w:rsidRPr="00A4009E">
        <w:rPr>
          <w:rFonts w:hint="cs"/>
          <w:rtl/>
          <w:lang w:bidi="ar-EG"/>
        </w:rPr>
        <w:t>،</w:t>
      </w:r>
    </w:p>
    <w:p w14:paraId="1DDFCBAC" w14:textId="74E7F133" w:rsidR="00A4009E" w:rsidRPr="00A4009E" w:rsidRDefault="00A4009E" w:rsidP="00A4009E">
      <w:pPr>
        <w:pStyle w:val="Call"/>
        <w:rPr>
          <w:rtl/>
          <w:lang w:bidi="ar-EG"/>
        </w:rPr>
      </w:pPr>
      <w:r w:rsidRPr="00A4009E">
        <w:rPr>
          <w:rFonts w:hint="cs"/>
          <w:rtl/>
          <w:lang w:bidi="ar-EG"/>
        </w:rPr>
        <w:t>وإذ يذكّر كذلك</w:t>
      </w:r>
    </w:p>
    <w:p w14:paraId="2D9558A8" w14:textId="011D2AB1" w:rsidR="00A4009E" w:rsidRPr="00A4009E" w:rsidRDefault="00A4009E" w:rsidP="00A4009E">
      <w:pPr>
        <w:rPr>
          <w:rtl/>
          <w:lang w:bidi="ar-EG"/>
        </w:rPr>
      </w:pPr>
      <w:r w:rsidRPr="00A4009E">
        <w:rPr>
          <w:rFonts w:hint="cs"/>
          <w:rtl/>
          <w:lang w:bidi="ar-EG"/>
        </w:rPr>
        <w:t>بالبند ’</w:t>
      </w:r>
      <w:r w:rsidRPr="00A4009E">
        <w:rPr>
          <w:lang w:bidi="ar-EG"/>
        </w:rPr>
        <w:t>5</w:t>
      </w:r>
      <w:r w:rsidRPr="00A4009E">
        <w:rPr>
          <w:rFonts w:hint="cs"/>
          <w:rtl/>
          <w:lang w:bidi="ar-EG"/>
        </w:rPr>
        <w:t xml:space="preserve">‘ من الفقرة ج) من </w:t>
      </w:r>
      <w:r w:rsidRPr="00A4009E">
        <w:rPr>
          <w:rFonts w:hint="cs"/>
          <w:i/>
          <w:iCs/>
          <w:rtl/>
          <w:lang w:bidi="ar-EG"/>
        </w:rPr>
        <w:t>"إذ يذكِّر"</w:t>
      </w:r>
      <w:r w:rsidRPr="00A4009E">
        <w:rPr>
          <w:rFonts w:hint="cs"/>
          <w:rtl/>
          <w:lang w:bidi="ar-EG"/>
        </w:rPr>
        <w:t xml:space="preserve"> من القرار </w:t>
      </w:r>
      <w:r w:rsidRPr="00A4009E">
        <w:rPr>
          <w:lang w:bidi="ar-EG"/>
        </w:rPr>
        <w:t>212</w:t>
      </w:r>
      <w:r w:rsidRPr="00A4009E">
        <w:rPr>
          <w:rFonts w:hint="cs"/>
          <w:rtl/>
          <w:lang w:bidi="ar-EG"/>
        </w:rPr>
        <w:t xml:space="preserve">، الذي ينص على تعويض التكاليف النهائية الإجمالية للمشروع باستخدام جميع </w:t>
      </w:r>
      <w:r w:rsidRPr="00A4009E">
        <w:rPr>
          <w:rtl/>
          <w:lang w:bidi="ar-EG"/>
        </w:rPr>
        <w:t xml:space="preserve">العائدات المتأتية من بيع مبنى البرج في سداد القروض الحالية على الأصول التي سيتم التخلص منها وفي التكاليف </w:t>
      </w:r>
      <w:r w:rsidRPr="000E7EBF">
        <w:rPr>
          <w:rtl/>
          <w:lang w:bidi="ar-EG"/>
        </w:rPr>
        <w:t>الضرورية</w:t>
      </w:r>
      <w:r w:rsidRPr="00A4009E">
        <w:rPr>
          <w:rtl/>
          <w:lang w:bidi="ar-EG"/>
        </w:rPr>
        <w:t xml:space="preserve"> المرتبطة بالبيع وفي خفض المبلغ المستحق من القرض إلى أقصى قدر ممكن</w:t>
      </w:r>
      <w:r w:rsidRPr="00A4009E">
        <w:rPr>
          <w:rFonts w:hint="cs"/>
          <w:rtl/>
          <w:lang w:bidi="ar-EG"/>
        </w:rPr>
        <w:t>،</w:t>
      </w:r>
    </w:p>
    <w:p w14:paraId="5576F055" w14:textId="23FB4E8D" w:rsidR="00A4009E" w:rsidRPr="00A4009E" w:rsidRDefault="00A4009E" w:rsidP="00A4009E">
      <w:pPr>
        <w:pStyle w:val="Call"/>
        <w:rPr>
          <w:rtl/>
          <w:lang w:bidi="ar-EG"/>
        </w:rPr>
      </w:pPr>
      <w:r w:rsidRPr="00A4009E">
        <w:rPr>
          <w:rFonts w:hint="cs"/>
          <w:rtl/>
          <w:lang w:bidi="ar-EG"/>
        </w:rPr>
        <w:t>وإذ يلاحظ مع التقدير</w:t>
      </w:r>
    </w:p>
    <w:p w14:paraId="4EEEDBC6" w14:textId="77777777" w:rsidR="00A4009E" w:rsidRPr="00A4009E" w:rsidRDefault="00A4009E" w:rsidP="00A4009E">
      <w:pPr>
        <w:rPr>
          <w:spacing w:val="2"/>
          <w:rtl/>
          <w:lang w:bidi="ar-EG"/>
        </w:rPr>
      </w:pPr>
      <w:r w:rsidRPr="00A4009E">
        <w:rPr>
          <w:rFonts w:hint="cs"/>
          <w:spacing w:val="2"/>
          <w:rtl/>
          <w:lang w:bidi="ar-EG"/>
        </w:rPr>
        <w:t xml:space="preserve">الجهود المبذولة من إدارة الاتحاد وشعبة مشروع المبنى </w:t>
      </w:r>
      <w:r w:rsidRPr="00A4009E">
        <w:rPr>
          <w:spacing w:val="2"/>
          <w:lang w:bidi="ar-EG"/>
        </w:rPr>
        <w:t>(BPD)</w:t>
      </w:r>
      <w:r w:rsidRPr="00A4009E">
        <w:rPr>
          <w:rFonts w:hint="cs"/>
          <w:spacing w:val="2"/>
          <w:rtl/>
          <w:lang w:bidi="ar-EG"/>
        </w:rPr>
        <w:t xml:space="preserve"> لتحقيق الحد الأمثل من التكاليف بهدف خفض التكلفة الإجمالية لمقر الاتحاد الجديد،</w:t>
      </w:r>
    </w:p>
    <w:p w14:paraId="3C720E2D" w14:textId="7B012D18" w:rsidR="00A4009E" w:rsidRPr="00A4009E" w:rsidRDefault="00A4009E" w:rsidP="00A4009E">
      <w:pPr>
        <w:pStyle w:val="Call"/>
        <w:rPr>
          <w:rtl/>
          <w:lang w:bidi="ar-EG"/>
        </w:rPr>
      </w:pPr>
      <w:r w:rsidRPr="00A4009E">
        <w:rPr>
          <w:rFonts w:hint="cs"/>
          <w:rtl/>
          <w:lang w:bidi="ar-EG"/>
        </w:rPr>
        <w:t>وقد نظر</w:t>
      </w:r>
    </w:p>
    <w:p w14:paraId="7E96A69E" w14:textId="77777777" w:rsidR="00A4009E" w:rsidRPr="00A4009E" w:rsidRDefault="00A4009E" w:rsidP="00A4009E">
      <w:pPr>
        <w:rPr>
          <w:rtl/>
          <w:lang w:bidi="ar-EG"/>
        </w:rPr>
      </w:pPr>
      <w:r w:rsidRPr="00A4009E">
        <w:rPr>
          <w:rFonts w:hint="cs"/>
          <w:rtl/>
          <w:lang w:bidi="ar-EG"/>
        </w:rPr>
        <w:t xml:space="preserve">في تقرير الأمين العام الوارد في الوثيقة </w:t>
      </w:r>
      <w:r w:rsidRPr="00A4009E">
        <w:rPr>
          <w:lang w:bidi="ar-EG"/>
        </w:rPr>
        <w:t>C19-ADD/2</w:t>
      </w:r>
      <w:r w:rsidRPr="00A4009E">
        <w:rPr>
          <w:rFonts w:hint="cs"/>
          <w:rtl/>
          <w:lang w:bidi="ar-EG"/>
        </w:rPr>
        <w:t>،</w:t>
      </w:r>
    </w:p>
    <w:p w14:paraId="7482E62B" w14:textId="25A7AF67" w:rsidR="00A4009E" w:rsidRPr="00A4009E" w:rsidRDefault="00A4009E" w:rsidP="00A4009E">
      <w:pPr>
        <w:pStyle w:val="Call"/>
        <w:rPr>
          <w:rtl/>
          <w:lang w:bidi="ar-EG"/>
        </w:rPr>
      </w:pPr>
      <w:r w:rsidRPr="00A4009E">
        <w:rPr>
          <w:rFonts w:hint="cs"/>
          <w:rtl/>
          <w:lang w:bidi="ar-EG"/>
        </w:rPr>
        <w:t>وإذ يأخذ بعين الاعتبار</w:t>
      </w:r>
    </w:p>
    <w:p w14:paraId="5CC4F9AE" w14:textId="0F97AEE9" w:rsidR="00A4009E" w:rsidRPr="00A4009E" w:rsidRDefault="00A4009E" w:rsidP="00A4009E">
      <w:pPr>
        <w:rPr>
          <w:rtl/>
          <w:lang w:bidi="ar-SY"/>
        </w:rPr>
      </w:pPr>
      <w:r w:rsidRPr="00A4009E">
        <w:rPr>
          <w:rFonts w:hint="cs"/>
          <w:rtl/>
          <w:lang w:bidi="ar-EG"/>
        </w:rPr>
        <w:t>شواغل الدول الأعضاء إزاء نقل اجتماعات الاتحاد خارج جنيف أثناء فترة الهدم و</w:t>
      </w:r>
      <w:r w:rsidRPr="00A4009E">
        <w:rPr>
          <w:rFonts w:hint="cs"/>
          <w:rtl/>
          <w:lang w:bidi="ar-SY"/>
        </w:rPr>
        <w:t>المرحلة الأولى من البناء إذ إن الممثليات الوطنية في</w:t>
      </w:r>
      <w:r>
        <w:rPr>
          <w:rFonts w:hint="eastAsia"/>
          <w:rtl/>
          <w:lang w:bidi="ar-SY"/>
        </w:rPr>
        <w:t> </w:t>
      </w:r>
      <w:r w:rsidRPr="00A4009E">
        <w:rPr>
          <w:rFonts w:hint="cs"/>
          <w:rtl/>
          <w:lang w:bidi="ar-SY"/>
        </w:rPr>
        <w:t xml:space="preserve">جنيف لديها الموارد البشرية اللازمة لحضور اجتماعات الاتحاد بينما لا تكون هذه </w:t>
      </w:r>
      <w:r w:rsidRPr="00A4009E">
        <w:rPr>
          <w:rFonts w:hint="cs"/>
          <w:rtl/>
          <w:lang w:bidi="ar-SY"/>
        </w:rPr>
        <w:lastRenderedPageBreak/>
        <w:t xml:space="preserve">الموارد متوفرة بالضرورة في جميع البلدان، وشواغل مماثلة أعرب عنها موظفو الاتحاد الذين ينبغي </w:t>
      </w:r>
      <w:r>
        <w:rPr>
          <w:rFonts w:hint="cs"/>
          <w:rtl/>
          <w:lang w:bidi="ar-SY"/>
        </w:rPr>
        <w:t>ألّا</w:t>
      </w:r>
      <w:r w:rsidRPr="00A4009E">
        <w:rPr>
          <w:rFonts w:hint="cs"/>
          <w:rtl/>
          <w:lang w:bidi="ar-SY"/>
        </w:rPr>
        <w:t xml:space="preserve"> يتوقع منهم الانتقال خارج منازلهم بجنيف لفترات طويلة من أجل تغطية العدد المرتفع من الاجتماعات التي حددها الاتحاد ولكن يُحتمل عقدها خارج جنيف،</w:t>
      </w:r>
    </w:p>
    <w:p w14:paraId="0BAB5E02" w14:textId="491DE2A8" w:rsidR="00A4009E" w:rsidRPr="00A4009E" w:rsidRDefault="00A4009E" w:rsidP="00A4009E">
      <w:pPr>
        <w:pStyle w:val="Call"/>
        <w:rPr>
          <w:rtl/>
          <w:lang w:bidi="ar-SY"/>
        </w:rPr>
      </w:pPr>
      <w:r w:rsidRPr="00A4009E">
        <w:rPr>
          <w:rFonts w:hint="cs"/>
          <w:rtl/>
          <w:lang w:bidi="ar-EG"/>
        </w:rPr>
        <w:t>يقرر</w:t>
      </w:r>
    </w:p>
    <w:p w14:paraId="48422561" w14:textId="534A2A97" w:rsidR="00A4009E" w:rsidRPr="00A4009E" w:rsidRDefault="00A4009E" w:rsidP="00A4009E">
      <w:pPr>
        <w:rPr>
          <w:rtl/>
          <w:lang w:bidi="ar-EG"/>
        </w:rPr>
      </w:pPr>
      <w:r>
        <w:rPr>
          <w:lang w:bidi="ar-EG"/>
        </w:rPr>
        <w:t>1</w:t>
      </w:r>
      <w:r>
        <w:rPr>
          <w:lang w:bidi="ar-EG"/>
        </w:rPr>
        <w:tab/>
      </w:r>
      <w:r w:rsidRPr="00A4009E">
        <w:rPr>
          <w:rFonts w:hint="cs"/>
          <w:rtl/>
          <w:lang w:bidi="ar-EG"/>
        </w:rPr>
        <w:t>الموافقة على مواصلة مشروع إقامة مبنى جديد محل مبنى فارامبيه ومبنى البرج، وسيكون هذا المبنى، إلى جانب مبنى مونبريان الحالي، المقر الجديد للاتحاد بجنيف؛</w:t>
      </w:r>
    </w:p>
    <w:p w14:paraId="2CA0CBFD" w14:textId="0EB7DE72" w:rsidR="00A4009E" w:rsidRPr="00A4009E" w:rsidRDefault="00A4009E" w:rsidP="00A4009E">
      <w:pPr>
        <w:rPr>
          <w:lang w:bidi="ar-EG"/>
        </w:rPr>
      </w:pPr>
      <w:r>
        <w:rPr>
          <w:lang w:bidi="ar-EG"/>
        </w:rPr>
        <w:t>2</w:t>
      </w:r>
      <w:r>
        <w:rPr>
          <w:lang w:bidi="ar-EG"/>
        </w:rPr>
        <w:tab/>
      </w:r>
      <w:r w:rsidRPr="00A4009E">
        <w:rPr>
          <w:rFonts w:hint="cs"/>
          <w:rtl/>
          <w:lang w:bidi="ar-EG"/>
        </w:rPr>
        <w:t xml:space="preserve">الموافقة على التكلفة المباشرة النهائية للمشروع البالغة </w:t>
      </w:r>
      <w:r w:rsidRPr="00A4009E">
        <w:rPr>
          <w:lang w:bidi="ar-EG"/>
        </w:rPr>
        <w:t>170</w:t>
      </w:r>
      <w:r>
        <w:rPr>
          <w:lang w:bidi="ar-EG"/>
        </w:rPr>
        <w:t> </w:t>
      </w:r>
      <w:r w:rsidRPr="00A4009E">
        <w:rPr>
          <w:lang w:bidi="ar-EG"/>
        </w:rPr>
        <w:t>139</w:t>
      </w:r>
      <w:r>
        <w:rPr>
          <w:lang w:bidi="ar-EG"/>
        </w:rPr>
        <w:t> </w:t>
      </w:r>
      <w:r w:rsidRPr="00A4009E">
        <w:rPr>
          <w:lang w:bidi="ar-EG"/>
        </w:rPr>
        <w:t>000</w:t>
      </w:r>
      <w:r w:rsidRPr="00A4009E">
        <w:rPr>
          <w:rFonts w:hint="cs"/>
          <w:rtl/>
          <w:lang w:bidi="ar-EG"/>
        </w:rPr>
        <w:t xml:space="preserve"> فرنك سويسري، على النحو الوارد وصفه في</w:t>
      </w:r>
      <w:r w:rsidR="00940D18">
        <w:rPr>
          <w:rFonts w:hint="eastAsia"/>
          <w:rtl/>
          <w:lang w:bidi="ar-EG"/>
        </w:rPr>
        <w:t> </w:t>
      </w:r>
      <w:r w:rsidRPr="00A4009E">
        <w:rPr>
          <w:rFonts w:hint="cs"/>
          <w:rtl/>
          <w:lang w:bidi="ar-EG"/>
        </w:rPr>
        <w:t>الوثيقة</w:t>
      </w:r>
      <w:r>
        <w:rPr>
          <w:rFonts w:hint="eastAsia"/>
          <w:rtl/>
          <w:lang w:bidi="ar-EG"/>
        </w:rPr>
        <w:t> </w:t>
      </w:r>
      <w:r w:rsidRPr="00A4009E">
        <w:rPr>
          <w:lang w:bidi="ar-EG"/>
        </w:rPr>
        <w:t>C19-ADD/2</w:t>
      </w:r>
      <w:r w:rsidRPr="00A4009E">
        <w:rPr>
          <w:rFonts w:hint="cs"/>
          <w:rtl/>
          <w:lang w:bidi="ar-EG"/>
        </w:rPr>
        <w:t xml:space="preserve">، بحيث تغطى هذه التكلفة بالكامل بالتمويل المتاح من القرض المقدم من البلد المضيف البالغ </w:t>
      </w:r>
      <w:r w:rsidRPr="00A4009E">
        <w:rPr>
          <w:lang w:bidi="ar-EG"/>
        </w:rPr>
        <w:t>150</w:t>
      </w:r>
      <w:r>
        <w:rPr>
          <w:lang w:bidi="ar-EG"/>
        </w:rPr>
        <w:t> </w:t>
      </w:r>
      <w:r w:rsidRPr="00A4009E">
        <w:rPr>
          <w:lang w:bidi="ar-EG"/>
        </w:rPr>
        <w:t>000</w:t>
      </w:r>
      <w:r>
        <w:rPr>
          <w:lang w:bidi="ar-EG"/>
        </w:rPr>
        <w:t> </w:t>
      </w:r>
      <w:r w:rsidRPr="00A4009E">
        <w:rPr>
          <w:lang w:bidi="ar-EG"/>
        </w:rPr>
        <w:t>000</w:t>
      </w:r>
      <w:r w:rsidRPr="00A4009E">
        <w:rPr>
          <w:rFonts w:hint="cs"/>
          <w:rtl/>
          <w:lang w:bidi="ar-EG"/>
        </w:rPr>
        <w:t xml:space="preserve"> فرنك سويسري، إضافة</w:t>
      </w:r>
      <w:r w:rsidR="006D25A1">
        <w:rPr>
          <w:rFonts w:hint="cs"/>
          <w:rtl/>
          <w:lang w:bidi="ar-EG"/>
        </w:rPr>
        <w:t>ً</w:t>
      </w:r>
      <w:r w:rsidRPr="00A4009E">
        <w:rPr>
          <w:rFonts w:hint="cs"/>
          <w:rtl/>
          <w:lang w:bidi="ar-EG"/>
        </w:rPr>
        <w:t xml:space="preserve"> إلى مبلغ </w:t>
      </w:r>
      <w:r w:rsidRPr="00A4009E">
        <w:rPr>
          <w:lang w:bidi="ar-EG"/>
        </w:rPr>
        <w:t>15</w:t>
      </w:r>
      <w:r>
        <w:rPr>
          <w:lang w:bidi="ar-EG"/>
        </w:rPr>
        <w:t> </w:t>
      </w:r>
      <w:r w:rsidRPr="00A4009E">
        <w:rPr>
          <w:lang w:bidi="ar-EG"/>
        </w:rPr>
        <w:t>140</w:t>
      </w:r>
      <w:r>
        <w:rPr>
          <w:lang w:bidi="ar-EG"/>
        </w:rPr>
        <w:t> </w:t>
      </w:r>
      <w:r w:rsidRPr="00A4009E">
        <w:rPr>
          <w:lang w:bidi="ar-EG"/>
        </w:rPr>
        <w:t>000</w:t>
      </w:r>
      <w:r w:rsidRPr="00A4009E">
        <w:rPr>
          <w:rFonts w:hint="cs"/>
          <w:rtl/>
          <w:lang w:bidi="ar-EG"/>
        </w:rPr>
        <w:t xml:space="preserve"> فرنك سويسري المتاح من </w:t>
      </w:r>
      <w:r w:rsidR="000E7EBF">
        <w:rPr>
          <w:rFonts w:hint="cs"/>
          <w:rtl/>
          <w:lang w:bidi="ar-EG"/>
        </w:rPr>
        <w:t>عقود الرعاية</w:t>
      </w:r>
      <w:r w:rsidRPr="00A4009E">
        <w:rPr>
          <w:rFonts w:hint="cs"/>
          <w:rtl/>
          <w:lang w:bidi="ar-EG"/>
        </w:rPr>
        <w:t xml:space="preserve"> والمنح، ومبلغ </w:t>
      </w:r>
      <w:r w:rsidRPr="00A4009E">
        <w:rPr>
          <w:lang w:bidi="ar-EG"/>
        </w:rPr>
        <w:t>5</w:t>
      </w:r>
      <w:r>
        <w:rPr>
          <w:lang w:bidi="ar-EG"/>
        </w:rPr>
        <w:t> </w:t>
      </w:r>
      <w:r w:rsidRPr="00A4009E">
        <w:rPr>
          <w:lang w:bidi="ar-EG"/>
        </w:rPr>
        <w:t>000</w:t>
      </w:r>
      <w:r>
        <w:rPr>
          <w:lang w:bidi="ar-EG"/>
        </w:rPr>
        <w:t> </w:t>
      </w:r>
      <w:r w:rsidRPr="00A4009E">
        <w:rPr>
          <w:lang w:bidi="ar-EG"/>
        </w:rPr>
        <w:t>000</w:t>
      </w:r>
      <w:r w:rsidR="00752C05">
        <w:rPr>
          <w:rFonts w:hint="eastAsia"/>
          <w:rtl/>
          <w:lang w:bidi="ar-EG"/>
        </w:rPr>
        <w:t> </w:t>
      </w:r>
      <w:r w:rsidRPr="00A4009E">
        <w:rPr>
          <w:rFonts w:hint="cs"/>
          <w:rtl/>
          <w:lang w:bidi="ar-EG"/>
        </w:rPr>
        <w:t>فرنك سويسري المتاح من صندوق المبنى الجديد؛</w:t>
      </w:r>
    </w:p>
    <w:p w14:paraId="2FBE62E8" w14:textId="0095D220" w:rsidR="00A4009E" w:rsidRPr="00A4009E" w:rsidRDefault="00A4009E" w:rsidP="00A4009E">
      <w:pPr>
        <w:rPr>
          <w:lang w:bidi="ar-EG"/>
        </w:rPr>
      </w:pPr>
      <w:r>
        <w:rPr>
          <w:lang w:bidi="ar-EG"/>
        </w:rPr>
        <w:t>3</w:t>
      </w:r>
      <w:r>
        <w:rPr>
          <w:lang w:bidi="ar-EG"/>
        </w:rPr>
        <w:tab/>
      </w:r>
      <w:r w:rsidRPr="00A4009E">
        <w:rPr>
          <w:rFonts w:hint="cs"/>
          <w:rtl/>
          <w:lang w:bidi="ar-EG"/>
        </w:rPr>
        <w:t xml:space="preserve">توفير احتياطي مالي إضافي يصل إلى </w:t>
      </w:r>
      <w:r w:rsidRPr="00A4009E">
        <w:rPr>
          <w:lang w:bidi="ar-EG"/>
        </w:rPr>
        <w:t>12</w:t>
      </w:r>
      <w:r>
        <w:rPr>
          <w:lang w:bidi="ar-EG"/>
        </w:rPr>
        <w:t> </w:t>
      </w:r>
      <w:r w:rsidRPr="00A4009E">
        <w:rPr>
          <w:lang w:bidi="ar-EG"/>
        </w:rPr>
        <w:t>600</w:t>
      </w:r>
      <w:r>
        <w:rPr>
          <w:lang w:bidi="ar-EG"/>
        </w:rPr>
        <w:t> </w:t>
      </w:r>
      <w:r w:rsidRPr="00A4009E">
        <w:rPr>
          <w:lang w:bidi="ar-EG"/>
        </w:rPr>
        <w:t>000</w:t>
      </w:r>
      <w:r w:rsidRPr="00A4009E">
        <w:rPr>
          <w:rFonts w:hint="cs"/>
          <w:rtl/>
          <w:lang w:bidi="ar-EG"/>
        </w:rPr>
        <w:t xml:space="preserve"> فرنك سويسري من أجل المخاطر غير المخففة، مما يمثل الحد التراكمي البالغ </w:t>
      </w:r>
      <w:r w:rsidRPr="00A4009E">
        <w:rPr>
          <w:lang w:bidi="ar-EG"/>
        </w:rPr>
        <w:t>%8</w:t>
      </w:r>
      <w:r w:rsidRPr="00A4009E">
        <w:rPr>
          <w:rFonts w:hint="cs"/>
          <w:rtl/>
          <w:lang w:bidi="ar-EG"/>
        </w:rPr>
        <w:t xml:space="preserve"> من التقديرات الحالية للتكاليف المباشرة الوارد وصفها في الوثيقة </w:t>
      </w:r>
      <w:r w:rsidRPr="00A4009E">
        <w:rPr>
          <w:lang w:bidi="ar-EG"/>
        </w:rPr>
        <w:t>C19-ADD/2</w:t>
      </w:r>
      <w:r w:rsidRPr="00A4009E">
        <w:rPr>
          <w:rFonts w:hint="cs"/>
          <w:rtl/>
          <w:lang w:bidi="ar-EG"/>
        </w:rPr>
        <w:t xml:space="preserve">، من خلال إنشاء صندوق لسجل المخاطر يموَّل حسبما يقرره المجلس لاحقاً ابتداءً من </w:t>
      </w:r>
      <w:r w:rsidRPr="00A4009E">
        <w:rPr>
          <w:lang w:bidi="ar-EG"/>
        </w:rPr>
        <w:t>2020</w:t>
      </w:r>
      <w:r w:rsidRPr="00A4009E">
        <w:rPr>
          <w:rFonts w:hint="cs"/>
          <w:rtl/>
          <w:lang w:bidi="ar-EG"/>
        </w:rPr>
        <w:t>، وفقاً للوائح المالية والقواعد المالية؛</w:t>
      </w:r>
    </w:p>
    <w:p w14:paraId="35E52863" w14:textId="61AD6ECD" w:rsidR="00A4009E" w:rsidRPr="00A4009E" w:rsidRDefault="00A4009E" w:rsidP="00A4009E">
      <w:pPr>
        <w:rPr>
          <w:lang w:bidi="ar-EG"/>
        </w:rPr>
      </w:pPr>
      <w:r>
        <w:rPr>
          <w:lang w:bidi="ar-EG"/>
        </w:rPr>
        <w:t>4</w:t>
      </w:r>
      <w:r>
        <w:rPr>
          <w:lang w:bidi="ar-EG"/>
        </w:rPr>
        <w:tab/>
      </w:r>
      <w:r w:rsidRPr="00A4009E">
        <w:rPr>
          <w:rFonts w:hint="cs"/>
          <w:rtl/>
          <w:lang w:bidi="ar-EG"/>
        </w:rPr>
        <w:t xml:space="preserve">أنه، اعتباراً من تاريخ اعتماد هذا المقرر، ستُستخدم أي </w:t>
      </w:r>
      <w:r w:rsidR="000E7EBF">
        <w:rPr>
          <w:rFonts w:hint="cs"/>
          <w:rtl/>
          <w:lang w:bidi="ar-EG"/>
        </w:rPr>
        <w:t>عقود رعاية</w:t>
      </w:r>
      <w:r w:rsidRPr="00A4009E">
        <w:rPr>
          <w:rFonts w:hint="cs"/>
          <w:rtl/>
          <w:lang w:bidi="ar-EG"/>
        </w:rPr>
        <w:t xml:space="preserve"> أو منح مستقبل</w:t>
      </w:r>
      <w:r w:rsidR="000E7EBF">
        <w:rPr>
          <w:rFonts w:hint="cs"/>
          <w:rtl/>
          <w:lang w:bidi="ar-EG"/>
        </w:rPr>
        <w:t>ي</w:t>
      </w:r>
      <w:r w:rsidRPr="00A4009E">
        <w:rPr>
          <w:rFonts w:hint="cs"/>
          <w:rtl/>
          <w:lang w:bidi="ar-EG"/>
        </w:rPr>
        <w:t xml:space="preserve">ة لتعويض التكلفة المباشرة النهائية للمشروع دون استحداث أي تكاليف غير مباشرة جديدة أو التسبب في مزيد من التأخير للمشروع، ولن تضاف إلى المبلغ الموافق عليه في الفقرة </w:t>
      </w:r>
      <w:r w:rsidRPr="00A4009E">
        <w:rPr>
          <w:lang w:bidi="ar-EG"/>
        </w:rPr>
        <w:t>2</w:t>
      </w:r>
      <w:r w:rsidRPr="00A4009E">
        <w:rPr>
          <w:rFonts w:hint="cs"/>
          <w:rtl/>
          <w:lang w:bidi="ar-EG"/>
        </w:rPr>
        <w:t xml:space="preserve"> من </w:t>
      </w:r>
      <w:r w:rsidRPr="00A4009E">
        <w:rPr>
          <w:rFonts w:hint="cs"/>
          <w:i/>
          <w:iCs/>
          <w:rtl/>
          <w:lang w:bidi="ar-EG"/>
        </w:rPr>
        <w:t>"يقرر"</w:t>
      </w:r>
      <w:r w:rsidRPr="00A4009E">
        <w:rPr>
          <w:rFonts w:hint="cs"/>
          <w:rtl/>
          <w:lang w:bidi="ar-EG"/>
        </w:rPr>
        <w:t xml:space="preserve"> أعلاه؛</w:t>
      </w:r>
    </w:p>
    <w:p w14:paraId="334B2A18" w14:textId="78EF20C6" w:rsidR="00A4009E" w:rsidRPr="00A4009E" w:rsidRDefault="00A4009E" w:rsidP="00A4009E">
      <w:pPr>
        <w:rPr>
          <w:lang w:bidi="ar-EG"/>
        </w:rPr>
      </w:pPr>
      <w:r>
        <w:rPr>
          <w:lang w:bidi="ar-EG"/>
        </w:rPr>
        <w:t>5</w:t>
      </w:r>
      <w:r>
        <w:rPr>
          <w:lang w:bidi="ar-EG"/>
        </w:rPr>
        <w:tab/>
      </w:r>
      <w:r w:rsidRPr="00A4009E">
        <w:rPr>
          <w:rFonts w:hint="cs"/>
          <w:rtl/>
          <w:lang w:bidi="ar-EG"/>
        </w:rPr>
        <w:t xml:space="preserve">الموافقة على التمويل اللازم لتغطية تكاليف المشروع غير المباشرة البالغ </w:t>
      </w:r>
      <w:r w:rsidRPr="00A4009E">
        <w:rPr>
          <w:lang w:bidi="ar-EG"/>
        </w:rPr>
        <w:t>2</w:t>
      </w:r>
      <w:r>
        <w:rPr>
          <w:lang w:bidi="ar-EG"/>
        </w:rPr>
        <w:t> </w:t>
      </w:r>
      <w:r w:rsidRPr="00A4009E">
        <w:rPr>
          <w:lang w:bidi="ar-EG"/>
        </w:rPr>
        <w:t>275</w:t>
      </w:r>
      <w:r>
        <w:rPr>
          <w:lang w:bidi="ar-EG"/>
        </w:rPr>
        <w:t> </w:t>
      </w:r>
      <w:r w:rsidRPr="00A4009E">
        <w:rPr>
          <w:lang w:bidi="ar-EG"/>
        </w:rPr>
        <w:t>000</w:t>
      </w:r>
      <w:r w:rsidRPr="00A4009E">
        <w:rPr>
          <w:rFonts w:hint="cs"/>
          <w:rtl/>
          <w:lang w:bidi="ar-EG"/>
        </w:rPr>
        <w:t xml:space="preserve"> فرنك سويسري للفترة </w:t>
      </w:r>
      <w:r w:rsidRPr="00A4009E">
        <w:rPr>
          <w:lang w:bidi="ar-EG"/>
        </w:rPr>
        <w:t>2023-2021</w:t>
      </w:r>
      <w:r w:rsidRPr="00A4009E">
        <w:rPr>
          <w:rFonts w:hint="cs"/>
          <w:rtl/>
          <w:lang w:bidi="ar-EG"/>
        </w:rPr>
        <w:t xml:space="preserve"> من خلال التدابير المبينة في اللوائح المالية والقواعد المالية، وتوصية مؤتمر المندوبين المفوضين لعام</w:t>
      </w:r>
      <w:r>
        <w:rPr>
          <w:rFonts w:hint="eastAsia"/>
          <w:rtl/>
          <w:lang w:bidi="ar-EG"/>
        </w:rPr>
        <w:t> </w:t>
      </w:r>
      <w:r w:rsidRPr="00A4009E">
        <w:rPr>
          <w:lang w:bidi="ar-EG"/>
        </w:rPr>
        <w:t>2022</w:t>
      </w:r>
      <w:r w:rsidRPr="00A4009E">
        <w:rPr>
          <w:rFonts w:hint="cs"/>
          <w:rtl/>
          <w:lang w:bidi="ar-EG"/>
        </w:rPr>
        <w:t xml:space="preserve"> بإدراج مبلغ </w:t>
      </w:r>
      <w:r w:rsidRPr="00A4009E">
        <w:rPr>
          <w:lang w:bidi="ar-EG"/>
        </w:rPr>
        <w:t>2</w:t>
      </w:r>
      <w:r>
        <w:rPr>
          <w:lang w:bidi="ar-EG"/>
        </w:rPr>
        <w:t> </w:t>
      </w:r>
      <w:r w:rsidRPr="00A4009E">
        <w:rPr>
          <w:lang w:bidi="ar-EG"/>
        </w:rPr>
        <w:t>315</w:t>
      </w:r>
      <w:r>
        <w:rPr>
          <w:lang w:bidi="ar-EG"/>
        </w:rPr>
        <w:t> </w:t>
      </w:r>
      <w:r w:rsidRPr="00A4009E">
        <w:rPr>
          <w:lang w:bidi="ar-EG"/>
        </w:rPr>
        <w:t>000</w:t>
      </w:r>
      <w:r w:rsidR="00752C05">
        <w:rPr>
          <w:rFonts w:hint="eastAsia"/>
          <w:rtl/>
          <w:lang w:bidi="ar-EG"/>
        </w:rPr>
        <w:t> </w:t>
      </w:r>
      <w:r w:rsidRPr="00A4009E">
        <w:rPr>
          <w:rFonts w:hint="cs"/>
          <w:rtl/>
          <w:lang w:bidi="ar-EG"/>
        </w:rPr>
        <w:t xml:space="preserve">فرنك سويسري في مشروع الخطة المالية للفترة </w:t>
      </w:r>
      <w:r w:rsidRPr="00A4009E">
        <w:rPr>
          <w:lang w:bidi="ar-EG"/>
        </w:rPr>
        <w:t>2027-2024</w:t>
      </w:r>
      <w:r w:rsidRPr="00A4009E">
        <w:rPr>
          <w:rFonts w:hint="cs"/>
          <w:rtl/>
          <w:lang w:bidi="ar-EG"/>
        </w:rPr>
        <w:t xml:space="preserve"> لصندوق رأس المال؛</w:t>
      </w:r>
    </w:p>
    <w:p w14:paraId="659AA32C" w14:textId="5215B053" w:rsidR="00A4009E" w:rsidRPr="00A4009E" w:rsidRDefault="00A4009E" w:rsidP="00A4009E">
      <w:pPr>
        <w:rPr>
          <w:lang w:bidi="ar-EG"/>
        </w:rPr>
      </w:pPr>
      <w:r>
        <w:rPr>
          <w:lang w:bidi="ar-EG"/>
        </w:rPr>
        <w:t>6</w:t>
      </w:r>
      <w:r>
        <w:rPr>
          <w:lang w:bidi="ar-EG"/>
        </w:rPr>
        <w:tab/>
      </w:r>
      <w:r w:rsidRPr="00A4009E">
        <w:rPr>
          <w:rFonts w:hint="cs"/>
          <w:rtl/>
          <w:lang w:bidi="ar-EG"/>
        </w:rPr>
        <w:t xml:space="preserve">استخدام جميع العائدات </w:t>
      </w:r>
      <w:r w:rsidRPr="00A4009E">
        <w:rPr>
          <w:rtl/>
          <w:lang w:bidi="ar-EG"/>
        </w:rPr>
        <w:t xml:space="preserve">المتأتية من بيع مبنى البرج </w:t>
      </w:r>
      <w:r w:rsidRPr="00A4009E">
        <w:rPr>
          <w:rFonts w:hint="cs"/>
          <w:rtl/>
          <w:lang w:bidi="ar-EG"/>
        </w:rPr>
        <w:t xml:space="preserve">وفقاً للبند </w:t>
      </w:r>
      <w:proofErr w:type="gramStart"/>
      <w:r w:rsidRPr="00A4009E">
        <w:rPr>
          <w:rFonts w:hint="cs"/>
          <w:rtl/>
          <w:lang w:bidi="ar-EG"/>
        </w:rPr>
        <w:t>’</w:t>
      </w:r>
      <w:r w:rsidRPr="00A4009E">
        <w:rPr>
          <w:lang w:bidi="ar-EG"/>
        </w:rPr>
        <w:t>5</w:t>
      </w:r>
      <w:r w:rsidRPr="00A4009E">
        <w:rPr>
          <w:rFonts w:hint="cs"/>
          <w:rtl/>
          <w:lang w:bidi="ar-EG"/>
        </w:rPr>
        <w:t>‘ من</w:t>
      </w:r>
      <w:proofErr w:type="gramEnd"/>
      <w:r w:rsidRPr="00A4009E">
        <w:rPr>
          <w:rFonts w:hint="cs"/>
          <w:rtl/>
          <w:lang w:bidi="ar-EG"/>
        </w:rPr>
        <w:t xml:space="preserve"> الفقرة ج) من </w:t>
      </w:r>
      <w:r w:rsidRPr="00A4009E">
        <w:rPr>
          <w:rFonts w:hint="cs"/>
          <w:i/>
          <w:iCs/>
          <w:rtl/>
          <w:lang w:bidi="ar-EG"/>
        </w:rPr>
        <w:t>"إذ يذكِّر"</w:t>
      </w:r>
      <w:r w:rsidRPr="00A4009E">
        <w:rPr>
          <w:rFonts w:hint="cs"/>
          <w:rtl/>
          <w:lang w:bidi="ar-EG"/>
        </w:rPr>
        <w:t xml:space="preserve"> من القرار </w:t>
      </w:r>
      <w:r w:rsidRPr="00A4009E">
        <w:rPr>
          <w:lang w:bidi="ar-EG"/>
        </w:rPr>
        <w:t>212</w:t>
      </w:r>
      <w:r w:rsidRPr="00A4009E">
        <w:rPr>
          <w:rFonts w:hint="cs"/>
          <w:rtl/>
          <w:lang w:bidi="ar-EG"/>
        </w:rPr>
        <w:t>،</w:t>
      </w:r>
    </w:p>
    <w:p w14:paraId="7872C19F" w14:textId="520C397F" w:rsidR="00A4009E" w:rsidRPr="00A4009E" w:rsidRDefault="00A4009E" w:rsidP="00A4009E">
      <w:pPr>
        <w:pStyle w:val="Call"/>
        <w:rPr>
          <w:rtl/>
          <w:lang w:bidi="ar-EG"/>
        </w:rPr>
      </w:pPr>
      <w:r w:rsidRPr="00A4009E">
        <w:rPr>
          <w:rFonts w:hint="cs"/>
          <w:rtl/>
          <w:lang w:bidi="ar-EG"/>
        </w:rPr>
        <w:t>يكلف الأمين العام</w:t>
      </w:r>
    </w:p>
    <w:p w14:paraId="657AED84" w14:textId="299DB297" w:rsidR="00A4009E" w:rsidRPr="00A4009E" w:rsidRDefault="00A4009E" w:rsidP="00A4009E">
      <w:pPr>
        <w:rPr>
          <w:spacing w:val="2"/>
          <w:rtl/>
          <w:lang w:bidi="ar-EG"/>
        </w:rPr>
      </w:pPr>
      <w:r w:rsidRPr="00A4009E">
        <w:rPr>
          <w:spacing w:val="2"/>
          <w:lang w:bidi="ar-EG"/>
        </w:rPr>
        <w:t>1</w:t>
      </w:r>
      <w:r w:rsidRPr="00A4009E">
        <w:rPr>
          <w:spacing w:val="2"/>
          <w:lang w:bidi="ar-EG"/>
        </w:rPr>
        <w:tab/>
      </w:r>
      <w:r w:rsidRPr="00A4009E">
        <w:rPr>
          <w:rFonts w:hint="cs"/>
          <w:spacing w:val="2"/>
          <w:rtl/>
          <w:lang w:bidi="ar-EG"/>
        </w:rPr>
        <w:t xml:space="preserve">بتقديم الطلب إلى السلطات السويسرية المعنية من أجل الحصول على الجزء الثاني من القرض البالغ </w:t>
      </w:r>
      <w:r w:rsidRPr="00A4009E">
        <w:rPr>
          <w:spacing w:val="2"/>
          <w:lang w:bidi="ar-EG"/>
        </w:rPr>
        <w:t>150 000 000</w:t>
      </w:r>
      <w:r w:rsidR="00752C05">
        <w:rPr>
          <w:rFonts w:hint="eastAsia"/>
          <w:spacing w:val="2"/>
          <w:rtl/>
          <w:lang w:bidi="ar-EG"/>
        </w:rPr>
        <w:t> </w:t>
      </w:r>
      <w:r w:rsidRPr="00A4009E">
        <w:rPr>
          <w:rFonts w:hint="cs"/>
          <w:spacing w:val="2"/>
          <w:rtl/>
          <w:lang w:bidi="ar-EG"/>
        </w:rPr>
        <w:t>فرنك سويسري؛</w:t>
      </w:r>
    </w:p>
    <w:p w14:paraId="37F6CB6D" w14:textId="6B0BEFF5" w:rsidR="00A4009E" w:rsidRPr="00A4009E" w:rsidRDefault="00A4009E" w:rsidP="00A4009E">
      <w:pPr>
        <w:rPr>
          <w:lang w:bidi="ar-EG"/>
        </w:rPr>
      </w:pPr>
      <w:r>
        <w:rPr>
          <w:lang w:bidi="ar-EG"/>
        </w:rPr>
        <w:lastRenderedPageBreak/>
        <w:t>2</w:t>
      </w:r>
      <w:r>
        <w:rPr>
          <w:lang w:bidi="ar-EG"/>
        </w:rPr>
        <w:tab/>
      </w:r>
      <w:r w:rsidRPr="00A4009E">
        <w:rPr>
          <w:rFonts w:hint="cs"/>
          <w:rtl/>
          <w:lang w:bidi="ar-EG"/>
        </w:rPr>
        <w:t xml:space="preserve">بإنشاء صندوق سجل المخاطر المشار إليه في الفقرة </w:t>
      </w:r>
      <w:r w:rsidRPr="00A4009E">
        <w:rPr>
          <w:lang w:bidi="ar-EG"/>
        </w:rPr>
        <w:t>3</w:t>
      </w:r>
      <w:r w:rsidRPr="00A4009E">
        <w:rPr>
          <w:rFonts w:hint="cs"/>
          <w:rtl/>
          <w:lang w:bidi="ar-EG"/>
        </w:rPr>
        <w:t xml:space="preserve"> من </w:t>
      </w:r>
      <w:r w:rsidRPr="00A4009E">
        <w:rPr>
          <w:rFonts w:hint="cs"/>
          <w:i/>
          <w:iCs/>
          <w:rtl/>
          <w:lang w:bidi="ar-EG"/>
        </w:rPr>
        <w:t xml:space="preserve">"يقرر" </w:t>
      </w:r>
      <w:r w:rsidRPr="00A4009E">
        <w:rPr>
          <w:rFonts w:hint="cs"/>
          <w:rtl/>
          <w:lang w:bidi="ar-EG"/>
        </w:rPr>
        <w:t>أعلاه، مع الأخذ علماً بأن أي أموال متبقة في هذا الحساب عند الانتهاء من البناء ستوضع في حساب الاحتياطي؛</w:t>
      </w:r>
    </w:p>
    <w:p w14:paraId="11E6F2B6" w14:textId="05B917B3" w:rsidR="00A4009E" w:rsidRPr="00A4009E" w:rsidRDefault="00A4009E" w:rsidP="00A4009E">
      <w:pPr>
        <w:rPr>
          <w:lang w:bidi="ar-EG"/>
        </w:rPr>
      </w:pPr>
      <w:r>
        <w:rPr>
          <w:lang w:bidi="ar-EG"/>
        </w:rPr>
        <w:t>3</w:t>
      </w:r>
      <w:r>
        <w:rPr>
          <w:lang w:bidi="ar-EG"/>
        </w:rPr>
        <w:tab/>
      </w:r>
      <w:r w:rsidRPr="00A4009E">
        <w:rPr>
          <w:rFonts w:hint="cs"/>
          <w:rtl/>
          <w:lang w:bidi="ar-EG"/>
        </w:rPr>
        <w:t>بتلبية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 ورفع تقرير إلى الفريق الاستشاري للدول الأعضاء عن التقدم المحرز في هذا المجال؛</w:t>
      </w:r>
    </w:p>
    <w:p w14:paraId="63F9E8FC" w14:textId="2548F10B" w:rsidR="00A4009E" w:rsidRPr="00A4009E" w:rsidRDefault="00A4009E" w:rsidP="00A4009E">
      <w:pPr>
        <w:rPr>
          <w:lang w:bidi="ar-EG"/>
        </w:rPr>
      </w:pPr>
      <w:r>
        <w:rPr>
          <w:lang w:bidi="ar-EG"/>
        </w:rPr>
        <w:t>4</w:t>
      </w:r>
      <w:r>
        <w:rPr>
          <w:lang w:bidi="ar-EG"/>
        </w:rPr>
        <w:tab/>
      </w:r>
      <w:r w:rsidRPr="00A4009E">
        <w:rPr>
          <w:rFonts w:hint="cs"/>
          <w:rtl/>
          <w:lang w:bidi="ar-EG"/>
        </w:rPr>
        <w:t xml:space="preserve">بالعمل مع البلد المضيف على تنفيذ متطلبات إدارة الأمم المتحدة لشؤون السلامة والأمن </w:t>
      </w:r>
      <w:r w:rsidRPr="00A4009E">
        <w:rPr>
          <w:lang w:bidi="ar-EG"/>
        </w:rPr>
        <w:t>(UNDSS)</w:t>
      </w:r>
      <w:r w:rsidRPr="00A4009E">
        <w:rPr>
          <w:rFonts w:hint="cs"/>
          <w:rtl/>
          <w:lang w:bidi="ar-EG"/>
        </w:rPr>
        <w:t xml:space="preserve"> من أجل الامتثال لمعايير الأمن التشغيلية الدنيا </w:t>
      </w:r>
      <w:r w:rsidRPr="00A4009E">
        <w:rPr>
          <w:lang w:bidi="ar-EG"/>
        </w:rPr>
        <w:t>(MOSS)</w:t>
      </w:r>
      <w:r w:rsidRPr="00A4009E">
        <w:rPr>
          <w:rFonts w:hint="cs"/>
          <w:rtl/>
          <w:lang w:bidi="ar-EG"/>
        </w:rPr>
        <w:t xml:space="preserve"> للأمم المتحدة؛</w:t>
      </w:r>
    </w:p>
    <w:p w14:paraId="056C0695" w14:textId="0358381F" w:rsidR="00A4009E" w:rsidRPr="00A4009E" w:rsidRDefault="00A4009E" w:rsidP="00A4009E">
      <w:pPr>
        <w:rPr>
          <w:lang w:bidi="ar-EG"/>
        </w:rPr>
      </w:pPr>
      <w:r>
        <w:rPr>
          <w:lang w:bidi="ar-EG"/>
        </w:rPr>
        <w:t>5</w:t>
      </w:r>
      <w:r>
        <w:rPr>
          <w:lang w:bidi="ar-EG"/>
        </w:rPr>
        <w:tab/>
      </w:r>
      <w:r w:rsidRPr="00A4009E">
        <w:rPr>
          <w:rFonts w:hint="cs"/>
          <w:rtl/>
          <w:lang w:bidi="ar-EG"/>
        </w:rPr>
        <w:t>بمواصلة التعاون مع مجلس الموظفين لتيسير زيادة الشفافية والحوار في عملية النقل والتصميم بأكملها، والحفاظ على معنويات الموظفين ورفاهيتهم وفعاليتهم في الاضطلاع بمسؤولياتهم لصالح الاتحاد؛</w:t>
      </w:r>
    </w:p>
    <w:p w14:paraId="1C453F59" w14:textId="38B7A0EB" w:rsidR="00A4009E" w:rsidRPr="00A4009E" w:rsidRDefault="00A4009E" w:rsidP="00A4009E">
      <w:pPr>
        <w:rPr>
          <w:lang w:bidi="ar-EG"/>
        </w:rPr>
      </w:pPr>
      <w:r>
        <w:rPr>
          <w:lang w:bidi="ar-EG"/>
        </w:rPr>
        <w:t>6</w:t>
      </w:r>
      <w:r>
        <w:rPr>
          <w:lang w:bidi="ar-EG"/>
        </w:rPr>
        <w:tab/>
      </w:r>
      <w:r w:rsidRPr="00A4009E">
        <w:rPr>
          <w:rFonts w:hint="cs"/>
          <w:rtl/>
          <w:lang w:bidi="ar-EG"/>
        </w:rPr>
        <w:t xml:space="preserve">بإعداد </w:t>
      </w:r>
      <w:r w:rsidRPr="00A4009E">
        <w:rPr>
          <w:rFonts w:hint="cs"/>
          <w:i/>
          <w:iCs/>
          <w:rtl/>
          <w:lang w:bidi="ar-EG"/>
        </w:rPr>
        <w:t>استراتيجية بشأن ظروف عمل الموظفين وخطة لتنفيذها</w:t>
      </w:r>
      <w:r w:rsidRPr="00A4009E">
        <w:rPr>
          <w:rFonts w:hint="cs"/>
          <w:rtl/>
          <w:lang w:bidi="ar-EG"/>
        </w:rPr>
        <w:t xml:space="preserve"> كي ينظر فيها المجلس في دورته لعام </w:t>
      </w:r>
      <w:r w:rsidRPr="00A4009E">
        <w:rPr>
          <w:lang w:bidi="ar-EG"/>
        </w:rPr>
        <w:t>2020</w:t>
      </w:r>
      <w:r w:rsidRPr="00A4009E">
        <w:rPr>
          <w:rFonts w:hint="cs"/>
          <w:rtl/>
          <w:lang w:bidi="ar-EG"/>
        </w:rPr>
        <w:t>، بما</w:t>
      </w:r>
      <w:r w:rsidR="00940D18">
        <w:rPr>
          <w:rFonts w:hint="eastAsia"/>
          <w:rtl/>
          <w:lang w:bidi="ar-EG"/>
        </w:rPr>
        <w:t> </w:t>
      </w:r>
      <w:r w:rsidRPr="00A4009E">
        <w:rPr>
          <w:rFonts w:hint="cs"/>
          <w:rtl/>
          <w:lang w:bidi="ar-EG"/>
        </w:rPr>
        <w:t>في</w:t>
      </w:r>
      <w:r w:rsidR="00940D18">
        <w:rPr>
          <w:rFonts w:hint="eastAsia"/>
          <w:rtl/>
          <w:lang w:bidi="ar-EG"/>
        </w:rPr>
        <w:t> </w:t>
      </w:r>
      <w:r w:rsidRPr="00A4009E">
        <w:rPr>
          <w:rFonts w:hint="cs"/>
          <w:rtl/>
          <w:lang w:bidi="ar-EG"/>
        </w:rPr>
        <w:t>ذلك وضع تدابير لتيسير ترتيبات العمل المرنة تشمل خططاً تسمح للموظفين بالعمل من منازلهم؛</w:t>
      </w:r>
    </w:p>
    <w:p w14:paraId="279BFC2B" w14:textId="77E92822" w:rsidR="00A4009E" w:rsidRPr="00752C05" w:rsidRDefault="00A4009E" w:rsidP="00752C05">
      <w:pPr>
        <w:rPr>
          <w:lang w:bidi="ar-EG"/>
        </w:rPr>
      </w:pPr>
      <w:r w:rsidRPr="00752C05">
        <w:rPr>
          <w:lang w:bidi="ar-EG"/>
        </w:rPr>
        <w:t>7</w:t>
      </w:r>
      <w:r w:rsidRPr="00752C05">
        <w:rPr>
          <w:lang w:bidi="ar-EG"/>
        </w:rPr>
        <w:tab/>
      </w:r>
      <w:r w:rsidRPr="00752C05">
        <w:rPr>
          <w:rFonts w:hint="cs"/>
          <w:rtl/>
          <w:lang w:bidi="ar-EG"/>
        </w:rPr>
        <w:t>بموافاة الفريق الاستشاري للدول الأعضاء على أساس ربع سنوي بإحاطات إعلامية تشمل المعلومات المتعلقة بمستجدات سجل</w:t>
      </w:r>
      <w:r w:rsidR="00752C05">
        <w:rPr>
          <w:rFonts w:hint="eastAsia"/>
          <w:rtl/>
          <w:lang w:bidi="ar-EG"/>
        </w:rPr>
        <w:t> </w:t>
      </w:r>
      <w:r w:rsidRPr="00752C05">
        <w:rPr>
          <w:rFonts w:hint="cs"/>
          <w:rtl/>
          <w:lang w:bidi="ar-EG"/>
        </w:rPr>
        <w:t>المخاطر؛</w:t>
      </w:r>
    </w:p>
    <w:p w14:paraId="2625D85C" w14:textId="4B7F838E" w:rsidR="00A4009E" w:rsidRPr="00A4009E" w:rsidRDefault="00A4009E" w:rsidP="002A57CA">
      <w:pPr>
        <w:keepNext/>
        <w:keepLines/>
        <w:rPr>
          <w:lang w:bidi="ar-EG"/>
        </w:rPr>
      </w:pPr>
      <w:r>
        <w:rPr>
          <w:lang w:bidi="ar-EG"/>
        </w:rPr>
        <w:t>8</w:t>
      </w:r>
      <w:r>
        <w:rPr>
          <w:lang w:bidi="ar-EG"/>
        </w:rPr>
        <w:tab/>
      </w:r>
      <w:r w:rsidRPr="00A4009E">
        <w:rPr>
          <w:rFonts w:hint="cs"/>
          <w:rtl/>
          <w:lang w:bidi="ar-EG"/>
        </w:rPr>
        <w:t>بإجراء مراجعات منتظمة لحسابات المشروع؛</w:t>
      </w:r>
    </w:p>
    <w:p w14:paraId="14EA19FD" w14:textId="56A649BD" w:rsidR="00A4009E" w:rsidRDefault="00A4009E" w:rsidP="00752C05">
      <w:pPr>
        <w:rPr>
          <w:rtl/>
          <w:lang w:bidi="ar-EG"/>
        </w:rPr>
      </w:pPr>
      <w:r>
        <w:rPr>
          <w:lang w:bidi="ar-EG"/>
        </w:rPr>
        <w:t>9</w:t>
      </w:r>
      <w:r>
        <w:rPr>
          <w:lang w:bidi="ar-EG"/>
        </w:rPr>
        <w:tab/>
      </w:r>
      <w:r w:rsidR="002A57CA">
        <w:rPr>
          <w:rFonts w:hint="cs"/>
          <w:rtl/>
          <w:lang w:bidi="ar-EG"/>
        </w:rPr>
        <w:t>ب</w:t>
      </w:r>
      <w:r w:rsidRPr="00A4009E">
        <w:rPr>
          <w:rFonts w:hint="cs"/>
          <w:rtl/>
          <w:lang w:bidi="ar-EG"/>
        </w:rPr>
        <w:t>الالتزام بأسمى المعايير من حيث الأخلاقيات والمشتريات في جميع عمليات المناقصات المنظمة في مختلف مراحل المشروع.</w:t>
      </w:r>
    </w:p>
    <w:p w14:paraId="4467BEC3" w14:textId="77777777" w:rsidR="002A57CA" w:rsidRPr="00A4009E" w:rsidRDefault="002A57CA" w:rsidP="002A57CA">
      <w:pPr>
        <w:pStyle w:val="Reasons"/>
        <w:rPr>
          <w:rtl/>
          <w:lang w:bidi="ar-EG"/>
        </w:rPr>
      </w:pPr>
    </w:p>
    <w:p w14:paraId="73F3CD35" w14:textId="6920CB45" w:rsidR="00A4009E" w:rsidRPr="00A4009E" w:rsidRDefault="00940D18" w:rsidP="00940D18">
      <w:pPr>
        <w:spacing w:before="600"/>
        <w:jc w:val="center"/>
        <w:rPr>
          <w:rtl/>
          <w:lang w:bidi="ar-EG"/>
        </w:rPr>
      </w:pPr>
      <w:bookmarkStart w:id="1" w:name="_GoBack"/>
      <w:bookmarkEnd w:id="1"/>
      <w:r>
        <w:rPr>
          <w:rFonts w:hint="cs"/>
          <w:rtl/>
          <w:lang w:bidi="ar-SY"/>
        </w:rPr>
        <w:t>___________</w:t>
      </w:r>
    </w:p>
    <w:sectPr w:rsidR="00A4009E" w:rsidRPr="00A4009E" w:rsidSect="006C3242">
      <w:headerReference w:type="defaul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CD602" w14:textId="77777777" w:rsidR="006C7F48" w:rsidRDefault="006C7F48" w:rsidP="006C3242">
      <w:pPr>
        <w:spacing w:before="0" w:line="240" w:lineRule="auto"/>
      </w:pPr>
      <w:r>
        <w:separator/>
      </w:r>
    </w:p>
  </w:endnote>
  <w:endnote w:type="continuationSeparator" w:id="0">
    <w:p w14:paraId="4CE2CB53" w14:textId="77777777" w:rsidR="006C7F48" w:rsidRDefault="006C7F4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9407" w14:textId="77777777"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2C061" w14:textId="77777777" w:rsidR="006C7F48" w:rsidRDefault="006C7F48" w:rsidP="006C3242">
      <w:pPr>
        <w:spacing w:before="0" w:line="240" w:lineRule="auto"/>
      </w:pPr>
      <w:r>
        <w:separator/>
      </w:r>
    </w:p>
  </w:footnote>
  <w:footnote w:type="continuationSeparator" w:id="0">
    <w:p w14:paraId="26822990" w14:textId="77777777" w:rsidR="006C7F48" w:rsidRDefault="006C7F48"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4A0BE" w14:textId="10F72D8A" w:rsidR="00447F32" w:rsidRPr="00447F32" w:rsidRDefault="002B1BA1" w:rsidP="00D10CC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A4009E">
          <w:rPr>
            <w:rFonts w:cs="Calibri"/>
            <w:noProof/>
            <w:sz w:val="20"/>
            <w:szCs w:val="20"/>
          </w:rPr>
          <w:t>-ADD</w:t>
        </w:r>
        <w:r w:rsidR="00447F32" w:rsidRPr="00447F32">
          <w:rPr>
            <w:rFonts w:cs="Calibri"/>
            <w:noProof/>
            <w:sz w:val="20"/>
            <w:szCs w:val="20"/>
          </w:rPr>
          <w:t>/</w:t>
        </w:r>
        <w:r w:rsidR="00A4009E">
          <w:rPr>
            <w:rFonts w:cs="Calibri"/>
            <w:noProof/>
            <w:sz w:val="20"/>
            <w:szCs w:val="20"/>
          </w:rPr>
          <w:t>4</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546FC5"/>
    <w:multiLevelType w:val="hybridMultilevel"/>
    <w:tmpl w:val="D2CC565C"/>
    <w:lvl w:ilvl="0" w:tplc="7374AF36">
      <w:start w:val="1"/>
      <w:numFmt w:val="decimal"/>
      <w:lvlText w:val="%1"/>
      <w:lvlJc w:val="left"/>
      <w:pPr>
        <w:ind w:left="1155" w:hanging="795"/>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E6660"/>
    <w:multiLevelType w:val="hybridMultilevel"/>
    <w:tmpl w:val="38987AA2"/>
    <w:lvl w:ilvl="0" w:tplc="FC28331E">
      <w:start w:val="1"/>
      <w:numFmt w:val="decimal"/>
      <w:lvlText w:val="%1"/>
      <w:lvlJc w:val="left"/>
      <w:pPr>
        <w:ind w:left="1965" w:hanging="795"/>
      </w:pPr>
      <w:rPr>
        <w:rFonts w:asciiTheme="minorHAnsi" w:hAnsiTheme="minorHAnsi" w:cstheme="minorHAnsi" w:hint="default"/>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48"/>
    <w:rsid w:val="00031ACC"/>
    <w:rsid w:val="00090574"/>
    <w:rsid w:val="000C1C0E"/>
    <w:rsid w:val="000C548A"/>
    <w:rsid w:val="000E7EBF"/>
    <w:rsid w:val="00103311"/>
    <w:rsid w:val="001C0169"/>
    <w:rsid w:val="001D1D50"/>
    <w:rsid w:val="001D6745"/>
    <w:rsid w:val="001E446E"/>
    <w:rsid w:val="002154EE"/>
    <w:rsid w:val="002276D2"/>
    <w:rsid w:val="0023283D"/>
    <w:rsid w:val="00271C43"/>
    <w:rsid w:val="00290728"/>
    <w:rsid w:val="002978F4"/>
    <w:rsid w:val="002A57CA"/>
    <w:rsid w:val="002B028D"/>
    <w:rsid w:val="002B1BA1"/>
    <w:rsid w:val="002E6541"/>
    <w:rsid w:val="00334924"/>
    <w:rsid w:val="003409BC"/>
    <w:rsid w:val="00357185"/>
    <w:rsid w:val="00383829"/>
    <w:rsid w:val="003F4B29"/>
    <w:rsid w:val="0042686F"/>
    <w:rsid w:val="004317D8"/>
    <w:rsid w:val="00434183"/>
    <w:rsid w:val="00443869"/>
    <w:rsid w:val="00447F32"/>
    <w:rsid w:val="004E11DC"/>
    <w:rsid w:val="005409AC"/>
    <w:rsid w:val="0055516A"/>
    <w:rsid w:val="0058491B"/>
    <w:rsid w:val="00592EA5"/>
    <w:rsid w:val="005A3170"/>
    <w:rsid w:val="00677396"/>
    <w:rsid w:val="0069200F"/>
    <w:rsid w:val="006A5266"/>
    <w:rsid w:val="006A65CB"/>
    <w:rsid w:val="006C3242"/>
    <w:rsid w:val="006C7CC0"/>
    <w:rsid w:val="006C7F48"/>
    <w:rsid w:val="006D25A1"/>
    <w:rsid w:val="006F63F7"/>
    <w:rsid w:val="007025C7"/>
    <w:rsid w:val="00706D7A"/>
    <w:rsid w:val="00722F0D"/>
    <w:rsid w:val="0074420E"/>
    <w:rsid w:val="00752C05"/>
    <w:rsid w:val="00783E26"/>
    <w:rsid w:val="007C3BC7"/>
    <w:rsid w:val="007D4ACF"/>
    <w:rsid w:val="007F0477"/>
    <w:rsid w:val="007F0787"/>
    <w:rsid w:val="00810B7B"/>
    <w:rsid w:val="0082358A"/>
    <w:rsid w:val="008235CD"/>
    <w:rsid w:val="008247DE"/>
    <w:rsid w:val="00832F17"/>
    <w:rsid w:val="00840B10"/>
    <w:rsid w:val="008513CB"/>
    <w:rsid w:val="008A7F84"/>
    <w:rsid w:val="008D0DCD"/>
    <w:rsid w:val="0091702E"/>
    <w:rsid w:val="00923B0C"/>
    <w:rsid w:val="00932C2B"/>
    <w:rsid w:val="0094021C"/>
    <w:rsid w:val="00940D18"/>
    <w:rsid w:val="00952F86"/>
    <w:rsid w:val="00982B28"/>
    <w:rsid w:val="009D313F"/>
    <w:rsid w:val="00A4009E"/>
    <w:rsid w:val="00A47A5A"/>
    <w:rsid w:val="00A6683B"/>
    <w:rsid w:val="00A97F94"/>
    <w:rsid w:val="00AC5215"/>
    <w:rsid w:val="00B05BC8"/>
    <w:rsid w:val="00B64B47"/>
    <w:rsid w:val="00BC3406"/>
    <w:rsid w:val="00C002DE"/>
    <w:rsid w:val="00C53BF8"/>
    <w:rsid w:val="00C66157"/>
    <w:rsid w:val="00C674FE"/>
    <w:rsid w:val="00C67501"/>
    <w:rsid w:val="00C75633"/>
    <w:rsid w:val="00CE2EE1"/>
    <w:rsid w:val="00CE3349"/>
    <w:rsid w:val="00CF3FFD"/>
    <w:rsid w:val="00D10CCF"/>
    <w:rsid w:val="00D77D0F"/>
    <w:rsid w:val="00D84D94"/>
    <w:rsid w:val="00DA1CF0"/>
    <w:rsid w:val="00DC1E02"/>
    <w:rsid w:val="00DC24B4"/>
    <w:rsid w:val="00DC5FB0"/>
    <w:rsid w:val="00DF16DC"/>
    <w:rsid w:val="00E451BA"/>
    <w:rsid w:val="00E45211"/>
    <w:rsid w:val="00E537C0"/>
    <w:rsid w:val="00E92863"/>
    <w:rsid w:val="00EB796D"/>
    <w:rsid w:val="00F058DC"/>
    <w:rsid w:val="00F24FC4"/>
    <w:rsid w:val="00F2676C"/>
    <w:rsid w:val="00F52923"/>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CBF2B"/>
  <w15:chartTrackingRefBased/>
  <w15:docId w15:val="{35C0E985-6010-4242-9063-DDFD2717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UnresolvedMention">
    <w:name w:val="Unresolved Mention"/>
    <w:basedOn w:val="DefaultParagraphFont"/>
    <w:uiPriority w:val="99"/>
    <w:semiHidden/>
    <w:unhideWhenUsed/>
    <w:rsid w:val="00103311"/>
    <w:rPr>
      <w:color w:val="605E5C"/>
      <w:shd w:val="clear" w:color="auto" w:fill="E1DFDD"/>
    </w:rPr>
  </w:style>
  <w:style w:type="character" w:styleId="FollowedHyperlink">
    <w:name w:val="FollowedHyperlink"/>
    <w:basedOn w:val="DefaultParagraphFont"/>
    <w:uiPriority w:val="99"/>
    <w:semiHidden/>
    <w:unhideWhenUsed/>
    <w:rsid w:val="00BC3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1C52-7EC9-4672-A983-566210C9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Brouard, Ricarda</cp:lastModifiedBy>
  <cp:revision>2</cp:revision>
  <cp:lastPrinted>2019-09-26T14:49:00Z</cp:lastPrinted>
  <dcterms:created xsi:type="dcterms:W3CDTF">2019-09-26T15:03:00Z</dcterms:created>
  <dcterms:modified xsi:type="dcterms:W3CDTF">2019-09-26T15:03:00Z</dcterms:modified>
</cp:coreProperties>
</file>