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D04E39">
            <w:pPr>
              <w:tabs>
                <w:tab w:val="left" w:pos="851"/>
              </w:tabs>
              <w:spacing w:before="0" w:line="240" w:lineRule="atLeast"/>
              <w:rPr>
                <w:b/>
              </w:rPr>
            </w:pPr>
            <w:bookmarkStart w:id="2" w:name="dmeeting" w:colFirst="0" w:colLast="0"/>
            <w:bookmarkStart w:id="3" w:name="dnum" w:colFirst="1" w:colLast="1"/>
          </w:p>
        </w:tc>
        <w:tc>
          <w:tcPr>
            <w:tcW w:w="3120" w:type="dxa"/>
          </w:tcPr>
          <w:p w:rsidR="002A2188" w:rsidRPr="00E85629" w:rsidRDefault="002A2188" w:rsidP="00EE65EB">
            <w:pPr>
              <w:tabs>
                <w:tab w:val="left" w:pos="851"/>
              </w:tabs>
              <w:spacing w:before="0" w:line="240" w:lineRule="atLeast"/>
              <w:rPr>
                <w:b/>
              </w:rPr>
            </w:pPr>
            <w:r>
              <w:rPr>
                <w:b/>
              </w:rPr>
              <w:t>Document C1</w:t>
            </w:r>
            <w:r w:rsidR="00FA4575">
              <w:rPr>
                <w:b/>
              </w:rPr>
              <w:t>9</w:t>
            </w:r>
            <w:r>
              <w:rPr>
                <w:b/>
              </w:rPr>
              <w:t>/</w:t>
            </w:r>
            <w:r w:rsidR="0018372E">
              <w:rPr>
                <w:b/>
              </w:rPr>
              <w:t>INF/</w:t>
            </w:r>
            <w:r w:rsidR="00EE65EB">
              <w:rPr>
                <w:b/>
              </w:rPr>
              <w:t>8</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EE65EB" w:rsidP="00EE65EB">
            <w:pPr>
              <w:tabs>
                <w:tab w:val="left" w:pos="993"/>
              </w:tabs>
              <w:spacing w:before="0"/>
              <w:rPr>
                <w:b/>
              </w:rPr>
            </w:pPr>
            <w:r>
              <w:rPr>
                <w:b/>
              </w:rPr>
              <w:t>18 April</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English</w:t>
            </w:r>
            <w:r w:rsidR="0018372E">
              <w:rPr>
                <w:b/>
              </w:rPr>
              <w:t xml:space="preserve"> only</w:t>
            </w:r>
          </w:p>
        </w:tc>
      </w:tr>
      <w:tr w:rsidR="002A2188" w:rsidRPr="00813E5E" w:rsidTr="00464B6C">
        <w:trPr>
          <w:cantSplit/>
        </w:trPr>
        <w:tc>
          <w:tcPr>
            <w:tcW w:w="10031" w:type="dxa"/>
            <w:gridSpan w:val="2"/>
          </w:tcPr>
          <w:p w:rsidR="002A2188" w:rsidRPr="00813E5E" w:rsidRDefault="00D04E39" w:rsidP="00464B6C">
            <w:pPr>
              <w:pStyle w:val="Source"/>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2A2188" w:rsidRPr="00813E5E" w:rsidRDefault="00262C96" w:rsidP="00464B6C">
            <w:pPr>
              <w:pStyle w:val="Title1"/>
            </w:pPr>
            <w:bookmarkStart w:id="7" w:name="dtitle1" w:colFirst="0" w:colLast="0"/>
            <w:bookmarkEnd w:id="6"/>
            <w:r w:rsidRPr="00262C96">
              <w:t>COLLABORATION WITH THE UNITED NATIONS SYSTEM</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2A2188" w:rsidRPr="00813E5E" w:rsidRDefault="00262C96" w:rsidP="00262C96">
            <w:r w:rsidRPr="00262C96">
              <w:t>This report presents an overview of ITU’s activities and relationship with the UN system since Council 201</w:t>
            </w:r>
            <w:r>
              <w:t>8</w:t>
            </w:r>
            <w:r w:rsidRPr="00262C96">
              <w:t>.</w:t>
            </w:r>
          </w:p>
          <w:p w:rsidR="002A2188" w:rsidRPr="00813E5E" w:rsidRDefault="002A2188" w:rsidP="00464B6C">
            <w:pPr>
              <w:pStyle w:val="Headingb"/>
            </w:pPr>
            <w:r w:rsidRPr="00813E5E">
              <w:t>Action required</w:t>
            </w:r>
          </w:p>
          <w:p w:rsidR="002A2188" w:rsidRPr="00813E5E" w:rsidRDefault="0018372E" w:rsidP="00D04E39">
            <w:pPr>
              <w:spacing w:after="120"/>
            </w:pPr>
            <w:r w:rsidRPr="00A160E3">
              <w:rPr>
                <w:rFonts w:asciiTheme="minorHAnsi" w:hAnsiTheme="minorHAnsi"/>
                <w:szCs w:val="24"/>
              </w:rPr>
              <w:t xml:space="preserve">This report is transmitted to </w:t>
            </w:r>
            <w:r>
              <w:rPr>
                <w:rFonts w:asciiTheme="minorHAnsi" w:hAnsiTheme="minorHAnsi"/>
                <w:szCs w:val="24"/>
              </w:rPr>
              <w:t xml:space="preserve">the </w:t>
            </w:r>
            <w:r w:rsidRPr="00A160E3">
              <w:rPr>
                <w:rFonts w:asciiTheme="minorHAnsi" w:hAnsiTheme="minorHAnsi"/>
                <w:szCs w:val="24"/>
              </w:rPr>
              <w:t>Council for information</w:t>
            </w:r>
            <w:r>
              <w:rPr>
                <w:rFonts w:asciiTheme="minorHAnsi" w:hAnsiTheme="minorHAnsi"/>
                <w:szCs w:val="24"/>
              </w:rPr>
              <w:t>.</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Default="002A2188" w:rsidP="00464B6C">
            <w:pPr>
              <w:pStyle w:val="Headingb"/>
            </w:pPr>
            <w:r w:rsidRPr="00813E5E">
              <w:t>References</w:t>
            </w:r>
          </w:p>
          <w:p w:rsidR="002A2188" w:rsidRPr="00813E5E" w:rsidRDefault="00262C96" w:rsidP="00EE65EB">
            <w:pPr>
              <w:spacing w:after="120"/>
              <w:rPr>
                <w:i/>
                <w:iCs/>
              </w:rPr>
            </w:pPr>
            <w:r w:rsidRPr="00262C96">
              <w:t xml:space="preserve">Documents </w:t>
            </w:r>
            <w:hyperlink r:id="rId9" w:history="1">
              <w:r w:rsidRPr="00262C96">
                <w:rPr>
                  <w:rStyle w:val="Hyperlink"/>
                </w:rPr>
                <w:t>C08/INF/8</w:t>
              </w:r>
            </w:hyperlink>
            <w:r w:rsidRPr="00262C96">
              <w:t xml:space="preserve">, </w:t>
            </w:r>
            <w:hyperlink r:id="rId10" w:history="1">
              <w:r w:rsidRPr="00262C96">
                <w:rPr>
                  <w:rStyle w:val="Hyperlink"/>
                </w:rPr>
                <w:t>C11/INF/6</w:t>
              </w:r>
            </w:hyperlink>
            <w:r w:rsidRPr="00262C96">
              <w:rPr>
                <w:u w:val="single"/>
              </w:rPr>
              <w:t xml:space="preserve">, </w:t>
            </w:r>
            <w:hyperlink r:id="rId11" w:history="1">
              <w:r w:rsidRPr="00262C96">
                <w:rPr>
                  <w:rStyle w:val="Hyperlink"/>
                </w:rPr>
                <w:t>C12/INF/1(Rev.1)</w:t>
              </w:r>
            </w:hyperlink>
            <w:r w:rsidRPr="00262C96">
              <w:rPr>
                <w:u w:val="single"/>
              </w:rPr>
              <w:t xml:space="preserve">, </w:t>
            </w:r>
            <w:hyperlink r:id="rId12" w:history="1">
              <w:r w:rsidRPr="00262C96">
                <w:rPr>
                  <w:rStyle w:val="Hyperlink"/>
                  <w:bCs/>
                </w:rPr>
                <w:t>C13/INF/10</w:t>
              </w:r>
            </w:hyperlink>
            <w:r w:rsidRPr="00262C96">
              <w:t xml:space="preserve">, </w:t>
            </w:r>
            <w:hyperlink r:id="rId13" w:history="1">
              <w:r w:rsidRPr="00262C96">
                <w:rPr>
                  <w:rStyle w:val="Hyperlink"/>
                </w:rPr>
                <w:t>C14/INF/7</w:t>
              </w:r>
            </w:hyperlink>
            <w:r w:rsidRPr="00262C96">
              <w:t xml:space="preserve">, </w:t>
            </w:r>
            <w:hyperlink r:id="rId14" w:history="1">
              <w:r w:rsidRPr="00262C96">
                <w:rPr>
                  <w:rStyle w:val="Hyperlink"/>
                  <w:bCs/>
                </w:rPr>
                <w:t>C15/INF/4</w:t>
              </w:r>
            </w:hyperlink>
            <w:r w:rsidRPr="00262C96">
              <w:rPr>
                <w:bCs/>
              </w:rPr>
              <w:t xml:space="preserve">, </w:t>
            </w:r>
            <w:hyperlink r:id="rId15" w:history="1">
              <w:r w:rsidRPr="00262C96">
                <w:rPr>
                  <w:rStyle w:val="Hyperlink"/>
                </w:rPr>
                <w:t>C16/57</w:t>
              </w:r>
            </w:hyperlink>
            <w:r w:rsidRPr="00262C96">
              <w:rPr>
                <w:u w:val="single"/>
              </w:rPr>
              <w:t xml:space="preserve">, and </w:t>
            </w:r>
            <w:hyperlink r:id="rId16" w:history="1">
              <w:r w:rsidRPr="00262C96">
                <w:rPr>
                  <w:rStyle w:val="Hyperlink"/>
                </w:rPr>
                <w:t>C17/INF/10</w:t>
              </w:r>
            </w:hyperlink>
            <w:r>
              <w:t xml:space="preserve">, </w:t>
            </w:r>
            <w:hyperlink r:id="rId17" w:history="1">
              <w:r w:rsidRPr="00262C96">
                <w:rPr>
                  <w:rStyle w:val="Hyperlink"/>
                </w:rPr>
                <w:t>C18/INF/4</w:t>
              </w:r>
            </w:hyperlink>
            <w:r>
              <w:t xml:space="preserve"> </w:t>
            </w:r>
          </w:p>
        </w:tc>
      </w:tr>
    </w:tbl>
    <w:p w:rsidR="002A2188" w:rsidRPr="00F526CD" w:rsidRDefault="00262C96" w:rsidP="00EE65EB">
      <w:pPr>
        <w:pStyle w:val="ListParagraph"/>
        <w:numPr>
          <w:ilvl w:val="0"/>
          <w:numId w:val="2"/>
        </w:numPr>
        <w:tabs>
          <w:tab w:val="clear" w:pos="567"/>
          <w:tab w:val="clear" w:pos="1134"/>
          <w:tab w:val="clear" w:pos="1701"/>
          <w:tab w:val="clear" w:pos="2268"/>
          <w:tab w:val="clear" w:pos="2835"/>
        </w:tabs>
        <w:snapToGrid w:val="0"/>
        <w:spacing w:after="120"/>
        <w:ind w:left="0" w:firstLine="0"/>
        <w:jc w:val="both"/>
        <w:rPr>
          <w:b/>
          <w:bCs/>
        </w:rPr>
      </w:pPr>
      <w:bookmarkStart w:id="8" w:name="dstart"/>
      <w:bookmarkStart w:id="9" w:name="dbreak"/>
      <w:bookmarkEnd w:id="8"/>
      <w:bookmarkEnd w:id="9"/>
      <w:r w:rsidRPr="00262C96">
        <w:rPr>
          <w:b/>
          <w:bCs/>
        </w:rPr>
        <w:t>Introduction</w:t>
      </w:r>
    </w:p>
    <w:p w:rsidR="0079159C" w:rsidRDefault="00EE65EB" w:rsidP="00F526CD">
      <w:pPr>
        <w:tabs>
          <w:tab w:val="clear" w:pos="567"/>
          <w:tab w:val="clear" w:pos="1134"/>
          <w:tab w:val="clear" w:pos="1701"/>
          <w:tab w:val="clear" w:pos="2268"/>
          <w:tab w:val="clear" w:pos="2835"/>
        </w:tabs>
        <w:snapToGrid w:val="0"/>
        <w:spacing w:after="120"/>
        <w:jc w:val="both"/>
        <w:rPr>
          <w:rFonts w:asciiTheme="minorHAnsi" w:hAnsiTheme="minorHAnsi" w:cs="Calibri"/>
          <w:szCs w:val="24"/>
        </w:rPr>
      </w:pPr>
      <w:r>
        <w:rPr>
          <w:lang w:val="en-US"/>
        </w:rPr>
        <w:t>1.1</w:t>
      </w:r>
      <w:r>
        <w:rPr>
          <w:lang w:val="en-US"/>
        </w:rPr>
        <w:tab/>
      </w:r>
      <w:r w:rsidR="00262C96" w:rsidRPr="00262C96">
        <w:rPr>
          <w:lang w:val="en-US"/>
        </w:rPr>
        <w:t xml:space="preserve">As a United Nations (UN) Specialized Agency, ITU collaborates, participates, and interacts with the UN system governance processes, subsidiary mechanisms, and inter-agency coordination networks, as well as through joint initiatives. This work aims to strengthen synergies and foster greater cooperation, information and knowledge sharing in order to fulfil programmatic, operational and management mandates in a more coherent and coordinated manner. The ITU General Secretariat, assisted by its UN Liaison Office in New York, coordinates ITU’s relations with the UN and ensures that its priorities are strengthened and reflected in UN system-wide related work, outputs and agenda setting. </w:t>
      </w:r>
      <w:r w:rsidR="00F526CD" w:rsidRPr="009171D6">
        <w:rPr>
          <w:rFonts w:asciiTheme="minorHAnsi" w:eastAsia="Batang" w:hAnsiTheme="minorHAnsi"/>
          <w:szCs w:val="24"/>
          <w:lang w:eastAsia="ja-JP"/>
        </w:rPr>
        <w:t xml:space="preserve">Over recent years, these </w:t>
      </w:r>
      <w:r w:rsidR="00F526CD" w:rsidRPr="009171D6">
        <w:rPr>
          <w:rFonts w:asciiTheme="minorHAnsi" w:eastAsia="SimSun" w:hAnsiTheme="minorHAnsi"/>
          <w:szCs w:val="24"/>
        </w:rPr>
        <w:t>efforts</w:t>
      </w:r>
      <w:r w:rsidR="00F526CD" w:rsidRPr="009171D6">
        <w:rPr>
          <w:rFonts w:asciiTheme="minorHAnsi" w:eastAsia="Batang" w:hAnsiTheme="minorHAnsi"/>
          <w:szCs w:val="24"/>
          <w:lang w:eastAsia="ja-JP"/>
        </w:rPr>
        <w:t xml:space="preserve"> have resulted in </w:t>
      </w:r>
      <w:r w:rsidR="00F526CD" w:rsidRPr="009171D6">
        <w:rPr>
          <w:rFonts w:asciiTheme="minorHAnsi" w:eastAsia="SimSun" w:hAnsiTheme="minorHAnsi" w:cs="Calibri"/>
          <w:szCs w:val="24"/>
          <w:lang w:eastAsia="zh-CN"/>
        </w:rPr>
        <w:t>greater priority and recognition being given to the critical role of telecommunications/</w:t>
      </w:r>
      <w:r w:rsidR="00F526CD">
        <w:rPr>
          <w:rFonts w:asciiTheme="minorHAnsi" w:eastAsia="SimSun" w:hAnsiTheme="minorHAnsi" w:cs="Calibri"/>
          <w:szCs w:val="24"/>
          <w:lang w:eastAsia="zh-CN"/>
        </w:rPr>
        <w:t>information and communication technologies (</w:t>
      </w:r>
      <w:r w:rsidR="00F526CD" w:rsidRPr="009171D6">
        <w:rPr>
          <w:rFonts w:asciiTheme="minorHAnsi" w:eastAsia="SimSun" w:hAnsiTheme="minorHAnsi" w:cs="Calibri"/>
          <w:szCs w:val="24"/>
          <w:lang w:eastAsia="zh-CN"/>
        </w:rPr>
        <w:t>ICTs</w:t>
      </w:r>
      <w:r w:rsidR="00F526CD">
        <w:rPr>
          <w:rFonts w:asciiTheme="minorHAnsi" w:eastAsia="SimSun" w:hAnsiTheme="minorHAnsi" w:cs="Calibri"/>
          <w:szCs w:val="24"/>
          <w:lang w:eastAsia="zh-CN"/>
        </w:rPr>
        <w:t>)</w:t>
      </w:r>
      <w:r w:rsidR="00F526CD" w:rsidRPr="009171D6">
        <w:rPr>
          <w:rFonts w:asciiTheme="minorHAnsi" w:eastAsia="SimSun" w:hAnsiTheme="minorHAnsi" w:cs="Calibri"/>
          <w:szCs w:val="24"/>
          <w:lang w:eastAsia="zh-CN"/>
        </w:rPr>
        <w:t xml:space="preserve"> for economic, social, and environmental sustainable development. See ITU Council reports </w:t>
      </w:r>
      <w:hyperlink r:id="rId18" w:history="1">
        <w:r w:rsidR="00F526CD" w:rsidRPr="009171D6">
          <w:rPr>
            <w:rStyle w:val="Hyperlink"/>
            <w:rFonts w:asciiTheme="minorHAnsi" w:hAnsiTheme="minorHAnsi" w:cs="Arial"/>
            <w:szCs w:val="24"/>
          </w:rPr>
          <w:t>C11/INF/6</w:t>
        </w:r>
      </w:hyperlink>
      <w:r w:rsidR="00F526CD" w:rsidRPr="00A160E3">
        <w:rPr>
          <w:rStyle w:val="Hyperlink"/>
          <w:rFonts w:asciiTheme="minorHAnsi" w:hAnsiTheme="minorHAnsi" w:cs="Arial"/>
          <w:color w:val="auto"/>
          <w:szCs w:val="24"/>
          <w:u w:val="none"/>
        </w:rPr>
        <w:t xml:space="preserve">, </w:t>
      </w:r>
      <w:hyperlink r:id="rId19" w:history="1">
        <w:r w:rsidR="00F526CD" w:rsidRPr="009171D6">
          <w:rPr>
            <w:rStyle w:val="Hyperlink"/>
            <w:rFonts w:asciiTheme="minorHAnsi" w:hAnsiTheme="minorHAnsi" w:cs="Calibri"/>
            <w:szCs w:val="24"/>
          </w:rPr>
          <w:t>C12/INF/1(Rev.1)</w:t>
        </w:r>
      </w:hyperlink>
      <w:r w:rsidR="00F526CD" w:rsidRPr="00A160E3">
        <w:rPr>
          <w:rStyle w:val="Hyperlink"/>
          <w:rFonts w:asciiTheme="minorHAnsi" w:hAnsiTheme="minorHAnsi" w:cs="Arial"/>
          <w:color w:val="auto"/>
          <w:szCs w:val="24"/>
          <w:u w:val="none"/>
        </w:rPr>
        <w:t xml:space="preserve">, </w:t>
      </w:r>
      <w:hyperlink r:id="rId20" w:history="1">
        <w:r w:rsidR="00F526CD" w:rsidRPr="009171D6">
          <w:rPr>
            <w:rStyle w:val="Hyperlink"/>
            <w:rFonts w:asciiTheme="minorHAnsi" w:hAnsiTheme="minorHAnsi" w:cs="Calibri"/>
            <w:szCs w:val="24"/>
          </w:rPr>
          <w:t>C13/INF/10</w:t>
        </w:r>
      </w:hyperlink>
      <w:r w:rsidR="00F526CD" w:rsidRPr="00A160E3">
        <w:rPr>
          <w:rFonts w:asciiTheme="minorHAnsi" w:hAnsiTheme="minorHAnsi" w:cs="Calibri"/>
          <w:szCs w:val="24"/>
        </w:rPr>
        <w:t xml:space="preserve">, </w:t>
      </w:r>
      <w:hyperlink r:id="rId21" w:history="1">
        <w:r w:rsidR="00F526CD" w:rsidRPr="009171D6">
          <w:rPr>
            <w:rStyle w:val="Hyperlink"/>
            <w:rFonts w:asciiTheme="minorHAnsi" w:hAnsiTheme="minorHAnsi" w:cs="Calibri"/>
            <w:szCs w:val="24"/>
          </w:rPr>
          <w:t>C14/INF/7</w:t>
        </w:r>
      </w:hyperlink>
      <w:r w:rsidR="00F526CD" w:rsidRPr="00A160E3">
        <w:rPr>
          <w:rStyle w:val="Hyperlink"/>
          <w:rFonts w:asciiTheme="minorHAnsi" w:hAnsiTheme="minorHAnsi" w:cs="Calibri"/>
          <w:color w:val="auto"/>
          <w:szCs w:val="24"/>
          <w:u w:val="none"/>
        </w:rPr>
        <w:t xml:space="preserve">, </w:t>
      </w:r>
      <w:hyperlink r:id="rId22" w:history="1">
        <w:r w:rsidR="00F526CD" w:rsidRPr="009171D6">
          <w:rPr>
            <w:rStyle w:val="Hyperlink"/>
            <w:rFonts w:asciiTheme="minorHAnsi" w:hAnsiTheme="minorHAnsi" w:cs="Calibri"/>
            <w:szCs w:val="24"/>
          </w:rPr>
          <w:t>C15/INF/4</w:t>
        </w:r>
      </w:hyperlink>
      <w:r w:rsidR="00F526CD" w:rsidRPr="00A160E3">
        <w:rPr>
          <w:rStyle w:val="Hyperlink"/>
          <w:rFonts w:asciiTheme="minorHAnsi" w:hAnsiTheme="minorHAnsi" w:cs="Calibri"/>
          <w:color w:val="auto"/>
          <w:szCs w:val="24"/>
          <w:u w:val="none"/>
        </w:rPr>
        <w:t xml:space="preserve">, </w:t>
      </w:r>
      <w:hyperlink r:id="rId23" w:history="1">
        <w:r w:rsidR="00F526CD" w:rsidRPr="0089108E">
          <w:rPr>
            <w:rStyle w:val="Hyperlink"/>
          </w:rPr>
          <w:t>C16/57</w:t>
        </w:r>
      </w:hyperlink>
      <w:r w:rsidR="00F526CD">
        <w:rPr>
          <w:rStyle w:val="Hyperlink"/>
          <w:color w:val="auto"/>
          <w:u w:val="none"/>
        </w:rPr>
        <w:t>,</w:t>
      </w:r>
      <w:r w:rsidR="00F526CD" w:rsidRPr="00A160E3">
        <w:rPr>
          <w:rStyle w:val="Hyperlink"/>
          <w:color w:val="auto"/>
          <w:u w:val="none"/>
        </w:rPr>
        <w:t xml:space="preserve"> </w:t>
      </w:r>
      <w:hyperlink r:id="rId24" w:history="1">
        <w:r w:rsidR="00F526CD" w:rsidRPr="00EA1715">
          <w:rPr>
            <w:rStyle w:val="Hyperlink"/>
          </w:rPr>
          <w:t>C17/</w:t>
        </w:r>
        <w:r w:rsidR="00F526CD">
          <w:rPr>
            <w:rStyle w:val="Hyperlink"/>
          </w:rPr>
          <w:t>INF/</w:t>
        </w:r>
        <w:r w:rsidR="00F526CD" w:rsidRPr="00EA1715">
          <w:rPr>
            <w:rStyle w:val="Hyperlink"/>
          </w:rPr>
          <w:t>10</w:t>
        </w:r>
      </w:hyperlink>
      <w:r w:rsidR="0038782F">
        <w:rPr>
          <w:rFonts w:asciiTheme="minorHAnsi" w:hAnsiTheme="minorHAnsi" w:cs="Calibri"/>
          <w:szCs w:val="24"/>
        </w:rPr>
        <w:t xml:space="preserve">, </w:t>
      </w:r>
      <w:r w:rsidR="00F526CD">
        <w:rPr>
          <w:rFonts w:asciiTheme="minorHAnsi" w:hAnsiTheme="minorHAnsi" w:cs="Calibri"/>
          <w:szCs w:val="24"/>
        </w:rPr>
        <w:t xml:space="preserve">and </w:t>
      </w:r>
      <w:hyperlink r:id="rId25" w:history="1">
        <w:r w:rsidR="00F526CD" w:rsidRPr="00262C96">
          <w:rPr>
            <w:rStyle w:val="Hyperlink"/>
          </w:rPr>
          <w:t>C18/INF/4-E</w:t>
        </w:r>
      </w:hyperlink>
      <w:r w:rsidR="00F526CD">
        <w:t xml:space="preserve"> </w:t>
      </w:r>
      <w:r w:rsidR="00F526CD" w:rsidRPr="009171D6">
        <w:rPr>
          <w:rFonts w:asciiTheme="minorHAnsi" w:hAnsiTheme="minorHAnsi" w:cs="Calibri"/>
          <w:szCs w:val="24"/>
        </w:rPr>
        <w:t>for more information.</w:t>
      </w:r>
    </w:p>
    <w:p w:rsidR="00F526CD" w:rsidRPr="00F526CD" w:rsidRDefault="00F526CD" w:rsidP="00EE65EB">
      <w:pPr>
        <w:pStyle w:val="ListParagraph"/>
        <w:numPr>
          <w:ilvl w:val="0"/>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cs="Calibri"/>
          <w:b/>
          <w:bCs/>
          <w:szCs w:val="24"/>
        </w:rPr>
      </w:pPr>
      <w:r w:rsidRPr="00F526CD">
        <w:rPr>
          <w:rFonts w:asciiTheme="minorHAnsi" w:hAnsiTheme="minorHAnsi" w:cs="Calibri"/>
          <w:b/>
          <w:bCs/>
          <w:szCs w:val="24"/>
        </w:rPr>
        <w:t>The 2030 Agenda and the Sustainable Development Goals</w:t>
      </w:r>
    </w:p>
    <w:p w:rsidR="00F526CD" w:rsidRDefault="00EE65EB" w:rsidP="0038782F">
      <w:pPr>
        <w:jc w:val="both"/>
        <w:rPr>
          <w:lang w:val="en-US"/>
        </w:rPr>
      </w:pPr>
      <w:r>
        <w:rPr>
          <w:lang w:val="en-US"/>
        </w:rPr>
        <w:t>2.1</w:t>
      </w:r>
      <w:r>
        <w:rPr>
          <w:lang w:val="en-US"/>
        </w:rPr>
        <w:tab/>
      </w:r>
      <w:r w:rsidR="00262C96" w:rsidRPr="00262C96">
        <w:rPr>
          <w:lang w:val="en-US"/>
        </w:rPr>
        <w:t>ITU continued to follow, participate</w:t>
      </w:r>
      <w:r w:rsidR="0038782F">
        <w:rPr>
          <w:lang w:val="en-US"/>
        </w:rPr>
        <w:t>,</w:t>
      </w:r>
      <w:r w:rsidR="00262C96" w:rsidRPr="00262C96">
        <w:rPr>
          <w:lang w:val="en-US"/>
        </w:rPr>
        <w:t xml:space="preserve"> and provide inputs to the global follow-up and review process of Agenda 2010 and the Sustainable Development Goals (SDGs) carried out annually at the High-level Political Forum (HLPF), by means of an ITU Council contribution. ITU has also enhanced its outreach with countries presenting their voluntary national review reports </w:t>
      </w:r>
      <w:r w:rsidR="00F526CD">
        <w:rPr>
          <w:lang w:val="en-US"/>
        </w:rPr>
        <w:t xml:space="preserve">(VNR) </w:t>
      </w:r>
      <w:r w:rsidR="00262C96" w:rsidRPr="00262C96">
        <w:rPr>
          <w:lang w:val="en-US"/>
        </w:rPr>
        <w:t xml:space="preserve">to raise the </w:t>
      </w:r>
      <w:r w:rsidR="00262C96" w:rsidRPr="00262C96">
        <w:rPr>
          <w:lang w:val="en-US"/>
        </w:rPr>
        <w:lastRenderedPageBreak/>
        <w:t xml:space="preserve">visibility of the critical role of ICTs as an enabling tool for achieving and accelerating progress for sustainable development. </w:t>
      </w:r>
      <w:r w:rsidR="00F526CD">
        <w:rPr>
          <w:lang w:val="en-US"/>
        </w:rPr>
        <w:t xml:space="preserve">Out of the </w:t>
      </w:r>
      <w:r w:rsidR="00F526CD" w:rsidRPr="00F526CD">
        <w:rPr>
          <w:lang w:val="en-US"/>
        </w:rPr>
        <w:t>46 countries</w:t>
      </w:r>
      <w:r w:rsidR="00F526CD">
        <w:rPr>
          <w:lang w:val="en-US"/>
        </w:rPr>
        <w:t xml:space="preserve"> that</w:t>
      </w:r>
      <w:r w:rsidR="00F526CD" w:rsidRPr="00F526CD">
        <w:rPr>
          <w:lang w:val="en-US"/>
        </w:rPr>
        <w:t xml:space="preserve"> presented their </w:t>
      </w:r>
      <w:r w:rsidR="00F526CD">
        <w:rPr>
          <w:lang w:val="en-US"/>
        </w:rPr>
        <w:t>VNR’s, 44</w:t>
      </w:r>
      <w:r w:rsidR="00F526CD" w:rsidRPr="00F526CD">
        <w:rPr>
          <w:lang w:val="en-US"/>
        </w:rPr>
        <w:t xml:space="preserve"> countries </w:t>
      </w:r>
      <w:r w:rsidR="00F526CD">
        <w:rPr>
          <w:lang w:val="en-US"/>
        </w:rPr>
        <w:t>referenced</w:t>
      </w:r>
      <w:r w:rsidR="00ED51BD">
        <w:rPr>
          <w:lang w:val="en-US"/>
        </w:rPr>
        <w:t xml:space="preserve"> </w:t>
      </w:r>
      <w:r w:rsidR="00F526CD" w:rsidRPr="00F526CD">
        <w:rPr>
          <w:lang w:val="en-US"/>
        </w:rPr>
        <w:t>connectivity</w:t>
      </w:r>
      <w:r w:rsidR="00ED51BD">
        <w:rPr>
          <w:lang w:val="en-US"/>
        </w:rPr>
        <w:t xml:space="preserve">, </w:t>
      </w:r>
      <w:r w:rsidR="00F526CD" w:rsidRPr="00F526CD">
        <w:rPr>
          <w:lang w:val="en-US"/>
        </w:rPr>
        <w:t>ICT</w:t>
      </w:r>
      <w:r w:rsidR="0038782F">
        <w:rPr>
          <w:lang w:val="en-US"/>
        </w:rPr>
        <w:t>s</w:t>
      </w:r>
      <w:r w:rsidR="00F526CD" w:rsidRPr="00F526CD">
        <w:rPr>
          <w:lang w:val="en-US"/>
        </w:rPr>
        <w:t xml:space="preserve"> </w:t>
      </w:r>
      <w:r w:rsidR="00ED51BD">
        <w:rPr>
          <w:lang w:val="en-US"/>
        </w:rPr>
        <w:t xml:space="preserve">and/or </w:t>
      </w:r>
      <w:r w:rsidR="00ED51BD" w:rsidRPr="00F526CD">
        <w:rPr>
          <w:lang w:val="en-US"/>
        </w:rPr>
        <w:t xml:space="preserve">underlined the opportunities of the digital revolution </w:t>
      </w:r>
      <w:r w:rsidR="00F526CD" w:rsidRPr="00F526CD">
        <w:rPr>
          <w:lang w:val="en-US"/>
        </w:rPr>
        <w:t>in their reports</w:t>
      </w:r>
      <w:r w:rsidR="00ED51BD">
        <w:rPr>
          <w:lang w:val="en-US"/>
        </w:rPr>
        <w:t>.</w:t>
      </w:r>
      <w:r w:rsidR="00F526CD">
        <w:rPr>
          <w:lang w:val="en-US"/>
        </w:rPr>
        <w:t xml:space="preserve"> </w:t>
      </w:r>
    </w:p>
    <w:p w:rsidR="00ED51BD" w:rsidRPr="00F526CD" w:rsidRDefault="00EE65EB" w:rsidP="0038782F">
      <w:pPr>
        <w:jc w:val="both"/>
        <w:rPr>
          <w:lang w:val="en-US"/>
        </w:rPr>
      </w:pPr>
      <w:r>
        <w:rPr>
          <w:lang w:val="en-US"/>
        </w:rPr>
        <w:t>2.2</w:t>
      </w:r>
      <w:r>
        <w:rPr>
          <w:lang w:val="en-US"/>
        </w:rPr>
        <w:tab/>
      </w:r>
      <w:r w:rsidR="00ED51BD" w:rsidRPr="00ED51BD">
        <w:rPr>
          <w:lang w:val="en-US"/>
        </w:rPr>
        <w:t xml:space="preserve">The 2018 HLPF Ministerial Declaration adopted at the end of HLPF and endorsed by the </w:t>
      </w:r>
      <w:r w:rsidR="00024ABF" w:rsidRPr="00024ABF">
        <w:rPr>
          <w:lang w:val="en-US"/>
        </w:rPr>
        <w:t xml:space="preserve">Economic and Social Council </w:t>
      </w:r>
      <w:r w:rsidR="00024ABF">
        <w:rPr>
          <w:lang w:val="en-US"/>
        </w:rPr>
        <w:t>(</w:t>
      </w:r>
      <w:r w:rsidR="00ED51BD" w:rsidRPr="00ED51BD">
        <w:rPr>
          <w:lang w:val="en-US"/>
        </w:rPr>
        <w:t>ECOSOC</w:t>
      </w:r>
      <w:r w:rsidR="00024ABF">
        <w:rPr>
          <w:lang w:val="en-US"/>
        </w:rPr>
        <w:t>)</w:t>
      </w:r>
      <w:r w:rsidR="00ED51BD" w:rsidRPr="00ED51BD">
        <w:rPr>
          <w:lang w:val="en-US"/>
        </w:rPr>
        <w:t xml:space="preserve"> High-level Segment, </w:t>
      </w:r>
      <w:r w:rsidR="00ED51BD">
        <w:rPr>
          <w:lang w:val="en-US"/>
        </w:rPr>
        <w:t>“e</w:t>
      </w:r>
      <w:r w:rsidR="00ED51BD" w:rsidRPr="00ED51BD">
        <w:rPr>
          <w:lang w:val="en-US"/>
        </w:rPr>
        <w:t>mbrace</w:t>
      </w:r>
      <w:r w:rsidR="00ED51BD">
        <w:rPr>
          <w:lang w:val="en-US"/>
        </w:rPr>
        <w:t>(s)</w:t>
      </w:r>
      <w:r w:rsidR="00ED51BD" w:rsidRPr="00ED51BD">
        <w:rPr>
          <w:lang w:val="en-US"/>
        </w:rPr>
        <w:t xml:space="preserve"> innovation-driven development, digitalization and new technologies, especially information and communication technologies, in managing cities more effectively and holistically, including intelligent and resource efficient transport systems and new efficiencies in energy c</w:t>
      </w:r>
      <w:r w:rsidR="00ED51BD">
        <w:rPr>
          <w:lang w:val="en-US"/>
        </w:rPr>
        <w:t>onsumption and waste management…”, while recognizing that “a</w:t>
      </w:r>
      <w:r w:rsidR="00ED51BD" w:rsidRPr="00ED51BD">
        <w:rPr>
          <w:lang w:val="en-US"/>
        </w:rPr>
        <w:t xml:space="preserve"> substantial digital divide persists, both between and within countries and between women and men, and between girls and boys</w:t>
      </w:r>
      <w:r w:rsidR="00024ABF">
        <w:rPr>
          <w:lang w:val="en-US"/>
        </w:rPr>
        <w:t>”</w:t>
      </w:r>
      <w:r w:rsidR="00ED51BD" w:rsidRPr="00ED51BD">
        <w:rPr>
          <w:lang w:val="en-US"/>
        </w:rPr>
        <w:t xml:space="preserve">.  </w:t>
      </w:r>
    </w:p>
    <w:p w:rsidR="00262C96" w:rsidRDefault="00EE65EB" w:rsidP="0038782F">
      <w:pPr>
        <w:jc w:val="both"/>
        <w:rPr>
          <w:lang w:val="en-US"/>
        </w:rPr>
      </w:pPr>
      <w:r>
        <w:rPr>
          <w:lang w:val="en-US"/>
        </w:rPr>
        <w:t>2.3</w:t>
      </w:r>
      <w:r>
        <w:rPr>
          <w:lang w:val="en-US"/>
        </w:rPr>
        <w:tab/>
      </w:r>
      <w:r w:rsidR="00262C96" w:rsidRPr="00262C96">
        <w:rPr>
          <w:lang w:val="en-US"/>
        </w:rPr>
        <w:t>ITU also engaged with UN system entities and other stakeholder</w:t>
      </w:r>
      <w:r w:rsidR="00024ABF">
        <w:rPr>
          <w:lang w:val="en-US"/>
        </w:rPr>
        <w:t>s</w:t>
      </w:r>
      <w:r w:rsidR="00262C96" w:rsidRPr="00262C96">
        <w:rPr>
          <w:lang w:val="en-US"/>
        </w:rPr>
        <w:t xml:space="preserve"> </w:t>
      </w:r>
      <w:r w:rsidR="00024ABF">
        <w:rPr>
          <w:lang w:val="en-US"/>
        </w:rPr>
        <w:t xml:space="preserve">through the organization and participation in side events, workshops and other advocacy opportunities </w:t>
      </w:r>
      <w:r w:rsidR="00262C96" w:rsidRPr="00262C96">
        <w:rPr>
          <w:lang w:val="en-US"/>
        </w:rPr>
        <w:t xml:space="preserve">to promote </w:t>
      </w:r>
      <w:r w:rsidR="00024ABF">
        <w:rPr>
          <w:lang w:val="en-US"/>
        </w:rPr>
        <w:t xml:space="preserve">ITU’s work and </w:t>
      </w:r>
      <w:r w:rsidR="00262C96" w:rsidRPr="00262C96">
        <w:rPr>
          <w:lang w:val="en-US"/>
        </w:rPr>
        <w:t>ICTs for the SDGs.</w:t>
      </w:r>
    </w:p>
    <w:p w:rsidR="00ED51BD" w:rsidRPr="009171D6" w:rsidRDefault="00ED51BD" w:rsidP="0038782F">
      <w:pPr>
        <w:tabs>
          <w:tab w:val="clear" w:pos="567"/>
          <w:tab w:val="clear" w:pos="1134"/>
          <w:tab w:val="clear" w:pos="1701"/>
          <w:tab w:val="clear" w:pos="2268"/>
          <w:tab w:val="clear" w:pos="2835"/>
        </w:tabs>
        <w:snapToGrid w:val="0"/>
        <w:jc w:val="both"/>
        <w:rPr>
          <w:rFonts w:asciiTheme="minorHAnsi" w:hAnsiTheme="minorHAnsi"/>
          <w:b/>
          <w:bCs/>
          <w:szCs w:val="24"/>
        </w:rPr>
      </w:pPr>
      <w:r w:rsidRPr="009171D6">
        <w:rPr>
          <w:rFonts w:asciiTheme="minorHAnsi" w:hAnsiTheme="minorHAnsi"/>
          <w:b/>
          <w:bCs/>
          <w:szCs w:val="24"/>
        </w:rPr>
        <w:t>3.</w:t>
      </w:r>
      <w:r w:rsidRPr="009171D6">
        <w:rPr>
          <w:rFonts w:asciiTheme="minorHAnsi" w:hAnsiTheme="minorHAnsi"/>
          <w:b/>
          <w:bCs/>
          <w:szCs w:val="24"/>
        </w:rPr>
        <w:tab/>
        <w:t>UN Governance and subsidiary mechanisms</w:t>
      </w:r>
    </w:p>
    <w:p w:rsidR="00024ABF" w:rsidRDefault="00EE65EB" w:rsidP="0038782F">
      <w:pPr>
        <w:jc w:val="both"/>
        <w:rPr>
          <w:lang w:val="en-US"/>
        </w:rPr>
      </w:pPr>
      <w:proofErr w:type="gramStart"/>
      <w:r>
        <w:rPr>
          <w:lang w:val="en-US"/>
        </w:rPr>
        <w:t>3.1</w:t>
      </w:r>
      <w:r>
        <w:rPr>
          <w:lang w:val="en-US"/>
        </w:rPr>
        <w:tab/>
      </w:r>
      <w:r w:rsidR="00262C96" w:rsidRPr="00262C96">
        <w:rPr>
          <w:lang w:val="en-US"/>
        </w:rPr>
        <w:t>ITU continued to follow and provide input to UN’s processes, such as meetings of the UN General Assembly (UNGA), ECOSOC</w:t>
      </w:r>
      <w:r w:rsidR="0038782F">
        <w:rPr>
          <w:lang w:val="en-US"/>
        </w:rPr>
        <w:t>,</w:t>
      </w:r>
      <w:r w:rsidR="00262C96" w:rsidRPr="00262C96">
        <w:rPr>
          <w:lang w:val="en-US"/>
        </w:rPr>
        <w:t xml:space="preserve"> and its subsidiary bodies, in particular, the Commission on Science and Technology for Development (CSTD), Commission on the Status of Women (CSW), Commission on Sustainable Development and the Statistical Commission, as well as the meetings of the International Civil Service Commission (ICSC), among others.</w:t>
      </w:r>
      <w:proofErr w:type="gramEnd"/>
      <w:r w:rsidR="00262C96" w:rsidRPr="00262C96">
        <w:rPr>
          <w:lang w:val="en-US"/>
        </w:rPr>
        <w:t xml:space="preserve"> </w:t>
      </w:r>
    </w:p>
    <w:p w:rsidR="00024ABF" w:rsidRDefault="00EE65EB" w:rsidP="0038782F">
      <w:pPr>
        <w:jc w:val="both"/>
        <w:rPr>
          <w:lang w:val="en-US"/>
        </w:rPr>
      </w:pPr>
      <w:r>
        <w:rPr>
          <w:lang w:val="en-US"/>
        </w:rPr>
        <w:t>3.2</w:t>
      </w:r>
      <w:r>
        <w:rPr>
          <w:lang w:val="en-US"/>
        </w:rPr>
        <w:tab/>
      </w:r>
      <w:r w:rsidR="00262C96" w:rsidRPr="00262C96">
        <w:rPr>
          <w:lang w:val="en-US"/>
        </w:rPr>
        <w:t>In this respect, ITU ensured that key ITU activities and the important role of IC</w:t>
      </w:r>
      <w:r w:rsidR="00024ABF">
        <w:rPr>
          <w:lang w:val="en-US"/>
        </w:rPr>
        <w:t>Ts for sustainable development are</w:t>
      </w:r>
      <w:r w:rsidR="00262C96" w:rsidRPr="00262C96">
        <w:rPr>
          <w:lang w:val="en-US"/>
        </w:rPr>
        <w:t xml:space="preserve"> reflected in relevant UN Secretary-General reports and UNGA, ECOSOC/CSTD resolutions, among these, </w:t>
      </w:r>
      <w:hyperlink r:id="rId26" w:history="1">
        <w:r w:rsidR="00262C96" w:rsidRPr="000F786C">
          <w:rPr>
            <w:rStyle w:val="Hyperlink"/>
            <w:lang w:val="en-US"/>
          </w:rPr>
          <w:t>UNGA resolution on Information and Communications Technologies for Development</w:t>
        </w:r>
      </w:hyperlink>
      <w:r w:rsidR="000F786C">
        <w:rPr>
          <w:lang w:val="en-US"/>
        </w:rPr>
        <w:t xml:space="preserve">, </w:t>
      </w:r>
      <w:r w:rsidR="00262C96" w:rsidRPr="00262C96">
        <w:rPr>
          <w:lang w:val="en-US"/>
        </w:rPr>
        <w:t xml:space="preserve"> </w:t>
      </w:r>
      <w:hyperlink r:id="rId27" w:history="1">
        <w:r w:rsidR="000F786C" w:rsidRPr="000F786C">
          <w:rPr>
            <w:rStyle w:val="Hyperlink"/>
            <w:lang w:val="en-US"/>
          </w:rPr>
          <w:t>Impact of rapid technological change on the achievement of the Sustainable Development Goals and targets</w:t>
        </w:r>
      </w:hyperlink>
      <w:r w:rsidR="000F786C" w:rsidRPr="000F786C">
        <w:rPr>
          <w:lang w:val="en-US"/>
        </w:rPr>
        <w:t xml:space="preserve"> </w:t>
      </w:r>
      <w:r w:rsidR="00262C96" w:rsidRPr="00262C96">
        <w:rPr>
          <w:lang w:val="en-US"/>
        </w:rPr>
        <w:t xml:space="preserve">and ECOSOC/CSTD resolutions on </w:t>
      </w:r>
      <w:r w:rsidR="000F786C">
        <w:rPr>
          <w:lang w:val="en-US"/>
        </w:rPr>
        <w:t xml:space="preserve">the role of </w:t>
      </w:r>
      <w:hyperlink r:id="rId28" w:history="1">
        <w:r w:rsidR="00262C96" w:rsidRPr="000F786C">
          <w:rPr>
            <w:rStyle w:val="Hyperlink"/>
            <w:lang w:val="en-US"/>
          </w:rPr>
          <w:t>Science, Technology and Innovation for Development</w:t>
        </w:r>
      </w:hyperlink>
      <w:r w:rsidR="00262C96" w:rsidRPr="00262C96">
        <w:rPr>
          <w:lang w:val="en-US"/>
        </w:rPr>
        <w:t xml:space="preserve"> and the resolution on the </w:t>
      </w:r>
      <w:hyperlink r:id="rId29" w:history="1">
        <w:r w:rsidR="00262C96" w:rsidRPr="000F786C">
          <w:rPr>
            <w:rStyle w:val="Hyperlink"/>
            <w:lang w:val="en-US"/>
          </w:rPr>
          <w:t>Assessment of the progress made in the implementation of and follow-up to the outcomes of the WSIS</w:t>
        </w:r>
      </w:hyperlink>
      <w:r w:rsidR="00262C96" w:rsidRPr="00262C96">
        <w:rPr>
          <w:lang w:val="en-US"/>
        </w:rPr>
        <w:t xml:space="preserve">. </w:t>
      </w:r>
    </w:p>
    <w:p w:rsidR="00024ABF" w:rsidRPr="00024ABF" w:rsidRDefault="00024ABF" w:rsidP="0038782F">
      <w:pPr>
        <w:jc w:val="both"/>
        <w:rPr>
          <w:b/>
          <w:bCs/>
          <w:lang w:val="en-US"/>
        </w:rPr>
      </w:pPr>
      <w:r w:rsidRPr="00024ABF">
        <w:rPr>
          <w:b/>
          <w:bCs/>
          <w:lang w:val="en-US"/>
        </w:rPr>
        <w:t>4.</w:t>
      </w:r>
      <w:r w:rsidRPr="00024ABF">
        <w:rPr>
          <w:b/>
          <w:bCs/>
          <w:lang w:val="en-US"/>
        </w:rPr>
        <w:tab/>
        <w:t>UN Summits and Conferences</w:t>
      </w:r>
    </w:p>
    <w:p w:rsidR="00262C96" w:rsidRDefault="000F786C" w:rsidP="0038782F">
      <w:pPr>
        <w:jc w:val="both"/>
        <w:rPr>
          <w:lang w:val="en-US"/>
        </w:rPr>
      </w:pPr>
      <w:r>
        <w:rPr>
          <w:lang w:val="en-US"/>
        </w:rPr>
        <w:t xml:space="preserve">During this period, </w:t>
      </w:r>
      <w:r w:rsidR="00262C96" w:rsidRPr="00262C96">
        <w:rPr>
          <w:lang w:val="en-US"/>
        </w:rPr>
        <w:t>ITU was present</w:t>
      </w:r>
      <w:r>
        <w:rPr>
          <w:lang w:val="en-US"/>
        </w:rPr>
        <w:t xml:space="preserve"> in</w:t>
      </w:r>
      <w:r w:rsidR="00262C96" w:rsidRPr="00262C96">
        <w:rPr>
          <w:lang w:val="en-US"/>
        </w:rPr>
        <w:t xml:space="preserve"> major United Nations conferences and high-level meetings, including: World Health Assembly (May 2018), </w:t>
      </w:r>
      <w:r w:rsidR="00637DCF">
        <w:rPr>
          <w:lang w:val="en-US"/>
        </w:rPr>
        <w:t>t</w:t>
      </w:r>
      <w:r w:rsidR="00637DCF" w:rsidRPr="00637DCF">
        <w:rPr>
          <w:lang w:val="en-US"/>
        </w:rPr>
        <w:t xml:space="preserve">he </w:t>
      </w:r>
      <w:r w:rsidR="00637DCF">
        <w:rPr>
          <w:lang w:val="en-US"/>
        </w:rPr>
        <w:t xml:space="preserve">Third </w:t>
      </w:r>
      <w:r w:rsidR="00637DCF" w:rsidRPr="00637DCF">
        <w:rPr>
          <w:lang w:val="en-US"/>
        </w:rPr>
        <w:t>Multi-stakeholder Forum on Science Technology and Innovation for the</w:t>
      </w:r>
      <w:r w:rsidR="00637DCF">
        <w:rPr>
          <w:lang w:val="en-US"/>
        </w:rPr>
        <w:t xml:space="preserve"> Sustainable Development Goals - </w:t>
      </w:r>
      <w:r w:rsidR="00637DCF" w:rsidRPr="00637DCF">
        <w:rPr>
          <w:lang w:val="en-US"/>
        </w:rPr>
        <w:t xml:space="preserve">STI Forum </w:t>
      </w:r>
      <w:r w:rsidR="00262C96" w:rsidRPr="00262C96">
        <w:rPr>
          <w:lang w:val="en-US"/>
        </w:rPr>
        <w:t>(June 2018), UNCTAD E-Commerce</w:t>
      </w:r>
      <w:r>
        <w:rPr>
          <w:lang w:val="en-US"/>
        </w:rPr>
        <w:t xml:space="preserve"> week</w:t>
      </w:r>
      <w:r w:rsidR="00262C96" w:rsidRPr="00262C96">
        <w:rPr>
          <w:lang w:val="en-US"/>
        </w:rPr>
        <w:t>; Climate Change Conference - COP 24 (December 2018); Internet Governance Forum (December 2018)</w:t>
      </w:r>
      <w:proofErr w:type="gramStart"/>
      <w:r w:rsidR="00262C96" w:rsidRPr="00262C96">
        <w:rPr>
          <w:lang w:val="en-US"/>
        </w:rPr>
        <w:t>;</w:t>
      </w:r>
      <w:proofErr w:type="gramEnd"/>
      <w:r w:rsidR="00262C96" w:rsidRPr="00262C96">
        <w:rPr>
          <w:lang w:val="en-US"/>
        </w:rPr>
        <w:t xml:space="preserve"> among other</w:t>
      </w:r>
      <w:r w:rsidR="00C20F19">
        <w:rPr>
          <w:lang w:val="en-US"/>
        </w:rPr>
        <w:t>s</w:t>
      </w:r>
      <w:r w:rsidR="00262C96" w:rsidRPr="00262C96">
        <w:rPr>
          <w:lang w:val="en-US"/>
        </w:rPr>
        <w:t>.</w:t>
      </w:r>
    </w:p>
    <w:p w:rsidR="00024ABF" w:rsidRPr="009171D6" w:rsidRDefault="00024ABF" w:rsidP="0038782F">
      <w:pPr>
        <w:tabs>
          <w:tab w:val="clear" w:pos="567"/>
          <w:tab w:val="clear" w:pos="1134"/>
          <w:tab w:val="clear" w:pos="1701"/>
          <w:tab w:val="clear" w:pos="2268"/>
          <w:tab w:val="clear" w:pos="2835"/>
        </w:tabs>
        <w:snapToGrid w:val="0"/>
        <w:jc w:val="both"/>
        <w:rPr>
          <w:rFonts w:asciiTheme="minorHAnsi" w:hAnsiTheme="minorHAnsi"/>
          <w:b/>
          <w:bCs/>
          <w:szCs w:val="24"/>
        </w:rPr>
      </w:pPr>
      <w:r w:rsidRPr="009171D6">
        <w:rPr>
          <w:rFonts w:asciiTheme="minorHAnsi" w:hAnsiTheme="minorHAnsi"/>
          <w:b/>
          <w:bCs/>
          <w:szCs w:val="24"/>
        </w:rPr>
        <w:t>5.</w:t>
      </w:r>
      <w:r w:rsidRPr="009171D6">
        <w:rPr>
          <w:rFonts w:asciiTheme="minorHAnsi" w:hAnsiTheme="minorHAnsi"/>
          <w:b/>
          <w:bCs/>
          <w:szCs w:val="24"/>
        </w:rPr>
        <w:tab/>
        <w:t>Inter-agency Coordination</w:t>
      </w:r>
    </w:p>
    <w:p w:rsidR="00262C96" w:rsidRPr="00262C96" w:rsidRDefault="00262C96" w:rsidP="0038782F">
      <w:pPr>
        <w:jc w:val="both"/>
        <w:rPr>
          <w:lang w:val="en-US"/>
        </w:rPr>
      </w:pPr>
      <w:r w:rsidRPr="00262C96">
        <w:rPr>
          <w:lang w:val="en-US"/>
        </w:rPr>
        <w:t xml:space="preserve">ITU contributed actively to the Chief Executives Board for Coordination (CEB) and its subsidiary mechanisms, the High-Level Committee on Management (HLCM) and High-Level Committee on </w:t>
      </w:r>
      <w:proofErr w:type="spellStart"/>
      <w:r w:rsidRPr="00262C96">
        <w:rPr>
          <w:lang w:val="en-US"/>
        </w:rPr>
        <w:t>Programmes</w:t>
      </w:r>
      <w:proofErr w:type="spellEnd"/>
      <w:r w:rsidRPr="00262C96">
        <w:rPr>
          <w:lang w:val="en-US"/>
        </w:rPr>
        <w:t xml:space="preserve"> (HLCP). </w:t>
      </w:r>
      <w:r w:rsidR="00637DCF">
        <w:rPr>
          <w:lang w:val="en-US"/>
        </w:rPr>
        <w:t xml:space="preserve">During this period, </w:t>
      </w:r>
      <w:r w:rsidRPr="00262C96">
        <w:rPr>
          <w:lang w:val="en-US"/>
        </w:rPr>
        <w:t xml:space="preserve">ITU </w:t>
      </w:r>
      <w:r w:rsidR="00637DCF">
        <w:rPr>
          <w:lang w:val="en-US"/>
        </w:rPr>
        <w:t>l</w:t>
      </w:r>
      <w:r w:rsidRPr="00262C96">
        <w:rPr>
          <w:lang w:val="en-US"/>
        </w:rPr>
        <w:t>ead</w:t>
      </w:r>
      <w:r w:rsidR="00637DCF">
        <w:rPr>
          <w:lang w:val="en-US"/>
        </w:rPr>
        <w:t>s</w:t>
      </w:r>
      <w:r w:rsidRPr="00262C96">
        <w:rPr>
          <w:lang w:val="en-US"/>
        </w:rPr>
        <w:t xml:space="preserve"> within the HLCP </w:t>
      </w:r>
      <w:r w:rsidR="00637DCF">
        <w:rPr>
          <w:lang w:val="en-US"/>
        </w:rPr>
        <w:t xml:space="preserve">the work stream </w:t>
      </w:r>
      <w:r w:rsidR="00637DCF" w:rsidRPr="00637DCF">
        <w:rPr>
          <w:lang w:val="en-US"/>
        </w:rPr>
        <w:t>on artificial intelligence</w:t>
      </w:r>
      <w:r w:rsidR="00637DCF">
        <w:rPr>
          <w:lang w:val="en-US"/>
        </w:rPr>
        <w:t xml:space="preserve">, </w:t>
      </w:r>
      <w:r w:rsidRPr="00262C96">
        <w:rPr>
          <w:lang w:val="en-US"/>
        </w:rPr>
        <w:t xml:space="preserve">facilitating </w:t>
      </w:r>
      <w:r w:rsidR="00637DCF">
        <w:rPr>
          <w:lang w:val="en-US"/>
        </w:rPr>
        <w:t>a</w:t>
      </w:r>
      <w:r w:rsidR="00637DCF" w:rsidRPr="00637DCF">
        <w:rPr>
          <w:lang w:val="en-US"/>
        </w:rPr>
        <w:t xml:space="preserve"> UN system-wide strategic approach and roadmap</w:t>
      </w:r>
      <w:r w:rsidR="00637DCF">
        <w:rPr>
          <w:lang w:val="en-US"/>
        </w:rPr>
        <w:t xml:space="preserve"> </w:t>
      </w:r>
      <w:r w:rsidR="00637DCF" w:rsidRPr="00637DCF">
        <w:rPr>
          <w:lang w:val="en-US"/>
        </w:rPr>
        <w:t xml:space="preserve">for supporting capacity development </w:t>
      </w:r>
      <w:r w:rsidR="00637DCF">
        <w:rPr>
          <w:lang w:val="en-US"/>
        </w:rPr>
        <w:t>developing c</w:t>
      </w:r>
      <w:r w:rsidRPr="00262C96">
        <w:rPr>
          <w:lang w:val="en-US"/>
        </w:rPr>
        <w:t xml:space="preserve">ountries, and contributes to the agenda items on the Future of Work, Future of </w:t>
      </w:r>
      <w:proofErr w:type="gramStart"/>
      <w:r w:rsidRPr="00262C96">
        <w:rPr>
          <w:lang w:val="en-US"/>
        </w:rPr>
        <w:t>Learning and Education</w:t>
      </w:r>
      <w:proofErr w:type="gramEnd"/>
      <w:r w:rsidRPr="00262C96">
        <w:rPr>
          <w:lang w:val="en-US"/>
        </w:rPr>
        <w:t xml:space="preserve"> and Sustainable Urban Development. ITU also continues to participate actively in the work of various thematic and administrative inter-agency mechanisms and networks. In this regard, ITU </w:t>
      </w:r>
      <w:r w:rsidR="0038782F">
        <w:rPr>
          <w:lang w:val="en-US"/>
        </w:rPr>
        <w:t>c</w:t>
      </w:r>
      <w:r w:rsidRPr="00262C96">
        <w:rPr>
          <w:lang w:val="en-US"/>
        </w:rPr>
        <w:t>hairs the Partnership for Measuri</w:t>
      </w:r>
      <w:r w:rsidR="0038782F">
        <w:rPr>
          <w:lang w:val="en-US"/>
        </w:rPr>
        <w:t>ng ICT for Development, and co-c</w:t>
      </w:r>
      <w:r w:rsidRPr="00262C96">
        <w:rPr>
          <w:lang w:val="en-US"/>
        </w:rPr>
        <w:t xml:space="preserve">haired the UN Strategic Planning Network (UNSPN) and the UN Group on the Information Society (UNGIS). </w:t>
      </w:r>
    </w:p>
    <w:p w:rsidR="00024ABF" w:rsidRPr="009171D6" w:rsidRDefault="00024ABF" w:rsidP="0038782F">
      <w:pPr>
        <w:tabs>
          <w:tab w:val="clear" w:pos="567"/>
          <w:tab w:val="clear" w:pos="1134"/>
          <w:tab w:val="clear" w:pos="1701"/>
          <w:tab w:val="clear" w:pos="2268"/>
          <w:tab w:val="clear" w:pos="2835"/>
        </w:tabs>
        <w:snapToGrid w:val="0"/>
        <w:jc w:val="both"/>
        <w:rPr>
          <w:rFonts w:asciiTheme="minorHAnsi" w:eastAsia="SimSun" w:hAnsiTheme="minorHAnsi" w:cs="Arial"/>
          <w:b/>
          <w:szCs w:val="24"/>
          <w:lang w:eastAsia="zh-CN"/>
        </w:rPr>
      </w:pPr>
      <w:r w:rsidRPr="009171D6">
        <w:rPr>
          <w:rFonts w:asciiTheme="minorHAnsi" w:eastAsia="SimSun" w:hAnsiTheme="minorHAnsi" w:cs="Arial"/>
          <w:b/>
          <w:szCs w:val="24"/>
          <w:lang w:eastAsia="zh-CN"/>
        </w:rPr>
        <w:lastRenderedPageBreak/>
        <w:t>6.</w:t>
      </w:r>
      <w:r w:rsidRPr="009171D6">
        <w:rPr>
          <w:rFonts w:asciiTheme="minorHAnsi" w:eastAsia="SimSun" w:hAnsiTheme="minorHAnsi" w:cs="Arial"/>
          <w:b/>
          <w:szCs w:val="24"/>
          <w:lang w:eastAsia="zh-CN"/>
        </w:rPr>
        <w:tab/>
        <w:t xml:space="preserve">Key initiatives </w:t>
      </w:r>
      <w:r w:rsidRPr="0038782F">
        <w:rPr>
          <w:rFonts w:asciiTheme="minorHAnsi" w:hAnsiTheme="minorHAnsi"/>
          <w:b/>
          <w:bCs/>
          <w:szCs w:val="24"/>
        </w:rPr>
        <w:t>with</w:t>
      </w:r>
      <w:r w:rsidRPr="009171D6">
        <w:rPr>
          <w:rFonts w:asciiTheme="minorHAnsi" w:eastAsia="SimSun" w:hAnsiTheme="minorHAnsi" w:cs="Arial"/>
          <w:b/>
          <w:szCs w:val="24"/>
          <w:lang w:eastAsia="zh-CN"/>
        </w:rPr>
        <w:t xml:space="preserve"> other UN Funds, Programmes and Specialized Agencies</w:t>
      </w:r>
    </w:p>
    <w:p w:rsidR="0079159C" w:rsidRPr="009171D6" w:rsidRDefault="0079159C" w:rsidP="00EE65EB">
      <w:pPr>
        <w:pStyle w:val="ListParagraph"/>
        <w:keepNext/>
        <w:keepLines/>
        <w:tabs>
          <w:tab w:val="clear" w:pos="567"/>
          <w:tab w:val="clear" w:pos="1134"/>
          <w:tab w:val="clear" w:pos="1701"/>
          <w:tab w:val="clear" w:pos="2268"/>
          <w:tab w:val="clear" w:pos="2835"/>
        </w:tabs>
        <w:snapToGrid w:val="0"/>
        <w:spacing w:after="120"/>
        <w:ind w:left="0"/>
        <w:contextualSpacing w:val="0"/>
        <w:jc w:val="both"/>
        <w:rPr>
          <w:rFonts w:asciiTheme="minorHAnsi" w:hAnsiTheme="minorHAnsi"/>
          <w:szCs w:val="24"/>
        </w:rPr>
      </w:pPr>
      <w:r w:rsidRPr="009171D6">
        <w:rPr>
          <w:rFonts w:asciiTheme="minorHAnsi" w:eastAsia="SimSun" w:hAnsiTheme="minorHAnsi" w:cs="Arial"/>
          <w:bCs/>
          <w:szCs w:val="24"/>
          <w:lang w:eastAsia="zh-CN"/>
        </w:rPr>
        <w:t>I</w:t>
      </w:r>
      <w:r w:rsidRPr="009171D6">
        <w:rPr>
          <w:rFonts w:asciiTheme="minorHAnsi" w:hAnsiTheme="minorHAnsi" w:cs="Arial"/>
          <w:bCs/>
          <w:szCs w:val="24"/>
        </w:rPr>
        <w:t>TU continued to strengthen its relationship with UN organizations through joint initiatives</w:t>
      </w:r>
      <w:r w:rsidRPr="009171D6">
        <w:rPr>
          <w:rFonts w:asciiTheme="minorHAnsi" w:hAnsiTheme="minorHAnsi"/>
          <w:bCs/>
          <w:szCs w:val="24"/>
        </w:rPr>
        <w:t xml:space="preserve"> promoting ICTs </w:t>
      </w:r>
      <w:r w:rsidRPr="009171D6">
        <w:rPr>
          <w:rFonts w:asciiTheme="minorHAnsi" w:hAnsiTheme="minorHAnsi" w:cs="Arial"/>
          <w:bCs/>
          <w:szCs w:val="24"/>
        </w:rPr>
        <w:t xml:space="preserve">as enabling tools for sustainable development. </w:t>
      </w:r>
      <w:r>
        <w:rPr>
          <w:rFonts w:asciiTheme="minorHAnsi" w:hAnsiTheme="minorHAnsi" w:cs="Arial"/>
          <w:bCs/>
          <w:szCs w:val="24"/>
        </w:rPr>
        <w:t>K</w:t>
      </w:r>
      <w:r w:rsidRPr="009171D6">
        <w:rPr>
          <w:rFonts w:asciiTheme="minorHAnsi" w:hAnsiTheme="minorHAnsi"/>
          <w:szCs w:val="24"/>
        </w:rPr>
        <w:t xml:space="preserve">ey </w:t>
      </w:r>
      <w:r>
        <w:rPr>
          <w:rFonts w:asciiTheme="minorHAnsi" w:hAnsiTheme="minorHAnsi"/>
          <w:szCs w:val="24"/>
        </w:rPr>
        <w:t xml:space="preserve">new and ongoing </w:t>
      </w:r>
      <w:r w:rsidRPr="009171D6">
        <w:rPr>
          <w:rFonts w:asciiTheme="minorHAnsi" w:hAnsiTheme="minorHAnsi"/>
          <w:szCs w:val="24"/>
        </w:rPr>
        <w:t>initiatives include the following:</w:t>
      </w:r>
    </w:p>
    <w:p w:rsidR="0079159C" w:rsidRPr="000638E8" w:rsidRDefault="0079159C" w:rsidP="0079159C">
      <w:pPr>
        <w:pStyle w:val="NoSpacing"/>
        <w:numPr>
          <w:ilvl w:val="0"/>
          <w:numId w:val="5"/>
        </w:numPr>
        <w:tabs>
          <w:tab w:val="clear" w:pos="567"/>
          <w:tab w:val="clear" w:pos="1134"/>
          <w:tab w:val="clear" w:pos="1701"/>
          <w:tab w:val="clear" w:pos="2268"/>
          <w:tab w:val="clear" w:pos="2835"/>
        </w:tabs>
        <w:snapToGrid w:val="0"/>
        <w:spacing w:before="60" w:after="80"/>
        <w:jc w:val="both"/>
      </w:pPr>
      <w:r w:rsidRPr="000638E8">
        <w:t>Annual AI for Good Global Summit led by ITU, in partnership with UN sister agencies (</w:t>
      </w:r>
      <w:proofErr w:type="gramStart"/>
      <w:r w:rsidRPr="000638E8">
        <w:t>2nd</w:t>
      </w:r>
      <w:proofErr w:type="gramEnd"/>
      <w:r w:rsidRPr="000638E8">
        <w:t xml:space="preserve"> edition held on 15-17 May 2018, in partnership with XPRIZE Foundation, the Association for Computing Machinery (ACM) and 32 sister United Nations agencies and bodies. For further information See section T.5-1)</w:t>
      </w:r>
      <w:r>
        <w:t>;</w:t>
      </w:r>
    </w:p>
    <w:p w:rsidR="0079159C" w:rsidRDefault="0079159C" w:rsidP="0079159C">
      <w:pPr>
        <w:pStyle w:val="NoSpacing"/>
        <w:numPr>
          <w:ilvl w:val="0"/>
          <w:numId w:val="5"/>
        </w:numPr>
        <w:tabs>
          <w:tab w:val="clear" w:pos="567"/>
          <w:tab w:val="clear" w:pos="1134"/>
          <w:tab w:val="clear" w:pos="1701"/>
          <w:tab w:val="clear" w:pos="2268"/>
          <w:tab w:val="clear" w:pos="2835"/>
        </w:tabs>
        <w:snapToGrid w:val="0"/>
        <w:spacing w:before="60" w:after="80"/>
        <w:jc w:val="both"/>
      </w:pPr>
      <w:r>
        <w:t>A</w:t>
      </w:r>
      <w:r w:rsidRPr="00433760">
        <w:t xml:space="preserve">I for Good UN Partners Meeting </w:t>
      </w:r>
      <w:r>
        <w:t xml:space="preserve">and compendium </w:t>
      </w:r>
      <w:r w:rsidRPr="00433760">
        <w:t xml:space="preserve">report </w:t>
      </w:r>
      <w:r>
        <w:t>“U</w:t>
      </w:r>
      <w:r w:rsidRPr="00433760">
        <w:t>N Activities on Artificial</w:t>
      </w:r>
      <w:r>
        <w:t>”</w:t>
      </w:r>
      <w:r w:rsidRPr="00433760">
        <w:t xml:space="preserve"> released in October 2018</w:t>
      </w:r>
      <w:r>
        <w:t>,</w:t>
      </w:r>
      <w:r w:rsidRPr="003263E9">
        <w:t>on who does what in the AI field</w:t>
      </w:r>
      <w:r>
        <w:t xml:space="preserve"> in the UN system;</w:t>
      </w:r>
      <w:r w:rsidRPr="00433760">
        <w:t xml:space="preserve"> </w:t>
      </w:r>
    </w:p>
    <w:p w:rsidR="0079159C" w:rsidRPr="009171D6" w:rsidRDefault="0079159C" w:rsidP="0079159C">
      <w:pPr>
        <w:pStyle w:val="NoSpacing"/>
        <w:numPr>
          <w:ilvl w:val="0"/>
          <w:numId w:val="5"/>
        </w:numPr>
        <w:tabs>
          <w:tab w:val="clear" w:pos="567"/>
          <w:tab w:val="clear" w:pos="1134"/>
          <w:tab w:val="clear" w:pos="1701"/>
          <w:tab w:val="clear" w:pos="2268"/>
          <w:tab w:val="clear" w:pos="2835"/>
        </w:tabs>
        <w:snapToGrid w:val="0"/>
        <w:spacing w:before="60" w:after="80"/>
        <w:jc w:val="both"/>
      </w:pPr>
      <w:r w:rsidRPr="009171D6">
        <w:t>B-Healthy B-Mobile WHO/ITU joint programme</w:t>
      </w:r>
      <w:r>
        <w:t>;</w:t>
      </w:r>
    </w:p>
    <w:p w:rsidR="0079159C" w:rsidRPr="009171D6" w:rsidRDefault="0079159C" w:rsidP="0079159C">
      <w:pPr>
        <w:pStyle w:val="NoSpacing"/>
        <w:numPr>
          <w:ilvl w:val="0"/>
          <w:numId w:val="5"/>
        </w:numPr>
        <w:tabs>
          <w:tab w:val="clear" w:pos="567"/>
          <w:tab w:val="clear" w:pos="1134"/>
          <w:tab w:val="clear" w:pos="1701"/>
          <w:tab w:val="clear" w:pos="2268"/>
          <w:tab w:val="clear" w:pos="2835"/>
        </w:tabs>
        <w:snapToGrid w:val="0"/>
        <w:spacing w:before="60" w:after="80"/>
        <w:jc w:val="both"/>
      </w:pPr>
      <w:r w:rsidRPr="009171D6">
        <w:t>Broadband Commission for Sustainable Development led by ITU and UNESCO</w:t>
      </w:r>
      <w:r>
        <w:t>, with membership from six other UN entities</w:t>
      </w:r>
      <w:r w:rsidRPr="009171D6">
        <w:t>;</w:t>
      </w:r>
    </w:p>
    <w:p w:rsidR="0079159C" w:rsidRPr="000221AE" w:rsidRDefault="0079159C" w:rsidP="0079159C">
      <w:pPr>
        <w:pStyle w:val="NoSpacing"/>
        <w:numPr>
          <w:ilvl w:val="0"/>
          <w:numId w:val="5"/>
        </w:numPr>
        <w:tabs>
          <w:tab w:val="clear" w:pos="567"/>
          <w:tab w:val="clear" w:pos="1134"/>
          <w:tab w:val="clear" w:pos="1701"/>
          <w:tab w:val="clear" w:pos="2268"/>
          <w:tab w:val="clear" w:pos="2835"/>
        </w:tabs>
        <w:snapToGrid w:val="0"/>
        <w:spacing w:before="120" w:after="80"/>
        <w:jc w:val="both"/>
        <w:rPr>
          <w:rFonts w:asciiTheme="minorHAnsi" w:eastAsia="SimSun" w:hAnsiTheme="minorHAnsi" w:cs="Arial"/>
          <w:b/>
          <w:szCs w:val="24"/>
          <w:lang w:eastAsia="zh-CN"/>
        </w:rPr>
      </w:pPr>
      <w:r w:rsidRPr="009171D6">
        <w:t>Decent Jobs</w:t>
      </w:r>
      <w:r>
        <w:t xml:space="preserve"> for Youth</w:t>
      </w:r>
      <w:r w:rsidRPr="009171D6">
        <w:t xml:space="preserve"> Campaign led by ILO and ITU</w:t>
      </w:r>
      <w:r>
        <w:t xml:space="preserve"> (</w:t>
      </w:r>
      <w:r w:rsidRPr="000221AE">
        <w:rPr>
          <w:rFonts w:asciiTheme="minorHAnsi" w:hAnsiTheme="minorHAnsi" w:cs="Arial"/>
          <w:szCs w:val="24"/>
        </w:rPr>
        <w:t>ITU is leading the digital skills thematic priority of Decent Jobs for Youth, the global initiative to scale up acti</w:t>
      </w:r>
      <w:r w:rsidRPr="00747858">
        <w:rPr>
          <w:rFonts w:asciiTheme="minorHAnsi" w:hAnsiTheme="minorHAnsi" w:cs="Arial"/>
          <w:szCs w:val="24"/>
        </w:rPr>
        <w:t>on and impact on youth employment under the 2030 Agenda for Sustainable Development</w:t>
      </w:r>
      <w:r>
        <w:rPr>
          <w:rFonts w:asciiTheme="minorHAnsi" w:hAnsiTheme="minorHAnsi" w:cs="Arial"/>
          <w:szCs w:val="24"/>
        </w:rPr>
        <w:t>);</w:t>
      </w:r>
    </w:p>
    <w:p w:rsidR="0079159C" w:rsidRPr="009171D6" w:rsidRDefault="0079159C" w:rsidP="0079159C">
      <w:pPr>
        <w:pStyle w:val="NoSpacing"/>
        <w:numPr>
          <w:ilvl w:val="0"/>
          <w:numId w:val="5"/>
        </w:numPr>
        <w:tabs>
          <w:tab w:val="clear" w:pos="567"/>
          <w:tab w:val="clear" w:pos="1134"/>
          <w:tab w:val="clear" w:pos="1701"/>
          <w:tab w:val="clear" w:pos="2268"/>
          <w:tab w:val="clear" w:pos="2835"/>
        </w:tabs>
        <w:snapToGrid w:val="0"/>
        <w:spacing w:before="120" w:after="80"/>
        <w:jc w:val="both"/>
      </w:pPr>
      <w:r>
        <w:t xml:space="preserve">EQUALS: </w:t>
      </w:r>
      <w:r w:rsidRPr="009171D6">
        <w:t>The Global Partnership for Gender Equality in the Digital Age implemented by ITU</w:t>
      </w:r>
      <w:r>
        <w:t>,</w:t>
      </w:r>
      <w:r w:rsidRPr="009171D6">
        <w:t xml:space="preserve"> UN Women</w:t>
      </w:r>
      <w:r>
        <w:t>, UNESCO, UNCTAD, ITC, UNU-CS, GSMA</w:t>
      </w:r>
      <w:r w:rsidRPr="009171D6">
        <w:rPr>
          <w:rFonts w:eastAsiaTheme="minorEastAsia"/>
        </w:rPr>
        <w:t>;</w:t>
      </w:r>
    </w:p>
    <w:p w:rsidR="0079159C" w:rsidRDefault="0079159C" w:rsidP="0079159C">
      <w:pPr>
        <w:pStyle w:val="NoSpacing"/>
        <w:numPr>
          <w:ilvl w:val="0"/>
          <w:numId w:val="5"/>
        </w:numPr>
        <w:tabs>
          <w:tab w:val="clear" w:pos="567"/>
          <w:tab w:val="clear" w:pos="1134"/>
          <w:tab w:val="clear" w:pos="1701"/>
          <w:tab w:val="clear" w:pos="2268"/>
          <w:tab w:val="clear" w:pos="2835"/>
        </w:tabs>
        <w:snapToGrid w:val="0"/>
        <w:spacing w:before="60" w:after="80"/>
        <w:jc w:val="both"/>
      </w:pPr>
      <w:r>
        <w:t>Financial Inclusion Global Initiative (FIGI) by ITU and World Bank supported by other partners and foundation;</w:t>
      </w:r>
    </w:p>
    <w:p w:rsidR="0079159C" w:rsidRDefault="0079159C" w:rsidP="0079159C">
      <w:pPr>
        <w:pStyle w:val="NoSpacing"/>
        <w:numPr>
          <w:ilvl w:val="0"/>
          <w:numId w:val="5"/>
        </w:numPr>
        <w:tabs>
          <w:tab w:val="clear" w:pos="567"/>
          <w:tab w:val="clear" w:pos="1134"/>
          <w:tab w:val="clear" w:pos="1701"/>
          <w:tab w:val="clear" w:pos="2268"/>
          <w:tab w:val="clear" w:pos="2835"/>
        </w:tabs>
        <w:snapToGrid w:val="0"/>
        <w:spacing w:before="60" w:after="80"/>
        <w:jc w:val="both"/>
      </w:pPr>
      <w:r>
        <w:t>Global E-Waste Monitor 2017, in partnership with the United Nations University, and the International Solid Waste Association;</w:t>
      </w:r>
    </w:p>
    <w:p w:rsidR="0079159C" w:rsidRDefault="0079159C" w:rsidP="0079159C">
      <w:pPr>
        <w:pStyle w:val="NoSpacing"/>
        <w:numPr>
          <w:ilvl w:val="0"/>
          <w:numId w:val="5"/>
        </w:numPr>
        <w:tabs>
          <w:tab w:val="clear" w:pos="567"/>
          <w:tab w:val="clear" w:pos="1134"/>
          <w:tab w:val="clear" w:pos="1701"/>
          <w:tab w:val="clear" w:pos="2268"/>
          <w:tab w:val="clear" w:pos="2835"/>
        </w:tabs>
        <w:snapToGrid w:val="0"/>
        <w:spacing w:before="60" w:after="80"/>
        <w:jc w:val="both"/>
      </w:pPr>
      <w:r>
        <w:t>Innovation for digital transformation by ITU and UNIDO particularly on SDG 9;</w:t>
      </w:r>
    </w:p>
    <w:p w:rsidR="0079159C" w:rsidRDefault="0079159C" w:rsidP="0079159C">
      <w:pPr>
        <w:pStyle w:val="NoSpacing"/>
        <w:numPr>
          <w:ilvl w:val="0"/>
          <w:numId w:val="5"/>
        </w:numPr>
        <w:tabs>
          <w:tab w:val="clear" w:pos="567"/>
          <w:tab w:val="clear" w:pos="1134"/>
          <w:tab w:val="clear" w:pos="1701"/>
          <w:tab w:val="clear" w:pos="2268"/>
          <w:tab w:val="clear" w:pos="2835"/>
        </w:tabs>
        <w:snapToGrid w:val="0"/>
        <w:spacing w:before="60" w:after="80"/>
        <w:jc w:val="both"/>
      </w:pPr>
      <w:r w:rsidRPr="00021B94">
        <w:t>ITU/WMO/UNESCO-IOC Joint Task Force on SMART Cable Systems</w:t>
      </w:r>
      <w:r>
        <w:t xml:space="preserve"> (</w:t>
      </w:r>
      <w:r w:rsidRPr="00021B94">
        <w:t>Th</w:t>
      </w:r>
      <w:r>
        <w:t>is</w:t>
      </w:r>
      <w:r w:rsidRPr="00021B94">
        <w:t xml:space="preserve"> task force is leading an ambitious new project to equip submarine communications cables with </w:t>
      </w:r>
      <w:r>
        <w:rPr>
          <w:rFonts w:cs="Segoe UI"/>
        </w:rPr>
        <w:t>climate monitoring and disaster warning</w:t>
      </w:r>
      <w:r w:rsidRPr="00021B94">
        <w:t xml:space="preserve"> sensors</w:t>
      </w:r>
      <w:r>
        <w:t>);</w:t>
      </w:r>
    </w:p>
    <w:p w:rsidR="0079159C" w:rsidRPr="00022DD1" w:rsidRDefault="0079159C" w:rsidP="0079159C">
      <w:pPr>
        <w:pStyle w:val="NoSpacing"/>
        <w:numPr>
          <w:ilvl w:val="0"/>
          <w:numId w:val="5"/>
        </w:numPr>
        <w:tabs>
          <w:tab w:val="clear" w:pos="567"/>
          <w:tab w:val="clear" w:pos="1134"/>
          <w:tab w:val="clear" w:pos="1701"/>
          <w:tab w:val="clear" w:pos="2268"/>
          <w:tab w:val="clear" w:pos="2835"/>
        </w:tabs>
        <w:snapToGrid w:val="0"/>
        <w:spacing w:before="60" w:after="80"/>
        <w:jc w:val="both"/>
      </w:pPr>
      <w:r w:rsidRPr="00022DD1">
        <w:rPr>
          <w:rFonts w:asciiTheme="minorHAnsi" w:hAnsiTheme="minorHAnsi"/>
          <w:szCs w:val="24"/>
        </w:rPr>
        <w:t>Mobile Learning Week (MLW), organized by UNESCO in partnership with ITU and supported by other partners;</w:t>
      </w:r>
    </w:p>
    <w:p w:rsidR="0079159C" w:rsidRPr="00002A11" w:rsidRDefault="0079159C" w:rsidP="0079159C">
      <w:pPr>
        <w:pStyle w:val="NoSpacing"/>
        <w:numPr>
          <w:ilvl w:val="0"/>
          <w:numId w:val="5"/>
        </w:numPr>
        <w:tabs>
          <w:tab w:val="clear" w:pos="567"/>
          <w:tab w:val="clear" w:pos="1134"/>
          <w:tab w:val="clear" w:pos="1701"/>
          <w:tab w:val="clear" w:pos="2268"/>
          <w:tab w:val="clear" w:pos="2835"/>
        </w:tabs>
        <w:snapToGrid w:val="0"/>
        <w:spacing w:before="60" w:after="80"/>
        <w:jc w:val="both"/>
      </w:pPr>
      <w:r w:rsidRPr="00002A11">
        <w:rPr>
          <w:rFonts w:asciiTheme="minorHAnsi" w:hAnsiTheme="minorHAnsi"/>
          <w:szCs w:val="24"/>
        </w:rPr>
        <w:t>Symposium on the Future Networked Car within the Geneva International Motor Show</w:t>
      </w:r>
      <w:r>
        <w:rPr>
          <w:rFonts w:asciiTheme="minorHAnsi" w:hAnsiTheme="minorHAnsi"/>
          <w:szCs w:val="24"/>
        </w:rPr>
        <w:t xml:space="preserve"> (A</w:t>
      </w:r>
      <w:r w:rsidRPr="00002A11">
        <w:rPr>
          <w:rFonts w:asciiTheme="minorHAnsi" w:hAnsiTheme="minorHAnsi"/>
          <w:szCs w:val="24"/>
        </w:rPr>
        <w:t xml:space="preserve">nnual ITU-UNECE </w:t>
      </w:r>
      <w:r>
        <w:rPr>
          <w:rFonts w:asciiTheme="minorHAnsi" w:hAnsiTheme="minorHAnsi"/>
          <w:szCs w:val="24"/>
        </w:rPr>
        <w:t xml:space="preserve">event which </w:t>
      </w:r>
      <w:r w:rsidRPr="00002A11">
        <w:rPr>
          <w:rFonts w:asciiTheme="minorHAnsi" w:hAnsiTheme="minorHAnsi"/>
          <w:szCs w:val="24"/>
        </w:rPr>
        <w:t>brings together key players in the ICT and automotive industries to present their latest intelligent-transport innovations</w:t>
      </w:r>
      <w:r>
        <w:rPr>
          <w:rFonts w:asciiTheme="minorHAnsi" w:hAnsiTheme="minorHAnsi"/>
          <w:szCs w:val="24"/>
        </w:rPr>
        <w:t>);</w:t>
      </w:r>
      <w:r w:rsidRPr="00002A11">
        <w:rPr>
          <w:rFonts w:asciiTheme="minorHAnsi" w:hAnsiTheme="minorHAnsi"/>
          <w:szCs w:val="24"/>
        </w:rPr>
        <w:t xml:space="preserve"> </w:t>
      </w:r>
    </w:p>
    <w:p w:rsidR="0079159C" w:rsidRDefault="0079159C" w:rsidP="0079159C">
      <w:pPr>
        <w:pStyle w:val="NoSpacing"/>
        <w:numPr>
          <w:ilvl w:val="0"/>
          <w:numId w:val="5"/>
        </w:numPr>
        <w:tabs>
          <w:tab w:val="clear" w:pos="567"/>
          <w:tab w:val="clear" w:pos="1134"/>
          <w:tab w:val="clear" w:pos="1701"/>
          <w:tab w:val="clear" w:pos="2268"/>
          <w:tab w:val="clear" w:pos="2835"/>
        </w:tabs>
        <w:snapToGrid w:val="0"/>
        <w:spacing w:before="60" w:after="80"/>
        <w:jc w:val="both"/>
      </w:pPr>
      <w:r>
        <w:t>United for Smart Sustainable Cities (U4SSC):</w:t>
      </w:r>
      <w:r w:rsidRPr="006F1A9E">
        <w:t xml:space="preserve"> </w:t>
      </w:r>
      <w:r>
        <w:t xml:space="preserve">is </w:t>
      </w:r>
      <w:r w:rsidRPr="006F1A9E">
        <w:t xml:space="preserve">coordinated by ITU and UNECE and supported by CBD, ECLAC, FAO, ITU, UNDP, UNECA, UNECE, UNESCO, UN Environment, UNEP-FI, UNFCCC, UN-Habitat, UNIDO, UNU-EGOV, UN-Women and WMO. U4SSC </w:t>
      </w:r>
      <w:r>
        <w:t xml:space="preserve">serves </w:t>
      </w:r>
      <w:r w:rsidRPr="006F1A9E">
        <w:t xml:space="preserve">as </w:t>
      </w:r>
      <w:r>
        <w:t xml:space="preserve">a </w:t>
      </w:r>
      <w:r w:rsidRPr="006F1A9E">
        <w:t xml:space="preserve">global platform to achieve Sustainable Development Goal 11: </w:t>
      </w:r>
      <w:r>
        <w:t>“</w:t>
      </w:r>
      <w:r w:rsidRPr="006F1A9E">
        <w:t>Make cities and human settlements inclusive, safe, resilient and sustainable</w:t>
      </w:r>
      <w:r w:rsidR="00442C4D">
        <w:t>”;</w:t>
      </w:r>
    </w:p>
    <w:p w:rsidR="0079159C" w:rsidRDefault="00442C4D" w:rsidP="0094179A">
      <w:pPr>
        <w:pStyle w:val="NoSpacing"/>
        <w:numPr>
          <w:ilvl w:val="0"/>
          <w:numId w:val="5"/>
        </w:numPr>
        <w:tabs>
          <w:tab w:val="clear" w:pos="567"/>
          <w:tab w:val="clear" w:pos="1134"/>
          <w:tab w:val="clear" w:pos="1701"/>
          <w:tab w:val="clear" w:pos="2268"/>
          <w:tab w:val="clear" w:pos="2835"/>
        </w:tabs>
        <w:snapToGrid w:val="0"/>
        <w:spacing w:before="60" w:after="80"/>
        <w:jc w:val="both"/>
      </w:pPr>
      <w:r w:rsidRPr="00442C4D">
        <w:t>ITU/W</w:t>
      </w:r>
      <w:r>
        <w:t xml:space="preserve">orld Bank </w:t>
      </w:r>
      <w:r w:rsidRPr="00442C4D">
        <w:t>Joint Declaration to enhance cooperation for the advancement of the 2030Age</w:t>
      </w:r>
      <w:r>
        <w:t>nda for Sustainable Development.</w:t>
      </w:r>
    </w:p>
    <w:p w:rsidR="00024ABF" w:rsidRPr="00EE65EB" w:rsidRDefault="00024ABF" w:rsidP="0038782F">
      <w:pPr>
        <w:keepNext/>
        <w:rPr>
          <w:b/>
          <w:bCs/>
          <w:lang w:val="en-US"/>
        </w:rPr>
      </w:pPr>
      <w:r w:rsidRPr="00EE65EB">
        <w:rPr>
          <w:b/>
          <w:bCs/>
          <w:lang w:val="en-US"/>
        </w:rPr>
        <w:lastRenderedPageBreak/>
        <w:t>7.</w:t>
      </w:r>
      <w:r w:rsidR="00EE65EB">
        <w:rPr>
          <w:b/>
          <w:bCs/>
          <w:lang w:val="en-US"/>
        </w:rPr>
        <w:tab/>
      </w:r>
      <w:r w:rsidRPr="00EE65EB">
        <w:rPr>
          <w:rFonts w:asciiTheme="minorHAnsi" w:eastAsia="SimSun" w:hAnsiTheme="minorHAnsi" w:cs="Arial"/>
          <w:b/>
          <w:bCs/>
          <w:szCs w:val="24"/>
          <w:lang w:eastAsia="zh-CN"/>
        </w:rPr>
        <w:t xml:space="preserve">Collaboration with the Joint Inspection Unit of the United Nations system (JIU) </w:t>
      </w:r>
    </w:p>
    <w:p w:rsidR="0079159C" w:rsidRDefault="00262C96" w:rsidP="0038782F">
      <w:pPr>
        <w:keepNext/>
        <w:rPr>
          <w:lang w:val="en-US"/>
        </w:rPr>
      </w:pPr>
      <w:r w:rsidRPr="00262C96">
        <w:rPr>
          <w:lang w:val="en-US"/>
        </w:rPr>
        <w:t>Through the Inter Sectoral Coordination – Task Force (ISC-TF), ITU reviewed reports from the JIU’s 2017 and 2018 UN syste</w:t>
      </w:r>
      <w:bookmarkStart w:id="10" w:name="_GoBack"/>
      <w:bookmarkEnd w:id="10"/>
      <w:r w:rsidRPr="00262C96">
        <w:rPr>
          <w:lang w:val="en-US"/>
        </w:rPr>
        <w:t xml:space="preserve">m-wide reports, including the corresponding recommendations and CEB comments can be obtained from the JIU website: </w:t>
      </w:r>
      <w:hyperlink r:id="rId30" w:history="1">
        <w:r w:rsidR="0079159C" w:rsidRPr="00430426">
          <w:rPr>
            <w:rStyle w:val="Hyperlink"/>
            <w:lang w:val="en-US"/>
          </w:rPr>
          <w:t>https://www.unjiu.org/content/reports-notes</w:t>
        </w:r>
      </w:hyperlink>
      <w:r w:rsidR="0079159C">
        <w:rPr>
          <w:lang w:val="en-US"/>
        </w:rPr>
        <w:t xml:space="preserve">. </w:t>
      </w:r>
    </w:p>
    <w:p w:rsidR="00264425" w:rsidRPr="002A2188" w:rsidRDefault="00262C96" w:rsidP="0079159C">
      <w:pPr>
        <w:jc w:val="center"/>
        <w:rPr>
          <w:lang w:val="en-US"/>
        </w:rPr>
      </w:pPr>
      <w:r w:rsidRPr="00262C96">
        <w:rPr>
          <w:lang w:val="en-US"/>
        </w:rPr>
        <w:t>_____________________</w:t>
      </w:r>
    </w:p>
    <w:sectPr w:rsidR="00264425" w:rsidRPr="002A2188" w:rsidSect="004D1851">
      <w:head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166" w:rsidRDefault="006F2166">
      <w:r>
        <w:separator/>
      </w:r>
    </w:p>
  </w:endnote>
  <w:endnote w:type="continuationSeparator" w:id="0">
    <w:p w:rsidR="006F2166" w:rsidRDefault="006F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166" w:rsidRDefault="006F2166">
      <w:r>
        <w:t>____________________</w:t>
      </w:r>
    </w:p>
  </w:footnote>
  <w:footnote w:type="continuationSeparator" w:id="0">
    <w:p w:rsidR="006F2166" w:rsidRDefault="006F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D" w:rsidRDefault="006535F1" w:rsidP="00CE433C">
    <w:pPr>
      <w:pStyle w:val="Header"/>
    </w:pPr>
    <w:r>
      <w:fldChar w:fldCharType="begin"/>
    </w:r>
    <w:r>
      <w:instrText>PAGE</w:instrText>
    </w:r>
    <w:r>
      <w:fldChar w:fldCharType="separate"/>
    </w:r>
    <w:r w:rsidR="0038782F">
      <w:rPr>
        <w:noProof/>
      </w:rPr>
      <w:t>3</w:t>
    </w:r>
    <w:r>
      <w:rPr>
        <w:noProof/>
      </w:rPr>
      <w:fldChar w:fldCharType="end"/>
    </w:r>
  </w:p>
  <w:p w:rsidR="00322D0D" w:rsidRPr="00623AE3" w:rsidRDefault="00FA4575" w:rsidP="00EE65EB">
    <w:pPr>
      <w:pStyle w:val="Header"/>
      <w:rPr>
        <w:bCs/>
      </w:rPr>
    </w:pPr>
    <w:r>
      <w:rPr>
        <w:bCs/>
      </w:rPr>
      <w:t>C19</w:t>
    </w:r>
    <w:r w:rsidR="00623AE3" w:rsidRPr="00623AE3">
      <w:rPr>
        <w:bCs/>
      </w:rPr>
      <w:t>/</w:t>
    </w:r>
    <w:r w:rsidR="0018372E">
      <w:rPr>
        <w:bCs/>
      </w:rPr>
      <w:t>INF/</w:t>
    </w:r>
    <w:r w:rsidR="00EE65EB">
      <w:rPr>
        <w:bCs/>
      </w:rPr>
      <w:t>8</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5B5E22"/>
    <w:multiLevelType w:val="hybridMultilevel"/>
    <w:tmpl w:val="FE60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66243"/>
    <w:multiLevelType w:val="hybridMultilevel"/>
    <w:tmpl w:val="E084D7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E3D15"/>
    <w:multiLevelType w:val="hybridMultilevel"/>
    <w:tmpl w:val="8304CD0C"/>
    <w:lvl w:ilvl="0" w:tplc="616A89BC">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13720C"/>
    <w:multiLevelType w:val="hybridMultilevel"/>
    <w:tmpl w:val="F0742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24ABF"/>
    <w:rsid w:val="00063016"/>
    <w:rsid w:val="00066795"/>
    <w:rsid w:val="00076AF6"/>
    <w:rsid w:val="00085CF2"/>
    <w:rsid w:val="000B1705"/>
    <w:rsid w:val="000D75B2"/>
    <w:rsid w:val="000F786C"/>
    <w:rsid w:val="001121F5"/>
    <w:rsid w:val="001400DC"/>
    <w:rsid w:val="00140CE1"/>
    <w:rsid w:val="0017539C"/>
    <w:rsid w:val="00175AC2"/>
    <w:rsid w:val="0017609F"/>
    <w:rsid w:val="0018372E"/>
    <w:rsid w:val="001859E0"/>
    <w:rsid w:val="001C628E"/>
    <w:rsid w:val="001E0F7B"/>
    <w:rsid w:val="002119FD"/>
    <w:rsid w:val="002130E0"/>
    <w:rsid w:val="00262C96"/>
    <w:rsid w:val="00264425"/>
    <w:rsid w:val="00265875"/>
    <w:rsid w:val="0027303B"/>
    <w:rsid w:val="0028109B"/>
    <w:rsid w:val="002A2188"/>
    <w:rsid w:val="002B1F58"/>
    <w:rsid w:val="002C1C7A"/>
    <w:rsid w:val="0030160F"/>
    <w:rsid w:val="00322D0D"/>
    <w:rsid w:val="0038782F"/>
    <w:rsid w:val="003942D4"/>
    <w:rsid w:val="003958A8"/>
    <w:rsid w:val="003C2533"/>
    <w:rsid w:val="0040435A"/>
    <w:rsid w:val="00416A24"/>
    <w:rsid w:val="00431D9E"/>
    <w:rsid w:val="00433CE8"/>
    <w:rsid w:val="00434A5C"/>
    <w:rsid w:val="00442C4D"/>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37DCF"/>
    <w:rsid w:val="0064737F"/>
    <w:rsid w:val="006535F1"/>
    <w:rsid w:val="0065557D"/>
    <w:rsid w:val="00662984"/>
    <w:rsid w:val="006716BB"/>
    <w:rsid w:val="006B6680"/>
    <w:rsid w:val="006B6DCC"/>
    <w:rsid w:val="006F2166"/>
    <w:rsid w:val="00702DEF"/>
    <w:rsid w:val="00706861"/>
    <w:rsid w:val="0075051B"/>
    <w:rsid w:val="0079159C"/>
    <w:rsid w:val="00793188"/>
    <w:rsid w:val="00794D34"/>
    <w:rsid w:val="007E40EB"/>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BE3381"/>
    <w:rsid w:val="00C01189"/>
    <w:rsid w:val="00C20F19"/>
    <w:rsid w:val="00C374DE"/>
    <w:rsid w:val="00C47AD4"/>
    <w:rsid w:val="00C52D81"/>
    <w:rsid w:val="00C55198"/>
    <w:rsid w:val="00CA6393"/>
    <w:rsid w:val="00CB18FF"/>
    <w:rsid w:val="00CD0C08"/>
    <w:rsid w:val="00CE03FB"/>
    <w:rsid w:val="00CE433C"/>
    <w:rsid w:val="00CF33F3"/>
    <w:rsid w:val="00D04E39"/>
    <w:rsid w:val="00D06183"/>
    <w:rsid w:val="00D22C42"/>
    <w:rsid w:val="00D65041"/>
    <w:rsid w:val="00DB384B"/>
    <w:rsid w:val="00E10E80"/>
    <w:rsid w:val="00E124F0"/>
    <w:rsid w:val="00E60F04"/>
    <w:rsid w:val="00E854E4"/>
    <w:rsid w:val="00EB0D6F"/>
    <w:rsid w:val="00EB2232"/>
    <w:rsid w:val="00EC5337"/>
    <w:rsid w:val="00ED51BD"/>
    <w:rsid w:val="00EE65EB"/>
    <w:rsid w:val="00F2150A"/>
    <w:rsid w:val="00F231D8"/>
    <w:rsid w:val="00F46C5F"/>
    <w:rsid w:val="00F526CD"/>
    <w:rsid w:val="00F94A63"/>
    <w:rsid w:val="00FA1C28"/>
    <w:rsid w:val="00FA457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399A8F"/>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262C96"/>
    <w:pPr>
      <w:ind w:left="720"/>
      <w:contextualSpacing/>
    </w:pPr>
  </w:style>
  <w:style w:type="character" w:customStyle="1" w:styleId="ListParagraphChar">
    <w:name w:val="List Paragraph Char"/>
    <w:basedOn w:val="DefaultParagraphFont"/>
    <w:link w:val="ListParagraph"/>
    <w:uiPriority w:val="34"/>
    <w:locked/>
    <w:rsid w:val="0079159C"/>
    <w:rPr>
      <w:rFonts w:ascii="Calibri" w:hAnsi="Calibri"/>
      <w:sz w:val="24"/>
      <w:lang w:val="en-GB" w:eastAsia="en-US"/>
    </w:rPr>
  </w:style>
  <w:style w:type="paragraph" w:styleId="NoSpacing">
    <w:name w:val="No Spacing"/>
    <w:uiPriority w:val="1"/>
    <w:qFormat/>
    <w:rsid w:val="0079159C"/>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4-CL-INF-0007/en" TargetMode="External"/><Relationship Id="rId18" Type="http://schemas.openxmlformats.org/officeDocument/2006/relationships/hyperlink" Target="http://www.itu.int/md/S11-CL-INF-0006/en" TargetMode="External"/><Relationship Id="rId26" Type="http://schemas.openxmlformats.org/officeDocument/2006/relationships/hyperlink" Target="http://www.un.org/en/ga/search/view_doc.asp?symbol=A/RES/73/218" TargetMode="External"/><Relationship Id="rId3" Type="http://schemas.openxmlformats.org/officeDocument/2006/relationships/styles" Target="styles.xml"/><Relationship Id="rId21" Type="http://schemas.openxmlformats.org/officeDocument/2006/relationships/hyperlink" Target="http://www.itu.int/md/S14-CL-INF-0007/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S13-CL-INF-0010/en" TargetMode="External"/><Relationship Id="rId17" Type="http://schemas.openxmlformats.org/officeDocument/2006/relationships/hyperlink" Target="https://www.itu.int/md/S18-CL-INF-0004/en" TargetMode="External"/><Relationship Id="rId25" Type="http://schemas.openxmlformats.org/officeDocument/2006/relationships/hyperlink" Target="https://www.itu.int/md/S18-CL-INF-0004/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7-CL-INF-0010/en" TargetMode="External"/><Relationship Id="rId20" Type="http://schemas.openxmlformats.org/officeDocument/2006/relationships/hyperlink" Target="http://www.itu.int/md/S13-CL-INF-0010/en" TargetMode="External"/><Relationship Id="rId29" Type="http://schemas.openxmlformats.org/officeDocument/2006/relationships/hyperlink" Target="https://unctad.org/meetings/en/SessionalDocuments/E_res_2018_28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INF-0001/en" TargetMode="External"/><Relationship Id="rId24" Type="http://schemas.openxmlformats.org/officeDocument/2006/relationships/hyperlink" Target="https://www.itu.int/md/S17-CL-INF-0010/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S16-CL-C-0057/en" TargetMode="External"/><Relationship Id="rId23" Type="http://schemas.openxmlformats.org/officeDocument/2006/relationships/hyperlink" Target="http://www.itu.int/md/S16-CL-C-0057/en" TargetMode="External"/><Relationship Id="rId28" Type="http://schemas.openxmlformats.org/officeDocument/2006/relationships/hyperlink" Target="https://unctad.org/meetings/en/SessionalDocuments/e_res_2018_29_en.pdf" TargetMode="External"/><Relationship Id="rId10" Type="http://schemas.openxmlformats.org/officeDocument/2006/relationships/hyperlink" Target="http://www.itu.int/md/S11-CL-INF-0006/en" TargetMode="External"/><Relationship Id="rId19" Type="http://schemas.openxmlformats.org/officeDocument/2006/relationships/hyperlink" Target="http://www.itu.int/md/S12-CL-INF-0001/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08-CL-INF-0008/en" TargetMode="External"/><Relationship Id="rId14" Type="http://schemas.openxmlformats.org/officeDocument/2006/relationships/hyperlink" Target="http://www.itu.int/md/S15-CL-INF-0004/en" TargetMode="External"/><Relationship Id="rId22" Type="http://schemas.openxmlformats.org/officeDocument/2006/relationships/hyperlink" Target="http://www.itu.int/md/S15-CL-INF-0004/en" TargetMode="External"/><Relationship Id="rId27" Type="http://schemas.openxmlformats.org/officeDocument/2006/relationships/hyperlink" Target="http://www.un.org/en/ga/search/view_doc.asp?symbol=A/RES/73/17" TargetMode="External"/><Relationship Id="rId30" Type="http://schemas.openxmlformats.org/officeDocument/2006/relationships/hyperlink" Target="https://www.unjiu.org/content/reports-not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9854-DC13-4865-BEB1-FF295917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1228</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10030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2019</dc:subject>
  <dc:creator>Brouard, Ricarda</dc:creator>
  <cp:keywords>C2019, C19</cp:keywords>
  <dc:description/>
  <cp:lastModifiedBy>Aschenbrener, Elizabeth</cp:lastModifiedBy>
  <cp:revision>4</cp:revision>
  <cp:lastPrinted>2000-07-18T13:30:00Z</cp:lastPrinted>
  <dcterms:created xsi:type="dcterms:W3CDTF">2019-04-16T14:03:00Z</dcterms:created>
  <dcterms:modified xsi:type="dcterms:W3CDTF">2019-04-16T14:18:00Z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