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8C29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8C29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8C2919">
              <w:rPr>
                <w:b/>
                <w:bCs/>
                <w:szCs w:val="24"/>
                <w:lang w:val="fr-CH"/>
              </w:rPr>
              <w:t>10-20 juin 2019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520F36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8C29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73582D">
              <w:rPr>
                <w:b/>
                <w:bCs/>
              </w:rPr>
              <w:t>144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4649CE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12 août</w:t>
            </w:r>
            <w:bookmarkStart w:id="5" w:name="_GoBack"/>
            <w:bookmarkEnd w:id="5"/>
            <w:r w:rsidR="00520F36">
              <w:rPr>
                <w:b/>
                <w:bCs/>
              </w:rPr>
              <w:t xml:space="preserve"> 201</w:t>
            </w:r>
            <w:r w:rsidR="008C29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6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73582D" w:rsidP="008028E8">
            <w:pPr>
              <w:pStyle w:val="Source"/>
              <w:spacing w:before="600"/>
            </w:pPr>
            <w:bookmarkStart w:id="7" w:name="dsource" w:colFirst="0" w:colLast="0"/>
            <w:bookmarkEnd w:id="6"/>
            <w:r>
              <w:t>Note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73582D" w:rsidRDefault="0073582D" w:rsidP="0073582D">
            <w:pPr>
              <w:pStyle w:val="ResNo"/>
              <w:spacing w:before="120" w:after="240"/>
              <w:rPr>
                <w:szCs w:val="24"/>
              </w:rPr>
            </w:pPr>
            <w:bookmarkStart w:id="8" w:name="dtitle1" w:colFirst="0" w:colLast="0"/>
            <w:bookmarkEnd w:id="7"/>
            <w:r>
              <w:t>RÉSOLUTIONS et DÉCISIONS</w:t>
            </w:r>
          </w:p>
        </w:tc>
      </w:tr>
    </w:tbl>
    <w:bookmarkEnd w:id="8"/>
    <w:p w:rsidR="0073582D" w:rsidRPr="00D81FE5" w:rsidRDefault="0073582D" w:rsidP="00B72EBA">
      <w:pPr>
        <w:spacing w:after="120"/>
        <w:rPr>
          <w:szCs w:val="24"/>
          <w:lang w:val="fr-CH"/>
        </w:rPr>
      </w:pPr>
      <w:r w:rsidRPr="00005C69">
        <w:rPr>
          <w:lang w:val="fr-CH"/>
        </w:rPr>
        <w:t>Les Résolutions et Décisions suivantes ont été adoptées par le Conseil lors de sa session de 201</w:t>
      </w:r>
      <w:r>
        <w:rPr>
          <w:lang w:val="fr-CH"/>
        </w:rPr>
        <w:t>9, du 10 au 20 juin 2019</w:t>
      </w:r>
      <w:r w:rsidR="008660B5">
        <w:rPr>
          <w:lang w:val="fr-CH"/>
        </w:rPr>
        <w:t> :</w:t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8837"/>
        <w:gridCol w:w="1086"/>
      </w:tblGrid>
      <w:tr w:rsidR="0073582D" w:rsidRPr="0039463A" w:rsidTr="00B72EBA">
        <w:trPr>
          <w:jc w:val="center"/>
        </w:trPr>
        <w:tc>
          <w:tcPr>
            <w:tcW w:w="853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73582D" w:rsidRPr="0039463A" w:rsidRDefault="0073582D" w:rsidP="0073582D">
            <w:pPr>
              <w:spacing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R</w:t>
            </w:r>
            <w:r>
              <w:rPr>
                <w:b/>
                <w:bCs/>
              </w:rPr>
              <w:t>ésolutions</w:t>
            </w:r>
            <w:r w:rsidRPr="0039463A">
              <w:rPr>
                <w:b/>
                <w:bCs/>
              </w:rPr>
              <w:t xml:space="preserve"> # - Tit</w:t>
            </w:r>
            <w:r>
              <w:rPr>
                <w:b/>
                <w:bCs/>
              </w:rPr>
              <w:t>re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73582D" w:rsidRPr="0039463A" w:rsidRDefault="0073582D" w:rsidP="00FE1FFA">
            <w:pPr>
              <w:spacing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C19/#</w:t>
            </w:r>
          </w:p>
        </w:tc>
      </w:tr>
      <w:tr w:rsidR="0073582D" w:rsidRPr="0039463A" w:rsidTr="00B72EBA">
        <w:trPr>
          <w:jc w:val="center"/>
        </w:trPr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73582D" w:rsidRPr="0073582D" w:rsidRDefault="0073582D" w:rsidP="004C7A20">
            <w:pPr>
              <w:spacing w:before="40" w:after="40"/>
              <w:rPr>
                <w:lang w:val="fr-CH"/>
              </w:rPr>
            </w:pPr>
            <w:r w:rsidRPr="0073582D">
              <w:rPr>
                <w:b/>
                <w:bCs/>
                <w:lang w:val="fr-CH"/>
              </w:rPr>
              <w:t>Résolution 1395</w:t>
            </w:r>
            <w:r w:rsidRPr="0073582D">
              <w:rPr>
                <w:lang w:val="fr-CH"/>
              </w:rPr>
              <w:t xml:space="preserve"> - Plans opérationnels annuels quadriennaux glissants de l'Union pour la période 2020-2023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73582D" w:rsidRDefault="004649CE" w:rsidP="004C7A20">
            <w:pPr>
              <w:spacing w:before="40" w:after="40"/>
              <w:jc w:val="center"/>
            </w:pPr>
            <w:hyperlink r:id="rId7" w:history="1">
              <w:r w:rsidR="0073582D" w:rsidRPr="00BC7FD6">
                <w:rPr>
                  <w:rStyle w:val="Hyperlink"/>
                </w:rPr>
                <w:t>C19/121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73582D" w:rsidRPr="00E45015" w:rsidRDefault="0073582D" w:rsidP="0077515D">
            <w:pPr>
              <w:spacing w:before="40" w:after="40"/>
              <w:rPr>
                <w:lang w:val="fr-CH"/>
              </w:rPr>
            </w:pPr>
            <w:r w:rsidRPr="00E45015">
              <w:rPr>
                <w:b/>
                <w:bCs/>
                <w:lang w:val="fr-CH"/>
              </w:rPr>
              <w:t>Résolution 1396</w:t>
            </w:r>
            <w:r w:rsidRPr="00E45015">
              <w:rPr>
                <w:lang w:val="fr-CH"/>
              </w:rPr>
              <w:t xml:space="preserve"> </w:t>
            </w:r>
            <w:r w:rsidR="0077515D" w:rsidRPr="00E45015">
              <w:rPr>
                <w:lang w:val="fr-CH"/>
              </w:rPr>
              <w:t>–</w:t>
            </w:r>
            <w:r w:rsidRPr="00E45015">
              <w:rPr>
                <w:lang w:val="fr-CH"/>
              </w:rPr>
              <w:t xml:space="preserve"> </w:t>
            </w:r>
            <w:r w:rsidR="0077515D" w:rsidRPr="00E45015">
              <w:rPr>
                <w:lang w:val="fr-CH"/>
              </w:rPr>
              <w:t>Budget biennal de l’Union internationale des télécommunications pour 2020-2021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73582D" w:rsidRPr="0039463A" w:rsidRDefault="004649CE" w:rsidP="004C7A20">
            <w:pPr>
              <w:spacing w:before="40" w:after="40"/>
              <w:jc w:val="center"/>
            </w:pPr>
            <w:hyperlink r:id="rId8" w:history="1">
              <w:r w:rsidR="0073582D" w:rsidRPr="00E45015">
                <w:rPr>
                  <w:rStyle w:val="Hyperlink"/>
                </w:rPr>
                <w:t>C19/122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33" w:type="dxa"/>
            <w:shd w:val="clear" w:color="auto" w:fill="auto"/>
          </w:tcPr>
          <w:p w:rsidR="0073582D" w:rsidRPr="0073582D" w:rsidRDefault="0073582D" w:rsidP="004C7A20">
            <w:pPr>
              <w:spacing w:before="40" w:after="40"/>
              <w:rPr>
                <w:lang w:val="fr-CH"/>
              </w:rPr>
            </w:pPr>
            <w:r w:rsidRPr="0073582D">
              <w:rPr>
                <w:b/>
                <w:bCs/>
                <w:lang w:val="fr-CH"/>
              </w:rPr>
              <w:t>Résolution 1397</w:t>
            </w:r>
            <w:r w:rsidRPr="0073582D">
              <w:rPr>
                <w:lang w:val="fr-CH"/>
              </w:rPr>
              <w:t xml:space="preserve"> - Rapport de gestion financière pour l'exercice 2018</w:t>
            </w:r>
          </w:p>
        </w:tc>
        <w:tc>
          <w:tcPr>
            <w:tcW w:w="1049" w:type="dxa"/>
            <w:shd w:val="clear" w:color="auto" w:fill="auto"/>
          </w:tcPr>
          <w:p w:rsidR="0073582D" w:rsidRDefault="004649CE" w:rsidP="004C7A20">
            <w:pPr>
              <w:spacing w:before="40" w:after="40"/>
              <w:jc w:val="center"/>
            </w:pPr>
            <w:hyperlink r:id="rId9" w:history="1">
              <w:r w:rsidR="0073582D" w:rsidRPr="00BC7FD6">
                <w:rPr>
                  <w:rStyle w:val="Hyperlink"/>
                </w:rPr>
                <w:t>C19/123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33" w:type="dxa"/>
            <w:shd w:val="clear" w:color="auto" w:fill="auto"/>
          </w:tcPr>
          <w:p w:rsidR="0073582D" w:rsidRPr="0073582D" w:rsidRDefault="0073582D" w:rsidP="004C7A20">
            <w:pPr>
              <w:spacing w:before="40" w:after="40"/>
              <w:rPr>
                <w:lang w:val="fr-CH"/>
              </w:rPr>
            </w:pPr>
            <w:r w:rsidRPr="0073582D">
              <w:rPr>
                <w:b/>
                <w:bCs/>
                <w:lang w:val="fr-CH"/>
              </w:rPr>
              <w:t>Résolution 1398</w:t>
            </w:r>
            <w:r w:rsidRPr="0073582D">
              <w:rPr>
                <w:lang w:val="fr-CH"/>
              </w:rPr>
              <w:t xml:space="preserve"> - Conditions d'emploi des fonctionnaires élus de l'UIT</w:t>
            </w:r>
          </w:p>
        </w:tc>
        <w:tc>
          <w:tcPr>
            <w:tcW w:w="1049" w:type="dxa"/>
            <w:shd w:val="clear" w:color="auto" w:fill="auto"/>
          </w:tcPr>
          <w:p w:rsidR="0073582D" w:rsidRPr="0039463A" w:rsidRDefault="004649CE" w:rsidP="004C7A20">
            <w:pPr>
              <w:spacing w:before="40" w:after="40"/>
              <w:jc w:val="center"/>
            </w:pPr>
            <w:hyperlink r:id="rId10" w:history="1">
              <w:r w:rsidR="0073582D" w:rsidRPr="00BC7FD6">
                <w:rPr>
                  <w:rStyle w:val="Hyperlink"/>
                </w:rPr>
                <w:t>C19/124</w:t>
              </w:r>
            </w:hyperlink>
          </w:p>
        </w:tc>
      </w:tr>
    </w:tbl>
    <w:p w:rsidR="0073582D" w:rsidRDefault="0073582D" w:rsidP="0073582D">
      <w:pPr>
        <w:spacing w:after="120"/>
        <w:rPr>
          <w:szCs w:val="24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8837"/>
        <w:gridCol w:w="1086"/>
      </w:tblGrid>
      <w:tr w:rsidR="0073582D" w:rsidRPr="0039463A" w:rsidTr="00B72EBA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73582D" w:rsidRPr="0039463A" w:rsidRDefault="0073582D" w:rsidP="0073582D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Décision</w:t>
            </w:r>
            <w:r w:rsidRPr="0039463A">
              <w:rPr>
                <w:b/>
                <w:bCs/>
              </w:rPr>
              <w:t xml:space="preserve"> # - Tit</w:t>
            </w:r>
            <w:r>
              <w:rPr>
                <w:b/>
                <w:bCs/>
              </w:rPr>
              <w:t>re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73582D" w:rsidRPr="0039463A" w:rsidRDefault="0073582D" w:rsidP="00FE1FFA">
            <w:pPr>
              <w:spacing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C19/</w:t>
            </w:r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shd w:val="clear" w:color="auto" w:fill="auto"/>
          </w:tcPr>
          <w:p w:rsidR="0073582D" w:rsidRPr="0073582D" w:rsidRDefault="0073582D" w:rsidP="004C7A20">
            <w:pPr>
              <w:spacing w:before="40" w:after="40"/>
              <w:rPr>
                <w:lang w:val="fr-CH"/>
              </w:rPr>
            </w:pPr>
            <w:r w:rsidRPr="0073582D">
              <w:rPr>
                <w:b/>
                <w:bCs/>
                <w:lang w:val="fr-CH"/>
              </w:rPr>
              <w:t>Décision 608</w:t>
            </w:r>
            <w:r w:rsidRPr="0073582D">
              <w:rPr>
                <w:lang w:val="fr-CH"/>
              </w:rPr>
              <w:t xml:space="preserve"> - Convocation de la prochaine Assemblée mondiale de normalisation des télécommunications (AMNT-20)</w:t>
            </w:r>
          </w:p>
        </w:tc>
        <w:tc>
          <w:tcPr>
            <w:tcW w:w="992" w:type="dxa"/>
            <w:shd w:val="clear" w:color="auto" w:fill="auto"/>
          </w:tcPr>
          <w:p w:rsidR="0073582D" w:rsidRDefault="004649CE" w:rsidP="004C7A20">
            <w:pPr>
              <w:spacing w:before="40" w:after="40"/>
              <w:jc w:val="center"/>
            </w:pPr>
            <w:hyperlink r:id="rId11" w:history="1">
              <w:r w:rsidR="0073582D" w:rsidRPr="00BC7FD6">
                <w:rPr>
                  <w:rStyle w:val="Hyperlink"/>
                </w:rPr>
                <w:t>C19/125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73582D" w:rsidRPr="00CD7BC5" w:rsidRDefault="0073582D" w:rsidP="004C7A20">
            <w:pPr>
              <w:spacing w:before="40" w:after="40"/>
              <w:rPr>
                <w:lang w:val="fr-CH"/>
              </w:rPr>
            </w:pPr>
            <w:r w:rsidRPr="00CD7BC5">
              <w:rPr>
                <w:b/>
                <w:bCs/>
                <w:lang w:val="fr-CH"/>
              </w:rPr>
              <w:t>Décision 609</w:t>
            </w:r>
            <w:r w:rsidRPr="00CD7BC5">
              <w:rPr>
                <w:lang w:val="fr-CH"/>
              </w:rPr>
              <w:t xml:space="preserve"> - </w:t>
            </w:r>
            <w:r w:rsidR="00CD7BC5" w:rsidRPr="00CD7BC5">
              <w:rPr>
                <w:lang w:val="fr-CH"/>
              </w:rPr>
              <w:t>Convocation de la prochaine Conférence mondiale de développement des télécommunications (CMDT-21)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582D" w:rsidRDefault="004649CE" w:rsidP="004C7A20">
            <w:pPr>
              <w:spacing w:before="40" w:after="40"/>
              <w:jc w:val="center"/>
            </w:pPr>
            <w:hyperlink r:id="rId12" w:history="1">
              <w:r w:rsidR="0073582D" w:rsidRPr="00BC7FD6">
                <w:rPr>
                  <w:rStyle w:val="Hyperlink"/>
                </w:rPr>
                <w:t>C19/126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73582D" w:rsidRPr="00CD7BC5" w:rsidRDefault="0073582D" w:rsidP="004C7A20">
            <w:pPr>
              <w:spacing w:before="40" w:after="40"/>
              <w:rPr>
                <w:lang w:val="fr-CH"/>
              </w:rPr>
            </w:pPr>
            <w:r w:rsidRPr="00CD7BC5">
              <w:rPr>
                <w:b/>
                <w:bCs/>
                <w:lang w:val="fr-CH"/>
              </w:rPr>
              <w:t>Décision 610</w:t>
            </w:r>
            <w:r w:rsidRPr="00CD7BC5">
              <w:rPr>
                <w:lang w:val="fr-CH"/>
              </w:rPr>
              <w:t xml:space="preserve"> - </w:t>
            </w:r>
            <w:r w:rsidR="00CD7BC5" w:rsidRPr="00CD7BC5">
              <w:rPr>
                <w:lang w:val="fr-CH"/>
              </w:rPr>
              <w:t>Convocation de la prochaine Conférence de plénipotentiaires ordinaire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582D" w:rsidRDefault="004649CE" w:rsidP="004C7A20">
            <w:pPr>
              <w:spacing w:before="40" w:after="40"/>
              <w:jc w:val="center"/>
            </w:pPr>
            <w:hyperlink r:id="rId13" w:history="1">
              <w:r w:rsidR="0073582D" w:rsidRPr="00BC7FD6">
                <w:rPr>
                  <w:rStyle w:val="Hyperlink"/>
                </w:rPr>
                <w:t>C19/127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73582D" w:rsidRPr="00CD7BC5" w:rsidRDefault="0073582D" w:rsidP="004C7A20">
            <w:pPr>
              <w:spacing w:before="40" w:after="40"/>
              <w:rPr>
                <w:lang w:val="fr-CH"/>
              </w:rPr>
            </w:pPr>
            <w:r w:rsidRPr="00CD7BC5">
              <w:rPr>
                <w:b/>
                <w:bCs/>
                <w:lang w:val="fr-CH"/>
              </w:rPr>
              <w:t>Décision 611</w:t>
            </w:r>
            <w:r w:rsidRPr="00CD7BC5">
              <w:rPr>
                <w:lang w:val="fr-CH"/>
              </w:rPr>
              <w:t xml:space="preserve"> - </w:t>
            </w:r>
            <w:r w:rsidR="00CD7BC5" w:rsidRPr="00CD7BC5">
              <w:rPr>
                <w:lang w:val="fr-CH"/>
              </w:rPr>
              <w:t>Sixième Forum mondial des politiques de télécommunication/technologies de l'information et de la communication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582D" w:rsidRDefault="004649CE" w:rsidP="004C7A20">
            <w:pPr>
              <w:spacing w:before="40" w:after="40"/>
              <w:jc w:val="center"/>
            </w:pPr>
            <w:hyperlink r:id="rId14" w:history="1">
              <w:r w:rsidR="0073582D" w:rsidRPr="00BC7FD6">
                <w:rPr>
                  <w:rStyle w:val="Hyperlink"/>
                </w:rPr>
                <w:t>C19/128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82D" w:rsidRPr="00522064" w:rsidRDefault="0073582D" w:rsidP="004C7A20">
            <w:pPr>
              <w:spacing w:before="40" w:after="40"/>
              <w:rPr>
                <w:lang w:val="fr-CH"/>
              </w:rPr>
            </w:pPr>
            <w:r w:rsidRPr="00522064">
              <w:rPr>
                <w:b/>
                <w:bCs/>
                <w:lang w:val="fr-CH"/>
              </w:rPr>
              <w:t>Décision 612</w:t>
            </w:r>
            <w:r w:rsidRPr="00522064">
              <w:rPr>
                <w:lang w:val="fr-CH"/>
              </w:rPr>
              <w:t xml:space="preserve"> - </w:t>
            </w:r>
            <w:r w:rsidR="00522064" w:rsidRPr="00522064">
              <w:rPr>
                <w:lang w:val="fr-CH"/>
              </w:rPr>
              <w:t>Dates et durée des sessions de 2020, 2021 et 2022 du Conseil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82D" w:rsidRPr="0039463A" w:rsidRDefault="004649CE" w:rsidP="004C7A20">
            <w:pPr>
              <w:spacing w:before="40" w:after="40"/>
              <w:jc w:val="center"/>
            </w:pPr>
            <w:hyperlink r:id="rId15" w:history="1">
              <w:r w:rsidR="0073582D" w:rsidRPr="00BC7FD6">
                <w:rPr>
                  <w:rStyle w:val="Hyperlink"/>
                </w:rPr>
                <w:t>C19/129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73582D" w:rsidRPr="00781FC7" w:rsidRDefault="0073582D" w:rsidP="004C7A20">
            <w:pPr>
              <w:spacing w:before="40" w:after="40"/>
              <w:rPr>
                <w:lang w:val="fr-CH"/>
              </w:rPr>
            </w:pPr>
            <w:r w:rsidRPr="000D031B">
              <w:rPr>
                <w:b/>
                <w:bCs/>
                <w:lang w:val="fr-CH"/>
              </w:rPr>
              <w:t>Décision 613</w:t>
            </w:r>
            <w:r w:rsidRPr="000D031B">
              <w:rPr>
                <w:lang w:val="fr-CH"/>
              </w:rPr>
              <w:t xml:space="preserve"> - </w:t>
            </w:r>
            <w:r w:rsidR="00781FC7" w:rsidRPr="000D031B">
              <w:rPr>
                <w:lang w:val="fr-CH"/>
              </w:rPr>
              <w:t>Vérification</w:t>
            </w:r>
            <w:r w:rsidR="00781FC7" w:rsidRPr="00781FC7">
              <w:rPr>
                <w:lang w:val="fr-CH"/>
              </w:rPr>
              <w:t xml:space="preserve"> générale à la suite du cas de fraude dans un bureau régional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582D" w:rsidRDefault="004649CE" w:rsidP="004C7A20">
            <w:pPr>
              <w:spacing w:before="40" w:after="40"/>
              <w:jc w:val="center"/>
            </w:pPr>
            <w:hyperlink r:id="rId16" w:history="1">
              <w:r w:rsidR="0073582D" w:rsidRPr="00BC7FD6">
                <w:rPr>
                  <w:rStyle w:val="Hyperlink"/>
                </w:rPr>
                <w:t>C19/130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shd w:val="clear" w:color="auto" w:fill="auto"/>
          </w:tcPr>
          <w:p w:rsidR="0073582D" w:rsidRPr="00CD7BC5" w:rsidRDefault="0073582D" w:rsidP="004C7A20">
            <w:pPr>
              <w:spacing w:before="40" w:after="40"/>
              <w:rPr>
                <w:lang w:val="fr-CH"/>
              </w:rPr>
            </w:pPr>
            <w:r w:rsidRPr="00CD7BC5">
              <w:rPr>
                <w:b/>
                <w:bCs/>
                <w:lang w:val="fr-CH"/>
              </w:rPr>
              <w:t>Décision 614</w:t>
            </w:r>
            <w:r w:rsidRPr="00CD7BC5">
              <w:rPr>
                <w:lang w:val="fr-CH"/>
              </w:rPr>
              <w:t xml:space="preserve"> - </w:t>
            </w:r>
            <w:r w:rsidR="00CD7BC5" w:rsidRPr="00CD7BC5">
              <w:rPr>
                <w:lang w:val="fr-CH"/>
              </w:rPr>
              <w:t>Vérification des comptes de l'Union</w:t>
            </w:r>
          </w:p>
        </w:tc>
        <w:tc>
          <w:tcPr>
            <w:tcW w:w="992" w:type="dxa"/>
            <w:shd w:val="clear" w:color="auto" w:fill="auto"/>
          </w:tcPr>
          <w:p w:rsidR="0073582D" w:rsidRDefault="004649CE" w:rsidP="004C7A20">
            <w:pPr>
              <w:spacing w:before="40" w:after="40"/>
              <w:jc w:val="center"/>
            </w:pPr>
            <w:hyperlink r:id="rId17" w:history="1">
              <w:r w:rsidR="0073582D" w:rsidRPr="00BC7FD6">
                <w:rPr>
                  <w:rStyle w:val="Hyperlink"/>
                </w:rPr>
                <w:t>C19/131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shd w:val="clear" w:color="auto" w:fill="auto"/>
          </w:tcPr>
          <w:p w:rsidR="0073582D" w:rsidRPr="00CD7BC5" w:rsidRDefault="0073582D" w:rsidP="004C7A20">
            <w:pPr>
              <w:spacing w:before="40" w:after="40"/>
              <w:rPr>
                <w:lang w:val="fr-CH"/>
              </w:rPr>
            </w:pPr>
            <w:r w:rsidRPr="00CD7BC5">
              <w:rPr>
                <w:b/>
                <w:bCs/>
                <w:lang w:val="fr-CH"/>
              </w:rPr>
              <w:t>Décision 615</w:t>
            </w:r>
            <w:r w:rsidRPr="00CD7BC5">
              <w:rPr>
                <w:lang w:val="fr-CH"/>
              </w:rPr>
              <w:t xml:space="preserve"> - </w:t>
            </w:r>
            <w:r w:rsidR="00CD7BC5" w:rsidRPr="00CD7BC5">
              <w:rPr>
                <w:lang w:val="fr-CH"/>
              </w:rPr>
              <w:t>Nomination des membres du Comité consultatif indépendant pour les questions de gestion (CCIG)</w:t>
            </w:r>
          </w:p>
        </w:tc>
        <w:tc>
          <w:tcPr>
            <w:tcW w:w="992" w:type="dxa"/>
            <w:shd w:val="clear" w:color="auto" w:fill="auto"/>
          </w:tcPr>
          <w:p w:rsidR="0073582D" w:rsidRDefault="004649CE" w:rsidP="004C7A20">
            <w:pPr>
              <w:spacing w:before="40" w:after="40"/>
              <w:jc w:val="center"/>
            </w:pPr>
            <w:hyperlink r:id="rId18" w:history="1">
              <w:r w:rsidR="0073582D" w:rsidRPr="00BC7FD6">
                <w:rPr>
                  <w:rStyle w:val="Hyperlink"/>
                </w:rPr>
                <w:t>C19/132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shd w:val="clear" w:color="auto" w:fill="auto"/>
          </w:tcPr>
          <w:p w:rsidR="0073582D" w:rsidRDefault="0073582D" w:rsidP="004C7A20">
            <w:pPr>
              <w:spacing w:before="40" w:after="40"/>
            </w:pPr>
            <w:r w:rsidRPr="00CD7BC5">
              <w:rPr>
                <w:b/>
                <w:bCs/>
              </w:rPr>
              <w:t>Décision 616</w:t>
            </w:r>
            <w:r w:rsidRPr="00E04EC8">
              <w:t xml:space="preserve"> </w:t>
            </w:r>
            <w:r w:rsidR="00CD7BC5">
              <w:t>–</w:t>
            </w:r>
            <w:r w:rsidRPr="00E04EC8">
              <w:t xml:space="preserve"> </w:t>
            </w:r>
            <w:r w:rsidR="00CD7BC5">
              <w:t>Présence régionale</w:t>
            </w:r>
          </w:p>
        </w:tc>
        <w:tc>
          <w:tcPr>
            <w:tcW w:w="992" w:type="dxa"/>
            <w:shd w:val="clear" w:color="auto" w:fill="auto"/>
          </w:tcPr>
          <w:p w:rsidR="0073582D" w:rsidRDefault="004649CE" w:rsidP="004C7A20">
            <w:pPr>
              <w:spacing w:before="40" w:after="40"/>
              <w:jc w:val="center"/>
            </w:pPr>
            <w:hyperlink r:id="rId19" w:history="1">
              <w:r w:rsidR="0073582D" w:rsidRPr="00BC7FD6">
                <w:rPr>
                  <w:rStyle w:val="Hyperlink"/>
                </w:rPr>
                <w:t>C19/133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shd w:val="clear" w:color="auto" w:fill="auto"/>
          </w:tcPr>
          <w:p w:rsidR="0073582D" w:rsidRPr="00E45015" w:rsidRDefault="0073582D" w:rsidP="00E45015">
            <w:pPr>
              <w:spacing w:before="40" w:after="40"/>
              <w:rPr>
                <w:lang w:val="fr-CH"/>
              </w:rPr>
            </w:pPr>
            <w:r w:rsidRPr="00E45015">
              <w:rPr>
                <w:b/>
                <w:bCs/>
                <w:lang w:val="fr-CH"/>
              </w:rPr>
              <w:t>Décision 617</w:t>
            </w:r>
            <w:r w:rsidR="00E45015" w:rsidRPr="00E45015">
              <w:rPr>
                <w:lang w:val="fr-CH"/>
              </w:rPr>
              <w:t xml:space="preserve"> - Date et durée de la session additionnelle de</w:t>
            </w:r>
            <w:r w:rsidRPr="00E45015">
              <w:rPr>
                <w:lang w:val="fr-CH"/>
              </w:rPr>
              <w:t xml:space="preserve"> 2019 </w:t>
            </w:r>
            <w:r w:rsidR="00E45015" w:rsidRPr="00E45015">
              <w:rPr>
                <w:lang w:val="fr-CH"/>
              </w:rPr>
              <w:t>du Conseil</w:t>
            </w:r>
          </w:p>
        </w:tc>
        <w:tc>
          <w:tcPr>
            <w:tcW w:w="992" w:type="dxa"/>
            <w:shd w:val="clear" w:color="auto" w:fill="auto"/>
          </w:tcPr>
          <w:p w:rsidR="0073582D" w:rsidRDefault="004649CE" w:rsidP="004C7A20">
            <w:pPr>
              <w:spacing w:before="40" w:after="40"/>
              <w:jc w:val="center"/>
            </w:pPr>
            <w:hyperlink r:id="rId20" w:history="1">
              <w:r w:rsidR="0073582D" w:rsidRPr="00BC7FD6">
                <w:rPr>
                  <w:rStyle w:val="Hyperlink"/>
                </w:rPr>
                <w:t>C19/134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shd w:val="clear" w:color="auto" w:fill="auto"/>
          </w:tcPr>
          <w:p w:rsidR="0073582D" w:rsidRPr="00CD7BC5" w:rsidRDefault="0073582D" w:rsidP="004C7A20">
            <w:pPr>
              <w:spacing w:before="40" w:after="40"/>
              <w:rPr>
                <w:lang w:val="fr-CH"/>
              </w:rPr>
            </w:pPr>
            <w:r w:rsidRPr="00CD7BC5">
              <w:rPr>
                <w:b/>
                <w:bCs/>
                <w:lang w:val="fr-CH"/>
              </w:rPr>
              <w:t>Décision 618</w:t>
            </w:r>
            <w:r w:rsidRPr="00CD7BC5">
              <w:rPr>
                <w:lang w:val="fr-CH"/>
              </w:rPr>
              <w:t xml:space="preserve"> - </w:t>
            </w:r>
            <w:r w:rsidR="00CD7BC5" w:rsidRPr="00CD7BC5">
              <w:rPr>
                <w:lang w:val="fr-CH"/>
              </w:rPr>
              <w:t>Passation par pertes et profits d'intérêts moratoires et de créances irrécupérables</w:t>
            </w:r>
          </w:p>
        </w:tc>
        <w:tc>
          <w:tcPr>
            <w:tcW w:w="992" w:type="dxa"/>
            <w:shd w:val="clear" w:color="auto" w:fill="auto"/>
          </w:tcPr>
          <w:p w:rsidR="0073582D" w:rsidRPr="0039463A" w:rsidRDefault="004649CE" w:rsidP="004C7A20">
            <w:pPr>
              <w:spacing w:before="40" w:after="40"/>
              <w:jc w:val="center"/>
            </w:pPr>
            <w:hyperlink r:id="rId21" w:history="1">
              <w:r w:rsidR="0073582D" w:rsidRPr="00BC7FD6">
                <w:rPr>
                  <w:rStyle w:val="Hyperlink"/>
                </w:rPr>
                <w:t>C19/135</w:t>
              </w:r>
            </w:hyperlink>
          </w:p>
        </w:tc>
      </w:tr>
    </w:tbl>
    <w:p w:rsidR="0073582D" w:rsidRDefault="0073582D" w:rsidP="0073582D"/>
    <w:p w:rsidR="004C7A20" w:rsidRDefault="004C7A20" w:rsidP="0073582D"/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8837"/>
        <w:gridCol w:w="1086"/>
      </w:tblGrid>
      <w:tr w:rsidR="0073582D" w:rsidRPr="0039463A" w:rsidTr="00B72EBA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73582D" w:rsidRPr="0039463A" w:rsidRDefault="0073582D" w:rsidP="00FE1FF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Résolution modifiée #</w:t>
            </w:r>
            <w:r w:rsidRPr="0039463A">
              <w:rPr>
                <w:b/>
                <w:bCs/>
              </w:rPr>
              <w:t xml:space="preserve"> - Tit</w:t>
            </w:r>
            <w:r>
              <w:rPr>
                <w:b/>
                <w:bCs/>
              </w:rPr>
              <w:t>re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73582D" w:rsidRPr="0039463A" w:rsidRDefault="0073582D" w:rsidP="00FE1FFA">
            <w:pPr>
              <w:spacing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C19/#</w:t>
            </w:r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shd w:val="clear" w:color="auto" w:fill="auto"/>
          </w:tcPr>
          <w:p w:rsidR="0073582D" w:rsidRPr="00CD7BC5" w:rsidRDefault="0073582D" w:rsidP="004C7A20">
            <w:pPr>
              <w:spacing w:before="40" w:after="40"/>
              <w:rPr>
                <w:lang w:val="fr-CH"/>
              </w:rPr>
            </w:pPr>
            <w:r w:rsidRPr="00CD7BC5">
              <w:rPr>
                <w:b/>
                <w:bCs/>
                <w:lang w:val="fr-CH"/>
              </w:rPr>
              <w:t>Résolution 1305 (modifiée 2019)</w:t>
            </w:r>
            <w:r w:rsidRPr="00CD7BC5">
              <w:rPr>
                <w:lang w:val="fr-CH"/>
              </w:rPr>
              <w:t xml:space="preserve"> - </w:t>
            </w:r>
            <w:r w:rsidR="00CD7BC5" w:rsidRPr="00CD7BC5">
              <w:rPr>
                <w:lang w:val="fr-CH"/>
              </w:rPr>
              <w:t>Rôle du Groupe spécialisé dans l'identification des questions de politiques publiques relatives à l'Internet</w:t>
            </w:r>
          </w:p>
        </w:tc>
        <w:tc>
          <w:tcPr>
            <w:tcW w:w="992" w:type="dxa"/>
            <w:shd w:val="clear" w:color="auto" w:fill="auto"/>
          </w:tcPr>
          <w:p w:rsidR="0073582D" w:rsidRDefault="004649CE" w:rsidP="004C7A20">
            <w:pPr>
              <w:spacing w:before="40" w:after="40"/>
              <w:jc w:val="center"/>
            </w:pPr>
            <w:hyperlink r:id="rId22" w:history="1">
              <w:r w:rsidR="0073582D" w:rsidRPr="00BC7FD6">
                <w:rPr>
                  <w:rStyle w:val="Hyperlink"/>
                </w:rPr>
                <w:t>C19/136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82D" w:rsidRPr="00CD7BC5" w:rsidRDefault="0073582D" w:rsidP="004C7A20">
            <w:pPr>
              <w:spacing w:before="40" w:after="40"/>
              <w:rPr>
                <w:lang w:val="fr-CH"/>
              </w:rPr>
            </w:pPr>
            <w:r w:rsidRPr="00CD7BC5">
              <w:rPr>
                <w:b/>
                <w:bCs/>
                <w:lang w:val="fr-CH"/>
              </w:rPr>
              <w:t>Résolution 1332 (modifiée 2019)</w:t>
            </w:r>
            <w:r w:rsidRPr="00CD7BC5">
              <w:rPr>
                <w:lang w:val="fr-CH"/>
              </w:rPr>
              <w:t xml:space="preserve"> - </w:t>
            </w:r>
            <w:r w:rsidR="00CD7BC5" w:rsidRPr="00CD7BC5">
              <w:rPr>
                <w:lang w:val="fr-CH"/>
              </w:rPr>
              <w:t>Rôle de l'UIT dans la mise en œuvre des résultats du SMSI et du Programme de développement durable à l'horizon 2030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82D" w:rsidRDefault="004649CE" w:rsidP="004C7A20">
            <w:pPr>
              <w:spacing w:before="40" w:after="40"/>
              <w:jc w:val="center"/>
            </w:pPr>
            <w:hyperlink r:id="rId23" w:history="1">
              <w:r w:rsidR="0073582D" w:rsidRPr="00BC7FD6">
                <w:rPr>
                  <w:rStyle w:val="Hyperlink"/>
                </w:rPr>
                <w:t>C19/137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73582D" w:rsidRPr="00CD7BC5" w:rsidRDefault="0073582D" w:rsidP="004C7A20">
            <w:pPr>
              <w:spacing w:before="40" w:after="40"/>
              <w:rPr>
                <w:lang w:val="fr-CH"/>
              </w:rPr>
            </w:pPr>
            <w:r w:rsidRPr="00CD7BC5">
              <w:rPr>
                <w:b/>
                <w:bCs/>
                <w:lang w:val="fr-CH"/>
              </w:rPr>
              <w:t>Résolution 1372 (modifiée 2019)</w:t>
            </w:r>
            <w:r w:rsidRPr="00CD7BC5">
              <w:rPr>
                <w:lang w:val="fr-CH"/>
              </w:rPr>
              <w:t xml:space="preserve"> - </w:t>
            </w:r>
            <w:r w:rsidR="00CD7BC5" w:rsidRPr="00CD7BC5">
              <w:rPr>
                <w:lang w:val="fr-CH"/>
              </w:rPr>
              <w:t>Groupe de travail du Conseil sur l'utilisation des langues (GTC LANG)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582D" w:rsidRPr="0039463A" w:rsidRDefault="004649CE" w:rsidP="004C7A20">
            <w:pPr>
              <w:spacing w:before="40" w:after="40"/>
              <w:jc w:val="center"/>
            </w:pPr>
            <w:hyperlink r:id="rId24" w:history="1">
              <w:r w:rsidR="0073582D" w:rsidRPr="00BC7FD6">
                <w:rPr>
                  <w:rStyle w:val="Hyperlink"/>
                </w:rPr>
                <w:t>C19/138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82D" w:rsidRPr="00CD7BC5" w:rsidRDefault="0073582D" w:rsidP="004C7A20">
            <w:pPr>
              <w:spacing w:before="40" w:after="40"/>
              <w:rPr>
                <w:lang w:val="fr-CH"/>
              </w:rPr>
            </w:pPr>
            <w:r w:rsidRPr="00CD7BC5">
              <w:rPr>
                <w:b/>
                <w:bCs/>
                <w:lang w:val="fr-CH"/>
              </w:rPr>
              <w:t>Résolution 1379 (modifiée 2019)</w:t>
            </w:r>
            <w:r w:rsidRPr="00CD7BC5">
              <w:rPr>
                <w:lang w:val="fr-CH"/>
              </w:rPr>
              <w:t xml:space="preserve"> - </w:t>
            </w:r>
            <w:r w:rsidR="00CD7BC5" w:rsidRPr="00CD7BC5">
              <w:rPr>
                <w:lang w:val="fr-CH"/>
              </w:rPr>
              <w:t>Groupe d'experts sur le Règlement des télécommunications internationales (EG RTI)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82D" w:rsidRPr="0039463A" w:rsidRDefault="004649CE" w:rsidP="004C7A20">
            <w:pPr>
              <w:spacing w:before="40" w:after="40"/>
              <w:jc w:val="center"/>
            </w:pPr>
            <w:hyperlink r:id="rId25" w:history="1">
              <w:r w:rsidR="0073582D" w:rsidRPr="00BC7FD6">
                <w:rPr>
                  <w:rStyle w:val="Hyperlink"/>
                </w:rPr>
                <w:t>C19/139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73582D" w:rsidRPr="00CD7BC5" w:rsidRDefault="0073582D" w:rsidP="004C7A20">
            <w:pPr>
              <w:spacing w:before="40" w:after="40"/>
              <w:rPr>
                <w:lang w:val="fr-CH"/>
              </w:rPr>
            </w:pPr>
            <w:r w:rsidRPr="00CD7BC5">
              <w:rPr>
                <w:b/>
                <w:bCs/>
                <w:lang w:val="fr-CH"/>
              </w:rPr>
              <w:t>Résolution</w:t>
            </w:r>
            <w:r w:rsidRPr="00CD7BC5">
              <w:rPr>
                <w:lang w:val="fr-CH"/>
              </w:rPr>
              <w:t xml:space="preserve"> </w:t>
            </w:r>
            <w:r w:rsidRPr="00CD7BC5">
              <w:rPr>
                <w:b/>
                <w:bCs/>
                <w:lang w:val="fr-CH"/>
              </w:rPr>
              <w:t>1336 (modifiée 2019)</w:t>
            </w:r>
            <w:r w:rsidRPr="00CD7BC5">
              <w:rPr>
                <w:lang w:val="fr-CH"/>
              </w:rPr>
              <w:t xml:space="preserve"> - </w:t>
            </w:r>
            <w:r w:rsidR="00CD7BC5" w:rsidRPr="00CD7BC5">
              <w:rPr>
                <w:lang w:val="fr-CH"/>
              </w:rPr>
              <w:t>Groupe de travail du Conseil sur les questions de politiques publiques internationales relatives à l'Internet (CWG-Internet)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582D" w:rsidRDefault="004649CE" w:rsidP="004C7A20">
            <w:pPr>
              <w:spacing w:before="40" w:after="40"/>
              <w:jc w:val="center"/>
            </w:pPr>
            <w:hyperlink r:id="rId26" w:history="1">
              <w:r w:rsidR="0073582D" w:rsidRPr="00BC7FD6">
                <w:rPr>
                  <w:rStyle w:val="Hyperlink"/>
                </w:rPr>
                <w:t>C19/140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82D" w:rsidRPr="00CD7BC5" w:rsidRDefault="0073582D" w:rsidP="004C7A20">
            <w:pPr>
              <w:spacing w:before="40" w:after="40"/>
              <w:rPr>
                <w:lang w:val="fr-CH"/>
              </w:rPr>
            </w:pPr>
            <w:r w:rsidRPr="00CD7BC5">
              <w:rPr>
                <w:b/>
                <w:bCs/>
                <w:lang w:val="fr-CH"/>
              </w:rPr>
              <w:t>Résolution 925 (modifiée 2019)</w:t>
            </w:r>
            <w:r w:rsidRPr="00CD7BC5">
              <w:rPr>
                <w:lang w:val="fr-CH"/>
              </w:rPr>
              <w:t xml:space="preserve"> - </w:t>
            </w:r>
            <w:r w:rsidR="00CD7BC5" w:rsidRPr="00CD7BC5">
              <w:rPr>
                <w:lang w:val="fr-CH"/>
              </w:rPr>
              <w:t>Conditions financières de participation de l'Organisation des Nations Unies, des institutions spécialisées et des autres organisations internationales aux conférences, assemblées et réunions de l'UIT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82D" w:rsidRDefault="004649CE" w:rsidP="004C7A20">
            <w:pPr>
              <w:spacing w:before="40" w:after="40"/>
              <w:jc w:val="center"/>
            </w:pPr>
            <w:hyperlink r:id="rId27" w:history="1">
              <w:r w:rsidR="0073582D" w:rsidRPr="00BC7FD6">
                <w:rPr>
                  <w:rStyle w:val="Hyperlink"/>
                </w:rPr>
                <w:t>C19/141</w:t>
              </w:r>
            </w:hyperlink>
          </w:p>
        </w:tc>
      </w:tr>
    </w:tbl>
    <w:p w:rsidR="0073582D" w:rsidRDefault="0073582D" w:rsidP="0073582D">
      <w:pPr>
        <w:spacing w:after="120"/>
        <w:rPr>
          <w:u w:val="single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8837"/>
        <w:gridCol w:w="1086"/>
      </w:tblGrid>
      <w:tr w:rsidR="0073582D" w:rsidRPr="0039463A" w:rsidTr="00B72EBA">
        <w:trPr>
          <w:jc w:val="center"/>
        </w:trPr>
        <w:tc>
          <w:tcPr>
            <w:tcW w:w="8505" w:type="dxa"/>
            <w:shd w:val="clear" w:color="auto" w:fill="8DB3E2" w:themeFill="text2" w:themeFillTint="66"/>
            <w:vAlign w:val="bottom"/>
          </w:tcPr>
          <w:p w:rsidR="0073582D" w:rsidRPr="0039463A" w:rsidRDefault="0073582D" w:rsidP="0073582D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Décision modifiée #</w:t>
            </w:r>
            <w:r w:rsidRPr="0039463A">
              <w:rPr>
                <w:b/>
                <w:bCs/>
              </w:rPr>
              <w:t xml:space="preserve"> - Tit</w:t>
            </w:r>
            <w:r>
              <w:rPr>
                <w:b/>
                <w:bCs/>
              </w:rPr>
              <w:t>re</w:t>
            </w:r>
          </w:p>
        </w:tc>
        <w:tc>
          <w:tcPr>
            <w:tcW w:w="992" w:type="dxa"/>
            <w:shd w:val="clear" w:color="auto" w:fill="8DB3E2" w:themeFill="text2" w:themeFillTint="66"/>
            <w:vAlign w:val="bottom"/>
          </w:tcPr>
          <w:p w:rsidR="0073582D" w:rsidRPr="0039463A" w:rsidRDefault="0073582D" w:rsidP="00FE1FFA">
            <w:pPr>
              <w:spacing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C19/#</w:t>
            </w:r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vAlign w:val="center"/>
          </w:tcPr>
          <w:p w:rsidR="0073582D" w:rsidRPr="00CD7BC5" w:rsidRDefault="0073582D" w:rsidP="004C7A20">
            <w:pPr>
              <w:spacing w:before="40" w:after="40"/>
              <w:rPr>
                <w:lang w:val="fr-CH"/>
              </w:rPr>
            </w:pPr>
            <w:r w:rsidRPr="00CD7BC5">
              <w:rPr>
                <w:b/>
                <w:bCs/>
                <w:lang w:val="fr-CH"/>
              </w:rPr>
              <w:t>Décision</w:t>
            </w:r>
            <w:r w:rsidRPr="00CD7BC5">
              <w:rPr>
                <w:lang w:val="fr-CH"/>
              </w:rPr>
              <w:t xml:space="preserve"> </w:t>
            </w:r>
            <w:r w:rsidRPr="00CD7BC5">
              <w:rPr>
                <w:b/>
                <w:bCs/>
                <w:lang w:val="fr-CH"/>
              </w:rPr>
              <w:t>563 (modifiée 2019)</w:t>
            </w:r>
            <w:r w:rsidRPr="00CD7BC5">
              <w:rPr>
                <w:lang w:val="fr-CH"/>
              </w:rPr>
              <w:t xml:space="preserve"> - </w:t>
            </w:r>
            <w:r w:rsidR="00CD7BC5" w:rsidRPr="00CD7BC5">
              <w:rPr>
                <w:lang w:val="fr-CH"/>
              </w:rPr>
              <w:t>Groupe de travail du Conseil sur les ressources financières et les ressources humaines</w:t>
            </w:r>
          </w:p>
        </w:tc>
        <w:tc>
          <w:tcPr>
            <w:tcW w:w="992" w:type="dxa"/>
            <w:vAlign w:val="center"/>
          </w:tcPr>
          <w:p w:rsidR="0073582D" w:rsidRPr="0039463A" w:rsidRDefault="004649CE" w:rsidP="004C7A20">
            <w:pPr>
              <w:spacing w:before="40" w:after="40"/>
              <w:jc w:val="center"/>
            </w:pPr>
            <w:hyperlink r:id="rId28" w:history="1">
              <w:r w:rsidR="0073582D" w:rsidRPr="00BC7FD6">
                <w:rPr>
                  <w:rStyle w:val="Hyperlink"/>
                </w:rPr>
                <w:t>C19/142</w:t>
              </w:r>
            </w:hyperlink>
          </w:p>
        </w:tc>
      </w:tr>
      <w:tr w:rsidR="0073582D" w:rsidRPr="0039463A" w:rsidTr="00B72EBA">
        <w:trPr>
          <w:jc w:val="center"/>
        </w:trPr>
        <w:tc>
          <w:tcPr>
            <w:tcW w:w="8505" w:type="dxa"/>
            <w:vAlign w:val="center"/>
          </w:tcPr>
          <w:p w:rsidR="0073582D" w:rsidRPr="00CD7BC5" w:rsidRDefault="0073582D" w:rsidP="004C7A20">
            <w:pPr>
              <w:spacing w:before="40" w:after="40"/>
              <w:rPr>
                <w:lang w:val="fr-CH"/>
              </w:rPr>
            </w:pPr>
            <w:r w:rsidRPr="00CD7BC5">
              <w:rPr>
                <w:b/>
                <w:bCs/>
                <w:lang w:val="fr-CH"/>
              </w:rPr>
              <w:t>Décision</w:t>
            </w:r>
            <w:r w:rsidRPr="00CD7BC5">
              <w:rPr>
                <w:lang w:val="fr-CH"/>
              </w:rPr>
              <w:t xml:space="preserve"> </w:t>
            </w:r>
            <w:r w:rsidRPr="00CD7BC5">
              <w:rPr>
                <w:b/>
                <w:bCs/>
                <w:lang w:val="fr-CH"/>
              </w:rPr>
              <w:t>482 (modifiée 2019)</w:t>
            </w:r>
            <w:r w:rsidRPr="00CD7BC5">
              <w:rPr>
                <w:lang w:val="fr-CH"/>
              </w:rPr>
              <w:t xml:space="preserve"> - </w:t>
            </w:r>
            <w:r w:rsidR="00CD7BC5" w:rsidRPr="00CD7BC5">
              <w:rPr>
                <w:lang w:val="fr-CH"/>
              </w:rPr>
              <w:t xml:space="preserve">Mise en </w:t>
            </w:r>
            <w:proofErr w:type="spellStart"/>
            <w:r w:rsidR="00CD7BC5" w:rsidRPr="00CD7BC5">
              <w:rPr>
                <w:lang w:val="fr-CH"/>
              </w:rPr>
              <w:t>oeuvre</w:t>
            </w:r>
            <w:proofErr w:type="spellEnd"/>
            <w:r w:rsidR="00CD7BC5" w:rsidRPr="00CD7BC5">
              <w:rPr>
                <w:lang w:val="fr-CH"/>
              </w:rPr>
              <w:t xml:space="preserve"> du recouvrement des coûts pour le traitement des fiches de notification des réseaux à satellite</w:t>
            </w:r>
          </w:p>
        </w:tc>
        <w:tc>
          <w:tcPr>
            <w:tcW w:w="992" w:type="dxa"/>
            <w:vAlign w:val="center"/>
          </w:tcPr>
          <w:p w:rsidR="0073582D" w:rsidRPr="0039463A" w:rsidRDefault="004649CE" w:rsidP="004C7A20">
            <w:pPr>
              <w:spacing w:before="40" w:after="40"/>
              <w:jc w:val="center"/>
            </w:pPr>
            <w:hyperlink r:id="rId29" w:history="1">
              <w:r w:rsidR="0073582D" w:rsidRPr="00BC7FD6">
                <w:rPr>
                  <w:rStyle w:val="Hyperlink"/>
                </w:rPr>
                <w:t>C19/143</w:t>
              </w:r>
            </w:hyperlink>
          </w:p>
        </w:tc>
      </w:tr>
    </w:tbl>
    <w:p w:rsidR="0073582D" w:rsidRPr="00F676E3" w:rsidRDefault="0073582D" w:rsidP="0073582D">
      <w:pPr>
        <w:spacing w:before="840"/>
        <w:jc w:val="center"/>
        <w:rPr>
          <w:u w:val="single"/>
        </w:rPr>
      </w:pPr>
      <w:r>
        <w:rPr>
          <w:u w:val="single"/>
        </w:rPr>
        <w:t>_________________</w:t>
      </w:r>
    </w:p>
    <w:sectPr w:rsidR="0073582D" w:rsidRPr="00F676E3" w:rsidSect="005C3890">
      <w:headerReference w:type="even" r:id="rId30"/>
      <w:headerReference w:type="default" r:id="rId31"/>
      <w:footerReference w:type="even" r:id="rId32"/>
      <w:footerReference w:type="default" r:id="rId33"/>
      <w:footerReference w:type="first" r:id="rId3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75" w:rsidRDefault="000D6075">
      <w:r>
        <w:separator/>
      </w:r>
    </w:p>
  </w:endnote>
  <w:endnote w:type="continuationSeparator" w:id="0">
    <w:p w:rsidR="000D6075" w:rsidRDefault="000D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E45015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649CE">
      <w:t>25.07.19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D607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522064" w:rsidRDefault="008C2919" w:rsidP="008C2919">
    <w:pPr>
      <w:pStyle w:val="Footer"/>
      <w:rPr>
        <w:color w:val="D9D9D9" w:themeColor="background1" w:themeShade="D9"/>
      </w:rPr>
    </w:pPr>
    <w:r w:rsidRPr="00522064">
      <w:rPr>
        <w:color w:val="D9D9D9" w:themeColor="background1" w:themeShade="D9"/>
      </w:rPr>
      <w:fldChar w:fldCharType="begin"/>
    </w:r>
    <w:r w:rsidRPr="00522064">
      <w:rPr>
        <w:color w:val="D9D9D9" w:themeColor="background1" w:themeShade="D9"/>
      </w:rPr>
      <w:instrText xml:space="preserve"> FILENAME \p \* MERGEFORMAT </w:instrText>
    </w:r>
    <w:r w:rsidRPr="00522064">
      <w:rPr>
        <w:color w:val="D9D9D9" w:themeColor="background1" w:themeShade="D9"/>
      </w:rPr>
      <w:fldChar w:fldCharType="separate"/>
    </w:r>
    <w:r w:rsidR="000D6075" w:rsidRPr="00522064">
      <w:rPr>
        <w:color w:val="D9D9D9" w:themeColor="background1" w:themeShade="D9"/>
      </w:rPr>
      <w:t>Document1</w:t>
    </w:r>
    <w:r w:rsidRPr="00522064">
      <w:rPr>
        <w:color w:val="D9D9D9" w:themeColor="background1" w:themeShade="D9"/>
      </w:rPr>
      <w:fldChar w:fldCharType="end"/>
    </w:r>
    <w:r w:rsidR="00732045" w:rsidRPr="00522064">
      <w:rPr>
        <w:color w:val="D9D9D9" w:themeColor="background1" w:themeShade="D9"/>
      </w:rPr>
      <w:tab/>
    </w:r>
    <w:r w:rsidR="00732045" w:rsidRPr="00522064">
      <w:rPr>
        <w:color w:val="D9D9D9" w:themeColor="background1" w:themeShade="D9"/>
      </w:rPr>
      <w:tab/>
    </w:r>
    <w:r w:rsidRPr="00522064">
      <w:rPr>
        <w:color w:val="D9D9D9" w:themeColor="background1" w:themeShade="D9"/>
      </w:rPr>
      <w:fldChar w:fldCharType="begin"/>
    </w:r>
    <w:r w:rsidRPr="00522064">
      <w:rPr>
        <w:color w:val="D9D9D9" w:themeColor="background1" w:themeShade="D9"/>
      </w:rPr>
      <w:instrText xml:space="preserve"> DATE   \* MERGEFORMAT </w:instrText>
    </w:r>
    <w:r w:rsidRPr="00522064">
      <w:rPr>
        <w:color w:val="D9D9D9" w:themeColor="background1" w:themeShade="D9"/>
      </w:rPr>
      <w:fldChar w:fldCharType="separate"/>
    </w:r>
    <w:r w:rsidR="004649CE">
      <w:rPr>
        <w:color w:val="D9D9D9" w:themeColor="background1" w:themeShade="D9"/>
      </w:rPr>
      <w:t>13/08/2019</w:t>
    </w:r>
    <w:r w:rsidRPr="00522064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522064" w:rsidRDefault="008C2919" w:rsidP="008C2919">
    <w:pPr>
      <w:pStyle w:val="Footer"/>
      <w:rPr>
        <w:color w:val="D9D9D9" w:themeColor="background1" w:themeShade="D9"/>
      </w:rPr>
    </w:pPr>
    <w:r w:rsidRPr="00522064">
      <w:rPr>
        <w:color w:val="D9D9D9" w:themeColor="background1" w:themeShade="D9"/>
      </w:rPr>
      <w:fldChar w:fldCharType="begin"/>
    </w:r>
    <w:r w:rsidRPr="00522064">
      <w:rPr>
        <w:color w:val="D9D9D9" w:themeColor="background1" w:themeShade="D9"/>
      </w:rPr>
      <w:instrText xml:space="preserve"> FILENAME \p \* MERGEFORMAT </w:instrText>
    </w:r>
    <w:r w:rsidRPr="00522064">
      <w:rPr>
        <w:color w:val="D9D9D9" w:themeColor="background1" w:themeShade="D9"/>
      </w:rPr>
      <w:fldChar w:fldCharType="separate"/>
    </w:r>
    <w:r w:rsidR="000D6075" w:rsidRPr="00522064">
      <w:rPr>
        <w:color w:val="D9D9D9" w:themeColor="background1" w:themeShade="D9"/>
      </w:rPr>
      <w:t>Document1</w:t>
    </w:r>
    <w:r w:rsidRPr="00522064">
      <w:rPr>
        <w:color w:val="D9D9D9" w:themeColor="background1" w:themeShade="D9"/>
      </w:rPr>
      <w:fldChar w:fldCharType="end"/>
    </w:r>
    <w:r w:rsidR="00732045" w:rsidRPr="00522064">
      <w:rPr>
        <w:color w:val="D9D9D9" w:themeColor="background1" w:themeShade="D9"/>
      </w:rPr>
      <w:tab/>
    </w:r>
    <w:r w:rsidR="00732045" w:rsidRPr="00522064">
      <w:rPr>
        <w:color w:val="D9D9D9" w:themeColor="background1" w:themeShade="D9"/>
      </w:rPr>
      <w:tab/>
    </w:r>
    <w:r w:rsidRPr="00522064">
      <w:rPr>
        <w:color w:val="D9D9D9" w:themeColor="background1" w:themeShade="D9"/>
      </w:rPr>
      <w:fldChar w:fldCharType="begin"/>
    </w:r>
    <w:r w:rsidRPr="00522064">
      <w:rPr>
        <w:color w:val="D9D9D9" w:themeColor="background1" w:themeShade="D9"/>
      </w:rPr>
      <w:instrText xml:space="preserve"> DATE   \* MERGEFORMAT </w:instrText>
    </w:r>
    <w:r w:rsidRPr="00522064">
      <w:rPr>
        <w:color w:val="D9D9D9" w:themeColor="background1" w:themeShade="D9"/>
      </w:rPr>
      <w:fldChar w:fldCharType="separate"/>
    </w:r>
    <w:r w:rsidR="004649CE">
      <w:rPr>
        <w:color w:val="D9D9D9" w:themeColor="background1" w:themeShade="D9"/>
      </w:rPr>
      <w:t>13/08/2019</w:t>
    </w:r>
    <w:r w:rsidRPr="00522064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75" w:rsidRDefault="000D6075">
      <w:r>
        <w:t>____________________</w:t>
      </w:r>
    </w:p>
  </w:footnote>
  <w:footnote w:type="continuationSeparator" w:id="0">
    <w:p w:rsidR="000D6075" w:rsidRDefault="000D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649CE">
      <w:rPr>
        <w:noProof/>
      </w:rPr>
      <w:t>2</w:t>
    </w:r>
    <w:r>
      <w:rPr>
        <w:noProof/>
      </w:rPr>
      <w:fldChar w:fldCharType="end"/>
    </w:r>
  </w:p>
  <w:p w:rsidR="00732045" w:rsidRDefault="00732045" w:rsidP="0073582D">
    <w:pPr>
      <w:pStyle w:val="Header"/>
    </w:pPr>
    <w:r>
      <w:t>C1</w:t>
    </w:r>
    <w:r w:rsidR="008C2919">
      <w:t>9</w:t>
    </w:r>
    <w:r>
      <w:t>/</w:t>
    </w:r>
    <w:r w:rsidR="0073582D">
      <w:t>144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5"/>
    <w:rsid w:val="000D031B"/>
    <w:rsid w:val="000D0D0A"/>
    <w:rsid w:val="000D6075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49CE"/>
    <w:rsid w:val="0046769A"/>
    <w:rsid w:val="00475FB3"/>
    <w:rsid w:val="004C37A9"/>
    <w:rsid w:val="004C7A20"/>
    <w:rsid w:val="004F259E"/>
    <w:rsid w:val="00511F1D"/>
    <w:rsid w:val="00520F36"/>
    <w:rsid w:val="00522064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582D"/>
    <w:rsid w:val="007369DB"/>
    <w:rsid w:val="0077515D"/>
    <w:rsid w:val="00781FC7"/>
    <w:rsid w:val="007956C2"/>
    <w:rsid w:val="007A187E"/>
    <w:rsid w:val="007C72C2"/>
    <w:rsid w:val="007D4436"/>
    <w:rsid w:val="007F257A"/>
    <w:rsid w:val="007F3665"/>
    <w:rsid w:val="00800037"/>
    <w:rsid w:val="008028E8"/>
    <w:rsid w:val="00861D73"/>
    <w:rsid w:val="008660B5"/>
    <w:rsid w:val="008A4E87"/>
    <w:rsid w:val="008C2919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72EBA"/>
    <w:rsid w:val="00BB4545"/>
    <w:rsid w:val="00BD5873"/>
    <w:rsid w:val="00BD7737"/>
    <w:rsid w:val="00C04BE3"/>
    <w:rsid w:val="00C25D29"/>
    <w:rsid w:val="00C27A7C"/>
    <w:rsid w:val="00CA08ED"/>
    <w:rsid w:val="00CD7BC5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45015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E9F41B8-939E-49D2-8374-FCC9C0E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table" w:styleId="TableGrid">
    <w:name w:val="Table Grid"/>
    <w:basedOn w:val="TableNormal"/>
    <w:rsid w:val="007358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122/en" TargetMode="External"/><Relationship Id="rId13" Type="http://schemas.openxmlformats.org/officeDocument/2006/relationships/hyperlink" Target="https://www.itu.int/md/S19-CL-C-0127/en" TargetMode="External"/><Relationship Id="rId18" Type="http://schemas.openxmlformats.org/officeDocument/2006/relationships/hyperlink" Target="https://www.itu.int/md/S19-CL-C-0132/en" TargetMode="External"/><Relationship Id="rId26" Type="http://schemas.openxmlformats.org/officeDocument/2006/relationships/hyperlink" Target="https://www.itu.int/md/S19-CL-C-0140/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S19-CL-C-0135/en" TargetMode="External"/><Relationship Id="rId34" Type="http://schemas.openxmlformats.org/officeDocument/2006/relationships/footer" Target="footer3.xml"/><Relationship Id="rId7" Type="http://schemas.openxmlformats.org/officeDocument/2006/relationships/hyperlink" Target="https://www.itu.int/md/S19-CL-C-0121/en" TargetMode="External"/><Relationship Id="rId12" Type="http://schemas.openxmlformats.org/officeDocument/2006/relationships/hyperlink" Target="https://www.itu.int/md/S19-CL-C-0126/en" TargetMode="External"/><Relationship Id="rId17" Type="http://schemas.openxmlformats.org/officeDocument/2006/relationships/hyperlink" Target="https://www.itu.int/md/S19-CL-C-0131/en" TargetMode="External"/><Relationship Id="rId25" Type="http://schemas.openxmlformats.org/officeDocument/2006/relationships/hyperlink" Target="https://www.itu.int/md/S19-CL-C-0139/en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19-CL-C-0130/en" TargetMode="External"/><Relationship Id="rId20" Type="http://schemas.openxmlformats.org/officeDocument/2006/relationships/hyperlink" Target="https://www.itu.int/md/S19-CL-C-0134/en" TargetMode="External"/><Relationship Id="rId29" Type="http://schemas.openxmlformats.org/officeDocument/2006/relationships/hyperlink" Target="https://www.itu.int/md/S19-CL-C-0143/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9-CL-C-0125/en" TargetMode="External"/><Relationship Id="rId24" Type="http://schemas.openxmlformats.org/officeDocument/2006/relationships/hyperlink" Target="https://www.itu.int/md/S19-CL-C-0138/en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19-CL-C-0129/en" TargetMode="External"/><Relationship Id="rId23" Type="http://schemas.openxmlformats.org/officeDocument/2006/relationships/hyperlink" Target="https://www.itu.int/md/S19-CL-C-0137/en" TargetMode="External"/><Relationship Id="rId28" Type="http://schemas.openxmlformats.org/officeDocument/2006/relationships/hyperlink" Target="https://www.itu.int/md/S19-CL-C-0142/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md/S19-CL-C-0124/en" TargetMode="External"/><Relationship Id="rId19" Type="http://schemas.openxmlformats.org/officeDocument/2006/relationships/hyperlink" Target="https://www.itu.int/md/S19-CL-C-0133/en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9-CL-C-0123/en" TargetMode="External"/><Relationship Id="rId14" Type="http://schemas.openxmlformats.org/officeDocument/2006/relationships/hyperlink" Target="https://www.itu.int/md/S19-CL-C-0128/en" TargetMode="External"/><Relationship Id="rId22" Type="http://schemas.openxmlformats.org/officeDocument/2006/relationships/hyperlink" Target="https://www.itu.int/md/S19-CL-C-0136/en" TargetMode="External"/><Relationship Id="rId27" Type="http://schemas.openxmlformats.org/officeDocument/2006/relationships/hyperlink" Target="https://www.itu.int/md/S19-CL-C-0141/en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Résolutions et Décisions</vt:lpstr>
    </vt:vector>
  </TitlesOfParts>
  <Manager>Secrétariat général - Pool</Manager>
  <Company>Union internationale des télécommunications (UIT)</Company>
  <LinksUpToDate>false</LinksUpToDate>
  <CharactersWithSpaces>4392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Résolutions et Décisions</dc:title>
  <dc:subject>Conseil 2019</dc:subject>
  <dc:creator>Brouard, Ricarda</dc:creator>
  <cp:keywords>C2019, C19</cp:keywords>
  <dc:description/>
  <cp:lastModifiedBy>Janin, Patricia</cp:lastModifiedBy>
  <cp:revision>3</cp:revision>
  <cp:lastPrinted>2000-07-18T08:55:00Z</cp:lastPrinted>
  <dcterms:created xsi:type="dcterms:W3CDTF">2019-07-25T12:49:00Z</dcterms:created>
  <dcterms:modified xsi:type="dcterms:W3CDTF">2019-08-13T08:10:00Z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