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E003CB">
            <w:pPr>
              <w:spacing w:before="0"/>
              <w:rPr>
                <w:b/>
                <w:bCs/>
                <w:szCs w:val="24"/>
              </w:rPr>
            </w:pPr>
            <w:r>
              <w:rPr>
                <w:b/>
                <w:bCs/>
                <w:szCs w:val="24"/>
              </w:rPr>
              <w:t>Documento C1</w:t>
            </w:r>
            <w:r w:rsidR="0051504E">
              <w:rPr>
                <w:b/>
                <w:bCs/>
                <w:szCs w:val="24"/>
              </w:rPr>
              <w:t>9</w:t>
            </w:r>
            <w:r>
              <w:rPr>
                <w:b/>
                <w:bCs/>
                <w:szCs w:val="24"/>
              </w:rPr>
              <w:t>/</w:t>
            </w:r>
            <w:r w:rsidR="00C03EEA">
              <w:rPr>
                <w:b/>
                <w:bCs/>
                <w:szCs w:val="24"/>
              </w:rPr>
              <w:t>136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003CB" w:rsidP="00E003CB">
            <w:pPr>
              <w:spacing w:before="0"/>
              <w:rPr>
                <w:b/>
                <w:bCs/>
                <w:szCs w:val="24"/>
              </w:rPr>
            </w:pPr>
            <w:r>
              <w:rPr>
                <w:b/>
                <w:bCs/>
                <w:szCs w:val="24"/>
              </w:rPr>
              <w:t>20 de junio</w:t>
            </w:r>
            <w:r w:rsidR="00093EEB">
              <w:rPr>
                <w:b/>
                <w:bCs/>
                <w:szCs w:val="24"/>
              </w:rPr>
              <w:t xml:space="preserve"> de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E003CB" w:rsidRDefault="00E003CB" w:rsidP="00E003CB">
      <w:pPr>
        <w:pStyle w:val="ResNo"/>
      </w:pPr>
      <w:r w:rsidRPr="00FA2C9E">
        <w:t xml:space="preserve">Resolución </w:t>
      </w:r>
      <w:r w:rsidR="00C03EEA">
        <w:t>1305 (Modificada 2019)</w:t>
      </w:r>
    </w:p>
    <w:p w:rsidR="00E003CB" w:rsidRPr="00E04367" w:rsidRDefault="00E003CB" w:rsidP="00171681">
      <w:pPr>
        <w:spacing w:before="240"/>
        <w:jc w:val="center"/>
      </w:pPr>
      <w:r w:rsidRPr="00E04367">
        <w:rPr>
          <w:sz w:val="28"/>
          <w:szCs w:val="28"/>
        </w:rPr>
        <w:t>(</w:t>
      </w:r>
      <w:proofErr w:type="gramStart"/>
      <w:r w:rsidRPr="00E04367">
        <w:rPr>
          <w:sz w:val="28"/>
          <w:szCs w:val="28"/>
        </w:rPr>
        <w:t>adoptad</w:t>
      </w:r>
      <w:r>
        <w:rPr>
          <w:sz w:val="28"/>
          <w:szCs w:val="28"/>
        </w:rPr>
        <w:t>a</w:t>
      </w:r>
      <w:proofErr w:type="gramEnd"/>
      <w:r>
        <w:rPr>
          <w:sz w:val="28"/>
          <w:szCs w:val="28"/>
        </w:rPr>
        <w:t xml:space="preserve"> en la </w:t>
      </w:r>
      <w:r w:rsidR="00171681">
        <w:rPr>
          <w:sz w:val="28"/>
          <w:szCs w:val="28"/>
        </w:rPr>
        <w:t>segund</w:t>
      </w:r>
      <w:r w:rsidR="00C03EEA">
        <w:rPr>
          <w:sz w:val="28"/>
          <w:szCs w:val="28"/>
        </w:rPr>
        <w:t xml:space="preserve">a </w:t>
      </w:r>
      <w:r w:rsidRPr="00E04367">
        <w:rPr>
          <w:sz w:val="28"/>
          <w:szCs w:val="28"/>
        </w:rPr>
        <w:t>Sesión Plenaria)</w:t>
      </w:r>
    </w:p>
    <w:p w:rsidR="00C03EEA" w:rsidRPr="006F52C6" w:rsidRDefault="00C03EEA" w:rsidP="006F52C6">
      <w:pPr>
        <w:pStyle w:val="Restitle"/>
      </w:pPr>
      <w:bookmarkStart w:id="7" w:name="_Toc423439554"/>
      <w:bookmarkStart w:id="8" w:name="_Toc423440597"/>
      <w:bookmarkStart w:id="9" w:name="_Toc458528096"/>
      <w:bookmarkStart w:id="10" w:name="_Toc490049339"/>
      <w:r w:rsidRPr="006F52C6">
        <w:t>Papel del Grupo Especializado a la hora de identificar cuestiones</w:t>
      </w:r>
      <w:r w:rsidRPr="006F52C6">
        <w:br/>
        <w:t>de política pública relacionadas con Internet</w:t>
      </w:r>
      <w:bookmarkEnd w:id="7"/>
      <w:bookmarkEnd w:id="8"/>
      <w:bookmarkEnd w:id="9"/>
      <w:bookmarkEnd w:id="10"/>
    </w:p>
    <w:p w:rsidR="00C03EEA" w:rsidRPr="006F52C6" w:rsidRDefault="00C03EEA" w:rsidP="006F52C6">
      <w:pPr>
        <w:pStyle w:val="Normalaftertitle"/>
      </w:pPr>
      <w:r w:rsidRPr="006F52C6">
        <w:rPr>
          <w:rStyle w:val="goog-gtc-translatablegoog-gtc-from-mt"/>
        </w:rPr>
        <w:t>El Consejo,</w:t>
      </w:r>
    </w:p>
    <w:p w:rsidR="00C03EEA" w:rsidRPr="006F52C6" w:rsidRDefault="00C03EEA" w:rsidP="006F52C6">
      <w:pPr>
        <w:pStyle w:val="Call"/>
      </w:pPr>
      <w:proofErr w:type="gramStart"/>
      <w:r w:rsidRPr="006F52C6">
        <w:t>reconociendo</w:t>
      </w:r>
      <w:proofErr w:type="gramEnd"/>
    </w:p>
    <w:p w:rsidR="00C03EEA" w:rsidRPr="004117C2" w:rsidRDefault="00C03EEA" w:rsidP="006F52C6">
      <w:pPr>
        <w:rPr>
          <w:rStyle w:val="goog-gtc-translatablegoog-gtc-from-mt"/>
        </w:rPr>
      </w:pPr>
      <w:r w:rsidRPr="004117C2">
        <w:rPr>
          <w:rStyle w:val="goog-gtc-translatablegoog-gtc-from-mt"/>
          <w:i/>
          <w:iCs/>
        </w:rPr>
        <w:t>a)</w:t>
      </w:r>
      <w:r w:rsidRPr="004117C2">
        <w:rPr>
          <w:rStyle w:val="goog-gtc-translatablegoog-gtc-from-mt"/>
        </w:rPr>
        <w:tab/>
      </w:r>
      <w:proofErr w:type="gramStart"/>
      <w:r w:rsidRPr="004117C2">
        <w:rPr>
          <w:rStyle w:val="goog-gtc-translatablegoog-gtc-from-mt"/>
        </w:rPr>
        <w:t>el</w:t>
      </w:r>
      <w:proofErr w:type="gramEnd"/>
      <w:r w:rsidRPr="004117C2">
        <w:rPr>
          <w:rStyle w:val="goog-gtc-translatablegoog-gtc-from-mt"/>
        </w:rPr>
        <w:t xml:space="preserve"> apartado 70 2) del Artículo 10 de la Constitución de la UIT, en el que se define que, en el marco de la estructura de la Unión, una de las funciones del Consejo será </w:t>
      </w:r>
      <w:r w:rsidRPr="004117C2">
        <w:rPr>
          <w:rFonts w:eastAsia="SimSun"/>
          <w:szCs w:val="24"/>
          <w:lang w:eastAsia="zh-CN"/>
        </w:rPr>
        <w:t xml:space="preserve">examinar las grandes cuestiones de política de las telecomunicaciones, siguiendo las directrices generales de la </w:t>
      </w:r>
      <w:r w:rsidRPr="004117C2">
        <w:rPr>
          <w:rFonts w:eastAsia="SimSun"/>
        </w:rPr>
        <w:t>Conferencia de Plenipotenciarios, a fin de que las orientaciones políticas y la estrategia de la Unión respondan plenamente a la evolución de las telecomunicaciones</w:t>
      </w:r>
      <w:r w:rsidRPr="004117C2">
        <w:rPr>
          <w:rStyle w:val="goog-gtc-translatablegoog-gtc-from-mt"/>
        </w:rPr>
        <w:t>;</w:t>
      </w:r>
    </w:p>
    <w:p w:rsidR="00C03EEA" w:rsidRPr="004117C2" w:rsidRDefault="00C03EEA" w:rsidP="006F52C6">
      <w:pPr>
        <w:rPr>
          <w:rFonts w:eastAsia="SimSun"/>
          <w:szCs w:val="24"/>
          <w:lang w:eastAsia="zh-CN"/>
        </w:rPr>
      </w:pPr>
      <w:r w:rsidRPr="004117C2">
        <w:rPr>
          <w:rStyle w:val="goog-gtc-translatablegoog-gtc-from-mt"/>
          <w:i/>
          <w:iCs/>
        </w:rPr>
        <w:t>b)</w:t>
      </w:r>
      <w:r w:rsidRPr="004117C2">
        <w:rPr>
          <w:rStyle w:val="goog-gtc-translatablegoog-gtc-from-mt"/>
        </w:rPr>
        <w:tab/>
      </w:r>
      <w:r w:rsidRPr="004117C2">
        <w:rPr>
          <w:rStyle w:val="goog-gtc-translatablegoog-gtc-from-mt"/>
          <w:szCs w:val="24"/>
        </w:rPr>
        <w:t xml:space="preserve">la </w:t>
      </w:r>
      <w:r w:rsidRPr="004117C2">
        <w:rPr>
          <w:rFonts w:eastAsia="SimSun"/>
        </w:rPr>
        <w:t>Resolución 102 (Rev. Antalya, 2006) sobre la función de la UIT con respecto a las cuestiones de política pública internacional relacionadas con Internet y la gestión de los recursos de Internet, incluidos los nombres de dominio y las direcciones</w:t>
      </w:r>
      <w:r w:rsidRPr="004117C2">
        <w:rPr>
          <w:rStyle w:val="goog-gtc-translatablegoog-gtc-from-mt"/>
        </w:rPr>
        <w:t>;</w:t>
      </w:r>
    </w:p>
    <w:p w:rsidR="00C03EEA" w:rsidRPr="004117C2" w:rsidRDefault="00C03EEA" w:rsidP="006F52C6">
      <w:r w:rsidRPr="004117C2">
        <w:rPr>
          <w:rStyle w:val="goog-gtc-translatablegoog-gtc-from-mt"/>
          <w:i/>
          <w:iCs/>
        </w:rPr>
        <w:t>c)</w:t>
      </w:r>
      <w:r w:rsidRPr="004117C2">
        <w:rPr>
          <w:rStyle w:val="goog-gtc-translatablegoog-gtc-from-mt"/>
        </w:rPr>
        <w:tab/>
        <w:t xml:space="preserve">la </w:t>
      </w:r>
      <w:r w:rsidRPr="004117C2">
        <w:t>Resolución 101 (Rev. Antalya, 2006) sobre las redes basadas en el protocolo Internet</w:t>
      </w:r>
      <w:r w:rsidRPr="004117C2">
        <w:rPr>
          <w:rStyle w:val="goog-gtc-translatablegoog-gtc-from-mt"/>
        </w:rPr>
        <w:t>;</w:t>
      </w:r>
    </w:p>
    <w:p w:rsidR="00C03EEA" w:rsidRPr="004117C2" w:rsidRDefault="00C03EEA" w:rsidP="006F52C6">
      <w:r w:rsidRPr="004117C2">
        <w:rPr>
          <w:rStyle w:val="goog-gtc-translatablegoog-gtc-from-mt"/>
          <w:i/>
          <w:iCs/>
        </w:rPr>
        <w:t>d)</w:t>
      </w:r>
      <w:r w:rsidRPr="004117C2">
        <w:rPr>
          <w:rStyle w:val="goog-gtc-translatablegoog-gtc-from-mt"/>
        </w:rPr>
        <w:tab/>
        <w:t xml:space="preserve">la </w:t>
      </w:r>
      <w:r w:rsidRPr="004117C2">
        <w:t>Resolución 133 (Rev. Antalya, 2006) sobre la función de las Administraciones de los Estados Miembros en la gestión de los nombres de dominio internacionalizados (plurilingües)</w:t>
      </w:r>
      <w:r w:rsidRPr="004117C2">
        <w:rPr>
          <w:rStyle w:val="goog-gtc-translatablegoog-gtc-from-mt"/>
        </w:rPr>
        <w:t>;</w:t>
      </w:r>
    </w:p>
    <w:p w:rsidR="00C03EEA" w:rsidRPr="004117C2" w:rsidRDefault="00C03EEA" w:rsidP="006F52C6">
      <w:pPr>
        <w:rPr>
          <w:rStyle w:val="goog-gtc-translatablegoog-gtc-from-mt"/>
        </w:rPr>
      </w:pPr>
      <w:r w:rsidRPr="004117C2">
        <w:rPr>
          <w:rStyle w:val="goog-gtc-translatablegoog-gtc-from-mt"/>
          <w:i/>
          <w:iCs/>
        </w:rPr>
        <w:t>e)</w:t>
      </w:r>
      <w:r w:rsidRPr="004117C2">
        <w:rPr>
          <w:rStyle w:val="goog-gtc-translatablegoog-gtc-from-mt"/>
        </w:rPr>
        <w:tab/>
        <w:t>la Resolución 75 (Johannesburgo, 2008) de la AMNT sobre la c</w:t>
      </w:r>
      <w:r w:rsidRPr="004117C2">
        <w:t>ontribución del UIT-T a la puesta en práctica de los resultados de la Cumbre Mundial sobre la Sociedad de la Información y al establecimiento de un Grupo Especializado sobre cuestiones de política pública relacionada con Internet como parte integrante del Grupo de Trabajo del Consejo sobre la Cumbre Mundial sobre la Sociedad de la Información</w:t>
      </w:r>
      <w:r w:rsidRPr="004117C2">
        <w:rPr>
          <w:rStyle w:val="goog-gtc-translatablegoog-gtc-from-mt"/>
        </w:rPr>
        <w:t>;</w:t>
      </w:r>
    </w:p>
    <w:p w:rsidR="00C03EEA" w:rsidRPr="004117C2" w:rsidRDefault="00C03EEA" w:rsidP="006F52C6">
      <w:r w:rsidRPr="004117C2">
        <w:rPr>
          <w:rStyle w:val="goog-gtc-translatablegoog-gtc-from-mt"/>
          <w:i/>
          <w:iCs/>
        </w:rPr>
        <w:t>f)</w:t>
      </w:r>
      <w:r w:rsidRPr="004117C2">
        <w:rPr>
          <w:rStyle w:val="goog-gtc-translatablegoog-gtc-from-mt"/>
        </w:rPr>
        <w:tab/>
      </w:r>
      <w:r w:rsidRPr="004117C2">
        <w:t>la Resolución 47 (Rev. Johannesburgo, 2008) de la AMNT sobre nombres de dominio de nivel superior de código de país</w:t>
      </w:r>
      <w:r w:rsidRPr="004117C2">
        <w:rPr>
          <w:rStyle w:val="goog-gtc-translatablegoog-gtc-from-mt"/>
        </w:rPr>
        <w:t>;</w:t>
      </w:r>
    </w:p>
    <w:p w:rsidR="00C03EEA" w:rsidRPr="004117C2" w:rsidRDefault="00C03EEA" w:rsidP="006F52C6">
      <w:r w:rsidRPr="004117C2">
        <w:rPr>
          <w:rStyle w:val="goog-gtc-translatablegoog-gtc-from-mt"/>
          <w:i/>
          <w:iCs/>
        </w:rPr>
        <w:t>g)</w:t>
      </w:r>
      <w:r w:rsidRPr="004117C2">
        <w:rPr>
          <w:rStyle w:val="goog-gtc-translatablegoog-gtc-from-mt"/>
        </w:rPr>
        <w:tab/>
      </w:r>
      <w:r w:rsidRPr="004117C2">
        <w:t>la Resolución 48 (Rev. Johannesburgo, 2008) de la AMNT sobre nombres de dominio internacionalizados</w:t>
      </w:r>
      <w:r w:rsidRPr="004117C2">
        <w:rPr>
          <w:rStyle w:val="goog-gtc-translatablegoog-gtc-from-mt"/>
        </w:rPr>
        <w:t>;</w:t>
      </w:r>
    </w:p>
    <w:p w:rsidR="00C03EEA" w:rsidRPr="004117C2" w:rsidRDefault="00C03EEA" w:rsidP="006F52C6">
      <w:r w:rsidRPr="004117C2">
        <w:rPr>
          <w:rStyle w:val="goog-gtc-translatablegoog-gtc-from-mt"/>
          <w:i/>
          <w:iCs/>
        </w:rPr>
        <w:t>h)</w:t>
      </w:r>
      <w:r w:rsidRPr="004117C2">
        <w:rPr>
          <w:rStyle w:val="goog-gtc-translatablegoog-gtc-from-mt"/>
        </w:rPr>
        <w:tab/>
      </w:r>
      <w:r w:rsidRPr="004117C2">
        <w:t>la Resolución 49 (Rev. Johannesburgo, 2008) de la AMNT sobre ENUM</w:t>
      </w:r>
      <w:r w:rsidRPr="004117C2">
        <w:rPr>
          <w:rStyle w:val="goog-gtc-translatablegoog-gtc-from-mt"/>
        </w:rPr>
        <w:t>;</w:t>
      </w:r>
    </w:p>
    <w:p w:rsidR="00C03EEA" w:rsidRPr="004117C2" w:rsidRDefault="00C03EEA" w:rsidP="006F52C6">
      <w:r w:rsidRPr="004117C2">
        <w:rPr>
          <w:rStyle w:val="goog-gtc-translatablegoog-gtc-from-mt"/>
          <w:i/>
          <w:iCs/>
        </w:rPr>
        <w:t>i)</w:t>
      </w:r>
      <w:r w:rsidRPr="004117C2">
        <w:rPr>
          <w:rStyle w:val="goog-gtc-translatablegoog-gtc-from-mt"/>
        </w:rPr>
        <w:tab/>
      </w:r>
      <w:r w:rsidRPr="004117C2">
        <w:t xml:space="preserve">la Resolución 50 (Rev. Johannesburgo, 2008) de la AMNT sobre </w:t>
      </w:r>
      <w:proofErr w:type="spellStart"/>
      <w:r w:rsidRPr="004117C2">
        <w:t>ciberseguridad</w:t>
      </w:r>
      <w:proofErr w:type="spellEnd"/>
      <w:r w:rsidRPr="004117C2">
        <w:rPr>
          <w:rStyle w:val="goog-gtc-translatablegoog-gtc-from-mt"/>
        </w:rPr>
        <w:t>;</w:t>
      </w:r>
    </w:p>
    <w:p w:rsidR="00C03EEA" w:rsidRPr="004117C2" w:rsidRDefault="00C03EEA" w:rsidP="006F52C6">
      <w:r w:rsidRPr="004117C2">
        <w:rPr>
          <w:rStyle w:val="goog-gtc-translatablegoog-gtc-from-mt"/>
          <w:i/>
          <w:iCs/>
        </w:rPr>
        <w:t>j)</w:t>
      </w:r>
      <w:r w:rsidRPr="004117C2">
        <w:rPr>
          <w:rStyle w:val="goog-gtc-translatablegoog-gtc-from-mt"/>
        </w:rPr>
        <w:tab/>
      </w:r>
      <w:r w:rsidRPr="004117C2">
        <w:t>la Resolución 52 (Rev. Johannesburgo, 2008) de la AMNT sobre respuesta y lucha contra el correo basura</w:t>
      </w:r>
      <w:r w:rsidRPr="004117C2">
        <w:rPr>
          <w:rStyle w:val="goog-gtc-translatablegoog-gtc-from-mt"/>
        </w:rPr>
        <w:t>;</w:t>
      </w:r>
    </w:p>
    <w:p w:rsidR="00C03EEA" w:rsidRPr="004117C2" w:rsidRDefault="00C03EEA" w:rsidP="00C03EEA">
      <w:pPr>
        <w:rPr>
          <w:rStyle w:val="goog-gtc-translatablegoog-gtc-from-mt"/>
        </w:rPr>
      </w:pPr>
      <w:r w:rsidRPr="004117C2">
        <w:rPr>
          <w:rStyle w:val="goog-gtc-translatablegoog-gtc-from-mt"/>
          <w:i/>
          <w:iCs/>
        </w:rPr>
        <w:lastRenderedPageBreak/>
        <w:t>k)</w:t>
      </w:r>
      <w:r w:rsidRPr="004117C2">
        <w:rPr>
          <w:rStyle w:val="goog-gtc-translatablegoog-gtc-from-mt"/>
        </w:rPr>
        <w:tab/>
        <w:t>la Resolución 64 (Johannesburgo, 2008) de la AMNT sobre asignación de direcciones IP y fomento de la implantación de IPv6;</w:t>
      </w:r>
    </w:p>
    <w:p w:rsidR="00C03EEA" w:rsidRPr="004117C2" w:rsidRDefault="00C03EEA" w:rsidP="00C03EEA">
      <w:r w:rsidRPr="004117C2">
        <w:rPr>
          <w:i/>
          <w:iCs/>
        </w:rPr>
        <w:t>l)</w:t>
      </w:r>
      <w:r w:rsidRPr="004117C2">
        <w:tab/>
        <w:t>la Resolución 69 (Johannesburgo, 2008) sobre el acceso y utilización no discriminatorios de los recursos de Internet</w:t>
      </w:r>
      <w:r w:rsidRPr="004117C2">
        <w:rPr>
          <w:rStyle w:val="goog-gtc-translatablegoog-gtc-from-mt"/>
        </w:rPr>
        <w:t>;</w:t>
      </w:r>
    </w:p>
    <w:p w:rsidR="00C03EEA" w:rsidRPr="004117C2" w:rsidRDefault="00C03EEA" w:rsidP="00C03EEA">
      <w:r w:rsidRPr="004117C2">
        <w:rPr>
          <w:rStyle w:val="goog-gtc-translatablegoog-gtc-from-mt"/>
          <w:i/>
          <w:iCs/>
        </w:rPr>
        <w:t>m)</w:t>
      </w:r>
      <w:r w:rsidRPr="004117C2">
        <w:rPr>
          <w:rStyle w:val="goog-gtc-translatablegoog-gtc-from-mt"/>
        </w:rPr>
        <w:tab/>
        <w:t xml:space="preserve">el Programa 3 adoptado por la Conferencia Mundial de Desarrollo de las Telecomunicaciones (Rev. Doha, 2006), que incluye la </w:t>
      </w:r>
      <w:proofErr w:type="spellStart"/>
      <w:r w:rsidRPr="004117C2">
        <w:rPr>
          <w:rStyle w:val="goog-gtc-translatablegoog-gtc-from-mt"/>
        </w:rPr>
        <w:t>ciberseguridad</w:t>
      </w:r>
      <w:proofErr w:type="spellEnd"/>
      <w:r w:rsidRPr="004117C2">
        <w:rPr>
          <w:rStyle w:val="goog-gtc-translatablegoog-gtc-from-mt"/>
        </w:rPr>
        <w:t xml:space="preserve"> como una de sus actividades prioritarias;</w:t>
      </w:r>
    </w:p>
    <w:p w:rsidR="00C03EEA" w:rsidRPr="004117C2" w:rsidRDefault="00C03EEA" w:rsidP="00C03EEA">
      <w:r w:rsidRPr="004117C2">
        <w:rPr>
          <w:rStyle w:val="goog-gtc-translatablegoog-gtc-from-mt"/>
          <w:i/>
          <w:iCs/>
        </w:rPr>
        <w:t>n)</w:t>
      </w:r>
      <w:r w:rsidRPr="004117C2">
        <w:rPr>
          <w:rStyle w:val="goog-gtc-translatablegoog-gtc-from-mt"/>
        </w:rPr>
        <w:tab/>
      </w:r>
      <w:r w:rsidRPr="004117C2">
        <w:t>la Resolución 1282 del Consejo y las modificaciones aportadas por el Consejo en su reunión de 2008, de conformidad con la Resolución 75 (Johannesburgo, 2008) de la AMNT</w:t>
      </w:r>
      <w:r w:rsidRPr="004117C2">
        <w:rPr>
          <w:rStyle w:val="goog-gtc-translatablegoog-gtc-from-mt"/>
        </w:rPr>
        <w:t>;</w:t>
      </w:r>
    </w:p>
    <w:p w:rsidR="00C03EEA" w:rsidRPr="004117C2" w:rsidRDefault="00C03EEA" w:rsidP="00C03EEA">
      <w:r w:rsidRPr="004117C2">
        <w:rPr>
          <w:rStyle w:val="goog-gtc-translatablegoog-gtc-from-mt"/>
          <w:i/>
          <w:iCs/>
        </w:rPr>
        <w:t>o)</w:t>
      </w:r>
      <w:r w:rsidRPr="004117C2">
        <w:rPr>
          <w:rStyle w:val="goog-gtc-translatablegoog-gtc-from-mt"/>
        </w:rPr>
        <w:tab/>
        <w:t xml:space="preserve">la </w:t>
      </w:r>
      <w:r w:rsidRPr="004117C2">
        <w:t xml:space="preserve">Opinión 1 (Lisboa, 2009) del FMPT sobre cuestiones de política pública en materia de Internet, </w:t>
      </w:r>
    </w:p>
    <w:p w:rsidR="00C03EEA" w:rsidRPr="004117C2" w:rsidRDefault="00C03EEA" w:rsidP="00C03EEA">
      <w:pPr>
        <w:pStyle w:val="Call"/>
      </w:pPr>
      <w:proofErr w:type="gramStart"/>
      <w:r w:rsidRPr="004117C2">
        <w:t>reconociendo</w:t>
      </w:r>
      <w:proofErr w:type="gramEnd"/>
      <w:r w:rsidRPr="004117C2">
        <w:t xml:space="preserve"> además</w:t>
      </w:r>
    </w:p>
    <w:p w:rsidR="00C03EEA" w:rsidRPr="004117C2" w:rsidRDefault="00C03EEA" w:rsidP="00C03EEA">
      <w:r w:rsidRPr="004117C2">
        <w:rPr>
          <w:rStyle w:val="goog-gtc-translatablegoog-gtc-from-mt"/>
          <w:i/>
          <w:iCs/>
        </w:rPr>
        <w:t>a)</w:t>
      </w:r>
      <w:r w:rsidRPr="004117C2">
        <w:rPr>
          <w:rStyle w:val="goog-gtc-translatablegoog-gtc-from-mt"/>
        </w:rPr>
        <w:tab/>
        <w:t>que, de conformidad con la Resolución 75 (Johannesburgo, 2008) de la AMNT y la Resolución 1282 (</w:t>
      </w:r>
      <w:proofErr w:type="spellStart"/>
      <w:r w:rsidRPr="004117C2">
        <w:rPr>
          <w:rStyle w:val="goog-gtc-translatablegoog-gtc-from-mt"/>
        </w:rPr>
        <w:t>Mod</w:t>
      </w:r>
      <w:proofErr w:type="spellEnd"/>
      <w:r w:rsidRPr="004117C2">
        <w:rPr>
          <w:rStyle w:val="goog-gtc-translatablegoog-gtc-from-mt"/>
        </w:rPr>
        <w:t xml:space="preserve">. 2008) del Consejo, el </w:t>
      </w:r>
      <w:r w:rsidRPr="004117C2">
        <w:rPr>
          <w:rStyle w:val="goog-gtc-translatablegoog-gtc-from-mt"/>
          <w:i/>
          <w:iCs/>
        </w:rPr>
        <w:t xml:space="preserve">Grupo Especializado sobre cuestiones de política pública relacionadas con Internet </w:t>
      </w:r>
      <w:r w:rsidRPr="004117C2">
        <w:rPr>
          <w:rStyle w:val="goog-gtc-translatablegoog-gtc-from-mt"/>
        </w:rPr>
        <w:t>tiene la tarea de identificar, estudiar y desarrollar temas relativos a</w:t>
      </w:r>
      <w:r w:rsidRPr="004117C2">
        <w:t xml:space="preserve"> cuestiones de política pública relacionadas con Internet</w:t>
      </w:r>
      <w:r w:rsidRPr="004117C2">
        <w:rPr>
          <w:rStyle w:val="goog-gtc-translatablegoog-gtc-from-mt"/>
        </w:rPr>
        <w:t>, y de transmitir sus resultados a todos los Miembros de la UIT,</w:t>
      </w:r>
    </w:p>
    <w:p w:rsidR="00C03EEA" w:rsidRPr="004117C2" w:rsidRDefault="00C03EEA" w:rsidP="00C03EEA">
      <w:pPr>
        <w:pStyle w:val="Call"/>
      </w:pPr>
      <w:bookmarkStart w:id="11" w:name="_GoBack"/>
      <w:bookmarkEnd w:id="11"/>
      <w:proofErr w:type="gramStart"/>
      <w:r w:rsidRPr="004117C2">
        <w:t>tomando</w:t>
      </w:r>
      <w:proofErr w:type="gramEnd"/>
      <w:r w:rsidRPr="004117C2">
        <w:t xml:space="preserve"> nota</w:t>
      </w:r>
    </w:p>
    <w:p w:rsidR="00C03EEA" w:rsidRPr="004117C2" w:rsidRDefault="00C03EEA" w:rsidP="00C03EEA">
      <w:r w:rsidRPr="004117C2">
        <w:rPr>
          <w:rStyle w:val="goog-gtc-translatablegoog-gtc-from-mt"/>
          <w:i/>
          <w:iCs/>
        </w:rPr>
        <w:t>a)</w:t>
      </w:r>
      <w:r w:rsidRPr="004117C2">
        <w:rPr>
          <w:rStyle w:val="goog-gtc-translatablegoog-gtc-from-mt"/>
        </w:rPr>
        <w:tab/>
        <w:t xml:space="preserve">de los resultados de la segunda reunión del </w:t>
      </w:r>
      <w:r w:rsidRPr="004117C2">
        <w:t xml:space="preserve">Grupo Especializado sobre cuestiones de política pública relacionadas con Internet </w:t>
      </w:r>
      <w:r w:rsidRPr="004117C2">
        <w:rPr>
          <w:rStyle w:val="goog-gtc-translatablegoog-gtc-from-mt"/>
        </w:rPr>
        <w:t xml:space="preserve">que ha identificado temas considerados importantes dentro del mandato de la UIT en cuestiones </w:t>
      </w:r>
      <w:r w:rsidRPr="004117C2">
        <w:t xml:space="preserve">de política pública internacional relacionadas con Internet </w:t>
      </w:r>
      <w:r w:rsidRPr="004117C2">
        <w:rPr>
          <w:rStyle w:val="goog-gtc-translatablegoog-gtc-from-mt"/>
        </w:rPr>
        <w:t xml:space="preserve">(contenidos en el Anexo 1 al Informe del Presidente del </w:t>
      </w:r>
      <w:r w:rsidRPr="004117C2">
        <w:t xml:space="preserve">Grupo Especializado </w:t>
      </w:r>
      <w:r w:rsidRPr="004117C2">
        <w:rPr>
          <w:rStyle w:val="goog-gtc-translatablegoog-gtc-from-mt"/>
        </w:rPr>
        <w:t>al Consejo de 2009);</w:t>
      </w:r>
    </w:p>
    <w:p w:rsidR="00C03EEA" w:rsidRPr="004117C2" w:rsidRDefault="00C03EEA" w:rsidP="00C03EEA">
      <w:r w:rsidRPr="004117C2">
        <w:rPr>
          <w:rStyle w:val="goog-gtc-translatablegoog-gtc-from-mt"/>
          <w:i/>
          <w:iCs/>
        </w:rPr>
        <w:t>b)</w:t>
      </w:r>
      <w:r w:rsidRPr="004117C2">
        <w:rPr>
          <w:rStyle w:val="goog-gtc-translatablegoog-gtc-from-mt"/>
        </w:rPr>
        <w:tab/>
        <w:t>de q</w:t>
      </w:r>
      <w:r w:rsidRPr="004117C2">
        <w:t>ue en el párrafo 68 de la</w:t>
      </w:r>
      <w:r w:rsidRPr="004117C2">
        <w:rPr>
          <w:iCs/>
        </w:rPr>
        <w:t xml:space="preserve"> Agenda de Túnez para la Sociedad de la Información </w:t>
      </w:r>
      <w:r w:rsidRPr="004117C2">
        <w:t xml:space="preserve">(Túnez, 2005) se reconoce que todos los gobiernos deberían tener un igual cometido y responsabilidad para la </w:t>
      </w:r>
      <w:r w:rsidRPr="004117C2">
        <w:rPr>
          <w:rFonts w:eastAsia="'宋体"/>
        </w:rPr>
        <w:t xml:space="preserve">gobernanza </w:t>
      </w:r>
      <w:r w:rsidRPr="004117C2">
        <w:t>de Internet y garantizar la estabilidad, seguridad y continuidad de Internet, y también se reconoce la necesidad de desarrollar la política pública por los gobiernos, en consulta con todas las partes interesadas</w:t>
      </w:r>
      <w:r w:rsidRPr="004117C2">
        <w:rPr>
          <w:rStyle w:val="goog-gtc-translatablegoog-gtc-from-mt"/>
        </w:rPr>
        <w:t>;</w:t>
      </w:r>
    </w:p>
    <w:p w:rsidR="00C03EEA" w:rsidRPr="004117C2" w:rsidRDefault="00C03EEA" w:rsidP="00C03EEA">
      <w:r w:rsidRPr="004117C2">
        <w:rPr>
          <w:rStyle w:val="goog-gtc-translatablegoog-gtc-from-mt"/>
          <w:i/>
          <w:iCs/>
        </w:rPr>
        <w:t>c)</w:t>
      </w:r>
      <w:r w:rsidRPr="004117C2">
        <w:rPr>
          <w:rStyle w:val="goog-gtc-translatablegoog-gtc-from-mt"/>
        </w:rPr>
        <w:tab/>
        <w:t xml:space="preserve">de </w:t>
      </w:r>
      <w:r w:rsidRPr="004117C2">
        <w:t>que en el párrafo 63 de la Agenda de Túnez para la Sociedad de la Información se establece que los países no deben involucrarse en las decisiones relativas a los nombres de dominio de nivel superior según el indicativo de país (</w:t>
      </w:r>
      <w:proofErr w:type="spellStart"/>
      <w:r w:rsidRPr="004117C2">
        <w:t>ccTLD</w:t>
      </w:r>
      <w:proofErr w:type="spellEnd"/>
      <w:r w:rsidRPr="004117C2">
        <w:t xml:space="preserve">) de otros países. Sus legítimos intereses, expresados y definidos por cada país, en diversas formas, en relación con las decisiones que afectan a sus </w:t>
      </w:r>
      <w:proofErr w:type="spellStart"/>
      <w:r w:rsidRPr="004117C2">
        <w:t>ccTLD</w:t>
      </w:r>
      <w:proofErr w:type="spellEnd"/>
      <w:r w:rsidRPr="004117C2">
        <w:t>, deben ser respetados, apoyados y tratados a través de marcos y mecanismos mejorados y flexibles</w:t>
      </w:r>
      <w:r w:rsidRPr="004117C2">
        <w:rPr>
          <w:rStyle w:val="goog-gtc-translatablegoog-gtc-from-mt"/>
        </w:rPr>
        <w:t>;</w:t>
      </w:r>
    </w:p>
    <w:p w:rsidR="00C03EEA" w:rsidRPr="004117C2" w:rsidRDefault="00C03EEA" w:rsidP="00C03EEA">
      <w:r w:rsidRPr="004117C2">
        <w:rPr>
          <w:rStyle w:val="goog-gtc-translatablegoog-gtc-from-mt"/>
          <w:i/>
          <w:iCs/>
        </w:rPr>
        <w:t>d)</w:t>
      </w:r>
      <w:r w:rsidRPr="004117C2">
        <w:rPr>
          <w:rStyle w:val="goog-gtc-translatablegoog-gtc-from-mt"/>
        </w:rPr>
        <w:tab/>
        <w:t xml:space="preserve">de </w:t>
      </w:r>
      <w:r w:rsidRPr="004117C2">
        <w:t xml:space="preserve">que en el párrafo 65 de la Agenda de Túnez para la Sociedad de la Información se subraya la necesidad de maximizar la participación de los países en desarrollo tanto en las decisiones relativas a la </w:t>
      </w:r>
      <w:r w:rsidRPr="004117C2">
        <w:rPr>
          <w:rFonts w:eastAsia="'宋体"/>
        </w:rPr>
        <w:t xml:space="preserve">gobernanza </w:t>
      </w:r>
      <w:r w:rsidRPr="004117C2">
        <w:t>de Internet, que deben reflejar sus intereses, como en el desarrollo y la creación de capacidad</w:t>
      </w:r>
      <w:r w:rsidRPr="004117C2">
        <w:rPr>
          <w:rStyle w:val="goog-gtc-translatablegoog-gtc-from-mt"/>
        </w:rPr>
        <w:t>;</w:t>
      </w:r>
    </w:p>
    <w:p w:rsidR="00C03EEA" w:rsidRPr="004117C2" w:rsidRDefault="00C03EEA" w:rsidP="00C03EEA">
      <w:r w:rsidRPr="004117C2">
        <w:rPr>
          <w:rStyle w:val="goog-gtc-translatablegoog-gtc-from-mt"/>
          <w:i/>
          <w:iCs/>
        </w:rPr>
        <w:t>e)</w:t>
      </w:r>
      <w:r w:rsidRPr="004117C2">
        <w:rPr>
          <w:rStyle w:val="goog-gtc-translatablegoog-gtc-from-mt"/>
          <w:i/>
          <w:iCs/>
        </w:rPr>
        <w:tab/>
      </w:r>
      <w:r w:rsidRPr="004117C2">
        <w:rPr>
          <w:rStyle w:val="goog-gtc-translatablegoog-gtc-from-mt"/>
        </w:rPr>
        <w:t xml:space="preserve">de que en el párrafo 69 de la Agenda de Túnez se subraya </w:t>
      </w:r>
      <w:r w:rsidRPr="004117C2">
        <w:t>que en el futuro será necesaria una mayor cooperación que permita a los gobiernos cumplir en igualdad de condiciones su papel y responsabilidades en cuestiones de políticas públicas internacionales relativas a Internet, pero no en los asuntos técnicos y operacionales cotidianos, que no repercuten en temas de política pública internacional</w:t>
      </w:r>
      <w:r w:rsidRPr="004117C2">
        <w:rPr>
          <w:rStyle w:val="goog-gtc-translatablegoog-gtc-from-mt"/>
        </w:rPr>
        <w:t>,</w:t>
      </w:r>
    </w:p>
    <w:p w:rsidR="00C03EEA" w:rsidRPr="004117C2" w:rsidRDefault="00C03EEA" w:rsidP="00C03EEA">
      <w:pPr>
        <w:pStyle w:val="Call"/>
      </w:pPr>
      <w:proofErr w:type="gramStart"/>
      <w:r w:rsidRPr="004117C2">
        <w:lastRenderedPageBreak/>
        <w:t>invita</w:t>
      </w:r>
      <w:proofErr w:type="gramEnd"/>
      <w:r w:rsidRPr="004117C2">
        <w:t xml:space="preserve"> a los Estados Miembros</w:t>
      </w:r>
    </w:p>
    <w:p w:rsidR="00C03EEA" w:rsidRPr="004117C2" w:rsidRDefault="00C03EEA" w:rsidP="00C03EEA">
      <w:r w:rsidRPr="004117C2">
        <w:rPr>
          <w:rStyle w:val="goog-gtc-translatablegoog-gtc-from-mt"/>
        </w:rPr>
        <w:t>1</w:t>
      </w:r>
      <w:r w:rsidRPr="004117C2">
        <w:rPr>
          <w:rStyle w:val="goog-gtc-translatablegoog-gtc-from-mt"/>
        </w:rPr>
        <w:tab/>
        <w:t>a que reconozcan el alcance de los trabajos de la UIT sobre</w:t>
      </w:r>
      <w:r w:rsidRPr="004117C2">
        <w:t xml:space="preserve"> cuestiones de política pública internacional relacionadas con Internet</w:t>
      </w:r>
      <w:r w:rsidRPr="004117C2">
        <w:rPr>
          <w:rStyle w:val="goog-gtc-translatablegoog-gtc-from-mt"/>
        </w:rPr>
        <w:t>, contempladas en la lista de temas que figura como Anexo 1, establecida de conformidad con las decisiones de los Miembros de la UIT en la Conferencia de Plenipotenciarios, el Consejo y las conferencias mundiales;</w:t>
      </w:r>
    </w:p>
    <w:p w:rsidR="00C03EEA" w:rsidRPr="004117C2" w:rsidRDefault="00C03EEA" w:rsidP="00C03EEA">
      <w:pPr>
        <w:rPr>
          <w:rStyle w:val="goog-gtc-translatablegoog-gtc-from-mt"/>
        </w:rPr>
      </w:pPr>
      <w:r w:rsidRPr="004117C2">
        <w:rPr>
          <w:rStyle w:val="goog-gtc-translatablegoog-gtc-from-mt"/>
        </w:rPr>
        <w:t>2</w:t>
      </w:r>
      <w:r w:rsidRPr="004117C2">
        <w:rPr>
          <w:rStyle w:val="goog-gtc-translatablegoog-gtc-from-mt"/>
        </w:rPr>
        <w:tab/>
        <w:t xml:space="preserve">a que elaboren sus posiciones respectivas sobre cada una de las </w:t>
      </w:r>
      <w:r w:rsidRPr="004117C2">
        <w:t>cuestiones de política pública internacional relacionadas con Internet a las</w:t>
      </w:r>
      <w:r w:rsidRPr="004117C2">
        <w:rPr>
          <w:rStyle w:val="goog-gtc-translatablegoog-gtc-from-mt"/>
        </w:rPr>
        <w:t xml:space="preserve"> que se hace referencia en el </w:t>
      </w:r>
      <w:r w:rsidRPr="004117C2">
        <w:rPr>
          <w:rStyle w:val="goog-gtc-translatablegoog-gtc-from-mt"/>
          <w:i/>
          <w:iCs/>
        </w:rPr>
        <w:t>invita a los Estados Miembros</w:t>
      </w:r>
      <w:r w:rsidRPr="004117C2">
        <w:rPr>
          <w:rStyle w:val="goog-gtc-translatablegoog-gtc-from-mt"/>
        </w:rPr>
        <w:t xml:space="preserve"> 1 y a que contribuyan activamente a los trabajos de la UIT sobre </w:t>
      </w:r>
      <w:r w:rsidRPr="004117C2">
        <w:t>estos temas</w:t>
      </w:r>
      <w:r w:rsidRPr="004117C2">
        <w:rPr>
          <w:rStyle w:val="goog-gtc-translatablegoog-gtc-from-mt"/>
        </w:rPr>
        <w:t>,</w:t>
      </w:r>
    </w:p>
    <w:p w:rsidR="00C03EEA" w:rsidRPr="004117C2" w:rsidRDefault="00C03EEA" w:rsidP="00C03EEA">
      <w:pPr>
        <w:pStyle w:val="Call"/>
      </w:pPr>
      <w:proofErr w:type="gramStart"/>
      <w:r w:rsidRPr="004117C2">
        <w:t>encarga</w:t>
      </w:r>
      <w:proofErr w:type="gramEnd"/>
      <w:r w:rsidRPr="004117C2">
        <w:t xml:space="preserve"> al Secretario General</w:t>
      </w:r>
    </w:p>
    <w:p w:rsidR="00C03EEA" w:rsidRPr="004117C2" w:rsidRDefault="00C03EEA" w:rsidP="00C03EEA">
      <w:r w:rsidRPr="004117C2">
        <w:rPr>
          <w:rStyle w:val="goog-gtc-translatablegoog-gtc-from-mt"/>
        </w:rPr>
        <w:t>1</w:t>
      </w:r>
      <w:r w:rsidRPr="004117C2">
        <w:rPr>
          <w:rStyle w:val="goog-gtc-translatablegoog-gtc-from-mt"/>
        </w:rPr>
        <w:tab/>
        <w:t xml:space="preserve">que proporcione el apoyo necesario, dentro de los recursos presupuestarios existentes, para garantizar que el </w:t>
      </w:r>
      <w:r w:rsidRPr="004117C2">
        <w:rPr>
          <w:i/>
        </w:rPr>
        <w:t>Grupo Especializado sobre temas de política pública internacional relacionadas con Internet</w:t>
      </w:r>
      <w:r w:rsidRPr="004117C2">
        <w:rPr>
          <w:rStyle w:val="goog-gtc-translatablegoog-gtc-from-mt"/>
        </w:rPr>
        <w:t xml:space="preserve"> lleve a cabo </w:t>
      </w:r>
      <w:r w:rsidRPr="004117C2">
        <w:t>satisfactoriamente su labor, como parte integrante del GT</w:t>
      </w:r>
      <w:r w:rsidRPr="004117C2">
        <w:noBreakHyphen/>
        <w:t>CMSI;</w:t>
      </w:r>
    </w:p>
    <w:p w:rsidR="00C03EEA" w:rsidRPr="004117C2" w:rsidRDefault="00C03EEA" w:rsidP="00C03EEA">
      <w:r w:rsidRPr="004117C2">
        <w:rPr>
          <w:rStyle w:val="goog-gtc-translatablegoog-gtc-from-mt"/>
        </w:rPr>
        <w:t>2</w:t>
      </w:r>
      <w:r w:rsidRPr="004117C2">
        <w:rPr>
          <w:rStyle w:val="goog-gtc-translatablegoog-gtc-from-mt"/>
        </w:rPr>
        <w:tab/>
        <w:t xml:space="preserve">que transmita, según proceda, los Informes del </w:t>
      </w:r>
      <w:r w:rsidRPr="004117C2">
        <w:t>Grupo Especializado sobre cuestiones de política pública internacional relacionadas con Internet</w:t>
      </w:r>
      <w:r w:rsidRPr="004117C2">
        <w:rPr>
          <w:rStyle w:val="goog-gtc-translatablegoog-gtc-from-mt"/>
        </w:rPr>
        <w:t xml:space="preserve"> a todas las organizaciones internacionales e interesados pertinentes que participan activamente en estas cuestiones para que las examinen en el marco de su proceso de adopción de decisiones;</w:t>
      </w:r>
    </w:p>
    <w:p w:rsidR="00C03EEA" w:rsidRPr="004117C2" w:rsidRDefault="00C03EEA" w:rsidP="00C03EEA">
      <w:pPr>
        <w:rPr>
          <w:rStyle w:val="goog-gtc-translatablegoog-gtc-from-mt"/>
        </w:rPr>
      </w:pPr>
      <w:r w:rsidRPr="004117C2">
        <w:rPr>
          <w:rStyle w:val="goog-gtc-translatablegoog-gtc-from-mt"/>
        </w:rPr>
        <w:t>3</w:t>
      </w:r>
      <w:r w:rsidRPr="004117C2">
        <w:rPr>
          <w:rStyle w:val="goog-gtc-translatablegoog-gtc-from-mt"/>
        </w:rPr>
        <w:tab/>
        <w:t>que mantenga informado anualmente al Consejo respecto de las actividades realizadas sobre estos temas.</w:t>
      </w:r>
    </w:p>
    <w:p w:rsidR="006F52C6" w:rsidRDefault="00C03EEA" w:rsidP="006F52C6">
      <w:pPr>
        <w:spacing w:before="1440"/>
      </w:pPr>
      <w:r w:rsidRPr="004117C2">
        <w:rPr>
          <w:b/>
          <w:bCs/>
        </w:rPr>
        <w:t>Anexo</w:t>
      </w:r>
      <w:r w:rsidRPr="00CF5460">
        <w:t>: 1</w:t>
      </w:r>
      <w:r w:rsidR="006F52C6">
        <w:br w:type="page"/>
      </w:r>
    </w:p>
    <w:p w:rsidR="006F52C6" w:rsidRDefault="006F52C6" w:rsidP="006F52C6">
      <w:pPr>
        <w:pStyle w:val="AnnexNo"/>
        <w:spacing w:before="480"/>
      </w:pPr>
    </w:p>
    <w:p w:rsidR="00C03EEA" w:rsidRDefault="006F52C6" w:rsidP="0077328B">
      <w:pPr>
        <w:pStyle w:val="AnnexNo"/>
        <w:spacing w:before="480" w:after="120"/>
      </w:pPr>
      <w:r>
        <w:t>Anexo</w:t>
      </w:r>
    </w:p>
    <w:tbl>
      <w:tblPr>
        <w:tblStyle w:val="TableGrid"/>
        <w:tblW w:w="9633" w:type="dxa"/>
        <w:tblLook w:val="04A0" w:firstRow="1" w:lastRow="0" w:firstColumn="1" w:lastColumn="0" w:noHBand="0" w:noVBand="1"/>
      </w:tblPr>
      <w:tblGrid>
        <w:gridCol w:w="561"/>
        <w:gridCol w:w="3402"/>
        <w:gridCol w:w="5670"/>
      </w:tblGrid>
      <w:tr w:rsidR="006F52C6" w:rsidTr="0077328B">
        <w:trPr>
          <w:tblHeader/>
        </w:trPr>
        <w:tc>
          <w:tcPr>
            <w:tcW w:w="561" w:type="dxa"/>
            <w:shd w:val="clear" w:color="auto" w:fill="D9D9D9" w:themeFill="background1" w:themeFillShade="D9"/>
          </w:tcPr>
          <w:p w:rsidR="006F52C6" w:rsidRDefault="006F52C6" w:rsidP="006F52C6">
            <w:pPr>
              <w:pStyle w:val="Annexref"/>
            </w:pPr>
          </w:p>
        </w:tc>
        <w:tc>
          <w:tcPr>
            <w:tcW w:w="3402" w:type="dxa"/>
            <w:shd w:val="clear" w:color="auto" w:fill="D9D9D9" w:themeFill="background1" w:themeFillShade="D9"/>
            <w:vAlign w:val="center"/>
          </w:tcPr>
          <w:p w:rsidR="006F52C6" w:rsidRPr="004117C2" w:rsidRDefault="006F52C6" w:rsidP="006F52C6">
            <w:pPr>
              <w:pStyle w:val="Tablehead"/>
              <w:spacing w:before="160" w:after="160"/>
              <w:rPr>
                <w:bCs/>
              </w:rPr>
            </w:pPr>
            <w:r w:rsidRPr="004117C2">
              <w:rPr>
                <w:bCs/>
              </w:rPr>
              <w:t>Cuestiones de política pública</w:t>
            </w:r>
          </w:p>
        </w:tc>
        <w:tc>
          <w:tcPr>
            <w:tcW w:w="5670" w:type="dxa"/>
            <w:shd w:val="clear" w:color="auto" w:fill="D9D9D9" w:themeFill="background1" w:themeFillShade="D9"/>
            <w:vAlign w:val="center"/>
          </w:tcPr>
          <w:p w:rsidR="006F52C6" w:rsidRPr="004117C2" w:rsidRDefault="006F52C6" w:rsidP="006F52C6">
            <w:pPr>
              <w:pStyle w:val="Tablehead"/>
              <w:spacing w:before="160" w:after="160"/>
              <w:rPr>
                <w:bCs/>
              </w:rPr>
            </w:pPr>
            <w:r w:rsidRPr="004117C2">
              <w:rPr>
                <w:bCs/>
              </w:rPr>
              <w:t>Mandato correspondiente de la UIT</w:t>
            </w:r>
          </w:p>
        </w:tc>
      </w:tr>
      <w:tr w:rsidR="006F52C6" w:rsidTr="006F52C6">
        <w:tc>
          <w:tcPr>
            <w:tcW w:w="561" w:type="dxa"/>
          </w:tcPr>
          <w:p w:rsidR="006F52C6" w:rsidRPr="004117C2" w:rsidRDefault="006F52C6" w:rsidP="006F52C6">
            <w:pPr>
              <w:pStyle w:val="Tabletext"/>
              <w:jc w:val="center"/>
              <w:rPr>
                <w:sz w:val="20"/>
              </w:rPr>
            </w:pPr>
            <w:r w:rsidRPr="004117C2">
              <w:rPr>
                <w:sz w:val="20"/>
              </w:rPr>
              <w:t>1</w:t>
            </w:r>
          </w:p>
        </w:tc>
        <w:tc>
          <w:tcPr>
            <w:tcW w:w="3402" w:type="dxa"/>
          </w:tcPr>
          <w:p w:rsidR="006F52C6" w:rsidRPr="004117C2" w:rsidRDefault="006F52C6" w:rsidP="006F52C6">
            <w:pPr>
              <w:pStyle w:val="Tabletext"/>
              <w:spacing w:before="20" w:after="0"/>
              <w:rPr>
                <w:sz w:val="20"/>
              </w:rPr>
            </w:pPr>
            <w:r w:rsidRPr="004117C2">
              <w:rPr>
                <w:sz w:val="20"/>
              </w:rPr>
              <w:t>Diversificación lingüística de Internet, con inclusión de nombres de dominio internacionalizados (plurilingües)</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7" w:anchor="page=3" w:history="1">
              <w:r w:rsidRPr="004117C2">
                <w:rPr>
                  <w:rStyle w:val="Hyperlink"/>
                  <w:sz w:val="20"/>
                </w:rPr>
                <w:t>Resolución 133 (Rev. Antalya, 2006)</w:t>
              </w:r>
            </w:hyperlink>
            <w:r w:rsidRPr="004117C2">
              <w:rPr>
                <w:sz w:val="20"/>
              </w:rPr>
              <w:t xml:space="preserve"> de la PP</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8" w:anchor="page=3" w:history="1">
              <w:r w:rsidRPr="004117C2">
                <w:rPr>
                  <w:rStyle w:val="Hyperlink"/>
                  <w:sz w:val="20"/>
                </w:rPr>
                <w:t>Resolución 48 (Rev. Johannesburgo, 2008)</w:t>
              </w:r>
            </w:hyperlink>
            <w:r w:rsidRPr="004117C2">
              <w:rPr>
                <w:sz w:val="20"/>
              </w:rPr>
              <w:t xml:space="preserve"> de la AMNT</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9" w:anchor="page=1" w:history="1">
              <w:r w:rsidRPr="004117C2">
                <w:rPr>
                  <w:rStyle w:val="Hyperlink"/>
                  <w:sz w:val="20"/>
                </w:rPr>
                <w:t>Programa 3 (Rev. Doha, 2006)</w:t>
              </w:r>
            </w:hyperlink>
            <w:r w:rsidRPr="004117C2">
              <w:rPr>
                <w:sz w:val="20"/>
              </w:rPr>
              <w:t xml:space="preserve"> de la CMDT</w:t>
            </w:r>
          </w:p>
        </w:tc>
      </w:tr>
      <w:tr w:rsidR="006F52C6" w:rsidTr="006F52C6">
        <w:tc>
          <w:tcPr>
            <w:tcW w:w="561" w:type="dxa"/>
          </w:tcPr>
          <w:p w:rsidR="006F52C6" w:rsidRPr="004117C2" w:rsidRDefault="006F52C6" w:rsidP="006F52C6">
            <w:pPr>
              <w:pStyle w:val="Tabletext"/>
              <w:jc w:val="center"/>
              <w:rPr>
                <w:sz w:val="20"/>
              </w:rPr>
            </w:pPr>
            <w:r w:rsidRPr="004117C2">
              <w:rPr>
                <w:sz w:val="20"/>
              </w:rPr>
              <w:t>2</w:t>
            </w:r>
          </w:p>
        </w:tc>
        <w:tc>
          <w:tcPr>
            <w:tcW w:w="3402" w:type="dxa"/>
          </w:tcPr>
          <w:p w:rsidR="006F52C6" w:rsidRPr="004117C2" w:rsidRDefault="006F52C6" w:rsidP="006F52C6">
            <w:pPr>
              <w:pStyle w:val="Tabletext"/>
              <w:spacing w:before="20" w:after="0"/>
              <w:rPr>
                <w:rFonts w:eastAsia="'宋体"/>
                <w:sz w:val="20"/>
              </w:rPr>
            </w:pPr>
            <w:r w:rsidRPr="004117C2">
              <w:rPr>
                <w:sz w:val="20"/>
              </w:rPr>
              <w:t>Conectividad Internet internacional</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10" w:history="1">
              <w:r w:rsidRPr="004117C2">
                <w:rPr>
                  <w:rStyle w:val="Hyperlink"/>
                  <w:sz w:val="20"/>
                </w:rPr>
                <w:t>Comisión de Estudios 1 del UIT-D, Cuestión 12-2/1</w:t>
              </w:r>
            </w:hyperlink>
            <w:r w:rsidRPr="004117C2">
              <w:rPr>
                <w:sz w:val="20"/>
              </w:rPr>
              <w:t xml:space="preserve"> </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11" w:history="1">
              <w:r w:rsidRPr="004117C2">
                <w:rPr>
                  <w:rStyle w:val="Hyperlink"/>
                  <w:sz w:val="20"/>
                </w:rPr>
                <w:t>Comisión de Estudio 3 del UIT-T</w:t>
              </w:r>
            </w:hyperlink>
            <w:r w:rsidRPr="004117C2">
              <w:rPr>
                <w:sz w:val="20"/>
              </w:rPr>
              <w:t xml:space="preserve"> (</w:t>
            </w:r>
            <w:hyperlink r:id="rId12" w:history="1">
              <w:r w:rsidRPr="004117C2">
                <w:rPr>
                  <w:rStyle w:val="Hyperlink"/>
                  <w:sz w:val="20"/>
                </w:rPr>
                <w:t>Recomendación D.50</w:t>
              </w:r>
            </w:hyperlink>
            <w:r w:rsidRPr="004117C2">
              <w:rPr>
                <w:sz w:val="20"/>
              </w:rPr>
              <w:t>)</w:t>
            </w:r>
          </w:p>
        </w:tc>
      </w:tr>
      <w:tr w:rsidR="006F52C6" w:rsidTr="006F52C6">
        <w:tc>
          <w:tcPr>
            <w:tcW w:w="561" w:type="dxa"/>
          </w:tcPr>
          <w:p w:rsidR="006F52C6" w:rsidRPr="004117C2" w:rsidRDefault="006F52C6" w:rsidP="006F52C6">
            <w:pPr>
              <w:pStyle w:val="Tabletext"/>
              <w:jc w:val="center"/>
              <w:rPr>
                <w:sz w:val="20"/>
              </w:rPr>
            </w:pPr>
            <w:r w:rsidRPr="004117C2">
              <w:rPr>
                <w:sz w:val="20"/>
              </w:rPr>
              <w:t>3</w:t>
            </w:r>
          </w:p>
        </w:tc>
        <w:tc>
          <w:tcPr>
            <w:tcW w:w="3402" w:type="dxa"/>
          </w:tcPr>
          <w:p w:rsidR="006F52C6" w:rsidRPr="004117C2" w:rsidRDefault="006F52C6" w:rsidP="006F52C6">
            <w:pPr>
              <w:pStyle w:val="Tabletext"/>
              <w:spacing w:before="20" w:after="0"/>
              <w:rPr>
                <w:sz w:val="20"/>
              </w:rPr>
            </w:pPr>
            <w:r w:rsidRPr="004117C2">
              <w:rPr>
                <w:sz w:val="20"/>
              </w:rPr>
              <w:t>Cuestiones de política pública internacional relacionadas con Internet y gestión de recursos Internet, con inclusión de direcciones y nombres de dominio</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13" w:anchor="page=4" w:history="1">
              <w:r w:rsidRPr="004117C2">
                <w:rPr>
                  <w:rStyle w:val="Hyperlink"/>
                  <w:sz w:val="20"/>
                </w:rPr>
                <w:t>Resoluciones 101</w:t>
              </w:r>
            </w:hyperlink>
            <w:r w:rsidRPr="004117C2">
              <w:rPr>
                <w:sz w:val="20"/>
              </w:rPr>
              <w:t xml:space="preserve">, </w:t>
            </w:r>
            <w:hyperlink r:id="rId14" w:anchor="page=4" w:history="1">
              <w:r w:rsidRPr="004117C2">
                <w:rPr>
                  <w:rStyle w:val="Hyperlink"/>
                  <w:sz w:val="20"/>
                </w:rPr>
                <w:t>102 (Rev. Antalya, 2006)</w:t>
              </w:r>
            </w:hyperlink>
            <w:r w:rsidRPr="004117C2">
              <w:rPr>
                <w:sz w:val="20"/>
              </w:rPr>
              <w:t xml:space="preserve"> de la PP</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15" w:anchor="page=3" w:history="1">
              <w:r w:rsidRPr="004117C2">
                <w:rPr>
                  <w:rStyle w:val="Hyperlink"/>
                  <w:sz w:val="20"/>
                </w:rPr>
                <w:t>Resoluciones 47</w:t>
              </w:r>
            </w:hyperlink>
            <w:r w:rsidRPr="004117C2">
              <w:rPr>
                <w:sz w:val="20"/>
              </w:rPr>
              <w:t xml:space="preserve">, </w:t>
            </w:r>
            <w:hyperlink r:id="rId16" w:anchor="page=3" w:history="1">
              <w:r w:rsidRPr="004117C2">
                <w:rPr>
                  <w:rStyle w:val="Hyperlink"/>
                  <w:sz w:val="20"/>
                </w:rPr>
                <w:t>49</w:t>
              </w:r>
            </w:hyperlink>
            <w:r w:rsidRPr="004117C2">
              <w:rPr>
                <w:sz w:val="20"/>
              </w:rPr>
              <w:t xml:space="preserve">, </w:t>
            </w:r>
            <w:hyperlink r:id="rId17" w:anchor="page=3" w:history="1">
              <w:r w:rsidRPr="004117C2">
                <w:rPr>
                  <w:rStyle w:val="Hyperlink"/>
                  <w:sz w:val="20"/>
                </w:rPr>
                <w:t>64</w:t>
              </w:r>
            </w:hyperlink>
            <w:r w:rsidRPr="004117C2">
              <w:rPr>
                <w:sz w:val="20"/>
              </w:rPr>
              <w:t xml:space="preserve">, </w:t>
            </w:r>
            <w:hyperlink r:id="rId18" w:history="1">
              <w:r w:rsidRPr="004117C2">
                <w:rPr>
                  <w:rStyle w:val="Hyperlink"/>
                  <w:sz w:val="20"/>
                </w:rPr>
                <w:t>69</w:t>
              </w:r>
            </w:hyperlink>
            <w:r w:rsidRPr="004117C2">
              <w:rPr>
                <w:sz w:val="20"/>
              </w:rPr>
              <w:t xml:space="preserve">, </w:t>
            </w:r>
            <w:hyperlink r:id="rId19" w:anchor="page=4" w:history="1">
              <w:r w:rsidRPr="004117C2">
                <w:rPr>
                  <w:rStyle w:val="Hyperlink"/>
                  <w:sz w:val="20"/>
                </w:rPr>
                <w:t>75 (Rev. Johannesburgo, 2008)</w:t>
              </w:r>
            </w:hyperlink>
            <w:r w:rsidRPr="004117C2">
              <w:rPr>
                <w:sz w:val="20"/>
              </w:rPr>
              <w:t xml:space="preserve"> de la AMNT</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20" w:anchor="page=2" w:history="1">
              <w:r w:rsidRPr="004117C2">
                <w:rPr>
                  <w:rStyle w:val="Hyperlink"/>
                  <w:sz w:val="20"/>
                </w:rPr>
                <w:t>Resolución 1282</w:t>
              </w:r>
            </w:hyperlink>
            <w:r w:rsidRPr="004117C2">
              <w:rPr>
                <w:sz w:val="20"/>
              </w:rPr>
              <w:t xml:space="preserve"> (</w:t>
            </w:r>
            <w:proofErr w:type="spellStart"/>
            <w:r w:rsidRPr="004117C2">
              <w:rPr>
                <w:sz w:val="20"/>
              </w:rPr>
              <w:t>Mod</w:t>
            </w:r>
            <w:proofErr w:type="spellEnd"/>
            <w:r w:rsidRPr="004117C2">
              <w:rPr>
                <w:sz w:val="20"/>
              </w:rPr>
              <w:t>. 2008)</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21" w:history="1">
              <w:r w:rsidRPr="004117C2">
                <w:rPr>
                  <w:rStyle w:val="Hyperlink"/>
                  <w:sz w:val="20"/>
                </w:rPr>
                <w:t>Facilitador Principal de la Línea de Acción C6 de la CMSI (Túnez, 2005)</w:t>
              </w:r>
            </w:hyperlink>
          </w:p>
        </w:tc>
      </w:tr>
      <w:tr w:rsidR="006F52C6" w:rsidTr="006F52C6">
        <w:tc>
          <w:tcPr>
            <w:tcW w:w="561" w:type="dxa"/>
          </w:tcPr>
          <w:p w:rsidR="006F52C6" w:rsidRPr="004117C2" w:rsidRDefault="006F52C6" w:rsidP="006F52C6">
            <w:pPr>
              <w:pStyle w:val="Tabletext"/>
              <w:jc w:val="center"/>
              <w:rPr>
                <w:sz w:val="20"/>
              </w:rPr>
            </w:pPr>
            <w:r w:rsidRPr="004117C2">
              <w:rPr>
                <w:sz w:val="20"/>
              </w:rPr>
              <w:t>4</w:t>
            </w:r>
          </w:p>
        </w:tc>
        <w:tc>
          <w:tcPr>
            <w:tcW w:w="3402" w:type="dxa"/>
          </w:tcPr>
          <w:p w:rsidR="006F52C6" w:rsidRPr="004117C2" w:rsidRDefault="006F52C6" w:rsidP="006F52C6">
            <w:pPr>
              <w:pStyle w:val="Tabletext"/>
              <w:spacing w:before="20" w:after="0"/>
              <w:rPr>
                <w:sz w:val="20"/>
              </w:rPr>
            </w:pPr>
            <w:r w:rsidRPr="004117C2">
              <w:rPr>
                <w:sz w:val="20"/>
              </w:rPr>
              <w:t>Seguridad, protección, continuidad, sustentabilidad y solidez de Internet</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22" w:anchor="page=4" w:history="1">
              <w:r w:rsidRPr="004117C2">
                <w:rPr>
                  <w:rStyle w:val="Hyperlink"/>
                  <w:sz w:val="20"/>
                </w:rPr>
                <w:t>Resoluciones 102</w:t>
              </w:r>
            </w:hyperlink>
            <w:r w:rsidRPr="004117C2">
              <w:rPr>
                <w:sz w:val="20"/>
              </w:rPr>
              <w:t xml:space="preserve">, </w:t>
            </w:r>
            <w:hyperlink r:id="rId23" w:anchor="page=4" w:history="1">
              <w:r w:rsidRPr="004117C2">
                <w:rPr>
                  <w:rStyle w:val="Hyperlink"/>
                  <w:sz w:val="20"/>
                </w:rPr>
                <w:t>130 (Rev. Antalya, 2006)</w:t>
              </w:r>
            </w:hyperlink>
            <w:r w:rsidRPr="004117C2">
              <w:rPr>
                <w:sz w:val="20"/>
              </w:rPr>
              <w:t xml:space="preserve"> de la PP</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24" w:anchor="page=3" w:history="1">
              <w:r w:rsidRPr="004117C2">
                <w:rPr>
                  <w:rStyle w:val="Hyperlink"/>
                  <w:sz w:val="20"/>
                </w:rPr>
                <w:t>Resolución 45 de la CMDT</w:t>
              </w:r>
            </w:hyperlink>
            <w:r w:rsidRPr="004117C2">
              <w:rPr>
                <w:sz w:val="20"/>
              </w:rPr>
              <w:t xml:space="preserve">, </w:t>
            </w:r>
            <w:hyperlink r:id="rId25" w:anchor="page=1" w:history="1">
              <w:r w:rsidRPr="004117C2">
                <w:rPr>
                  <w:rStyle w:val="Hyperlink"/>
                  <w:sz w:val="20"/>
                </w:rPr>
                <w:t>Programa 3</w:t>
              </w:r>
            </w:hyperlink>
            <w:r w:rsidRPr="004117C2">
              <w:rPr>
                <w:sz w:val="20"/>
              </w:rPr>
              <w:t xml:space="preserve"> (Rev. Doha, 2006)</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26" w:anchor="page=4" w:history="1">
              <w:r w:rsidRPr="004117C2">
                <w:rPr>
                  <w:rStyle w:val="Hyperlink"/>
                  <w:sz w:val="20"/>
                </w:rPr>
                <w:t>Resoluciones 50</w:t>
              </w:r>
            </w:hyperlink>
            <w:r w:rsidRPr="004117C2">
              <w:rPr>
                <w:sz w:val="20"/>
              </w:rPr>
              <w:t xml:space="preserve">, </w:t>
            </w:r>
            <w:hyperlink r:id="rId27" w:anchor="page=4" w:history="1">
              <w:r w:rsidRPr="004117C2">
                <w:rPr>
                  <w:rStyle w:val="Hyperlink"/>
                  <w:sz w:val="20"/>
                </w:rPr>
                <w:t>52 (Rev. Johannesburgo, 2008)</w:t>
              </w:r>
            </w:hyperlink>
            <w:r w:rsidRPr="004117C2">
              <w:rPr>
                <w:sz w:val="20"/>
              </w:rPr>
              <w:t xml:space="preserve"> de la AMNT</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28" w:history="1">
              <w:r w:rsidRPr="004117C2">
                <w:rPr>
                  <w:rStyle w:val="Hyperlink"/>
                  <w:sz w:val="20"/>
                </w:rPr>
                <w:t>Comisión de Estudio 17 del UIT-T</w:t>
              </w:r>
            </w:hyperlink>
            <w:r w:rsidRPr="004117C2">
              <w:rPr>
                <w:sz w:val="20"/>
              </w:rPr>
              <w:t xml:space="preserve">, </w:t>
            </w:r>
            <w:hyperlink r:id="rId29" w:history="1">
              <w:r w:rsidRPr="004117C2">
                <w:rPr>
                  <w:rStyle w:val="Hyperlink"/>
                  <w:sz w:val="20"/>
                </w:rPr>
                <w:t>Comisión de Estudio 1 del UIT-D</w:t>
              </w:r>
            </w:hyperlink>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30" w:anchor="page=7" w:history="1">
              <w:r w:rsidRPr="004117C2">
                <w:rPr>
                  <w:rStyle w:val="Hyperlink"/>
                  <w:sz w:val="20"/>
                </w:rPr>
                <w:t>Resolución 71 – Meta Estratégica 4 (Rev. Antalya, 2006)</w:t>
              </w:r>
            </w:hyperlink>
            <w:r w:rsidRPr="004117C2">
              <w:rPr>
                <w:sz w:val="20"/>
              </w:rPr>
              <w:t xml:space="preserve"> de la</w:t>
            </w:r>
            <w:r>
              <w:rPr>
                <w:sz w:val="20"/>
              </w:rPr>
              <w:t> </w:t>
            </w:r>
            <w:r w:rsidRPr="004117C2">
              <w:rPr>
                <w:sz w:val="20"/>
              </w:rPr>
              <w:t>PP</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31" w:history="1">
              <w:r w:rsidRPr="004117C2">
                <w:rPr>
                  <w:rStyle w:val="Hyperlink"/>
                  <w:sz w:val="20"/>
                </w:rPr>
                <w:t>Facilitador Principal de la Línea de Acción C6 de la CMSI (Túnez, 2005)</w:t>
              </w:r>
            </w:hyperlink>
          </w:p>
        </w:tc>
      </w:tr>
      <w:tr w:rsidR="006F52C6" w:rsidTr="006F52C6">
        <w:tc>
          <w:tcPr>
            <w:tcW w:w="561" w:type="dxa"/>
          </w:tcPr>
          <w:p w:rsidR="006F52C6" w:rsidRPr="004117C2" w:rsidRDefault="006F52C6" w:rsidP="006F52C6">
            <w:pPr>
              <w:pStyle w:val="Tabletext"/>
              <w:jc w:val="center"/>
              <w:rPr>
                <w:sz w:val="20"/>
              </w:rPr>
            </w:pPr>
            <w:r w:rsidRPr="004117C2">
              <w:rPr>
                <w:sz w:val="20"/>
              </w:rPr>
              <w:t>5</w:t>
            </w:r>
          </w:p>
        </w:tc>
        <w:tc>
          <w:tcPr>
            <w:tcW w:w="3402" w:type="dxa"/>
          </w:tcPr>
          <w:p w:rsidR="006F52C6" w:rsidRPr="004117C2" w:rsidRDefault="006F52C6" w:rsidP="006F52C6">
            <w:pPr>
              <w:pStyle w:val="Tabletext"/>
              <w:spacing w:before="20" w:after="0"/>
              <w:rPr>
                <w:sz w:val="20"/>
              </w:rPr>
            </w:pPr>
            <w:r w:rsidRPr="004117C2">
              <w:rPr>
                <w:sz w:val="20"/>
              </w:rPr>
              <w:t xml:space="preserve">Lucha contra el </w:t>
            </w:r>
            <w:proofErr w:type="spellStart"/>
            <w:r w:rsidRPr="004117C2">
              <w:rPr>
                <w:sz w:val="20"/>
              </w:rPr>
              <w:t>cibercrimen</w:t>
            </w:r>
            <w:proofErr w:type="spellEnd"/>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32" w:history="1">
              <w:r w:rsidRPr="004117C2">
                <w:rPr>
                  <w:rStyle w:val="Hyperlink"/>
                  <w:sz w:val="20"/>
                </w:rPr>
                <w:t>Facilitador Principal de la Línea de Acción C5 de la CMSI (Túnez, 2005)</w:t>
              </w:r>
            </w:hyperlink>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33" w:anchor="page=1" w:history="1">
              <w:r w:rsidRPr="004117C2">
                <w:rPr>
                  <w:rStyle w:val="Hyperlink"/>
                  <w:sz w:val="20"/>
                </w:rPr>
                <w:t>Programa 3 (Rev. Doha, 2006)</w:t>
              </w:r>
            </w:hyperlink>
            <w:r w:rsidRPr="004117C2">
              <w:rPr>
                <w:sz w:val="20"/>
              </w:rPr>
              <w:t xml:space="preserve"> de la CMDT</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34" w:anchor="page=7" w:history="1">
              <w:r w:rsidRPr="004117C2">
                <w:rPr>
                  <w:rStyle w:val="Hyperlink"/>
                  <w:sz w:val="20"/>
                </w:rPr>
                <w:t>Resolución 71 – Meta Estratégica 4 (Rev. Antalya, 2006)</w:t>
              </w:r>
            </w:hyperlink>
            <w:r w:rsidRPr="004117C2">
              <w:rPr>
                <w:sz w:val="20"/>
              </w:rPr>
              <w:t xml:space="preserve"> de la PP</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35" w:history="1">
              <w:r w:rsidRPr="004117C2">
                <w:rPr>
                  <w:rStyle w:val="Hyperlink"/>
                  <w:sz w:val="20"/>
                </w:rPr>
                <w:t>Comisión de Estudio 1 del UIT-D</w:t>
              </w:r>
            </w:hyperlink>
          </w:p>
        </w:tc>
      </w:tr>
      <w:tr w:rsidR="006F52C6" w:rsidTr="006F52C6">
        <w:tc>
          <w:tcPr>
            <w:tcW w:w="561" w:type="dxa"/>
          </w:tcPr>
          <w:p w:rsidR="006F52C6" w:rsidRPr="004117C2" w:rsidRDefault="006F52C6" w:rsidP="006F52C6">
            <w:pPr>
              <w:pStyle w:val="Tabletext"/>
              <w:jc w:val="center"/>
              <w:rPr>
                <w:sz w:val="20"/>
              </w:rPr>
            </w:pPr>
            <w:r w:rsidRPr="004117C2">
              <w:rPr>
                <w:sz w:val="20"/>
              </w:rPr>
              <w:t>6</w:t>
            </w:r>
          </w:p>
        </w:tc>
        <w:tc>
          <w:tcPr>
            <w:tcW w:w="3402" w:type="dxa"/>
          </w:tcPr>
          <w:p w:rsidR="006F52C6" w:rsidRPr="004117C2" w:rsidRDefault="006F52C6" w:rsidP="006F52C6">
            <w:pPr>
              <w:pStyle w:val="Tabletext"/>
              <w:spacing w:before="20" w:after="20"/>
              <w:rPr>
                <w:sz w:val="20"/>
              </w:rPr>
            </w:pPr>
            <w:r w:rsidRPr="004117C2">
              <w:rPr>
                <w:sz w:val="20"/>
              </w:rPr>
              <w:t>Combate eficaz contra el correo basura</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36" w:history="1">
              <w:r w:rsidRPr="004117C2">
                <w:rPr>
                  <w:rStyle w:val="Hyperlink"/>
                  <w:sz w:val="20"/>
                </w:rPr>
                <w:t>Facilitador Principal de la Línea de Acción C5 de la CMSI (Túnez, 2005)</w:t>
              </w:r>
            </w:hyperlink>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37" w:anchor="page=4" w:history="1">
              <w:r w:rsidRPr="004117C2">
                <w:rPr>
                  <w:rStyle w:val="Hyperlink"/>
                  <w:sz w:val="20"/>
                </w:rPr>
                <w:t>Resolución 130 (Rev. Antalya, 2006)</w:t>
              </w:r>
            </w:hyperlink>
            <w:r w:rsidRPr="004117C2">
              <w:rPr>
                <w:sz w:val="20"/>
              </w:rPr>
              <w:t xml:space="preserve"> de la PP</w:t>
            </w:r>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38" w:anchor="page=1" w:history="1">
              <w:r w:rsidRPr="004117C2">
                <w:rPr>
                  <w:rStyle w:val="Hyperlink"/>
                  <w:sz w:val="20"/>
                </w:rPr>
                <w:t>Programa 3</w:t>
              </w:r>
            </w:hyperlink>
            <w:r w:rsidRPr="004117C2">
              <w:rPr>
                <w:sz w:val="20"/>
              </w:rPr>
              <w:t xml:space="preserve">, </w:t>
            </w:r>
            <w:hyperlink r:id="rId39" w:anchor="page=3" w:history="1">
              <w:r w:rsidRPr="004117C2">
                <w:rPr>
                  <w:rStyle w:val="Hyperlink"/>
                  <w:sz w:val="20"/>
                </w:rPr>
                <w:t>Resolución 45 (Rev. Doha, 2006)</w:t>
              </w:r>
            </w:hyperlink>
            <w:r w:rsidRPr="004117C2">
              <w:rPr>
                <w:sz w:val="20"/>
              </w:rPr>
              <w:t xml:space="preserve"> de la CMDT</w:t>
            </w:r>
          </w:p>
          <w:p w:rsidR="006F52C6" w:rsidRPr="004117C2" w:rsidRDefault="006F52C6" w:rsidP="006F52C6">
            <w:pPr>
              <w:pStyle w:val="Tabletext"/>
              <w:tabs>
                <w:tab w:val="left" w:pos="454"/>
              </w:tabs>
              <w:spacing w:before="20"/>
              <w:rPr>
                <w:sz w:val="20"/>
              </w:rPr>
            </w:pPr>
            <w:r w:rsidRPr="004117C2">
              <w:rPr>
                <w:sz w:val="20"/>
              </w:rPr>
              <w:t>•</w:t>
            </w:r>
            <w:r w:rsidRPr="004117C2">
              <w:rPr>
                <w:sz w:val="20"/>
              </w:rPr>
              <w:tab/>
            </w:r>
            <w:hyperlink r:id="rId40" w:anchor="page=4" w:history="1">
              <w:r w:rsidRPr="004117C2">
                <w:rPr>
                  <w:rStyle w:val="Hyperlink"/>
                  <w:sz w:val="20"/>
                </w:rPr>
                <w:t>Resoluciones 50</w:t>
              </w:r>
            </w:hyperlink>
            <w:r w:rsidRPr="004117C2">
              <w:rPr>
                <w:sz w:val="20"/>
              </w:rPr>
              <w:t xml:space="preserve">, </w:t>
            </w:r>
            <w:hyperlink r:id="rId41" w:anchor="page=4" w:history="1">
              <w:r w:rsidRPr="004117C2">
                <w:rPr>
                  <w:rStyle w:val="Hyperlink"/>
                  <w:sz w:val="20"/>
                </w:rPr>
                <w:t>52 (Rev. Johannesburgo, 2008)</w:t>
              </w:r>
            </w:hyperlink>
            <w:r w:rsidRPr="004117C2">
              <w:rPr>
                <w:sz w:val="20"/>
              </w:rPr>
              <w:t xml:space="preserve"> de la AMNT</w:t>
            </w:r>
          </w:p>
        </w:tc>
      </w:tr>
      <w:tr w:rsidR="006F52C6" w:rsidTr="006F52C6">
        <w:tc>
          <w:tcPr>
            <w:tcW w:w="561" w:type="dxa"/>
          </w:tcPr>
          <w:p w:rsidR="006F52C6" w:rsidRPr="004117C2" w:rsidRDefault="006F52C6" w:rsidP="006F52C6">
            <w:pPr>
              <w:pStyle w:val="Tabletext"/>
              <w:jc w:val="center"/>
              <w:rPr>
                <w:sz w:val="20"/>
              </w:rPr>
            </w:pPr>
            <w:r w:rsidRPr="004117C2">
              <w:rPr>
                <w:sz w:val="20"/>
              </w:rPr>
              <w:t>7</w:t>
            </w:r>
          </w:p>
        </w:tc>
        <w:tc>
          <w:tcPr>
            <w:tcW w:w="3402" w:type="dxa"/>
          </w:tcPr>
          <w:p w:rsidR="006F52C6" w:rsidRPr="004117C2" w:rsidRDefault="006F52C6" w:rsidP="006F52C6">
            <w:pPr>
              <w:pStyle w:val="Tabletext"/>
              <w:spacing w:before="20" w:after="20"/>
              <w:rPr>
                <w:sz w:val="20"/>
              </w:rPr>
            </w:pPr>
            <w:r w:rsidRPr="004117C2">
              <w:rPr>
                <w:sz w:val="20"/>
              </w:rPr>
              <w:t>Cuestiones pertenecientes al uso correcto y erróneo de Internet</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42" w:history="1">
              <w:r w:rsidRPr="004117C2">
                <w:rPr>
                  <w:rStyle w:val="Hyperlink"/>
                  <w:sz w:val="20"/>
                </w:rPr>
                <w:t>Facilitador Principal de la Línea de Acción C5 de la CMSI (Túnez, 2005)</w:t>
              </w:r>
            </w:hyperlink>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43" w:anchor="page=2" w:history="1">
              <w:r w:rsidRPr="004117C2">
                <w:rPr>
                  <w:rStyle w:val="Hyperlink"/>
                  <w:sz w:val="20"/>
                </w:rPr>
                <w:t>Resolución 1282</w:t>
              </w:r>
            </w:hyperlink>
            <w:r w:rsidRPr="004117C2">
              <w:rPr>
                <w:sz w:val="20"/>
              </w:rPr>
              <w:t xml:space="preserve"> (</w:t>
            </w:r>
            <w:proofErr w:type="spellStart"/>
            <w:r w:rsidRPr="004117C2">
              <w:rPr>
                <w:sz w:val="20"/>
              </w:rPr>
              <w:t>Mod</w:t>
            </w:r>
            <w:proofErr w:type="spellEnd"/>
            <w:r w:rsidRPr="004117C2">
              <w:rPr>
                <w:sz w:val="20"/>
              </w:rPr>
              <w:t>. 2008)</w:t>
            </w:r>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44" w:anchor="page=1" w:history="1">
              <w:r w:rsidRPr="004117C2">
                <w:rPr>
                  <w:rStyle w:val="Hyperlink"/>
                  <w:sz w:val="20"/>
                </w:rPr>
                <w:t>Programa 3 (Rev. Doha, 2006)</w:t>
              </w:r>
            </w:hyperlink>
            <w:r w:rsidRPr="004117C2">
              <w:rPr>
                <w:sz w:val="20"/>
              </w:rPr>
              <w:t xml:space="preserve"> de la CMDT</w:t>
            </w:r>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45" w:anchor="page=4" w:history="1">
              <w:r w:rsidRPr="004117C2">
                <w:rPr>
                  <w:rStyle w:val="Hyperlink"/>
                  <w:sz w:val="20"/>
                </w:rPr>
                <w:t>Resolución 130 (Rev. Antalya, 2006)</w:t>
              </w:r>
            </w:hyperlink>
            <w:r w:rsidRPr="004117C2">
              <w:rPr>
                <w:sz w:val="20"/>
              </w:rPr>
              <w:t xml:space="preserve"> de la PP</w:t>
            </w:r>
          </w:p>
          <w:p w:rsidR="006F52C6" w:rsidRPr="004117C2" w:rsidRDefault="006F52C6" w:rsidP="006F52C6">
            <w:pPr>
              <w:pStyle w:val="Tabletext"/>
              <w:tabs>
                <w:tab w:val="left" w:pos="454"/>
              </w:tabs>
              <w:spacing w:before="20"/>
              <w:rPr>
                <w:sz w:val="20"/>
              </w:rPr>
            </w:pPr>
            <w:r w:rsidRPr="004117C2">
              <w:rPr>
                <w:sz w:val="20"/>
              </w:rPr>
              <w:t>•</w:t>
            </w:r>
            <w:r w:rsidRPr="004117C2">
              <w:rPr>
                <w:sz w:val="20"/>
              </w:rPr>
              <w:tab/>
            </w:r>
            <w:hyperlink r:id="rId46" w:anchor="page=4" w:history="1">
              <w:r w:rsidRPr="004117C2">
                <w:rPr>
                  <w:rStyle w:val="Hyperlink"/>
                  <w:sz w:val="20"/>
                </w:rPr>
                <w:t>Resoluciones 50</w:t>
              </w:r>
            </w:hyperlink>
            <w:r w:rsidRPr="004117C2">
              <w:rPr>
                <w:sz w:val="20"/>
              </w:rPr>
              <w:t xml:space="preserve">, </w:t>
            </w:r>
            <w:hyperlink r:id="rId47" w:anchor="page=4" w:history="1">
              <w:r w:rsidRPr="004117C2">
                <w:rPr>
                  <w:rStyle w:val="Hyperlink"/>
                  <w:sz w:val="20"/>
                </w:rPr>
                <w:t>52 (Rev. Johannesburgo, 2008)</w:t>
              </w:r>
            </w:hyperlink>
            <w:r w:rsidRPr="004117C2">
              <w:rPr>
                <w:sz w:val="20"/>
              </w:rPr>
              <w:t xml:space="preserve"> de la AMNT</w:t>
            </w:r>
          </w:p>
        </w:tc>
      </w:tr>
      <w:tr w:rsidR="006F52C6" w:rsidTr="006F52C6">
        <w:tc>
          <w:tcPr>
            <w:tcW w:w="561" w:type="dxa"/>
          </w:tcPr>
          <w:p w:rsidR="006F52C6" w:rsidRPr="004117C2" w:rsidRDefault="006F52C6" w:rsidP="006F52C6">
            <w:pPr>
              <w:pStyle w:val="Tabletext"/>
              <w:jc w:val="center"/>
              <w:rPr>
                <w:sz w:val="20"/>
              </w:rPr>
            </w:pPr>
            <w:r w:rsidRPr="004117C2">
              <w:rPr>
                <w:sz w:val="20"/>
              </w:rPr>
              <w:t>8</w:t>
            </w:r>
          </w:p>
        </w:tc>
        <w:tc>
          <w:tcPr>
            <w:tcW w:w="3402" w:type="dxa"/>
          </w:tcPr>
          <w:p w:rsidR="006F52C6" w:rsidRPr="004117C2" w:rsidRDefault="006F52C6" w:rsidP="006F52C6">
            <w:pPr>
              <w:pStyle w:val="Tabletext"/>
              <w:spacing w:before="20" w:after="20"/>
              <w:rPr>
                <w:sz w:val="20"/>
              </w:rPr>
            </w:pPr>
            <w:r w:rsidRPr="004117C2">
              <w:rPr>
                <w:sz w:val="20"/>
              </w:rPr>
              <w:t>Disponibilidad, asequibilidad, fiabilidad y calidad de servicio, particularmente en el mundo en desarrollo</w:t>
            </w:r>
          </w:p>
        </w:tc>
        <w:tc>
          <w:tcPr>
            <w:tcW w:w="5670" w:type="dxa"/>
          </w:tcPr>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48" w:history="1">
              <w:r w:rsidRPr="004117C2">
                <w:rPr>
                  <w:rStyle w:val="Hyperlink"/>
                  <w:sz w:val="20"/>
                </w:rPr>
                <w:t>Facilitador Principal de la Línea de Acción C2 de la CMSI (Túnez, 2005)</w:t>
              </w:r>
            </w:hyperlink>
          </w:p>
          <w:p w:rsidR="006F52C6" w:rsidRPr="004117C2" w:rsidRDefault="006F52C6" w:rsidP="006F52C6">
            <w:pPr>
              <w:pStyle w:val="Tabletext"/>
              <w:tabs>
                <w:tab w:val="left" w:pos="454"/>
              </w:tabs>
              <w:spacing w:before="20"/>
              <w:rPr>
                <w:sz w:val="20"/>
              </w:rPr>
            </w:pPr>
            <w:r w:rsidRPr="004117C2">
              <w:rPr>
                <w:sz w:val="20"/>
              </w:rPr>
              <w:t>•</w:t>
            </w:r>
            <w:r w:rsidRPr="004117C2">
              <w:rPr>
                <w:sz w:val="20"/>
              </w:rPr>
              <w:tab/>
            </w:r>
            <w:hyperlink r:id="rId49" w:anchor="page=2" w:history="1">
              <w:r w:rsidRPr="004117C2">
                <w:rPr>
                  <w:rStyle w:val="Hyperlink"/>
                  <w:sz w:val="20"/>
                </w:rPr>
                <w:t>Resolución 1282</w:t>
              </w:r>
            </w:hyperlink>
            <w:r w:rsidRPr="004117C2">
              <w:rPr>
                <w:sz w:val="20"/>
              </w:rPr>
              <w:t xml:space="preserve"> (</w:t>
            </w:r>
            <w:proofErr w:type="spellStart"/>
            <w:r w:rsidRPr="004117C2">
              <w:rPr>
                <w:sz w:val="20"/>
              </w:rPr>
              <w:t>Mod</w:t>
            </w:r>
            <w:proofErr w:type="spellEnd"/>
            <w:r w:rsidRPr="004117C2">
              <w:rPr>
                <w:sz w:val="20"/>
              </w:rPr>
              <w:t>. 2008)</w:t>
            </w:r>
          </w:p>
        </w:tc>
      </w:tr>
      <w:tr w:rsidR="006F52C6" w:rsidTr="006F52C6">
        <w:tc>
          <w:tcPr>
            <w:tcW w:w="561" w:type="dxa"/>
          </w:tcPr>
          <w:p w:rsidR="006F52C6" w:rsidRPr="004117C2" w:rsidRDefault="006F52C6" w:rsidP="006F52C6">
            <w:pPr>
              <w:pStyle w:val="Tabletext"/>
              <w:jc w:val="center"/>
              <w:rPr>
                <w:sz w:val="20"/>
              </w:rPr>
            </w:pPr>
            <w:r w:rsidRPr="004117C2">
              <w:rPr>
                <w:sz w:val="20"/>
              </w:rPr>
              <w:t>9</w:t>
            </w:r>
          </w:p>
        </w:tc>
        <w:tc>
          <w:tcPr>
            <w:tcW w:w="3402" w:type="dxa"/>
          </w:tcPr>
          <w:p w:rsidR="006F52C6" w:rsidRPr="004117C2" w:rsidRDefault="006F52C6" w:rsidP="006F52C6">
            <w:pPr>
              <w:pStyle w:val="Tabletext"/>
              <w:spacing w:before="20" w:after="20"/>
              <w:rPr>
                <w:sz w:val="20"/>
              </w:rPr>
            </w:pPr>
            <w:r w:rsidRPr="004117C2">
              <w:rPr>
                <w:sz w:val="20"/>
              </w:rPr>
              <w:t>Contribución a la creación de capacidades para la Gobernanza de Internet en los países en desarrollo</w:t>
            </w:r>
          </w:p>
        </w:tc>
        <w:tc>
          <w:tcPr>
            <w:tcW w:w="5670" w:type="dxa"/>
          </w:tcPr>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50" w:history="1">
              <w:r w:rsidRPr="004117C2">
                <w:rPr>
                  <w:rStyle w:val="Hyperlink"/>
                  <w:sz w:val="20"/>
                </w:rPr>
                <w:t>Resoluciones 17</w:t>
              </w:r>
            </w:hyperlink>
            <w:r w:rsidRPr="004117C2">
              <w:rPr>
                <w:sz w:val="20"/>
              </w:rPr>
              <w:t xml:space="preserve">, </w:t>
            </w:r>
            <w:hyperlink r:id="rId51" w:history="1">
              <w:r w:rsidRPr="004117C2">
                <w:rPr>
                  <w:rStyle w:val="Hyperlink"/>
                  <w:sz w:val="20"/>
                </w:rPr>
                <w:t>20 (Rev. Doha, 2006)</w:t>
              </w:r>
            </w:hyperlink>
            <w:r w:rsidRPr="004117C2">
              <w:rPr>
                <w:sz w:val="20"/>
              </w:rPr>
              <w:t xml:space="preserve"> de la CMDT</w:t>
            </w:r>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52" w:history="1">
              <w:r w:rsidRPr="004117C2">
                <w:rPr>
                  <w:rStyle w:val="Hyperlink"/>
                  <w:sz w:val="20"/>
                </w:rPr>
                <w:t>Programa 3 del UIT-D</w:t>
              </w:r>
            </w:hyperlink>
            <w:r w:rsidRPr="004117C2">
              <w:rPr>
                <w:sz w:val="20"/>
              </w:rPr>
              <w:t xml:space="preserve">, </w:t>
            </w:r>
            <w:hyperlink r:id="rId53" w:history="1">
              <w:r w:rsidRPr="004117C2">
                <w:rPr>
                  <w:rStyle w:val="Hyperlink"/>
                  <w:sz w:val="20"/>
                </w:rPr>
                <w:t>Programa 5 del UIT-D</w:t>
              </w:r>
            </w:hyperlink>
          </w:p>
          <w:p w:rsidR="006F52C6" w:rsidRPr="004117C2" w:rsidRDefault="006F52C6" w:rsidP="006F52C6">
            <w:pPr>
              <w:pStyle w:val="Tabletext"/>
              <w:tabs>
                <w:tab w:val="left" w:pos="454"/>
              </w:tabs>
              <w:spacing w:before="20"/>
              <w:rPr>
                <w:sz w:val="20"/>
              </w:rPr>
            </w:pPr>
            <w:r w:rsidRPr="004117C2">
              <w:rPr>
                <w:sz w:val="20"/>
              </w:rPr>
              <w:t>•</w:t>
            </w:r>
            <w:r w:rsidRPr="004117C2">
              <w:rPr>
                <w:sz w:val="20"/>
              </w:rPr>
              <w:tab/>
            </w:r>
            <w:hyperlink r:id="rId54" w:anchor="page=3" w:history="1">
              <w:r w:rsidRPr="004117C2">
                <w:rPr>
                  <w:rStyle w:val="Hyperlink"/>
                  <w:sz w:val="20"/>
                </w:rPr>
                <w:t>Resolución 64 (Rev. Johannesburgo, 2008)</w:t>
              </w:r>
            </w:hyperlink>
            <w:r w:rsidRPr="004117C2">
              <w:rPr>
                <w:sz w:val="20"/>
              </w:rPr>
              <w:t xml:space="preserve"> de la AMNT</w:t>
            </w:r>
          </w:p>
        </w:tc>
      </w:tr>
      <w:tr w:rsidR="006F52C6" w:rsidTr="006F52C6">
        <w:tc>
          <w:tcPr>
            <w:tcW w:w="561" w:type="dxa"/>
          </w:tcPr>
          <w:p w:rsidR="006F52C6" w:rsidRPr="004117C2" w:rsidRDefault="006F52C6" w:rsidP="006F52C6">
            <w:pPr>
              <w:pStyle w:val="Tabletext"/>
              <w:jc w:val="center"/>
              <w:rPr>
                <w:sz w:val="20"/>
              </w:rPr>
            </w:pPr>
            <w:r w:rsidRPr="004117C2">
              <w:rPr>
                <w:sz w:val="20"/>
              </w:rPr>
              <w:lastRenderedPageBreak/>
              <w:t>10</w:t>
            </w:r>
          </w:p>
        </w:tc>
        <w:tc>
          <w:tcPr>
            <w:tcW w:w="3402" w:type="dxa"/>
          </w:tcPr>
          <w:p w:rsidR="006F52C6" w:rsidRPr="004117C2" w:rsidRDefault="006F52C6" w:rsidP="006F52C6">
            <w:pPr>
              <w:pStyle w:val="Tabletext"/>
              <w:spacing w:before="20" w:after="20"/>
              <w:rPr>
                <w:sz w:val="20"/>
              </w:rPr>
            </w:pPr>
            <w:r w:rsidRPr="004117C2">
              <w:rPr>
                <w:sz w:val="20"/>
              </w:rPr>
              <w:t>Aspectos de Internet relacionados con el desarrollo</w:t>
            </w:r>
          </w:p>
        </w:tc>
        <w:tc>
          <w:tcPr>
            <w:tcW w:w="5670" w:type="dxa"/>
          </w:tcPr>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55" w:history="1">
              <w:r w:rsidRPr="004117C2">
                <w:rPr>
                  <w:rStyle w:val="Hyperlink"/>
                  <w:sz w:val="20"/>
                </w:rPr>
                <w:t>Resoluciones 17</w:t>
              </w:r>
            </w:hyperlink>
            <w:r w:rsidRPr="004117C2">
              <w:rPr>
                <w:sz w:val="20"/>
              </w:rPr>
              <w:t xml:space="preserve">, </w:t>
            </w:r>
            <w:hyperlink r:id="rId56" w:history="1">
              <w:r w:rsidRPr="004117C2">
                <w:rPr>
                  <w:rStyle w:val="Hyperlink"/>
                  <w:sz w:val="20"/>
                </w:rPr>
                <w:t>20 (Rev. Doha, 2006)</w:t>
              </w:r>
            </w:hyperlink>
            <w:r w:rsidRPr="004117C2">
              <w:rPr>
                <w:sz w:val="20"/>
              </w:rPr>
              <w:t xml:space="preserve"> de la CMDT</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57" w:anchor="page=3" w:history="1">
              <w:r w:rsidRPr="004117C2">
                <w:rPr>
                  <w:rStyle w:val="Hyperlink"/>
                  <w:sz w:val="20"/>
                </w:rPr>
                <w:t>Resoluciones 64</w:t>
              </w:r>
            </w:hyperlink>
            <w:r w:rsidRPr="004117C2">
              <w:rPr>
                <w:sz w:val="20"/>
              </w:rPr>
              <w:t xml:space="preserve">, </w:t>
            </w:r>
            <w:hyperlink r:id="rId58" w:anchor="page=4" w:history="1">
              <w:r w:rsidRPr="004117C2">
                <w:rPr>
                  <w:rStyle w:val="Hyperlink"/>
                  <w:sz w:val="20"/>
                </w:rPr>
                <w:t>75 (Rev. Johannesburgo, 2008)</w:t>
              </w:r>
            </w:hyperlink>
            <w:r w:rsidRPr="004117C2">
              <w:rPr>
                <w:sz w:val="20"/>
              </w:rPr>
              <w:t xml:space="preserve"> de la AMNT</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59" w:anchor="page=4" w:history="1">
              <w:r w:rsidRPr="004117C2">
                <w:rPr>
                  <w:rStyle w:val="Hyperlink"/>
                  <w:sz w:val="20"/>
                </w:rPr>
                <w:t>Resoluciones 101</w:t>
              </w:r>
            </w:hyperlink>
            <w:r w:rsidRPr="004117C2">
              <w:rPr>
                <w:sz w:val="20"/>
              </w:rPr>
              <w:t xml:space="preserve">, </w:t>
            </w:r>
            <w:hyperlink r:id="rId60" w:anchor="page=4" w:history="1">
              <w:r w:rsidRPr="004117C2">
                <w:rPr>
                  <w:rStyle w:val="Hyperlink"/>
                  <w:sz w:val="20"/>
                </w:rPr>
                <w:t>102</w:t>
              </w:r>
            </w:hyperlink>
            <w:r w:rsidRPr="004117C2">
              <w:rPr>
                <w:sz w:val="20"/>
              </w:rPr>
              <w:t xml:space="preserve">, </w:t>
            </w:r>
            <w:hyperlink r:id="rId61" w:anchor="page=3" w:history="1">
              <w:r w:rsidRPr="004117C2">
                <w:rPr>
                  <w:rStyle w:val="Hyperlink"/>
                  <w:sz w:val="20"/>
                </w:rPr>
                <w:t>133 (Rev. Antalya, 2006)</w:t>
              </w:r>
            </w:hyperlink>
            <w:r w:rsidRPr="004117C2">
              <w:rPr>
                <w:sz w:val="20"/>
              </w:rPr>
              <w:t xml:space="preserve"> de la PP</w:t>
            </w:r>
          </w:p>
        </w:tc>
      </w:tr>
      <w:tr w:rsidR="006F52C6" w:rsidTr="006F52C6">
        <w:tc>
          <w:tcPr>
            <w:tcW w:w="561" w:type="dxa"/>
          </w:tcPr>
          <w:p w:rsidR="006F52C6" w:rsidRPr="004117C2" w:rsidRDefault="006F52C6" w:rsidP="006F52C6">
            <w:pPr>
              <w:pStyle w:val="Tabletext"/>
              <w:jc w:val="center"/>
              <w:rPr>
                <w:sz w:val="20"/>
              </w:rPr>
            </w:pPr>
            <w:r w:rsidRPr="004117C2">
              <w:rPr>
                <w:sz w:val="20"/>
              </w:rPr>
              <w:t>11</w:t>
            </w:r>
          </w:p>
        </w:tc>
        <w:tc>
          <w:tcPr>
            <w:tcW w:w="3402" w:type="dxa"/>
          </w:tcPr>
          <w:p w:rsidR="006F52C6" w:rsidRPr="004117C2" w:rsidRDefault="006F52C6" w:rsidP="006F52C6">
            <w:pPr>
              <w:pStyle w:val="Tabletext"/>
              <w:spacing w:before="20" w:after="20"/>
              <w:rPr>
                <w:sz w:val="20"/>
              </w:rPr>
            </w:pPr>
            <w:r w:rsidRPr="004117C2">
              <w:rPr>
                <w:sz w:val="20"/>
              </w:rPr>
              <w:t>Respeto de la privacidad y protección de datos e información personales</w:t>
            </w:r>
          </w:p>
        </w:tc>
        <w:tc>
          <w:tcPr>
            <w:tcW w:w="5670" w:type="dxa"/>
          </w:tcPr>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62" w:anchor="page=4" w:history="1">
              <w:r w:rsidRPr="004117C2">
                <w:rPr>
                  <w:rStyle w:val="Hyperlink"/>
                  <w:sz w:val="20"/>
                </w:rPr>
                <w:t>Resolución 130 (Rev. Antalya, 2006)</w:t>
              </w:r>
            </w:hyperlink>
            <w:r w:rsidRPr="004117C2">
              <w:rPr>
                <w:sz w:val="20"/>
              </w:rPr>
              <w:t xml:space="preserve"> de la PP</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63" w:history="1">
              <w:r w:rsidRPr="004117C2">
                <w:rPr>
                  <w:rStyle w:val="Hyperlink"/>
                  <w:sz w:val="20"/>
                </w:rPr>
                <w:t>Facilitador Principal de la Línea de Acción C5 de la CMSI (Túnez, 2005)</w:t>
              </w:r>
            </w:hyperlink>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64" w:anchor="page=2" w:history="1">
              <w:r w:rsidRPr="004117C2">
                <w:rPr>
                  <w:rStyle w:val="Hyperlink"/>
                  <w:sz w:val="20"/>
                </w:rPr>
                <w:t>Resolución 1282</w:t>
              </w:r>
            </w:hyperlink>
            <w:r w:rsidRPr="004117C2">
              <w:rPr>
                <w:sz w:val="20"/>
              </w:rPr>
              <w:t xml:space="preserve"> (</w:t>
            </w:r>
            <w:proofErr w:type="spellStart"/>
            <w:r w:rsidRPr="004117C2">
              <w:rPr>
                <w:sz w:val="20"/>
              </w:rPr>
              <w:t>Mod</w:t>
            </w:r>
            <w:proofErr w:type="spellEnd"/>
            <w:r w:rsidRPr="004117C2">
              <w:rPr>
                <w:sz w:val="20"/>
              </w:rPr>
              <w:t>. 2008)</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65" w:anchor="page=7" w:history="1">
              <w:r w:rsidRPr="004117C2">
                <w:rPr>
                  <w:rStyle w:val="Hyperlink"/>
                  <w:sz w:val="20"/>
                </w:rPr>
                <w:t>Resolución 71 – Meta Estratégica 4 (Rev. Antalya, 2006)</w:t>
              </w:r>
            </w:hyperlink>
            <w:r w:rsidRPr="004117C2">
              <w:rPr>
                <w:sz w:val="20"/>
              </w:rPr>
              <w:t xml:space="preserve"> de la PP</w:t>
            </w:r>
          </w:p>
        </w:tc>
      </w:tr>
      <w:tr w:rsidR="006F52C6" w:rsidTr="006F52C6">
        <w:tc>
          <w:tcPr>
            <w:tcW w:w="561" w:type="dxa"/>
          </w:tcPr>
          <w:p w:rsidR="006F52C6" w:rsidRPr="004117C2" w:rsidRDefault="006F52C6" w:rsidP="006F52C6">
            <w:pPr>
              <w:pStyle w:val="Tabletext"/>
              <w:jc w:val="center"/>
              <w:rPr>
                <w:sz w:val="20"/>
              </w:rPr>
            </w:pPr>
            <w:r w:rsidRPr="004117C2">
              <w:rPr>
                <w:sz w:val="20"/>
              </w:rPr>
              <w:t>12</w:t>
            </w:r>
          </w:p>
        </w:tc>
        <w:tc>
          <w:tcPr>
            <w:tcW w:w="3402" w:type="dxa"/>
          </w:tcPr>
          <w:p w:rsidR="006F52C6" w:rsidRPr="004117C2" w:rsidRDefault="006F52C6" w:rsidP="006F52C6">
            <w:pPr>
              <w:pStyle w:val="Tabletext"/>
              <w:spacing w:before="20" w:after="20"/>
              <w:rPr>
                <w:sz w:val="20"/>
              </w:rPr>
            </w:pPr>
            <w:r w:rsidRPr="004117C2">
              <w:rPr>
                <w:sz w:val="20"/>
              </w:rPr>
              <w:t>Protección de los niños y jóvenes contra el abuso y la explotación</w:t>
            </w:r>
          </w:p>
        </w:tc>
        <w:tc>
          <w:tcPr>
            <w:tcW w:w="5670" w:type="dxa"/>
          </w:tcPr>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66" w:anchor="page=4" w:history="1">
              <w:r w:rsidRPr="004117C2">
                <w:rPr>
                  <w:rStyle w:val="Hyperlink"/>
                  <w:sz w:val="20"/>
                </w:rPr>
                <w:t>Resolución 130 (Rev. Antalya, 2006)</w:t>
              </w:r>
            </w:hyperlink>
            <w:r w:rsidRPr="004117C2">
              <w:rPr>
                <w:sz w:val="20"/>
              </w:rPr>
              <w:t xml:space="preserve"> de la PP</w:t>
            </w:r>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67" w:history="1">
              <w:r w:rsidRPr="004117C2">
                <w:rPr>
                  <w:rStyle w:val="Hyperlink"/>
                  <w:sz w:val="20"/>
                </w:rPr>
                <w:t>Facilitador Principal de la Línea de Acción C5 de la CMSI (Túnez, 2005)</w:t>
              </w:r>
            </w:hyperlink>
          </w:p>
          <w:p w:rsidR="006F52C6" w:rsidRPr="004117C2" w:rsidRDefault="006F52C6" w:rsidP="006F52C6">
            <w:pPr>
              <w:pStyle w:val="Tabletext"/>
              <w:tabs>
                <w:tab w:val="left" w:pos="454"/>
              </w:tabs>
              <w:spacing w:before="20" w:after="0"/>
              <w:ind w:left="454" w:hanging="454"/>
              <w:rPr>
                <w:sz w:val="20"/>
              </w:rPr>
            </w:pPr>
            <w:r w:rsidRPr="004117C2">
              <w:rPr>
                <w:sz w:val="20"/>
              </w:rPr>
              <w:t>•</w:t>
            </w:r>
            <w:r w:rsidRPr="004117C2">
              <w:rPr>
                <w:sz w:val="20"/>
              </w:rPr>
              <w:tab/>
            </w:r>
            <w:hyperlink r:id="rId68" w:anchor="page=7" w:history="1">
              <w:r w:rsidRPr="004117C2">
                <w:rPr>
                  <w:rStyle w:val="Hyperlink"/>
                  <w:sz w:val="20"/>
                </w:rPr>
                <w:t>Resolución 71 – Meta Estratégica 4 (Rev. Antalya, 2006)</w:t>
              </w:r>
            </w:hyperlink>
            <w:r w:rsidRPr="004117C2">
              <w:rPr>
                <w:sz w:val="20"/>
              </w:rPr>
              <w:t xml:space="preserve"> de la PP</w:t>
            </w:r>
          </w:p>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69" w:anchor="page=2" w:history="1">
              <w:r w:rsidRPr="004117C2">
                <w:rPr>
                  <w:rStyle w:val="Hyperlink"/>
                  <w:sz w:val="20"/>
                </w:rPr>
                <w:t>Resolución 1282</w:t>
              </w:r>
            </w:hyperlink>
            <w:r w:rsidRPr="004117C2">
              <w:rPr>
                <w:sz w:val="20"/>
              </w:rPr>
              <w:t xml:space="preserve"> (</w:t>
            </w:r>
            <w:proofErr w:type="spellStart"/>
            <w:r w:rsidRPr="004117C2">
              <w:rPr>
                <w:sz w:val="20"/>
              </w:rPr>
              <w:t>Mod</w:t>
            </w:r>
            <w:proofErr w:type="spellEnd"/>
            <w:r w:rsidRPr="004117C2">
              <w:rPr>
                <w:sz w:val="20"/>
              </w:rPr>
              <w:t>. 2008)</w:t>
            </w:r>
          </w:p>
          <w:p w:rsidR="006F52C6" w:rsidRPr="004117C2" w:rsidRDefault="006F52C6" w:rsidP="006F52C6">
            <w:pPr>
              <w:pStyle w:val="Tabletext"/>
              <w:tabs>
                <w:tab w:val="left" w:pos="454"/>
              </w:tabs>
              <w:spacing w:before="20"/>
              <w:ind w:left="454" w:hanging="454"/>
              <w:rPr>
                <w:sz w:val="20"/>
              </w:rPr>
            </w:pPr>
            <w:r w:rsidRPr="004117C2">
              <w:rPr>
                <w:sz w:val="20"/>
              </w:rPr>
              <w:t>•</w:t>
            </w:r>
            <w:r w:rsidRPr="004117C2">
              <w:rPr>
                <w:sz w:val="20"/>
              </w:rPr>
              <w:tab/>
            </w:r>
            <w:hyperlink r:id="rId70" w:history="1">
              <w:r w:rsidRPr="004117C2">
                <w:rPr>
                  <w:rStyle w:val="Hyperlink"/>
                  <w:sz w:val="20"/>
                </w:rPr>
                <w:t>Programa 3 del UIT-D</w:t>
              </w:r>
            </w:hyperlink>
            <w:r w:rsidRPr="004117C2">
              <w:rPr>
                <w:sz w:val="20"/>
              </w:rPr>
              <w:t xml:space="preserve">, </w:t>
            </w:r>
            <w:hyperlink r:id="rId71" w:history="1">
              <w:r w:rsidRPr="004117C2">
                <w:rPr>
                  <w:rStyle w:val="Hyperlink"/>
                  <w:sz w:val="20"/>
                </w:rPr>
                <w:t>Comisión de Estudio 17 del UIT-T</w:t>
              </w:r>
            </w:hyperlink>
          </w:p>
        </w:tc>
      </w:tr>
      <w:tr w:rsidR="006F52C6" w:rsidTr="006F52C6">
        <w:tc>
          <w:tcPr>
            <w:tcW w:w="561" w:type="dxa"/>
          </w:tcPr>
          <w:p w:rsidR="006F52C6" w:rsidRPr="004117C2" w:rsidRDefault="006F52C6" w:rsidP="006F52C6">
            <w:pPr>
              <w:pStyle w:val="Tabletext"/>
              <w:jc w:val="center"/>
              <w:rPr>
                <w:sz w:val="20"/>
              </w:rPr>
            </w:pPr>
            <w:r>
              <w:rPr>
                <w:sz w:val="20"/>
              </w:rPr>
              <w:t>13</w:t>
            </w:r>
          </w:p>
        </w:tc>
        <w:tc>
          <w:tcPr>
            <w:tcW w:w="3402" w:type="dxa"/>
          </w:tcPr>
          <w:p w:rsidR="006F52C6" w:rsidRPr="004117C2" w:rsidRDefault="006F52C6" w:rsidP="006F52C6">
            <w:pPr>
              <w:pStyle w:val="Tabletext"/>
              <w:spacing w:before="20" w:after="20"/>
              <w:rPr>
                <w:sz w:val="20"/>
              </w:rPr>
            </w:pPr>
            <w:r>
              <w:rPr>
                <w:sz w:val="20"/>
              </w:rPr>
              <w:t>OTT</w:t>
            </w:r>
          </w:p>
        </w:tc>
        <w:tc>
          <w:tcPr>
            <w:tcW w:w="5670" w:type="dxa"/>
          </w:tcPr>
          <w:p w:rsidR="006F52C6" w:rsidRPr="004117C2" w:rsidRDefault="006F52C6" w:rsidP="006F52C6">
            <w:pPr>
              <w:pStyle w:val="Tabletext"/>
              <w:tabs>
                <w:tab w:val="left" w:pos="454"/>
              </w:tabs>
              <w:spacing w:before="20" w:after="0"/>
              <w:rPr>
                <w:sz w:val="20"/>
              </w:rPr>
            </w:pPr>
            <w:r w:rsidRPr="004117C2">
              <w:rPr>
                <w:sz w:val="20"/>
              </w:rPr>
              <w:t>•</w:t>
            </w:r>
            <w:r w:rsidRPr="004117C2">
              <w:rPr>
                <w:sz w:val="20"/>
              </w:rPr>
              <w:tab/>
            </w:r>
            <w:hyperlink r:id="rId72" w:history="1">
              <w:r w:rsidRPr="00D84F7C">
                <w:rPr>
                  <w:rStyle w:val="Hyperlink"/>
                  <w:sz w:val="20"/>
                </w:rPr>
                <w:t>Resolución 206 (Dubái, 2018)</w:t>
              </w:r>
            </w:hyperlink>
          </w:p>
        </w:tc>
      </w:tr>
    </w:tbl>
    <w:p w:rsidR="00E003CB" w:rsidRDefault="00E003CB" w:rsidP="006F52C6">
      <w:pPr>
        <w:spacing w:before="840"/>
        <w:jc w:val="center"/>
      </w:pPr>
      <w:r>
        <w:t>______________</w:t>
      </w:r>
    </w:p>
    <w:sectPr w:rsidR="00E003CB" w:rsidSect="006710F6">
      <w:headerReference w:type="default" r:id="rId73"/>
      <w:footerReference w:type="default" r:id="rId74"/>
      <w:footerReference w:type="first" r:id="rId7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23" w:rsidRDefault="00021623">
      <w:r>
        <w:separator/>
      </w:r>
    </w:p>
  </w:endnote>
  <w:endnote w:type="continuationSeparator" w:id="0">
    <w:p w:rsidR="00021623" w:rsidRDefault="000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7328B" w:rsidRDefault="007B4981" w:rsidP="0051504E">
    <w:pPr>
      <w:pStyle w:val="Footer"/>
      <w:rPr>
        <w:color w:val="D9D9D9" w:themeColor="background1" w:themeShade="D9"/>
        <w:lang w:val="en-US"/>
      </w:rPr>
    </w:pPr>
    <w:r w:rsidRPr="0077328B">
      <w:rPr>
        <w:color w:val="D9D9D9" w:themeColor="background1" w:themeShade="D9"/>
        <w:lang w:val="en-US"/>
      </w:rPr>
      <w:fldChar w:fldCharType="begin"/>
    </w:r>
    <w:r w:rsidRPr="0077328B">
      <w:rPr>
        <w:color w:val="D9D9D9" w:themeColor="background1" w:themeShade="D9"/>
        <w:lang w:val="en-US"/>
      </w:rPr>
      <w:instrText xml:space="preserve"> FILENAME \p \* MERGEFORMAT </w:instrText>
    </w:r>
    <w:r w:rsidRPr="0077328B">
      <w:rPr>
        <w:color w:val="D9D9D9" w:themeColor="background1" w:themeShade="D9"/>
        <w:lang w:val="en-US"/>
      </w:rPr>
      <w:fldChar w:fldCharType="separate"/>
    </w:r>
    <w:r w:rsidR="00021623" w:rsidRPr="0077328B">
      <w:rPr>
        <w:color w:val="D9D9D9" w:themeColor="background1" w:themeShade="D9"/>
        <w:lang w:val="en-US"/>
      </w:rPr>
      <w:t>Document1</w:t>
    </w:r>
    <w:r w:rsidRPr="0077328B">
      <w:rPr>
        <w:color w:val="D9D9D9" w:themeColor="background1" w:themeShade="D9"/>
        <w:lang w:val="en-US"/>
      </w:rPr>
      <w:fldChar w:fldCharType="end"/>
    </w:r>
    <w:r w:rsidR="00760F1C" w:rsidRPr="0077328B">
      <w:rPr>
        <w:color w:val="D9D9D9" w:themeColor="background1" w:themeShade="D9"/>
        <w:lang w:val="en-US"/>
      </w:rPr>
      <w:tab/>
    </w:r>
    <w:r w:rsidR="00760F1C" w:rsidRPr="0077328B">
      <w:rPr>
        <w:color w:val="D9D9D9" w:themeColor="background1" w:themeShade="D9"/>
        <w:lang w:val="en-US"/>
      </w:rPr>
      <w:tab/>
    </w:r>
    <w:r w:rsidR="0051504E" w:rsidRPr="0077328B">
      <w:rPr>
        <w:color w:val="D9D9D9" w:themeColor="background1" w:themeShade="D9"/>
      </w:rPr>
      <w:fldChar w:fldCharType="begin"/>
    </w:r>
    <w:r w:rsidR="0051504E" w:rsidRPr="0077328B">
      <w:rPr>
        <w:color w:val="D9D9D9" w:themeColor="background1" w:themeShade="D9"/>
      </w:rPr>
      <w:instrText xml:space="preserve"> DATE   \* MERGEFORMAT </w:instrText>
    </w:r>
    <w:r w:rsidR="0051504E" w:rsidRPr="0077328B">
      <w:rPr>
        <w:color w:val="D9D9D9" w:themeColor="background1" w:themeShade="D9"/>
      </w:rPr>
      <w:fldChar w:fldCharType="separate"/>
    </w:r>
    <w:r w:rsidR="00171681">
      <w:rPr>
        <w:color w:val="D9D9D9" w:themeColor="background1" w:themeShade="D9"/>
      </w:rPr>
      <w:t>10/07/2019</w:t>
    </w:r>
    <w:r w:rsidR="0051504E" w:rsidRPr="0077328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E003CB" w:rsidRDefault="0051504E" w:rsidP="0051504E">
    <w:pPr>
      <w:pStyle w:val="Footer"/>
      <w:rPr>
        <w:color w:val="BFBFBF" w:themeColor="background1" w:themeShade="BF"/>
        <w:lang w:val="en-US"/>
      </w:rPr>
    </w:pPr>
    <w:r w:rsidRPr="00E003CB">
      <w:rPr>
        <w:color w:val="BFBFBF" w:themeColor="background1" w:themeShade="BF"/>
      </w:rPr>
      <w:fldChar w:fldCharType="begin"/>
    </w:r>
    <w:r w:rsidRPr="00E003CB">
      <w:rPr>
        <w:color w:val="BFBFBF" w:themeColor="background1" w:themeShade="BF"/>
      </w:rPr>
      <w:instrText xml:space="preserve"> FILENAME \p \* MERGEFORMAT </w:instrText>
    </w:r>
    <w:r w:rsidRPr="00E003CB">
      <w:rPr>
        <w:color w:val="BFBFBF" w:themeColor="background1" w:themeShade="BF"/>
      </w:rPr>
      <w:fldChar w:fldCharType="separate"/>
    </w:r>
    <w:r w:rsidR="00021623" w:rsidRPr="00E003CB">
      <w:rPr>
        <w:color w:val="BFBFBF" w:themeColor="background1" w:themeShade="BF"/>
        <w:lang w:val="en-US"/>
      </w:rPr>
      <w:t>Document1</w:t>
    </w:r>
    <w:r w:rsidRPr="00E003CB">
      <w:rPr>
        <w:color w:val="BFBFBF" w:themeColor="background1" w:themeShade="BF"/>
        <w:lang w:val="en-US"/>
      </w:rPr>
      <w:fldChar w:fldCharType="end"/>
    </w:r>
    <w:r w:rsidR="00760F1C" w:rsidRPr="00E003CB">
      <w:rPr>
        <w:color w:val="BFBFBF" w:themeColor="background1" w:themeShade="BF"/>
        <w:lang w:val="en-US"/>
      </w:rPr>
      <w:tab/>
    </w:r>
    <w:r w:rsidR="00760F1C" w:rsidRPr="00E003CB">
      <w:rPr>
        <w:color w:val="BFBFBF" w:themeColor="background1" w:themeShade="BF"/>
        <w:lang w:val="en-US"/>
      </w:rPr>
      <w:tab/>
    </w:r>
    <w:r w:rsidRPr="00E003CB">
      <w:rPr>
        <w:color w:val="BFBFBF" w:themeColor="background1" w:themeShade="BF"/>
      </w:rPr>
      <w:fldChar w:fldCharType="begin"/>
    </w:r>
    <w:r w:rsidRPr="00E003CB">
      <w:rPr>
        <w:color w:val="BFBFBF" w:themeColor="background1" w:themeShade="BF"/>
      </w:rPr>
      <w:instrText xml:space="preserve"> DATE   \* MERGEFORMAT </w:instrText>
    </w:r>
    <w:r w:rsidRPr="00E003CB">
      <w:rPr>
        <w:color w:val="BFBFBF" w:themeColor="background1" w:themeShade="BF"/>
      </w:rPr>
      <w:fldChar w:fldCharType="separate"/>
    </w:r>
    <w:r w:rsidR="00171681">
      <w:rPr>
        <w:color w:val="BFBFBF" w:themeColor="background1" w:themeShade="BF"/>
      </w:rPr>
      <w:t>10/07/2019</w:t>
    </w:r>
    <w:r w:rsidRPr="00E003CB">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23" w:rsidRDefault="00021623">
      <w:r>
        <w:t>____________________</w:t>
      </w:r>
    </w:p>
  </w:footnote>
  <w:footnote w:type="continuationSeparator" w:id="0">
    <w:p w:rsidR="00021623" w:rsidRDefault="0002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71681">
      <w:rPr>
        <w:noProof/>
      </w:rPr>
      <w:t>3</w:t>
    </w:r>
    <w:r>
      <w:rPr>
        <w:noProof/>
      </w:rPr>
      <w:fldChar w:fldCharType="end"/>
    </w:r>
  </w:p>
  <w:p w:rsidR="00760F1C" w:rsidRDefault="00760F1C" w:rsidP="0051504E">
    <w:pPr>
      <w:pStyle w:val="Header"/>
    </w:pPr>
    <w:r>
      <w:t>C</w:t>
    </w:r>
    <w:r w:rsidR="007F350B">
      <w:t>1</w:t>
    </w:r>
    <w:r w:rsidR="0051504E">
      <w:t>9</w:t>
    </w:r>
    <w:r w:rsidR="0077328B">
      <w:t>/136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93EEB"/>
    <w:rsid w:val="000B0D00"/>
    <w:rsid w:val="000B7C15"/>
    <w:rsid w:val="000D1D0F"/>
    <w:rsid w:val="000F5290"/>
    <w:rsid w:val="0010165C"/>
    <w:rsid w:val="00146BFB"/>
    <w:rsid w:val="00171681"/>
    <w:rsid w:val="001F14A2"/>
    <w:rsid w:val="002801AA"/>
    <w:rsid w:val="002C4676"/>
    <w:rsid w:val="002C70B0"/>
    <w:rsid w:val="002F3CC4"/>
    <w:rsid w:val="00513630"/>
    <w:rsid w:val="0051504E"/>
    <w:rsid w:val="00560125"/>
    <w:rsid w:val="00585553"/>
    <w:rsid w:val="005B34D9"/>
    <w:rsid w:val="005D0CCF"/>
    <w:rsid w:val="005F3BCB"/>
    <w:rsid w:val="005F410F"/>
    <w:rsid w:val="0060149A"/>
    <w:rsid w:val="00601924"/>
    <w:rsid w:val="006447EA"/>
    <w:rsid w:val="0064731F"/>
    <w:rsid w:val="006710F6"/>
    <w:rsid w:val="006C1B56"/>
    <w:rsid w:val="006D4761"/>
    <w:rsid w:val="006F52C6"/>
    <w:rsid w:val="00726872"/>
    <w:rsid w:val="00760F1C"/>
    <w:rsid w:val="007657F0"/>
    <w:rsid w:val="0077252D"/>
    <w:rsid w:val="0077328B"/>
    <w:rsid w:val="007B4981"/>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03EEA"/>
    <w:rsid w:val="00C20C59"/>
    <w:rsid w:val="00C55B1F"/>
    <w:rsid w:val="00CF1A67"/>
    <w:rsid w:val="00D2750E"/>
    <w:rsid w:val="00D62446"/>
    <w:rsid w:val="00D84F7C"/>
    <w:rsid w:val="00DA4EA2"/>
    <w:rsid w:val="00DC3D3E"/>
    <w:rsid w:val="00DE2C90"/>
    <w:rsid w:val="00DE3B24"/>
    <w:rsid w:val="00E003CB"/>
    <w:rsid w:val="00E06947"/>
    <w:rsid w:val="00E3592D"/>
    <w:rsid w:val="00E92DE8"/>
    <w:rsid w:val="00EB1212"/>
    <w:rsid w:val="00ED65AB"/>
    <w:rsid w:val="00F12850"/>
    <w:rsid w:val="00F33BF4"/>
    <w:rsid w:val="00F7105E"/>
    <w:rsid w:val="00F75F57"/>
    <w:rsid w:val="00F82FEE"/>
    <w:rsid w:val="00FA0958"/>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AnnexNoChar">
    <w:name w:val="Annex_No Char"/>
    <w:basedOn w:val="DefaultParagraphFont"/>
    <w:link w:val="AnnexNo"/>
    <w:rsid w:val="00C03EEA"/>
    <w:rPr>
      <w:rFonts w:ascii="Calibri" w:hAnsi="Calibri"/>
      <w:caps/>
      <w:sz w:val="28"/>
      <w:lang w:val="es-ES_tradnl" w:eastAsia="en-US"/>
    </w:rPr>
  </w:style>
  <w:style w:type="paragraph" w:customStyle="1" w:styleId="Line">
    <w:name w:val="Line"/>
    <w:basedOn w:val="Normal"/>
    <w:next w:val="Normal"/>
    <w:rsid w:val="00C03EEA"/>
    <w:pPr>
      <w:pBdr>
        <w:top w:val="single" w:sz="6" w:space="1" w:color="auto"/>
      </w:pBdr>
      <w:spacing w:before="240"/>
      <w:ind w:left="3997" w:right="3997"/>
      <w:jc w:val="center"/>
    </w:pPr>
    <w:rPr>
      <w:sz w:val="20"/>
      <w:lang w:val="fr-FR"/>
    </w:rPr>
  </w:style>
  <w:style w:type="character" w:customStyle="1" w:styleId="CallChar">
    <w:name w:val="Call Char"/>
    <w:basedOn w:val="DefaultParagraphFont"/>
    <w:link w:val="Call"/>
    <w:rsid w:val="00C03EEA"/>
    <w:rPr>
      <w:rFonts w:ascii="Calibri" w:hAnsi="Calibri"/>
      <w:i/>
      <w:sz w:val="24"/>
      <w:lang w:val="es-ES_tradnl" w:eastAsia="en-US"/>
    </w:rPr>
  </w:style>
  <w:style w:type="character" w:customStyle="1" w:styleId="NormalaftertitleChar">
    <w:name w:val="Normal after title Char"/>
    <w:basedOn w:val="DefaultParagraphFont"/>
    <w:link w:val="Normalaftertitle"/>
    <w:rsid w:val="00C03EEA"/>
    <w:rPr>
      <w:rFonts w:ascii="Calibri" w:hAnsi="Calibri"/>
      <w:sz w:val="24"/>
      <w:lang w:val="es-ES_tradnl" w:eastAsia="en-US"/>
    </w:rPr>
  </w:style>
  <w:style w:type="character" w:customStyle="1" w:styleId="RestitleChar">
    <w:name w:val="Res_title Char"/>
    <w:basedOn w:val="DefaultParagraphFont"/>
    <w:link w:val="Restitle"/>
    <w:rsid w:val="00C03EEA"/>
    <w:rPr>
      <w:rFonts w:ascii="Calibri" w:hAnsi="Calibri"/>
      <w:b/>
      <w:sz w:val="28"/>
      <w:lang w:val="es-ES_tradnl" w:eastAsia="en-US"/>
    </w:rPr>
  </w:style>
  <w:style w:type="paragraph" w:customStyle="1" w:styleId="Endtext">
    <w:name w:val="End_text"/>
    <w:basedOn w:val="Reftext"/>
    <w:rsid w:val="00C03EEA"/>
    <w:pPr>
      <w:spacing w:before="136"/>
      <w:ind w:left="794" w:hanging="794"/>
      <w:jc w:val="both"/>
    </w:pPr>
    <w:rPr>
      <w:i/>
      <w:iCs/>
      <w:sz w:val="22"/>
      <w:lang w:val="fr-CH"/>
    </w:rPr>
  </w:style>
  <w:style w:type="character" w:customStyle="1" w:styleId="ResNoChar">
    <w:name w:val="Res_No Char"/>
    <w:basedOn w:val="DefaultParagraphFont"/>
    <w:link w:val="ResNo"/>
    <w:locked/>
    <w:rsid w:val="00C03EEA"/>
    <w:rPr>
      <w:rFonts w:ascii="Calibri" w:hAnsi="Calibri"/>
      <w:caps/>
      <w:sz w:val="28"/>
      <w:lang w:val="es-ES_tradnl" w:eastAsia="en-US"/>
    </w:rPr>
  </w:style>
  <w:style w:type="character" w:customStyle="1" w:styleId="goog-gtc-translatablegoog-gtc-from-mt">
    <w:name w:val="goog-gtc-translatable goog-gtc-from-mt"/>
    <w:basedOn w:val="DefaultParagraphFont"/>
    <w:rsid w:val="00C03EEA"/>
  </w:style>
  <w:style w:type="character" w:customStyle="1" w:styleId="TabletextChar">
    <w:name w:val="Table_text Char"/>
    <w:basedOn w:val="DefaultParagraphFont"/>
    <w:link w:val="Tabletext"/>
    <w:qFormat/>
    <w:locked/>
    <w:rsid w:val="00C03EEA"/>
    <w:rPr>
      <w:rFonts w:ascii="Calibri" w:hAnsi="Calibri"/>
      <w:sz w:val="22"/>
      <w:lang w:val="es-ES_tradnl" w:eastAsia="en-US"/>
    </w:rPr>
  </w:style>
  <w:style w:type="table" w:styleId="TableGrid">
    <w:name w:val="Table Grid"/>
    <w:basedOn w:val="TableNormal"/>
    <w:rsid w:val="006F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intgov/mandate/Res101.pdf" TargetMode="External"/><Relationship Id="rId18" Type="http://schemas.openxmlformats.org/officeDocument/2006/relationships/hyperlink" Target="http://www.itu.int/dms_pub/itu-t/opb/res/T-RES-T.69-2008-PDF-E.pdf" TargetMode="External"/><Relationship Id="rId26" Type="http://schemas.openxmlformats.org/officeDocument/2006/relationships/hyperlink" Target="http://www.itu.int/dms_pub/itu-t/opb/res/T-RES-T.50-2008-PDF-E.pdf" TargetMode="External"/><Relationship Id="rId39" Type="http://schemas.openxmlformats.org/officeDocument/2006/relationships/hyperlink" Target="http://www.itu.int/osg/csd/intgov/mandate/Res45.pdf" TargetMode="External"/><Relationship Id="rId21" Type="http://schemas.openxmlformats.org/officeDocument/2006/relationships/hyperlink" Target="http://www.itu.int/wsis/docs2/tunis/off/6rev1.html" TargetMode="External"/><Relationship Id="rId34" Type="http://schemas.openxmlformats.org/officeDocument/2006/relationships/hyperlink" Target="http://www.itu.int/council/activities/pd/itu-strategic-plan-2008-2011.pdf" TargetMode="External"/><Relationship Id="rId42" Type="http://schemas.openxmlformats.org/officeDocument/2006/relationships/hyperlink" Target="http://www.itu.int/wsis/docs2/tunis/off/6rev1.html" TargetMode="External"/><Relationship Id="rId47" Type="http://schemas.openxmlformats.org/officeDocument/2006/relationships/hyperlink" Target="http://www.itu.int/dms_pub/itu-t/opb/res/T-RES-T.52-2008-PDF-E.pdf" TargetMode="External"/><Relationship Id="rId50" Type="http://schemas.openxmlformats.org/officeDocument/2006/relationships/hyperlink" Target="http://www.itu.int/osg/csd/intgov/mandate/Res17.pdf" TargetMode="External"/><Relationship Id="rId55" Type="http://schemas.openxmlformats.org/officeDocument/2006/relationships/hyperlink" Target="http://www.itu.int/osg/csd/intgov/mandate/Res17.pdf" TargetMode="External"/><Relationship Id="rId63" Type="http://schemas.openxmlformats.org/officeDocument/2006/relationships/hyperlink" Target="http://www.itu.int/wsis/docs2/tunis/off/6rev1.html" TargetMode="External"/><Relationship Id="rId68" Type="http://schemas.openxmlformats.org/officeDocument/2006/relationships/hyperlink" Target="http://www.itu.int/council/activities/pd/itu-strategic-plan-2008-2011.pdf" TargetMode="External"/><Relationship Id="rId76" Type="http://schemas.openxmlformats.org/officeDocument/2006/relationships/fontTable" Target="fontTable.xml"/><Relationship Id="rId7" Type="http://schemas.openxmlformats.org/officeDocument/2006/relationships/hyperlink" Target="http://www.itu.int/osg/csd/intgov/mandate/Res133.pdf" TargetMode="External"/><Relationship Id="rId71" Type="http://schemas.openxmlformats.org/officeDocument/2006/relationships/hyperlink" Target="http://www.itu.int/ITU-T/special-projects/idn/index.html" TargetMode="External"/><Relationship Id="rId2" Type="http://schemas.openxmlformats.org/officeDocument/2006/relationships/settings" Target="settings.xml"/><Relationship Id="rId16" Type="http://schemas.openxmlformats.org/officeDocument/2006/relationships/hyperlink" Target="http://www.itu.int/ITU-T/wtsa/resolutions04/Res49E.pdf" TargetMode="External"/><Relationship Id="rId29" Type="http://schemas.openxmlformats.org/officeDocument/2006/relationships/hyperlink" Target="http://www.itu.int/ITU-D/study_groups/SGP_2006-2010/SG1/SG1-index.html" TargetMode="External"/><Relationship Id="rId11" Type="http://schemas.openxmlformats.org/officeDocument/2006/relationships/hyperlink" Target="http://www.itu.int/ITU-T/studygroups/com03/iic/index.html" TargetMode="External"/><Relationship Id="rId24" Type="http://schemas.openxmlformats.org/officeDocument/2006/relationships/hyperlink" Target="http://www.itu.int/osg/csd/intgov/mandate/Res45.pdf" TargetMode="External"/><Relationship Id="rId32" Type="http://schemas.openxmlformats.org/officeDocument/2006/relationships/hyperlink" Target="http://www.itu.int/wsis/docs2/tunis/off/6rev1.html" TargetMode="External"/><Relationship Id="rId37" Type="http://schemas.openxmlformats.org/officeDocument/2006/relationships/hyperlink" Target="http://www.itu.int/osg/csd/intgov/mandate/Res130.pdf" TargetMode="External"/><Relationship Id="rId40" Type="http://schemas.openxmlformats.org/officeDocument/2006/relationships/hyperlink" Target="http://www.itu.int/dms_pub/itu-t/opb/res/T-RES-T.50-2008-PDF-E.pdf" TargetMode="External"/><Relationship Id="rId45" Type="http://schemas.openxmlformats.org/officeDocument/2006/relationships/hyperlink" Target="http://www.itu.int/osg/csd/intgov/mandate/Res130.pdf" TargetMode="External"/><Relationship Id="rId53" Type="http://schemas.openxmlformats.org/officeDocument/2006/relationships/hyperlink" Target="http://www.itu.int/ITU-D/isap/WTDC-02FinalReport/Section2/Prog5.pdf" TargetMode="External"/><Relationship Id="rId58" Type="http://schemas.openxmlformats.org/officeDocument/2006/relationships/hyperlink" Target="http://www.itu.int/osg/csd/intgov/mandate/WTSA75.pdf" TargetMode="External"/><Relationship Id="rId66" Type="http://schemas.openxmlformats.org/officeDocument/2006/relationships/hyperlink" Target="http://www.itu.int/osg/csd/intgov/mandate/Res130.pdf"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itu.int/dms_pub/itu-t/opb/res/T-RES-T.47-2008-PDF-E.pdf" TargetMode="External"/><Relationship Id="rId23" Type="http://schemas.openxmlformats.org/officeDocument/2006/relationships/hyperlink" Target="http://www.itu.int/osg/csd/intgov/mandate/Res130.pdf" TargetMode="External"/><Relationship Id="rId28" Type="http://schemas.openxmlformats.org/officeDocument/2006/relationships/hyperlink" Target="http://www.itu.int/ITU-T/special-projects/idn/index.html" TargetMode="External"/><Relationship Id="rId36" Type="http://schemas.openxmlformats.org/officeDocument/2006/relationships/hyperlink" Target="http://www.itu.int/wsis/docs2/tunis/off/6rev1.html" TargetMode="External"/><Relationship Id="rId49" Type="http://schemas.openxmlformats.org/officeDocument/2006/relationships/hyperlink" Target="http://www.itu.int/osg/csd/intgov/mandate/Res1282-Mod08.pdf" TargetMode="External"/><Relationship Id="rId57" Type="http://schemas.openxmlformats.org/officeDocument/2006/relationships/hyperlink" Target="http://www.itu.int/osg/csd/intgov/mandate/WTSA64.pdf" TargetMode="External"/><Relationship Id="rId61" Type="http://schemas.openxmlformats.org/officeDocument/2006/relationships/hyperlink" Target="http://www.itu.int/osg/csd/intgov/mandate/Res133.pdf" TargetMode="External"/><Relationship Id="rId10" Type="http://schemas.openxmlformats.org/officeDocument/2006/relationships/hyperlink" Target="http://www.itu.int/ITU-D/study_groups/SGP_2006-2010/documents/Questions/Q12-2-1.pdf" TargetMode="External"/><Relationship Id="rId19" Type="http://schemas.openxmlformats.org/officeDocument/2006/relationships/hyperlink" Target="http://www.itu.int/osg/csd/intgov/mandate/WTSA75.pdf" TargetMode="External"/><Relationship Id="rId31" Type="http://schemas.openxmlformats.org/officeDocument/2006/relationships/hyperlink" Target="http://www.itu.int/wsis/docs2/tunis/off/6rev1.html" TargetMode="External"/><Relationship Id="rId44" Type="http://schemas.openxmlformats.org/officeDocument/2006/relationships/hyperlink" Target="http://www.itu.int/osg/csd/intgov/mandate/Programme3.pdf" TargetMode="External"/><Relationship Id="rId52" Type="http://schemas.openxmlformats.org/officeDocument/2006/relationships/hyperlink" Target="http://www.itu.int/ITU-D/cyb/publications/2006/dohaactionplanprogramme3.pdf" TargetMode="External"/><Relationship Id="rId60" Type="http://schemas.openxmlformats.org/officeDocument/2006/relationships/hyperlink" Target="http://www.itu.int/osg/csd/intgov/mandate/Res102.pdf" TargetMode="External"/><Relationship Id="rId65" Type="http://schemas.openxmlformats.org/officeDocument/2006/relationships/hyperlink" Target="http://www.itu.int/council/activities/pd/itu-strategic-plan-2008-2011.pdf" TargetMode="External"/><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osg/csd/intgov/mandate/Programme3.pdf" TargetMode="External"/><Relationship Id="rId14" Type="http://schemas.openxmlformats.org/officeDocument/2006/relationships/hyperlink" Target="http://www.itu.int/osg/csd/intgov/mandate/Res102.pdf" TargetMode="External"/><Relationship Id="rId22" Type="http://schemas.openxmlformats.org/officeDocument/2006/relationships/hyperlink" Target="http://www.itu.int/osg/csd/intgov/mandate/Res102.pdf" TargetMode="External"/><Relationship Id="rId27" Type="http://schemas.openxmlformats.org/officeDocument/2006/relationships/hyperlink" Target="http://www.itu.int/dms_pub/itu-t/opb/res/T-RES-T.52-2008-PDF-E.pdf" TargetMode="External"/><Relationship Id="rId30" Type="http://schemas.openxmlformats.org/officeDocument/2006/relationships/hyperlink" Target="http://www.itu.int/council/activities/pd/itu-strategic-plan-2008-2011.pdf" TargetMode="External"/><Relationship Id="rId35" Type="http://schemas.openxmlformats.org/officeDocument/2006/relationships/hyperlink" Target="http://www.itu.int/ITU-D/study_groups/SGP_2006-2010/SG1/SG1-index.html" TargetMode="External"/><Relationship Id="rId43" Type="http://schemas.openxmlformats.org/officeDocument/2006/relationships/hyperlink" Target="http://www.itu.int/osg/csd/intgov/mandate/Res1282-Mod08.pdf" TargetMode="External"/><Relationship Id="rId48" Type="http://schemas.openxmlformats.org/officeDocument/2006/relationships/hyperlink" Target="http://www.itu.int/wsis/docs2/tunis/off/6rev1.html" TargetMode="External"/><Relationship Id="rId56" Type="http://schemas.openxmlformats.org/officeDocument/2006/relationships/hyperlink" Target="http://www.itu.int/osg/csd/intgov/mandate/Res20.pdf" TargetMode="External"/><Relationship Id="rId64" Type="http://schemas.openxmlformats.org/officeDocument/2006/relationships/hyperlink" Target="http://www.itu.int/osg/csd/intgov/mandate/Res1282-Mod08.pdf" TargetMode="External"/><Relationship Id="rId69" Type="http://schemas.openxmlformats.org/officeDocument/2006/relationships/hyperlink" Target="http://www.itu.int/osg/csd/intgov/mandate/Res1282-Mod08.pdf" TargetMode="External"/><Relationship Id="rId77" Type="http://schemas.openxmlformats.org/officeDocument/2006/relationships/theme" Target="theme/theme1.xml"/><Relationship Id="rId8" Type="http://schemas.openxmlformats.org/officeDocument/2006/relationships/hyperlink" Target="http://www.itu.int/dms_pub/itu-t/opb/res/T-RES-T.48-2008-PDF-E.pdf" TargetMode="External"/><Relationship Id="rId51" Type="http://schemas.openxmlformats.org/officeDocument/2006/relationships/hyperlink" Target="http://www.itu.int/osg/csd/intgov/mandate/Res20.pdf" TargetMode="External"/><Relationship Id="rId72" Type="http://schemas.openxmlformats.org/officeDocument/2006/relationships/hyperlink" Target="https://www.itu.int/en/council/Documents/basic-texts/RES-206-s.pdf" TargetMode="External"/><Relationship Id="rId3" Type="http://schemas.openxmlformats.org/officeDocument/2006/relationships/webSettings" Target="webSettings.xml"/><Relationship Id="rId12" Type="http://schemas.openxmlformats.org/officeDocument/2006/relationships/hyperlink" Target="http://www.itu.int/rec/T-REC-D.50-200810-I/en" TargetMode="External"/><Relationship Id="rId17" Type="http://schemas.openxmlformats.org/officeDocument/2006/relationships/hyperlink" Target="http://www.itu.int/osg/csd/intgov/mandate/WTSA64.pdf" TargetMode="External"/><Relationship Id="rId25" Type="http://schemas.openxmlformats.org/officeDocument/2006/relationships/hyperlink" Target="http://www.itu.int/osg/csd/intgov/mandate/Programme3.pdf" TargetMode="External"/><Relationship Id="rId33" Type="http://schemas.openxmlformats.org/officeDocument/2006/relationships/hyperlink" Target="http://www.itu.int/osg/csd/intgov/mandate/Programme3.pdf" TargetMode="External"/><Relationship Id="rId38" Type="http://schemas.openxmlformats.org/officeDocument/2006/relationships/hyperlink" Target="http://www.itu.int/osg/csd/intgov/mandate/Programme3.pdf" TargetMode="External"/><Relationship Id="rId46" Type="http://schemas.openxmlformats.org/officeDocument/2006/relationships/hyperlink" Target="http://www.itu.int/dms_pub/itu-t/opb/res/T-RES-T.50-2008-PDF-E.pdf" TargetMode="External"/><Relationship Id="rId59" Type="http://schemas.openxmlformats.org/officeDocument/2006/relationships/hyperlink" Target="http://www.itu.int/osg/csd/intgov/mandate/Res101.pdf" TargetMode="External"/><Relationship Id="rId67" Type="http://schemas.openxmlformats.org/officeDocument/2006/relationships/hyperlink" Target="http://www.itu.int/wsis/docs2/tunis/off/6rev1.html" TargetMode="External"/><Relationship Id="rId20" Type="http://schemas.openxmlformats.org/officeDocument/2006/relationships/hyperlink" Target="http://www.itu.int/osg/csd/intgov/mandate/Res1282-Mod08.pdf" TargetMode="External"/><Relationship Id="rId41" Type="http://schemas.openxmlformats.org/officeDocument/2006/relationships/hyperlink" Target="http://www.itu.int/dms_pub/itu-t/opb/res/T-RES-T.52-2008-PDF-E.pdf" TargetMode="External"/><Relationship Id="rId54" Type="http://schemas.openxmlformats.org/officeDocument/2006/relationships/hyperlink" Target="http://www.itu.int/osg/csd/intgov/mandate/WTSA64.pdf" TargetMode="External"/><Relationship Id="rId62" Type="http://schemas.openxmlformats.org/officeDocument/2006/relationships/hyperlink" Target="http://www.itu.int/osg/csd/intgov/mandate/Res130.pdf" TargetMode="External"/><Relationship Id="rId70" Type="http://schemas.openxmlformats.org/officeDocument/2006/relationships/hyperlink" Target="http://www.itu.int/ITU-D/cyb/publications/2006/dohaactionplanprogramme3.pdf"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1632</Words>
  <Characters>14141</Characters>
  <Application>Microsoft Office Word</Application>
  <DocSecurity>0</DocSecurity>
  <Lines>117</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1395 - Planes Operacionales cuatrienales renovables de la Unión para 2020-2023</vt:lpstr>
    </vt:vector>
  </TitlesOfParts>
  <Manager>Secretaría General - Pool</Manager>
  <Company>Unión Internacional de Telecomunicaciones (UIT)</Company>
  <LinksUpToDate>false</LinksUpToDate>
  <CharactersWithSpaces>15742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1305 - Papel del Grupo Especializado a la hora de identificar cuestiones de política pública relacionadas con Internet</dc:title>
  <dc:subject>Consejo 2019</dc:subject>
  <dc:creator>Brouard, Ricarda</dc:creator>
  <cp:keywords>C2019, C19</cp:keywords>
  <dc:description/>
  <cp:lastModifiedBy>Janin, Patricia</cp:lastModifiedBy>
  <cp:revision>5</cp:revision>
  <cp:lastPrinted>2006-03-24T09:51:00Z</cp:lastPrinted>
  <dcterms:created xsi:type="dcterms:W3CDTF">2019-07-08T09:46:00Z</dcterms:created>
  <dcterms:modified xsi:type="dcterms:W3CDTF">2019-07-10T11:26:00Z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