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5D5B3B">
              <w:rPr>
                <w:b/>
                <w:bCs/>
                <w:szCs w:val="24"/>
              </w:rPr>
              <w:t>135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E003CB" w:rsidP="00E003C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E003CB" w:rsidRDefault="005D5B3B" w:rsidP="00E003CB">
      <w:pPr>
        <w:pStyle w:val="ResNo"/>
      </w:pPr>
      <w:r>
        <w:t>Acuerdo 618</w:t>
      </w:r>
    </w:p>
    <w:p w:rsidR="00E003CB" w:rsidRPr="00E04367" w:rsidRDefault="00E003CB" w:rsidP="005D5B3B">
      <w:pPr>
        <w:spacing w:before="240" w:after="240"/>
        <w:jc w:val="center"/>
      </w:pPr>
      <w:r w:rsidRPr="00E04367">
        <w:rPr>
          <w:sz w:val="28"/>
          <w:szCs w:val="28"/>
        </w:rPr>
        <w:t>(</w:t>
      </w:r>
      <w:proofErr w:type="gramStart"/>
      <w:r w:rsidRPr="00E04367">
        <w:rPr>
          <w:sz w:val="28"/>
          <w:szCs w:val="28"/>
        </w:rPr>
        <w:t>adoptad</w:t>
      </w:r>
      <w:r w:rsidR="005D5B3B"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en la </w:t>
      </w:r>
      <w:r w:rsidR="005D5B3B">
        <w:rPr>
          <w:sz w:val="28"/>
          <w:szCs w:val="28"/>
        </w:rPr>
        <w:t xml:space="preserve">novena </w:t>
      </w:r>
      <w:r w:rsidRPr="00E04367">
        <w:rPr>
          <w:sz w:val="28"/>
          <w:szCs w:val="28"/>
        </w:rPr>
        <w:t>Sesión Plenaria)</w:t>
      </w:r>
    </w:p>
    <w:p w:rsidR="00E003CB" w:rsidRPr="00FA2C9E" w:rsidRDefault="005D5B3B" w:rsidP="005D5B3B">
      <w:pPr>
        <w:pStyle w:val="Restitle"/>
      </w:pPr>
      <w:r>
        <w:t xml:space="preserve">Registro en pérdidas y ganancias de los intereses de mora </w:t>
      </w:r>
      <w:r>
        <w:br/>
        <w:t>y las cantidades adeudadas incobrables</w:t>
      </w:r>
    </w:p>
    <w:p w:rsidR="005D5B3B" w:rsidRPr="00192FF0" w:rsidRDefault="005D5B3B" w:rsidP="005D5B3B">
      <w:pPr>
        <w:pStyle w:val="Normalaftertitle"/>
      </w:pPr>
      <w:r w:rsidRPr="00192FF0">
        <w:t>El Consejo,</w:t>
      </w:r>
    </w:p>
    <w:p w:rsidR="005D5B3B" w:rsidRPr="00192FF0" w:rsidRDefault="005D5B3B" w:rsidP="005D5B3B">
      <w:pPr>
        <w:pStyle w:val="Call"/>
      </w:pPr>
      <w:proofErr w:type="gramStart"/>
      <w:r w:rsidRPr="00192FF0">
        <w:t>habiendo</w:t>
      </w:r>
      <w:proofErr w:type="gramEnd"/>
      <w:r w:rsidRPr="00192FF0">
        <w:t xml:space="preserve"> examinado</w:t>
      </w:r>
    </w:p>
    <w:p w:rsidR="005D5B3B" w:rsidRPr="005D5B3B" w:rsidRDefault="005D5B3B" w:rsidP="005D5B3B">
      <w:pPr>
        <w:jc w:val="both"/>
        <w:rPr>
          <w:spacing w:val="-2"/>
          <w:szCs w:val="24"/>
        </w:rPr>
      </w:pPr>
      <w:proofErr w:type="gramStart"/>
      <w:r w:rsidRPr="005D5B3B">
        <w:rPr>
          <w:spacing w:val="-2"/>
        </w:rPr>
        <w:t>el</w:t>
      </w:r>
      <w:proofErr w:type="gramEnd"/>
      <w:r w:rsidRPr="005D5B3B">
        <w:rPr>
          <w:spacing w:val="-2"/>
        </w:rPr>
        <w:t xml:space="preserve"> Informe del Secretario General sobre atrasos y Cuentas Especiales de Atrasos (</w:t>
      </w:r>
      <w:hyperlink r:id="rId7" w:history="1">
        <w:r w:rsidRPr="005D5B3B">
          <w:rPr>
            <w:rStyle w:val="Hyperlink"/>
            <w:spacing w:val="-2"/>
          </w:rPr>
          <w:t>Documento C19/11</w:t>
        </w:r>
      </w:hyperlink>
      <w:r w:rsidRPr="005D5B3B">
        <w:rPr>
          <w:spacing w:val="-2"/>
        </w:rPr>
        <w:t>)</w:t>
      </w:r>
      <w:r w:rsidRPr="005D5B3B">
        <w:rPr>
          <w:spacing w:val="-2"/>
          <w:szCs w:val="24"/>
        </w:rPr>
        <w:t>,</w:t>
      </w:r>
    </w:p>
    <w:p w:rsidR="005D5B3B" w:rsidRPr="00192FF0" w:rsidRDefault="005D5B3B" w:rsidP="005D5B3B">
      <w:pPr>
        <w:pStyle w:val="Call"/>
        <w:jc w:val="both"/>
      </w:pPr>
      <w:proofErr w:type="gramStart"/>
      <w:r w:rsidRPr="00192FF0">
        <w:t>acuerda</w:t>
      </w:r>
      <w:proofErr w:type="gramEnd"/>
    </w:p>
    <w:p w:rsidR="005D5B3B" w:rsidRPr="00192FF0" w:rsidRDefault="005D5B3B" w:rsidP="005D5B3B">
      <w:pPr>
        <w:spacing w:after="120"/>
        <w:jc w:val="both"/>
      </w:pPr>
      <w:proofErr w:type="gramStart"/>
      <w:r w:rsidRPr="00192FF0">
        <w:t>aprobar</w:t>
      </w:r>
      <w:proofErr w:type="gramEnd"/>
      <w:r w:rsidRPr="00192FF0">
        <w:t xml:space="preserve"> el registro en pérdidas y ganancias de los intereses de mora y las cantidades adeudadas incobrables siguientes, por un importe total de</w:t>
      </w:r>
      <w:r w:rsidRPr="00192FF0">
        <w:rPr>
          <w:b/>
          <w:bCs/>
        </w:rPr>
        <w:t> 979 692,61 CHF</w:t>
      </w:r>
      <w:r w:rsidRPr="00192FF0">
        <w:t>, mediante la correspondiente detracción de la Provisión para Cuentas Deudoras. Consúltese la información pormenorizada que figura a continuación.</w:t>
      </w:r>
    </w:p>
    <w:tbl>
      <w:tblPr>
        <w:tblW w:w="9619" w:type="dxa"/>
        <w:jc w:val="center"/>
        <w:tblLook w:val="04A0" w:firstRow="1" w:lastRow="0" w:firstColumn="1" w:lastColumn="0" w:noHBand="0" w:noVBand="1"/>
      </w:tblPr>
      <w:tblGrid>
        <w:gridCol w:w="1337"/>
        <w:gridCol w:w="3212"/>
        <w:gridCol w:w="1249"/>
        <w:gridCol w:w="1280"/>
        <w:gridCol w:w="1278"/>
        <w:gridCol w:w="1263"/>
      </w:tblGrid>
      <w:tr w:rsidR="005D5B3B" w:rsidRPr="00192FF0" w:rsidTr="00360685">
        <w:trPr>
          <w:trHeight w:val="315"/>
          <w:tblHeader/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lastRenderedPageBreak/>
              <w:t>País</w:t>
            </w:r>
          </w:p>
        </w:tc>
        <w:tc>
          <w:tcPr>
            <w:tcW w:w="3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t>Empresa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t>Año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t>Principal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t>Intereses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5B3B" w:rsidRPr="00192FF0" w:rsidRDefault="005D5B3B" w:rsidP="005D5B3B">
            <w:pPr>
              <w:pStyle w:val="Tablehead"/>
              <w:keepNext/>
              <w:spacing w:before="40" w:after="40"/>
              <w:rPr>
                <w:lang w:eastAsia="zh-CN"/>
              </w:rPr>
            </w:pPr>
            <w:r w:rsidRPr="00192FF0">
              <w:rPr>
                <w:lang w:eastAsia="zh-CN"/>
              </w:rPr>
              <w:t>Total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Benin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Autorité de Régulation des Communications Electroniques et de la Poste (ARCEP-Benin)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2002-2011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27 830,70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27 830,70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Comoras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Autorité Nationale de Régulation des TIC (ANRTIC)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2014-2017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5 402,50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5 402,50</w:t>
            </w:r>
          </w:p>
        </w:tc>
      </w:tr>
      <w:tr w:rsidR="005D5B3B" w:rsidRPr="00192FF0" w:rsidTr="00360685">
        <w:trPr>
          <w:trHeight w:val="46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Egipto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Ministry of Communications and Information Technology (MCIT)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2017-2018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23 995,75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23 995,75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Egipto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Systel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, El Cairo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2004-2006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36 204,20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36 204,20</w:t>
            </w:r>
          </w:p>
        </w:tc>
      </w:tr>
      <w:tr w:rsidR="005D5B3B" w:rsidRPr="00192FF0" w:rsidTr="00360685">
        <w:trPr>
          <w:trHeight w:val="690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Federación de Saint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Kitts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y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Nevis</w:t>
            </w:r>
            <w:proofErr w:type="spellEnd"/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Ministry of Justice Legal Affairs and Communications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2007-2015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72 902,74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72 902,74</w:t>
            </w:r>
          </w:p>
        </w:tc>
      </w:tr>
      <w:tr w:rsidR="005D5B3B" w:rsidRPr="00192FF0" w:rsidTr="00360685">
        <w:trPr>
          <w:trHeight w:val="46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Federación de Rusia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Global Information Systems GIS,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Moscú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156 663,86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156 663,86</w:t>
            </w:r>
          </w:p>
        </w:tc>
      </w:tr>
      <w:tr w:rsidR="005D5B3B" w:rsidRPr="00192FF0" w:rsidTr="00360685">
        <w:trPr>
          <w:trHeight w:val="46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Senegal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Autorité de Régulation des Télécommunications et des Postes (ARTP)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8 727,20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8 727,20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Sri Lanka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Sri Lanka Telecom Ltd., Colombo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2002-2012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6 954,45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6 954,45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5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  <w:t>Subtotal 3.2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338 681,40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338 681,40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Canadá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The Institute of Mobile Technologies, Toronto-Ontario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2011-2012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4 306,25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2 031,30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6 337,55</w:t>
            </w:r>
          </w:p>
        </w:tc>
      </w:tr>
      <w:tr w:rsidR="005D5B3B" w:rsidRPr="00192FF0" w:rsidTr="00360685">
        <w:trPr>
          <w:trHeight w:val="46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Guinea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SOTELGUI (Société des Télécommunications de Guinée), Conakry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2010-2012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4 519,23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2 393,25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6 912,48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India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Shyam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Telecom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Limited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,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Gurgaon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2010-2012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3 975,00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1 893,30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5D5B3B">
            <w:pPr>
              <w:pStyle w:val="Tabletext"/>
              <w:keepNext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5 868,30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India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Mahanagar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Telephone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Nigam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Ltd. (MTNL), Nueva Delhi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35 775,00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16 875,55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52 650,55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India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TranSwitch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India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Pvt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. Ltd., Nueva Delhi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10 600,00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5 000,20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15 600,20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Pakistán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Pakistan Institute of Human Rights, Islamabad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2012-2013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4 968,75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2 176,40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7 145,15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Arabia Saudita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val="en-US"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Bayanat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>Aloula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val="en-US" w:eastAsia="zh-CN"/>
              </w:rPr>
              <w:t xml:space="preserve"> for Network Services, Riyadh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2005-2008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3 975,00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3 245,65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7 220,65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Suecia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UpZide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Labs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AB,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Lulea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10 600,00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6 928,35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17 528,35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Overture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Networks,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Morrisville</w:t>
            </w:r>
            <w:proofErr w:type="spellEnd"/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2008-2009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21 200,00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15 305,90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36 505,90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Dynastat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, Inc. Austin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7 950,00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1 317,65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9 267,65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ESS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Technology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, Inc., Milpitas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31 800,00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37 871,05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69 671,05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Lightsand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Communications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Inc., Plano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2001-2002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7 875,00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10 647,75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18 522,75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Sigma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Designs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, Inc., Fremont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2017-2018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6 183,33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74,20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6 257,53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Terabust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 xml:space="preserve"> Networks Inc., Sunnyvale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51 816,30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56 854,95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108 671,25</w:t>
            </w:r>
          </w:p>
        </w:tc>
      </w:tr>
      <w:tr w:rsidR="005D5B3B" w:rsidRPr="00192FF0" w:rsidTr="00360685">
        <w:trPr>
          <w:trHeight w:val="46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Zhone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Technologies (Ex. Net to Net Technologies), Oakland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2002-2003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57 750,00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79 669,55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137 419,55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EE.UU.</w:t>
            </w:r>
          </w:p>
        </w:tc>
        <w:tc>
          <w:tcPr>
            <w:tcW w:w="3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sz w:val="20"/>
                <w:lang w:val="fr-CH" w:eastAsia="zh-CN"/>
              </w:rPr>
            </w:pPr>
            <w:proofErr w:type="spellStart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Zhone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Technologies (Ex. </w:t>
            </w:r>
            <w:proofErr w:type="spellStart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>Tellium</w:t>
            </w:r>
            <w:proofErr w:type="spellEnd"/>
            <w:r w:rsidRPr="005D5B3B">
              <w:rPr>
                <w:rFonts w:asciiTheme="minorHAnsi" w:hAnsiTheme="minorHAnsi" w:cstheme="minorHAnsi"/>
                <w:sz w:val="20"/>
                <w:lang w:val="fr-CH" w:eastAsia="zh-CN"/>
              </w:rPr>
              <w:t xml:space="preserve"> Inc.), Oakland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sz w:val="20"/>
                <w:lang w:eastAsia="zh-CN"/>
              </w:rPr>
              <w:t>2004-2005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63 000,00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72 432,30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color w:val="000000"/>
                <w:sz w:val="20"/>
                <w:lang w:eastAsia="zh-CN"/>
              </w:rPr>
              <w:t>135 432,30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5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eastAsia="zh-CN"/>
              </w:rPr>
              <w:t>Subtotal 3.3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326 293,86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314 717,35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641 011,21</w:t>
            </w:r>
          </w:p>
        </w:tc>
      </w:tr>
      <w:tr w:rsidR="005D5B3B" w:rsidRPr="00192FF0" w:rsidTr="00360685">
        <w:trPr>
          <w:trHeight w:val="315"/>
          <w:jc w:val="center"/>
        </w:trPr>
        <w:tc>
          <w:tcPr>
            <w:tcW w:w="5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sz w:val="20"/>
                <w:lang w:eastAsia="zh-CN"/>
              </w:rPr>
              <w:t>Total general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326 293,86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653 398,75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5B3B" w:rsidRPr="005D5B3B" w:rsidRDefault="005D5B3B" w:rsidP="00360685">
            <w:pPr>
              <w:pStyle w:val="Tabletext"/>
              <w:spacing w:before="20" w:after="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</w:pPr>
            <w:r w:rsidRPr="005D5B3B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zh-CN"/>
              </w:rPr>
              <w:t>979 692,61</w:t>
            </w:r>
          </w:p>
        </w:tc>
      </w:tr>
    </w:tbl>
    <w:p w:rsidR="00E003CB" w:rsidRDefault="00E003CB" w:rsidP="005D5B3B">
      <w:pPr>
        <w:spacing w:before="60"/>
        <w:jc w:val="center"/>
      </w:pPr>
      <w:r>
        <w:t>______________</w:t>
      </w:r>
      <w:bookmarkStart w:id="7" w:name="_GoBack"/>
      <w:bookmarkEnd w:id="7"/>
    </w:p>
    <w:sectPr w:rsidR="00E003CB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147B59" w:rsidRDefault="007B4981" w:rsidP="0051504E">
    <w:pPr>
      <w:pStyle w:val="Footer"/>
      <w:rPr>
        <w:color w:val="BFBFBF" w:themeColor="background1" w:themeShade="BF"/>
        <w:lang w:val="en-US"/>
      </w:rPr>
    </w:pPr>
    <w:r w:rsidRPr="00147B59">
      <w:rPr>
        <w:color w:val="BFBFBF" w:themeColor="background1" w:themeShade="BF"/>
        <w:lang w:val="en-US"/>
      </w:rPr>
      <w:fldChar w:fldCharType="begin"/>
    </w:r>
    <w:r w:rsidRPr="00147B59">
      <w:rPr>
        <w:color w:val="BFBFBF" w:themeColor="background1" w:themeShade="BF"/>
        <w:lang w:val="en-US"/>
      </w:rPr>
      <w:instrText xml:space="preserve"> FILENAME \p \* MERGEFORMAT </w:instrText>
    </w:r>
    <w:r w:rsidRPr="00147B59">
      <w:rPr>
        <w:color w:val="BFBFBF" w:themeColor="background1" w:themeShade="BF"/>
        <w:lang w:val="en-US"/>
      </w:rPr>
      <w:fldChar w:fldCharType="separate"/>
    </w:r>
    <w:r w:rsidR="00021623" w:rsidRPr="00147B59">
      <w:rPr>
        <w:color w:val="BFBFBF" w:themeColor="background1" w:themeShade="BF"/>
        <w:lang w:val="en-US"/>
      </w:rPr>
      <w:t>Document1</w:t>
    </w:r>
    <w:r w:rsidRPr="00147B59">
      <w:rPr>
        <w:color w:val="BFBFBF" w:themeColor="background1" w:themeShade="BF"/>
        <w:lang w:val="en-US"/>
      </w:rPr>
      <w:fldChar w:fldCharType="end"/>
    </w:r>
    <w:r w:rsidR="00760F1C" w:rsidRPr="00147B59">
      <w:rPr>
        <w:color w:val="BFBFBF" w:themeColor="background1" w:themeShade="BF"/>
        <w:lang w:val="en-US"/>
      </w:rPr>
      <w:tab/>
    </w:r>
    <w:r w:rsidR="00760F1C" w:rsidRPr="00147B59">
      <w:rPr>
        <w:color w:val="BFBFBF" w:themeColor="background1" w:themeShade="BF"/>
        <w:lang w:val="en-US"/>
      </w:rPr>
      <w:tab/>
    </w:r>
    <w:r w:rsidR="0051504E" w:rsidRPr="00147B59">
      <w:rPr>
        <w:color w:val="BFBFBF" w:themeColor="background1" w:themeShade="BF"/>
      </w:rPr>
      <w:fldChar w:fldCharType="begin"/>
    </w:r>
    <w:r w:rsidR="0051504E" w:rsidRPr="00147B59">
      <w:rPr>
        <w:color w:val="BFBFBF" w:themeColor="background1" w:themeShade="BF"/>
      </w:rPr>
      <w:instrText xml:space="preserve"> DATE   \* MERGEFORMAT </w:instrText>
    </w:r>
    <w:r w:rsidR="0051504E" w:rsidRPr="00147B59">
      <w:rPr>
        <w:color w:val="BFBFBF" w:themeColor="background1" w:themeShade="BF"/>
      </w:rPr>
      <w:fldChar w:fldCharType="separate"/>
    </w:r>
    <w:r w:rsidR="00147B59" w:rsidRPr="00147B59">
      <w:rPr>
        <w:color w:val="BFBFBF" w:themeColor="background1" w:themeShade="BF"/>
      </w:rPr>
      <w:t>04/07/2019</w:t>
    </w:r>
    <w:r w:rsidR="0051504E" w:rsidRPr="00147B59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E003CB" w:rsidRDefault="0051504E" w:rsidP="0051504E">
    <w:pPr>
      <w:pStyle w:val="Footer"/>
      <w:rPr>
        <w:color w:val="BFBFBF" w:themeColor="background1" w:themeShade="BF"/>
        <w:lang w:val="en-US"/>
      </w:rPr>
    </w:pP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FILENAME \p \* MERGEFORMAT </w:instrText>
    </w:r>
    <w:r w:rsidRPr="00E003CB">
      <w:rPr>
        <w:color w:val="BFBFBF" w:themeColor="background1" w:themeShade="BF"/>
      </w:rPr>
      <w:fldChar w:fldCharType="separate"/>
    </w:r>
    <w:r w:rsidR="00021623" w:rsidRPr="00E003CB">
      <w:rPr>
        <w:color w:val="BFBFBF" w:themeColor="background1" w:themeShade="BF"/>
        <w:lang w:val="en-US"/>
      </w:rPr>
      <w:t>Document1</w:t>
    </w:r>
    <w:r w:rsidRPr="00E003CB">
      <w:rPr>
        <w:color w:val="BFBFBF" w:themeColor="background1" w:themeShade="BF"/>
        <w:lang w:val="en-US"/>
      </w:rPr>
      <w:fldChar w:fldCharType="end"/>
    </w:r>
    <w:r w:rsidR="00760F1C" w:rsidRPr="00E003CB">
      <w:rPr>
        <w:color w:val="BFBFBF" w:themeColor="background1" w:themeShade="BF"/>
        <w:lang w:val="en-US"/>
      </w:rPr>
      <w:tab/>
    </w:r>
    <w:r w:rsidR="00760F1C" w:rsidRPr="00E003CB">
      <w:rPr>
        <w:color w:val="BFBFBF" w:themeColor="background1" w:themeShade="BF"/>
        <w:lang w:val="en-US"/>
      </w:rPr>
      <w:tab/>
    </w:r>
    <w:r w:rsidRPr="00E003CB">
      <w:rPr>
        <w:color w:val="BFBFBF" w:themeColor="background1" w:themeShade="BF"/>
      </w:rPr>
      <w:fldChar w:fldCharType="begin"/>
    </w:r>
    <w:r w:rsidRPr="00E003CB">
      <w:rPr>
        <w:color w:val="BFBFBF" w:themeColor="background1" w:themeShade="BF"/>
      </w:rPr>
      <w:instrText xml:space="preserve"> DATE   \* MERGEFORMAT </w:instrText>
    </w:r>
    <w:r w:rsidRPr="00E003CB">
      <w:rPr>
        <w:color w:val="BFBFBF" w:themeColor="background1" w:themeShade="BF"/>
      </w:rPr>
      <w:fldChar w:fldCharType="separate"/>
    </w:r>
    <w:r w:rsidR="00147B59">
      <w:rPr>
        <w:color w:val="BFBFBF" w:themeColor="background1" w:themeShade="BF"/>
      </w:rPr>
      <w:t>04/07/2019</w:t>
    </w:r>
    <w:r w:rsidRPr="00E003CB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147B59">
      <w:rPr>
        <w:noProof/>
      </w:rPr>
      <w:t>2</w:t>
    </w:r>
    <w:r>
      <w:rPr>
        <w:noProof/>
      </w:rPr>
      <w:fldChar w:fldCharType="end"/>
    </w:r>
  </w:p>
  <w:p w:rsidR="00760F1C" w:rsidRPr="00147B59" w:rsidRDefault="00760F1C" w:rsidP="0051504E">
    <w:pPr>
      <w:pStyle w:val="Header"/>
    </w:pPr>
    <w:r w:rsidRPr="00147B59">
      <w:t>C</w:t>
    </w:r>
    <w:r w:rsidR="007F350B" w:rsidRPr="00147B59">
      <w:t>1</w:t>
    </w:r>
    <w:r w:rsidR="0051504E" w:rsidRPr="00147B59">
      <w:t>9</w:t>
    </w:r>
    <w:r w:rsidR="00147B59" w:rsidRPr="00147B59">
      <w:t>/135</w:t>
    </w:r>
    <w:r w:rsidRPr="00147B59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47B59"/>
    <w:rsid w:val="001F14A2"/>
    <w:rsid w:val="002801AA"/>
    <w:rsid w:val="002C4676"/>
    <w:rsid w:val="002C70B0"/>
    <w:rsid w:val="002F3CC4"/>
    <w:rsid w:val="00513630"/>
    <w:rsid w:val="0051504E"/>
    <w:rsid w:val="00560125"/>
    <w:rsid w:val="00577D47"/>
    <w:rsid w:val="00585553"/>
    <w:rsid w:val="005B34D9"/>
    <w:rsid w:val="005D0CCF"/>
    <w:rsid w:val="005D5B3B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4981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F1A67"/>
    <w:rsid w:val="00D2750E"/>
    <w:rsid w:val="00D62446"/>
    <w:rsid w:val="00DA4EA2"/>
    <w:rsid w:val="00DC3D3E"/>
    <w:rsid w:val="00DE2C90"/>
    <w:rsid w:val="00DE3B24"/>
    <w:rsid w:val="00E003CB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qFormat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aliases w:val="CEO_Hyperlink"/>
    <w:basedOn w:val="DefaultParagraphFont"/>
    <w:qFormat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NormalaftertitleChar">
    <w:name w:val="Normal after title Char"/>
    <w:link w:val="Normalaftertitle"/>
    <w:locked/>
    <w:rsid w:val="005D5B3B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rsid w:val="005D5B3B"/>
    <w:rPr>
      <w:rFonts w:ascii="Calibri" w:hAnsi="Calibri"/>
      <w:i/>
      <w:sz w:val="24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5D5B3B"/>
    <w:rPr>
      <w:rFonts w:ascii="Calibri" w:hAnsi="Calibri"/>
      <w:sz w:val="22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11/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461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Resolución 1395 - Planes Operacionales cuatrienales renovables de la Unión para 2020-2023</vt:lpstr>
    </vt:vector>
  </TitlesOfParts>
  <Manager>Secretaría General - Pool</Manager>
  <Company>Unión Internacional de Telecomunicaciones (UIT)</Company>
  <LinksUpToDate>false</LinksUpToDate>
  <CharactersWithSpaces>3091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618 - Registro en pérdidas y ganancias de los intereses de mora y las cantidades adeudadas incobrables</dc:title>
  <dc:subject>Consejo 2019</dc:subject>
  <dc:creator>Brouard, Ricarda</dc:creator>
  <cp:keywords>C2019, C19</cp:keywords>
  <dc:description/>
  <cp:lastModifiedBy>Brouard, Ricarda</cp:lastModifiedBy>
  <cp:revision>4</cp:revision>
  <cp:lastPrinted>2006-03-24T09:51:00Z</cp:lastPrinted>
  <dcterms:created xsi:type="dcterms:W3CDTF">2019-07-04T14:23:00Z</dcterms:created>
  <dcterms:modified xsi:type="dcterms:W3CDTF">2019-07-04T14:48:00Z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