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2A03F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2A03F7">
              <w:rPr>
                <w:b/>
                <w:bCs/>
                <w:lang w:bidi="ar-SY"/>
              </w:rPr>
              <w:t>135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A03F7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2A03F7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2A03F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C76073" w:rsidRDefault="00C76073" w:rsidP="00C76073">
      <w:pPr>
        <w:pStyle w:val="DecNo"/>
        <w:rPr>
          <w:rtl/>
        </w:rPr>
      </w:pPr>
      <w:r w:rsidRPr="00C76073">
        <w:rPr>
          <w:rFonts w:hint="cs"/>
          <w:rtl/>
        </w:rPr>
        <w:t xml:space="preserve">المقرر </w:t>
      </w:r>
      <w:r w:rsidRPr="00C76073">
        <w:rPr>
          <w:lang w:bidi="ar-SY"/>
        </w:rPr>
        <w:t>618</w:t>
      </w:r>
    </w:p>
    <w:p w:rsidR="00C76073" w:rsidRDefault="00C76073" w:rsidP="00C76073">
      <w:pPr>
        <w:jc w:val="center"/>
      </w:pPr>
      <w:r w:rsidRPr="00C76073">
        <w:rPr>
          <w:rFonts w:hint="cs"/>
          <w:rtl/>
        </w:rPr>
        <w:t>(</w:t>
      </w:r>
      <w:r>
        <w:rPr>
          <w:rFonts w:hint="cs"/>
          <w:rtl/>
        </w:rPr>
        <w:t xml:space="preserve">اعتُمد </w:t>
      </w:r>
      <w:r w:rsidRPr="00C76073">
        <w:rPr>
          <w:rFonts w:hint="cs"/>
          <w:rtl/>
        </w:rPr>
        <w:t>في الجلسة العامة التاسعة)</w:t>
      </w:r>
    </w:p>
    <w:p w:rsidR="00C76073" w:rsidRDefault="00C76073" w:rsidP="001C3A6E">
      <w:pPr>
        <w:pStyle w:val="Dectitle"/>
        <w:spacing w:before="240"/>
        <w:rPr>
          <w:lang w:bidi="ar-EG"/>
        </w:rPr>
      </w:pPr>
      <w:r w:rsidRPr="00C76073">
        <w:rPr>
          <w:rtl/>
        </w:rPr>
        <w:t>إلغاء الفوائد على المتأخرات والديون غير القابلة للاسترداد</w:t>
      </w:r>
    </w:p>
    <w:p w:rsidR="002A03F7" w:rsidRDefault="002A03F7" w:rsidP="00C76073">
      <w:pPr>
        <w:pStyle w:val="Normalaftertitle"/>
        <w:rPr>
          <w:rtl/>
        </w:rPr>
      </w:pPr>
      <w:r>
        <w:rPr>
          <w:rtl/>
        </w:rPr>
        <w:t>إن المجلس،</w:t>
      </w:r>
    </w:p>
    <w:p w:rsidR="002A03F7" w:rsidRDefault="002A03F7" w:rsidP="002A03F7">
      <w:pPr>
        <w:pStyle w:val="Call"/>
        <w:rPr>
          <w:rtl/>
        </w:rPr>
      </w:pPr>
      <w:r>
        <w:rPr>
          <w:rtl/>
        </w:rPr>
        <w:t>وقد درس</w:t>
      </w:r>
    </w:p>
    <w:p w:rsidR="002A03F7" w:rsidRDefault="002A03F7" w:rsidP="002A03F7">
      <w:pPr>
        <w:rPr>
          <w:rtl/>
        </w:rPr>
      </w:pPr>
      <w:r>
        <w:rPr>
          <w:rtl/>
        </w:rPr>
        <w:t>تقرير الأمين العام عن المتأخرات والحسابات الخاصة بالمتأخرات (</w:t>
      </w:r>
      <w:hyperlink r:id="rId9" w:history="1">
        <w:r w:rsidRPr="0075652D">
          <w:rPr>
            <w:rStyle w:val="Hyperlink"/>
            <w:rtl/>
            <w:lang w:bidi="ar-SY"/>
          </w:rPr>
          <w:t xml:space="preserve">الوثيقة </w:t>
        </w:r>
        <w:r w:rsidRPr="0075652D">
          <w:rPr>
            <w:rStyle w:val="Hyperlink"/>
            <w:lang w:bidi="ar-SY"/>
          </w:rPr>
          <w:t>C19/11</w:t>
        </w:r>
      </w:hyperlink>
      <w:r>
        <w:rPr>
          <w:rtl/>
          <w:lang w:bidi="ar-SY"/>
        </w:rPr>
        <w:t>)،</w:t>
      </w:r>
    </w:p>
    <w:p w:rsidR="002A03F7" w:rsidRDefault="002A03F7" w:rsidP="002A03F7">
      <w:pPr>
        <w:pStyle w:val="Call"/>
        <w:rPr>
          <w:rtl/>
        </w:rPr>
      </w:pPr>
      <w:r>
        <w:rPr>
          <w:rtl/>
        </w:rPr>
        <w:t>يقـرر</w:t>
      </w:r>
    </w:p>
    <w:p w:rsidR="002A03F7" w:rsidRDefault="002A03F7" w:rsidP="002A03F7">
      <w:pPr>
        <w:rPr>
          <w:rtl/>
          <w:lang w:bidi="ar-EG"/>
        </w:rPr>
      </w:pPr>
      <w:r>
        <w:rPr>
          <w:rtl/>
        </w:rPr>
        <w:t xml:space="preserve">الموافقة على </w:t>
      </w:r>
      <w:r>
        <w:rPr>
          <w:rtl/>
          <w:lang w:bidi="ar-SY"/>
        </w:rPr>
        <w:t xml:space="preserve">شطب الفوائد على المتأخرات والديون غير القابلة للاسترداد التالية بمبلغ </w:t>
      </w:r>
      <w:r w:rsidRPr="0075652D">
        <w:rPr>
          <w:b/>
          <w:bCs/>
        </w:rPr>
        <w:t>9</w:t>
      </w:r>
      <w:r>
        <w:rPr>
          <w:b/>
          <w:bCs/>
        </w:rPr>
        <w:t>79</w:t>
      </w:r>
      <w:r w:rsidRPr="0075652D">
        <w:rPr>
          <w:b/>
          <w:bCs/>
        </w:rPr>
        <w:t xml:space="preserve"> </w:t>
      </w:r>
      <w:r>
        <w:rPr>
          <w:b/>
          <w:bCs/>
        </w:rPr>
        <w:t>692,6</w:t>
      </w:r>
      <w:r w:rsidRPr="0075652D">
        <w:rPr>
          <w:b/>
          <w:bCs/>
        </w:rPr>
        <w:t>1</w:t>
      </w:r>
      <w:r>
        <w:rPr>
          <w:b/>
          <w:bCs/>
          <w:rtl/>
          <w:lang w:bidi="ar-SY"/>
        </w:rPr>
        <w:t> من الفرنكات السويسرية</w:t>
      </w:r>
      <w:r>
        <w:rPr>
          <w:rtl/>
          <w:lang w:bidi="ar-SY"/>
        </w:rPr>
        <w:t xml:space="preserve"> عن طريق سحب مبلغ مناظر من احتياطي الحسابات المدينة</w:t>
      </w:r>
      <w:r>
        <w:rPr>
          <w:rtl/>
          <w:lang w:bidi="ar-EG"/>
        </w:rPr>
        <w:t>. ويُرجى الرجوع إلى التفاصيل الواردة في الجدول التالي.</w:t>
      </w:r>
    </w:p>
    <w:p w:rsidR="002A03F7" w:rsidRDefault="002A03F7" w:rsidP="00C76073">
      <w:pPr>
        <w:rPr>
          <w:rtl/>
        </w:rPr>
      </w:pPr>
      <w:r>
        <w:rPr>
          <w:rtl/>
        </w:rPr>
        <w:br w:type="page"/>
      </w:r>
    </w:p>
    <w:tbl>
      <w:tblPr>
        <w:bidiVisual/>
        <w:tblW w:w="9619" w:type="dxa"/>
        <w:jc w:val="center"/>
        <w:tblLook w:val="04A0" w:firstRow="1" w:lastRow="0" w:firstColumn="1" w:lastColumn="0" w:noHBand="0" w:noVBand="1"/>
      </w:tblPr>
      <w:tblGrid>
        <w:gridCol w:w="1822"/>
        <w:gridCol w:w="3119"/>
        <w:gridCol w:w="1026"/>
        <w:gridCol w:w="1373"/>
        <w:gridCol w:w="1110"/>
        <w:gridCol w:w="1169"/>
      </w:tblGrid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2A03F7" w:rsidRPr="00CC2D92" w:rsidRDefault="002A03F7" w:rsidP="006B398C">
            <w:pPr>
              <w:pStyle w:val="Tablehead0"/>
              <w:spacing w:line="240" w:lineRule="exact"/>
              <w:rPr>
                <w:sz w:val="18"/>
                <w:szCs w:val="24"/>
                <w:rtl/>
              </w:rPr>
            </w:pPr>
            <w:r w:rsidRPr="00CC2D92">
              <w:rPr>
                <w:sz w:val="18"/>
                <w:szCs w:val="24"/>
                <w:rtl/>
              </w:rPr>
              <w:lastRenderedPageBreak/>
              <w:t>البلد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2A03F7" w:rsidRPr="00CC2D92" w:rsidRDefault="002A03F7" w:rsidP="006B398C">
            <w:pPr>
              <w:pStyle w:val="Tablehead0"/>
              <w:spacing w:line="240" w:lineRule="exact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  <w:rtl/>
              </w:rPr>
              <w:t>اسم الشركة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2A03F7" w:rsidRPr="00CC2D92" w:rsidRDefault="002A03F7" w:rsidP="006B398C">
            <w:pPr>
              <w:pStyle w:val="Tablehead0"/>
              <w:spacing w:line="240" w:lineRule="exact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  <w:rtl/>
              </w:rPr>
              <w:t>الفترة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2A03F7" w:rsidRPr="00CC2D92" w:rsidRDefault="002A03F7" w:rsidP="006B398C">
            <w:pPr>
              <w:pStyle w:val="Tablehead0"/>
              <w:spacing w:line="240" w:lineRule="exact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  <w:rtl/>
              </w:rPr>
              <w:t>المبلغ المستحق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2A03F7" w:rsidRPr="00CC2D92" w:rsidRDefault="002A03F7" w:rsidP="006B398C">
            <w:pPr>
              <w:pStyle w:val="Tablehead0"/>
              <w:spacing w:line="240" w:lineRule="exact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  <w:rtl/>
              </w:rPr>
              <w:t>الفوائد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2A03F7" w:rsidRPr="00CC2D92" w:rsidRDefault="002A03F7" w:rsidP="006B398C">
            <w:pPr>
              <w:pStyle w:val="Tablehead0"/>
              <w:spacing w:line="240" w:lineRule="exact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  <w:rtl/>
              </w:rPr>
              <w:t>المجموع</w:t>
            </w:r>
          </w:p>
        </w:tc>
      </w:tr>
      <w:tr w:rsidR="002A03F7" w:rsidRPr="0012556B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</w:rPr>
              <w:t>بنن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03F7" w:rsidRPr="00CB3CC9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pacing w:val="-8"/>
                <w:sz w:val="18"/>
                <w:szCs w:val="18"/>
                <w:lang w:val="fr-CH"/>
              </w:rPr>
            </w:pPr>
            <w:r w:rsidRPr="00CB3CC9">
              <w:rPr>
                <w:rFonts w:cs="Calibri"/>
                <w:spacing w:val="-8"/>
                <w:sz w:val="18"/>
                <w:szCs w:val="18"/>
                <w:lang w:val="fr-CH"/>
              </w:rPr>
              <w:t xml:space="preserve">Autorité de Régulation des Communications </w:t>
            </w:r>
            <w:proofErr w:type="spellStart"/>
            <w:r w:rsidRPr="00CB3CC9">
              <w:rPr>
                <w:rFonts w:cs="Calibri"/>
                <w:spacing w:val="-8"/>
                <w:sz w:val="18"/>
                <w:szCs w:val="18"/>
                <w:lang w:val="fr-CH"/>
              </w:rPr>
              <w:t>Electroniques</w:t>
            </w:r>
            <w:proofErr w:type="spellEnd"/>
            <w:r w:rsidRPr="00CB3CC9">
              <w:rPr>
                <w:rFonts w:cs="Calibri"/>
                <w:spacing w:val="-8"/>
                <w:sz w:val="18"/>
                <w:szCs w:val="18"/>
                <w:lang w:val="fr-CH"/>
              </w:rPr>
              <w:t xml:space="preserve"> et de la Poste (ARCEP-BENIN)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A03F7" w:rsidRPr="0012556B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  <w:lang w:val="fr-CH"/>
              </w:rPr>
            </w:pPr>
            <w:r w:rsidRPr="00F87721">
              <w:rPr>
                <w:rFonts w:cs="Calibri"/>
                <w:sz w:val="16"/>
                <w:szCs w:val="16"/>
              </w:rPr>
              <w:t>20</w:t>
            </w:r>
            <w:r>
              <w:rPr>
                <w:rFonts w:cs="Calibri"/>
                <w:sz w:val="16"/>
                <w:szCs w:val="16"/>
              </w:rPr>
              <w:t>11</w:t>
            </w:r>
            <w:r w:rsidRPr="00F87721">
              <w:rPr>
                <w:rFonts w:cs="Calibri"/>
                <w:sz w:val="16"/>
                <w:szCs w:val="16"/>
              </w:rPr>
              <w:t>-20</w:t>
            </w:r>
            <w:r>
              <w:rPr>
                <w:rFonts w:cs="Calibri"/>
                <w:sz w:val="16"/>
                <w:szCs w:val="16"/>
              </w:rPr>
              <w:t>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03F7" w:rsidRPr="0012556B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  <w:lang w:val="fr-CH"/>
              </w:rPr>
            </w:pPr>
            <w:r w:rsidRPr="00CC2D92">
              <w:rPr>
                <w:color w:val="000000"/>
                <w:sz w:val="18"/>
                <w:szCs w:val="24"/>
              </w:rPr>
              <w:t>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03F7" w:rsidRPr="0012556B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  <w:lang w:val="fr-CH"/>
              </w:rPr>
            </w:pPr>
            <w:r w:rsidRPr="00F87721">
              <w:rPr>
                <w:rFonts w:cs="Calibri"/>
                <w:sz w:val="16"/>
                <w:szCs w:val="16"/>
              </w:rPr>
              <w:t>27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F87721">
              <w:rPr>
                <w:rFonts w:cs="Calibri"/>
                <w:sz w:val="16"/>
                <w:szCs w:val="16"/>
              </w:rPr>
              <w:t>830</w:t>
            </w:r>
            <w:r>
              <w:rPr>
                <w:rFonts w:cs="Calibri"/>
                <w:sz w:val="16"/>
                <w:szCs w:val="16"/>
              </w:rPr>
              <w:t>,</w:t>
            </w:r>
            <w:r w:rsidRPr="00F87721">
              <w:rPr>
                <w:rFonts w:cs="Calibri"/>
                <w:sz w:val="16"/>
                <w:szCs w:val="16"/>
              </w:rPr>
              <w:t>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03F7" w:rsidRPr="0012556B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  <w:lang w:val="fr-CH"/>
              </w:rPr>
            </w:pPr>
            <w:r w:rsidRPr="00F87721">
              <w:rPr>
                <w:rFonts w:cs="Calibri"/>
                <w:sz w:val="16"/>
                <w:szCs w:val="16"/>
              </w:rPr>
              <w:t>27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F87721">
              <w:rPr>
                <w:rFonts w:cs="Calibri"/>
                <w:sz w:val="16"/>
                <w:szCs w:val="16"/>
              </w:rPr>
              <w:t>830</w:t>
            </w:r>
            <w:r>
              <w:rPr>
                <w:rFonts w:cs="Calibri"/>
                <w:sz w:val="16"/>
                <w:szCs w:val="16"/>
              </w:rPr>
              <w:t>,</w:t>
            </w:r>
            <w:r w:rsidRPr="00F87721">
              <w:rPr>
                <w:rFonts w:cs="Calibri"/>
                <w:sz w:val="16"/>
                <w:szCs w:val="16"/>
              </w:rPr>
              <w:t>70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 w:rsidRPr="00CC2D92">
              <w:rPr>
                <w:rFonts w:hint="cs"/>
                <w:sz w:val="18"/>
                <w:szCs w:val="24"/>
                <w:rtl/>
              </w:rPr>
              <w:t>جزر القمر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  <w:lang w:val="fr-CH"/>
              </w:rPr>
            </w:pPr>
            <w:r w:rsidRPr="00D905A6">
              <w:rPr>
                <w:sz w:val="18"/>
                <w:szCs w:val="24"/>
                <w:lang w:val="fr-CH"/>
              </w:rPr>
              <w:t>Autorité Nationale de Régulation des TIC (ANRTIC)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2017</w:t>
            </w:r>
            <w:r>
              <w:rPr>
                <w:sz w:val="18"/>
                <w:szCs w:val="24"/>
              </w:rPr>
              <w:t>-2014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5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402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5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402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50</w:t>
            </w:r>
          </w:p>
        </w:tc>
      </w:tr>
      <w:tr w:rsidR="002A03F7" w:rsidRPr="00CC2D92" w:rsidTr="00B5364D">
        <w:trPr>
          <w:trHeight w:val="46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مصر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A87298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pacing w:val="-10"/>
                <w:sz w:val="18"/>
                <w:szCs w:val="24"/>
              </w:rPr>
            </w:pPr>
            <w:r w:rsidRPr="00A87298">
              <w:rPr>
                <w:spacing w:val="-10"/>
                <w:sz w:val="18"/>
                <w:szCs w:val="24"/>
              </w:rPr>
              <w:t>Ministry of Communications and Information Technology (MCIT)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2018</w:t>
            </w:r>
            <w:r>
              <w:rPr>
                <w:sz w:val="18"/>
                <w:szCs w:val="24"/>
              </w:rPr>
              <w:t>-2017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23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995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23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995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75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مصر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rFonts w:hint="cs"/>
                <w:sz w:val="18"/>
                <w:szCs w:val="24"/>
                <w:rtl/>
                <w:lang w:bidi="ar-EG"/>
              </w:rPr>
            </w:pPr>
            <w:proofErr w:type="spellStart"/>
            <w:r w:rsidRPr="00D905A6">
              <w:rPr>
                <w:sz w:val="18"/>
                <w:szCs w:val="24"/>
              </w:rPr>
              <w:t>Systel</w:t>
            </w:r>
            <w:proofErr w:type="spellEnd"/>
            <w:r w:rsidRPr="00D905A6">
              <w:rPr>
                <w:sz w:val="18"/>
                <w:szCs w:val="24"/>
              </w:rPr>
              <w:t>, Cairo</w:t>
            </w:r>
            <w:bookmarkStart w:id="1" w:name="_GoBack"/>
            <w:bookmarkEnd w:id="1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2006</w:t>
            </w:r>
            <w:r>
              <w:rPr>
                <w:sz w:val="18"/>
                <w:szCs w:val="24"/>
              </w:rPr>
              <w:t>-2004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36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204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36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204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20</w:t>
            </w:r>
          </w:p>
        </w:tc>
      </w:tr>
      <w:tr w:rsidR="002A03F7" w:rsidRPr="00CC2D92" w:rsidTr="00B5364D">
        <w:trPr>
          <w:trHeight w:val="690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8846BD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pacing w:val="-4"/>
                <w:sz w:val="18"/>
                <w:szCs w:val="24"/>
              </w:rPr>
            </w:pPr>
            <w:r w:rsidRPr="008846BD">
              <w:rPr>
                <w:spacing w:val="-4"/>
                <w:sz w:val="18"/>
                <w:szCs w:val="24"/>
                <w:rtl/>
              </w:rPr>
              <w:t>اتحاد</w:t>
            </w:r>
            <w:r w:rsidRPr="008846BD">
              <w:rPr>
                <w:rFonts w:hint="eastAsia"/>
                <w:spacing w:val="-4"/>
                <w:sz w:val="18"/>
                <w:szCs w:val="24"/>
                <w:rtl/>
              </w:rPr>
              <w:t> </w:t>
            </w:r>
            <w:r w:rsidRPr="008846BD">
              <w:rPr>
                <w:spacing w:val="-4"/>
                <w:sz w:val="18"/>
                <w:szCs w:val="24"/>
                <w:rtl/>
              </w:rPr>
              <w:t>سانت</w:t>
            </w:r>
            <w:r w:rsidRPr="008846BD">
              <w:rPr>
                <w:rFonts w:hint="eastAsia"/>
                <w:spacing w:val="-4"/>
                <w:sz w:val="18"/>
                <w:szCs w:val="24"/>
                <w:rtl/>
              </w:rPr>
              <w:t> </w:t>
            </w:r>
            <w:r w:rsidRPr="008846BD">
              <w:rPr>
                <w:spacing w:val="-4"/>
                <w:sz w:val="18"/>
                <w:szCs w:val="24"/>
                <w:rtl/>
              </w:rPr>
              <w:t>كيتس ونيفيس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 w:rsidRPr="00D905A6">
              <w:rPr>
                <w:sz w:val="18"/>
                <w:szCs w:val="24"/>
              </w:rPr>
              <w:t>Ministry of Justice, Legal Affairs and Communications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2015</w:t>
            </w:r>
            <w:r>
              <w:rPr>
                <w:sz w:val="18"/>
                <w:szCs w:val="24"/>
              </w:rPr>
              <w:t>-2007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72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902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72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902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74</w:t>
            </w:r>
          </w:p>
        </w:tc>
      </w:tr>
      <w:tr w:rsidR="002A03F7" w:rsidRPr="00CC2D92" w:rsidTr="00B5364D">
        <w:trPr>
          <w:trHeight w:val="46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الاتحاد الروسي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BF7CF4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pacing w:val="-4"/>
                <w:sz w:val="18"/>
                <w:szCs w:val="24"/>
              </w:rPr>
            </w:pPr>
            <w:r w:rsidRPr="00BF7CF4">
              <w:rPr>
                <w:spacing w:val="-4"/>
                <w:sz w:val="18"/>
                <w:szCs w:val="24"/>
              </w:rPr>
              <w:t>Global Information Systems GIS, Moscow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156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663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156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663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86</w:t>
            </w:r>
          </w:p>
        </w:tc>
      </w:tr>
      <w:tr w:rsidR="002A03F7" w:rsidRPr="00527F19" w:rsidTr="00B5364D">
        <w:trPr>
          <w:trHeight w:val="46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3F7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</w:rPr>
              <w:t>السنغال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A03F7" w:rsidRPr="009A5A1B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pacing w:val="-14"/>
                <w:sz w:val="18"/>
                <w:szCs w:val="18"/>
                <w:lang w:val="fr-CH"/>
              </w:rPr>
            </w:pPr>
            <w:r w:rsidRPr="009A5A1B">
              <w:rPr>
                <w:rFonts w:cs="Calibri"/>
                <w:spacing w:val="-14"/>
                <w:sz w:val="18"/>
                <w:szCs w:val="18"/>
                <w:lang w:val="fr-CH"/>
              </w:rPr>
              <w:t>Autorité de Régulation des Télécommunications et des Postes (ARTP)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A03F7" w:rsidRPr="00527F19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A03F7" w:rsidRPr="00527F19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  <w:rtl/>
                <w:lang w:val="fr-CH"/>
              </w:rPr>
            </w:pPr>
            <w:r w:rsidRPr="00CC2D92">
              <w:rPr>
                <w:color w:val="000000"/>
                <w:sz w:val="18"/>
                <w:szCs w:val="24"/>
              </w:rPr>
              <w:t>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2A03F7" w:rsidRPr="00527F19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  <w:lang w:val="fr-CH"/>
              </w:rPr>
            </w:pPr>
            <w:r w:rsidRPr="00F87721">
              <w:rPr>
                <w:rFonts w:cs="Calibri"/>
                <w:sz w:val="16"/>
                <w:szCs w:val="16"/>
              </w:rPr>
              <w:t>8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F87721">
              <w:rPr>
                <w:rFonts w:cs="Calibri"/>
                <w:sz w:val="16"/>
                <w:szCs w:val="16"/>
              </w:rPr>
              <w:t>727</w:t>
            </w:r>
            <w:r>
              <w:rPr>
                <w:rFonts w:cs="Calibri"/>
                <w:sz w:val="16"/>
                <w:szCs w:val="16"/>
              </w:rPr>
              <w:t>,</w:t>
            </w:r>
            <w:r w:rsidRPr="00F87721"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A03F7" w:rsidRPr="00527F19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  <w:lang w:val="fr-CH"/>
              </w:rPr>
            </w:pPr>
            <w:r w:rsidRPr="00F87721">
              <w:rPr>
                <w:rFonts w:cs="Calibri"/>
                <w:sz w:val="16"/>
                <w:szCs w:val="16"/>
              </w:rPr>
              <w:t>8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F87721">
              <w:rPr>
                <w:rFonts w:cs="Calibri"/>
                <w:sz w:val="16"/>
                <w:szCs w:val="16"/>
              </w:rPr>
              <w:t>727</w:t>
            </w:r>
            <w:r>
              <w:rPr>
                <w:rFonts w:cs="Calibri"/>
                <w:sz w:val="16"/>
                <w:szCs w:val="16"/>
              </w:rPr>
              <w:t>,</w:t>
            </w:r>
            <w:r w:rsidRPr="00F87721">
              <w:rPr>
                <w:rFonts w:cs="Calibri"/>
                <w:sz w:val="16"/>
                <w:szCs w:val="16"/>
              </w:rPr>
              <w:t>20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 xml:space="preserve">سري </w:t>
            </w:r>
            <w:proofErr w:type="spellStart"/>
            <w:r>
              <w:rPr>
                <w:rFonts w:hint="cs"/>
                <w:sz w:val="18"/>
                <w:szCs w:val="24"/>
                <w:rtl/>
              </w:rPr>
              <w:t>لانكا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  <w:lang w:val="es-ES"/>
              </w:rPr>
            </w:pPr>
            <w:r w:rsidRPr="00D905A6">
              <w:rPr>
                <w:sz w:val="18"/>
                <w:szCs w:val="24"/>
                <w:lang w:val="es-ES"/>
              </w:rPr>
              <w:t>Sri Lanka Telecom Ltd., Colombo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2012</w:t>
            </w:r>
            <w:r>
              <w:rPr>
                <w:sz w:val="18"/>
                <w:szCs w:val="24"/>
              </w:rPr>
              <w:t>-2002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954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954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45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5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i/>
                <w:iCs/>
                <w:sz w:val="18"/>
                <w:szCs w:val="24"/>
              </w:rPr>
            </w:pPr>
            <w:r w:rsidRPr="00D905A6">
              <w:rPr>
                <w:b/>
                <w:bCs/>
                <w:i/>
                <w:iCs/>
                <w:sz w:val="18"/>
                <w:szCs w:val="24"/>
                <w:rtl/>
              </w:rPr>
              <w:t xml:space="preserve">المجموع وفقاً للفقرة الفرعية </w:t>
            </w:r>
            <w:r w:rsidRPr="00D905A6">
              <w:rPr>
                <w:b/>
                <w:bCs/>
                <w:i/>
                <w:iCs/>
                <w:sz w:val="18"/>
                <w:szCs w:val="24"/>
              </w:rPr>
              <w:t>2.3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b/>
                <w:bCs/>
                <w:color w:val="000000"/>
                <w:sz w:val="18"/>
                <w:szCs w:val="24"/>
              </w:rPr>
            </w:pPr>
            <w:r w:rsidRPr="00CC2D92">
              <w:rPr>
                <w:b/>
                <w:bCs/>
                <w:color w:val="000000"/>
                <w:sz w:val="18"/>
                <w:szCs w:val="24"/>
              </w:rPr>
              <w:t>0</w:t>
            </w:r>
            <w:r>
              <w:rPr>
                <w:b/>
                <w:bCs/>
                <w:color w:val="000000"/>
                <w:sz w:val="18"/>
                <w:szCs w:val="24"/>
              </w:rPr>
              <w:t>,</w:t>
            </w:r>
            <w:r w:rsidRPr="00CC2D92">
              <w:rPr>
                <w:b/>
                <w:bCs/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b/>
                <w:bCs/>
                <w:color w:val="000000"/>
                <w:sz w:val="18"/>
                <w:szCs w:val="24"/>
              </w:rPr>
            </w:pP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</w:rPr>
              <w:t>338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 </w:t>
            </w: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</w:rPr>
              <w:t>681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b/>
                <w:bCs/>
                <w:color w:val="000000"/>
                <w:sz w:val="18"/>
                <w:szCs w:val="24"/>
              </w:rPr>
            </w:pP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</w:rPr>
              <w:t>338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 </w:t>
            </w: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</w:rPr>
              <w:t>681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,</w:t>
            </w:r>
            <w:r w:rsidRPr="00F87721">
              <w:rPr>
                <w:rFonts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كندا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 w:rsidRPr="00D905A6">
              <w:rPr>
                <w:sz w:val="18"/>
                <w:szCs w:val="24"/>
              </w:rPr>
              <w:t>The Institute of Mobile Technologies, Toronto-Ontario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2012</w:t>
            </w:r>
            <w:r>
              <w:rPr>
                <w:sz w:val="18"/>
                <w:szCs w:val="24"/>
              </w:rPr>
              <w:t>-2011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4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306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2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031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337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55</w:t>
            </w:r>
          </w:p>
        </w:tc>
      </w:tr>
      <w:tr w:rsidR="002A03F7" w:rsidRPr="00CC2D92" w:rsidTr="00B5364D">
        <w:trPr>
          <w:trHeight w:val="46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غينيا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BF7CF4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pacing w:val="-8"/>
                <w:sz w:val="18"/>
                <w:szCs w:val="24"/>
                <w:lang w:val="fr-CH"/>
              </w:rPr>
            </w:pPr>
            <w:r w:rsidRPr="00BF7CF4">
              <w:rPr>
                <w:spacing w:val="-8"/>
                <w:sz w:val="18"/>
                <w:szCs w:val="24"/>
                <w:lang w:val="fr-CH"/>
              </w:rPr>
              <w:t>SOTELGUI (Société des Télécommunications de Guinée), Conakry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2012</w:t>
            </w:r>
            <w:r>
              <w:rPr>
                <w:sz w:val="18"/>
                <w:szCs w:val="24"/>
              </w:rPr>
              <w:t>-2010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4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519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2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393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912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48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الهند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proofErr w:type="spellStart"/>
            <w:r w:rsidRPr="00D905A6">
              <w:rPr>
                <w:sz w:val="18"/>
                <w:szCs w:val="24"/>
              </w:rPr>
              <w:t>Shyam</w:t>
            </w:r>
            <w:proofErr w:type="spellEnd"/>
            <w:r w:rsidRPr="00D905A6">
              <w:rPr>
                <w:sz w:val="18"/>
                <w:szCs w:val="24"/>
              </w:rPr>
              <w:t xml:space="preserve"> Telecom Limited, Gurgaon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2012</w:t>
            </w:r>
            <w:r>
              <w:rPr>
                <w:sz w:val="18"/>
                <w:szCs w:val="24"/>
              </w:rPr>
              <w:t>-2010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3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975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893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5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868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30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الهند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8E2E8C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pacing w:val="-8"/>
                <w:sz w:val="18"/>
                <w:szCs w:val="24"/>
                <w:rtl/>
                <w:lang w:bidi="ar-EG"/>
              </w:rPr>
            </w:pPr>
            <w:proofErr w:type="spellStart"/>
            <w:r w:rsidRPr="008E2E8C">
              <w:rPr>
                <w:spacing w:val="-8"/>
                <w:sz w:val="18"/>
                <w:szCs w:val="24"/>
              </w:rPr>
              <w:t>Mahanagar</w:t>
            </w:r>
            <w:proofErr w:type="spellEnd"/>
            <w:r w:rsidRPr="008E2E8C">
              <w:rPr>
                <w:spacing w:val="-8"/>
                <w:sz w:val="18"/>
                <w:szCs w:val="24"/>
              </w:rPr>
              <w:t xml:space="preserve"> Telephone Nigam Ltd. (MTNL), New Delhi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35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775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875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52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650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55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الهند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proofErr w:type="spellStart"/>
            <w:r w:rsidRPr="00D905A6">
              <w:rPr>
                <w:sz w:val="18"/>
                <w:szCs w:val="24"/>
              </w:rPr>
              <w:t>TranSwitch</w:t>
            </w:r>
            <w:proofErr w:type="spellEnd"/>
            <w:r w:rsidRPr="00D905A6">
              <w:rPr>
                <w:sz w:val="18"/>
                <w:szCs w:val="24"/>
              </w:rPr>
              <w:t xml:space="preserve"> India Pvt. Ltd., New Delhi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10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600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5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000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15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600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20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باكستان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BF7CF4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pacing w:val="-10"/>
                <w:sz w:val="18"/>
                <w:szCs w:val="24"/>
              </w:rPr>
            </w:pPr>
            <w:r w:rsidRPr="00BF7CF4">
              <w:rPr>
                <w:spacing w:val="-10"/>
                <w:sz w:val="18"/>
                <w:szCs w:val="24"/>
              </w:rPr>
              <w:t>Pakistan Institute of Human Rights, Islamabad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2013</w:t>
            </w:r>
            <w:r>
              <w:rPr>
                <w:sz w:val="18"/>
                <w:szCs w:val="24"/>
              </w:rPr>
              <w:t>-2012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4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968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2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176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7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145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15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المملكة العربية السعودية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BF7CF4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pacing w:val="-8"/>
                <w:sz w:val="18"/>
                <w:szCs w:val="24"/>
              </w:rPr>
            </w:pPr>
            <w:proofErr w:type="spellStart"/>
            <w:r w:rsidRPr="00BF7CF4">
              <w:rPr>
                <w:spacing w:val="-8"/>
                <w:sz w:val="18"/>
                <w:szCs w:val="24"/>
              </w:rPr>
              <w:t>Bayanat</w:t>
            </w:r>
            <w:proofErr w:type="spellEnd"/>
            <w:r w:rsidRPr="00BF7CF4">
              <w:rPr>
                <w:spacing w:val="-8"/>
                <w:sz w:val="18"/>
                <w:szCs w:val="24"/>
              </w:rPr>
              <w:t xml:space="preserve"> </w:t>
            </w:r>
            <w:proofErr w:type="spellStart"/>
            <w:r w:rsidRPr="00BF7CF4">
              <w:rPr>
                <w:spacing w:val="-8"/>
                <w:sz w:val="18"/>
                <w:szCs w:val="24"/>
              </w:rPr>
              <w:t>Aloula</w:t>
            </w:r>
            <w:proofErr w:type="spellEnd"/>
            <w:r w:rsidRPr="00BF7CF4">
              <w:rPr>
                <w:spacing w:val="-8"/>
                <w:sz w:val="18"/>
                <w:szCs w:val="24"/>
              </w:rPr>
              <w:t xml:space="preserve"> for Network Services, Riyadh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2008</w:t>
            </w:r>
            <w:r>
              <w:rPr>
                <w:sz w:val="18"/>
                <w:szCs w:val="24"/>
              </w:rPr>
              <w:t>-2005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3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975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3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245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7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220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65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السويد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proofErr w:type="spellStart"/>
            <w:r w:rsidRPr="00D905A6">
              <w:rPr>
                <w:sz w:val="18"/>
                <w:szCs w:val="24"/>
              </w:rPr>
              <w:t>UpZide</w:t>
            </w:r>
            <w:proofErr w:type="spellEnd"/>
            <w:r w:rsidRPr="00D905A6">
              <w:rPr>
                <w:sz w:val="18"/>
                <w:szCs w:val="24"/>
              </w:rPr>
              <w:t xml:space="preserve"> Labs AB, Lulea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10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600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928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17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528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35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الولايات المتحدة الأمريكية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 w:rsidRPr="00D905A6">
              <w:rPr>
                <w:sz w:val="18"/>
                <w:szCs w:val="24"/>
              </w:rPr>
              <w:t>Overture Networks, Morrisville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2009</w:t>
            </w:r>
            <w:r>
              <w:rPr>
                <w:sz w:val="18"/>
                <w:szCs w:val="24"/>
              </w:rPr>
              <w:t>-2008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21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200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15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305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36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505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90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الولايات المتحدة الأمريكية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proofErr w:type="spellStart"/>
            <w:r w:rsidRPr="00D905A6">
              <w:rPr>
                <w:sz w:val="18"/>
                <w:szCs w:val="24"/>
              </w:rPr>
              <w:t>Dynastat</w:t>
            </w:r>
            <w:proofErr w:type="spellEnd"/>
            <w:r w:rsidRPr="00D905A6">
              <w:rPr>
                <w:sz w:val="18"/>
                <w:szCs w:val="24"/>
              </w:rPr>
              <w:t>, Inc. Austin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7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950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317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9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267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65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الولايات المتحدة الأمريكية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 w:rsidRPr="00D905A6">
              <w:rPr>
                <w:sz w:val="18"/>
                <w:szCs w:val="24"/>
              </w:rPr>
              <w:t>ESS Technology, Inc., Milpitas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31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800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37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871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69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671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05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الولايات المتحدة الأمريكية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proofErr w:type="spellStart"/>
            <w:r w:rsidRPr="00D905A6">
              <w:rPr>
                <w:sz w:val="18"/>
                <w:szCs w:val="24"/>
              </w:rPr>
              <w:t>Lightsand</w:t>
            </w:r>
            <w:proofErr w:type="spellEnd"/>
            <w:r w:rsidRPr="00D905A6">
              <w:rPr>
                <w:sz w:val="18"/>
                <w:szCs w:val="24"/>
              </w:rPr>
              <w:t xml:space="preserve"> Communications Inc., Plano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2002</w:t>
            </w:r>
            <w:r>
              <w:rPr>
                <w:sz w:val="18"/>
                <w:szCs w:val="24"/>
              </w:rPr>
              <w:t>-2001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7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875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10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647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18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522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75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الولايات المتحدة الأمريكية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 w:rsidRPr="00D905A6">
              <w:rPr>
                <w:sz w:val="18"/>
                <w:szCs w:val="24"/>
              </w:rPr>
              <w:t>Sigma Designs, Inc., Fremont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2018</w:t>
            </w:r>
            <w:r>
              <w:rPr>
                <w:sz w:val="18"/>
                <w:szCs w:val="24"/>
              </w:rPr>
              <w:t>-2017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183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74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257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53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الولايات المتحدة الأمريكية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D905A6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proofErr w:type="spellStart"/>
            <w:r w:rsidRPr="00D905A6">
              <w:rPr>
                <w:sz w:val="18"/>
                <w:szCs w:val="24"/>
              </w:rPr>
              <w:t>Terabust</w:t>
            </w:r>
            <w:proofErr w:type="spellEnd"/>
            <w:r w:rsidRPr="00D905A6">
              <w:rPr>
                <w:sz w:val="18"/>
                <w:szCs w:val="24"/>
              </w:rPr>
              <w:t xml:space="preserve"> Networks Inc., Sunnyvale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51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816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56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854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108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671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25</w:t>
            </w:r>
          </w:p>
        </w:tc>
      </w:tr>
      <w:tr w:rsidR="002A03F7" w:rsidRPr="00CC2D92" w:rsidTr="00B5364D">
        <w:trPr>
          <w:trHeight w:val="46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الولايات المتحدة الأمريكية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784DA5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pacing w:val="-16"/>
                <w:sz w:val="18"/>
                <w:szCs w:val="24"/>
                <w:lang w:val="fr-CH"/>
              </w:rPr>
            </w:pPr>
            <w:proofErr w:type="spellStart"/>
            <w:r w:rsidRPr="00784DA5">
              <w:rPr>
                <w:spacing w:val="-16"/>
                <w:sz w:val="18"/>
                <w:szCs w:val="24"/>
                <w:lang w:val="fr-CH"/>
              </w:rPr>
              <w:t>Zhone</w:t>
            </w:r>
            <w:proofErr w:type="spellEnd"/>
            <w:r w:rsidRPr="00784DA5">
              <w:rPr>
                <w:spacing w:val="-16"/>
                <w:sz w:val="18"/>
                <w:szCs w:val="24"/>
                <w:lang w:val="fr-CH"/>
              </w:rPr>
              <w:t xml:space="preserve"> Technologies (Ex. Net to Net Technologies), Oakland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2003</w:t>
            </w:r>
            <w:r>
              <w:rPr>
                <w:sz w:val="18"/>
                <w:szCs w:val="24"/>
              </w:rPr>
              <w:t>-2002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57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750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79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669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137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419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55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z w:val="18"/>
                <w:szCs w:val="24"/>
              </w:rPr>
            </w:pPr>
            <w:r>
              <w:rPr>
                <w:rFonts w:hint="cs"/>
                <w:sz w:val="18"/>
                <w:szCs w:val="24"/>
                <w:rtl/>
              </w:rPr>
              <w:t>الولايات المتحدة الأمريكية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BF7CF4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spacing w:val="-10"/>
                <w:sz w:val="18"/>
                <w:szCs w:val="24"/>
                <w:rtl/>
                <w:lang w:val="fr-CH"/>
              </w:rPr>
            </w:pPr>
            <w:proofErr w:type="spellStart"/>
            <w:r w:rsidRPr="00BF7CF4">
              <w:rPr>
                <w:spacing w:val="-10"/>
                <w:sz w:val="18"/>
                <w:szCs w:val="24"/>
                <w:lang w:val="fr-CH"/>
              </w:rPr>
              <w:t>Zhone</w:t>
            </w:r>
            <w:proofErr w:type="spellEnd"/>
            <w:r w:rsidRPr="00BF7CF4">
              <w:rPr>
                <w:spacing w:val="-10"/>
                <w:sz w:val="18"/>
                <w:szCs w:val="24"/>
                <w:lang w:val="fr-CH"/>
              </w:rPr>
              <w:t xml:space="preserve"> Technologies (Ex. </w:t>
            </w:r>
            <w:proofErr w:type="spellStart"/>
            <w:r w:rsidRPr="00BF7CF4">
              <w:rPr>
                <w:spacing w:val="-10"/>
                <w:sz w:val="18"/>
                <w:szCs w:val="24"/>
                <w:lang w:val="fr-CH"/>
              </w:rPr>
              <w:t>Tellium</w:t>
            </w:r>
            <w:proofErr w:type="spellEnd"/>
            <w:r w:rsidRPr="00BF7CF4">
              <w:rPr>
                <w:spacing w:val="-10"/>
                <w:sz w:val="18"/>
                <w:szCs w:val="24"/>
                <w:lang w:val="fr-CH"/>
              </w:rPr>
              <w:t xml:space="preserve"> Inc.), Oakland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sz w:val="18"/>
                <w:szCs w:val="24"/>
              </w:rPr>
            </w:pPr>
            <w:r w:rsidRPr="00CC2D92">
              <w:rPr>
                <w:sz w:val="18"/>
                <w:szCs w:val="24"/>
              </w:rPr>
              <w:t>2005</w:t>
            </w:r>
            <w:r>
              <w:rPr>
                <w:sz w:val="18"/>
                <w:szCs w:val="24"/>
              </w:rPr>
              <w:t>-2004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63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000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72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432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color w:val="000000"/>
                <w:sz w:val="18"/>
                <w:szCs w:val="24"/>
              </w:rPr>
            </w:pPr>
            <w:r w:rsidRPr="00CC2D92">
              <w:rPr>
                <w:color w:val="000000"/>
                <w:sz w:val="18"/>
                <w:szCs w:val="24"/>
              </w:rPr>
              <w:t>135</w:t>
            </w:r>
            <w:r>
              <w:rPr>
                <w:color w:val="000000"/>
                <w:sz w:val="18"/>
                <w:szCs w:val="24"/>
              </w:rPr>
              <w:t> </w:t>
            </w:r>
            <w:r w:rsidRPr="00CC2D92">
              <w:rPr>
                <w:color w:val="000000"/>
                <w:sz w:val="18"/>
                <w:szCs w:val="24"/>
              </w:rPr>
              <w:t>432</w:t>
            </w:r>
            <w:r>
              <w:rPr>
                <w:color w:val="000000"/>
                <w:sz w:val="18"/>
                <w:szCs w:val="24"/>
              </w:rPr>
              <w:t>,</w:t>
            </w:r>
            <w:r w:rsidRPr="00CC2D92">
              <w:rPr>
                <w:color w:val="000000"/>
                <w:sz w:val="18"/>
                <w:szCs w:val="24"/>
              </w:rPr>
              <w:t>30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5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center"/>
              <w:rPr>
                <w:b/>
                <w:bCs/>
                <w:i/>
                <w:iCs/>
                <w:color w:val="000000"/>
                <w:sz w:val="18"/>
                <w:szCs w:val="24"/>
              </w:rPr>
            </w:pPr>
            <w:r>
              <w:rPr>
                <w:b/>
                <w:bCs/>
                <w:i/>
                <w:iCs/>
                <w:sz w:val="18"/>
                <w:szCs w:val="24"/>
                <w:rtl/>
              </w:rPr>
              <w:t xml:space="preserve">المجموع وفقاً للفقرة الفرعية </w:t>
            </w:r>
            <w:r>
              <w:rPr>
                <w:b/>
                <w:bCs/>
                <w:i/>
                <w:iCs/>
                <w:sz w:val="18"/>
                <w:szCs w:val="24"/>
              </w:rPr>
              <w:t>3.3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b/>
                <w:bCs/>
                <w:color w:val="000000"/>
                <w:sz w:val="18"/>
                <w:szCs w:val="24"/>
              </w:rPr>
            </w:pPr>
            <w:r w:rsidRPr="00CC2D92">
              <w:rPr>
                <w:b/>
                <w:bCs/>
                <w:color w:val="000000"/>
                <w:sz w:val="18"/>
                <w:szCs w:val="24"/>
              </w:rPr>
              <w:t>326</w:t>
            </w:r>
            <w:r>
              <w:rPr>
                <w:b/>
                <w:bCs/>
                <w:color w:val="000000"/>
                <w:sz w:val="18"/>
                <w:szCs w:val="24"/>
              </w:rPr>
              <w:t> </w:t>
            </w:r>
            <w:r w:rsidRPr="00CC2D92">
              <w:rPr>
                <w:b/>
                <w:bCs/>
                <w:color w:val="000000"/>
                <w:sz w:val="18"/>
                <w:szCs w:val="24"/>
              </w:rPr>
              <w:t>293</w:t>
            </w:r>
            <w:r>
              <w:rPr>
                <w:b/>
                <w:bCs/>
                <w:color w:val="000000"/>
                <w:sz w:val="18"/>
                <w:szCs w:val="24"/>
              </w:rPr>
              <w:t>,</w:t>
            </w:r>
            <w:r w:rsidRPr="00CC2D92">
              <w:rPr>
                <w:b/>
                <w:bCs/>
                <w:color w:val="000000"/>
                <w:sz w:val="18"/>
                <w:szCs w:val="24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b/>
                <w:bCs/>
                <w:color w:val="000000"/>
                <w:sz w:val="18"/>
                <w:szCs w:val="24"/>
              </w:rPr>
            </w:pPr>
            <w:r w:rsidRPr="00CC2D92">
              <w:rPr>
                <w:b/>
                <w:bCs/>
                <w:color w:val="000000"/>
                <w:sz w:val="18"/>
                <w:szCs w:val="24"/>
              </w:rPr>
              <w:t>314</w:t>
            </w:r>
            <w:r>
              <w:rPr>
                <w:b/>
                <w:bCs/>
                <w:color w:val="000000"/>
                <w:sz w:val="18"/>
                <w:szCs w:val="24"/>
              </w:rPr>
              <w:t> </w:t>
            </w:r>
            <w:r w:rsidRPr="00CC2D92">
              <w:rPr>
                <w:b/>
                <w:bCs/>
                <w:color w:val="000000"/>
                <w:sz w:val="18"/>
                <w:szCs w:val="24"/>
              </w:rPr>
              <w:t>717</w:t>
            </w:r>
            <w:r>
              <w:rPr>
                <w:b/>
                <w:bCs/>
                <w:color w:val="000000"/>
                <w:sz w:val="18"/>
                <w:szCs w:val="24"/>
              </w:rPr>
              <w:t>,</w:t>
            </w:r>
            <w:r w:rsidRPr="00CC2D92">
              <w:rPr>
                <w:b/>
                <w:bCs/>
                <w:color w:val="000000"/>
                <w:sz w:val="18"/>
                <w:szCs w:val="24"/>
              </w:rPr>
              <w:t>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b/>
                <w:bCs/>
                <w:color w:val="000000"/>
                <w:sz w:val="18"/>
                <w:szCs w:val="24"/>
              </w:rPr>
            </w:pPr>
            <w:r w:rsidRPr="00CC2D92">
              <w:rPr>
                <w:b/>
                <w:bCs/>
                <w:color w:val="000000"/>
                <w:sz w:val="18"/>
                <w:szCs w:val="24"/>
              </w:rPr>
              <w:t>641</w:t>
            </w:r>
            <w:r>
              <w:rPr>
                <w:b/>
                <w:bCs/>
                <w:color w:val="000000"/>
                <w:sz w:val="18"/>
                <w:szCs w:val="24"/>
              </w:rPr>
              <w:t> </w:t>
            </w:r>
            <w:r w:rsidRPr="00CC2D92">
              <w:rPr>
                <w:b/>
                <w:bCs/>
                <w:color w:val="000000"/>
                <w:sz w:val="18"/>
                <w:szCs w:val="24"/>
              </w:rPr>
              <w:t>011</w:t>
            </w:r>
            <w:r>
              <w:rPr>
                <w:b/>
                <w:bCs/>
                <w:color w:val="000000"/>
                <w:sz w:val="18"/>
                <w:szCs w:val="24"/>
              </w:rPr>
              <w:t>,</w:t>
            </w:r>
            <w:r w:rsidRPr="00CC2D92">
              <w:rPr>
                <w:b/>
                <w:bCs/>
                <w:color w:val="000000"/>
                <w:sz w:val="18"/>
                <w:szCs w:val="24"/>
              </w:rPr>
              <w:t>21</w:t>
            </w:r>
          </w:p>
        </w:tc>
      </w:tr>
      <w:tr w:rsidR="002A03F7" w:rsidRPr="00CC2D92" w:rsidTr="00B5364D">
        <w:trPr>
          <w:trHeight w:val="315"/>
          <w:jc w:val="center"/>
        </w:trPr>
        <w:tc>
          <w:tcPr>
            <w:tcW w:w="5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rPr>
                <w:b/>
                <w:bCs/>
                <w:color w:val="000000"/>
                <w:sz w:val="18"/>
                <w:szCs w:val="24"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24"/>
                <w:rtl/>
                <w:lang w:bidi="ar-EG"/>
              </w:rPr>
              <w:t>المجموع العام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b/>
                <w:bCs/>
                <w:color w:val="000000"/>
                <w:sz w:val="18"/>
                <w:szCs w:val="24"/>
              </w:rPr>
            </w:pPr>
            <w:r w:rsidRPr="00CC2D92">
              <w:rPr>
                <w:b/>
                <w:bCs/>
                <w:color w:val="000000"/>
                <w:sz w:val="18"/>
                <w:szCs w:val="24"/>
              </w:rPr>
              <w:t>326</w:t>
            </w:r>
            <w:r>
              <w:rPr>
                <w:b/>
                <w:bCs/>
                <w:color w:val="000000"/>
                <w:sz w:val="18"/>
                <w:szCs w:val="24"/>
              </w:rPr>
              <w:t> </w:t>
            </w:r>
            <w:r w:rsidRPr="00CC2D92">
              <w:rPr>
                <w:b/>
                <w:bCs/>
                <w:color w:val="000000"/>
                <w:sz w:val="18"/>
                <w:szCs w:val="24"/>
              </w:rPr>
              <w:t>293</w:t>
            </w:r>
            <w:r>
              <w:rPr>
                <w:b/>
                <w:bCs/>
                <w:color w:val="000000"/>
                <w:sz w:val="18"/>
                <w:szCs w:val="24"/>
              </w:rPr>
              <w:t>,</w:t>
            </w:r>
            <w:r w:rsidRPr="00CC2D92">
              <w:rPr>
                <w:b/>
                <w:bCs/>
                <w:color w:val="000000"/>
                <w:sz w:val="18"/>
                <w:szCs w:val="24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b/>
                <w:bCs/>
                <w:color w:val="000000"/>
                <w:sz w:val="18"/>
                <w:szCs w:val="24"/>
              </w:rPr>
            </w:pPr>
            <w:r w:rsidRPr="00CC2D92">
              <w:rPr>
                <w:b/>
                <w:bCs/>
                <w:color w:val="000000"/>
                <w:sz w:val="18"/>
                <w:szCs w:val="24"/>
              </w:rPr>
              <w:t>6</w:t>
            </w:r>
            <w:r>
              <w:rPr>
                <w:b/>
                <w:bCs/>
                <w:color w:val="000000"/>
                <w:sz w:val="18"/>
                <w:szCs w:val="24"/>
              </w:rPr>
              <w:t>53 398,7</w:t>
            </w:r>
            <w:r w:rsidRPr="00CC2D92">
              <w:rPr>
                <w:b/>
                <w:bCs/>
                <w:color w:val="000000"/>
                <w:sz w:val="18"/>
                <w:szCs w:val="24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A03F7" w:rsidRPr="00CC2D92" w:rsidRDefault="002A03F7" w:rsidP="006B398C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b/>
                <w:bCs/>
                <w:color w:val="000000"/>
                <w:sz w:val="18"/>
                <w:szCs w:val="24"/>
              </w:rPr>
            </w:pPr>
            <w:r w:rsidRPr="004C012F">
              <w:rPr>
                <w:b/>
                <w:bCs/>
                <w:color w:val="000000"/>
                <w:sz w:val="18"/>
                <w:szCs w:val="24"/>
              </w:rPr>
              <w:t>979 692,61</w:t>
            </w:r>
          </w:p>
        </w:tc>
      </w:tr>
    </w:tbl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F7" w:rsidRDefault="002A03F7" w:rsidP="006C3242">
      <w:pPr>
        <w:spacing w:before="0" w:line="240" w:lineRule="auto"/>
      </w:pPr>
      <w:r>
        <w:separator/>
      </w:r>
    </w:p>
  </w:endnote>
  <w:endnote w:type="continuationSeparator" w:id="0">
    <w:p w:rsidR="002A03F7" w:rsidRDefault="002A03F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B71BD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76073">
      <w:rPr>
        <w:rFonts w:ascii="Calibri" w:hAnsi="Calibri" w:cs="Calibri"/>
        <w:noProof/>
        <w:sz w:val="16"/>
        <w:szCs w:val="16"/>
        <w:lang w:val="fr-FR"/>
      </w:rPr>
      <w:t>P:\ARA\SG\CONSEIL\C19\100\135A.docx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B71BD0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B71BD0">
      <w:rPr>
        <w:rFonts w:ascii="Calibri" w:hAnsi="Calibri" w:cs="Calibri"/>
        <w:sz w:val="16"/>
        <w:szCs w:val="16"/>
        <w:lang w:val="fr-FR"/>
      </w:rPr>
      <w:t>457572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C3A6E">
      <w:rPr>
        <w:rFonts w:ascii="Calibri" w:hAnsi="Calibri" w:cs="Calibri"/>
        <w:noProof/>
        <w:sz w:val="16"/>
        <w:szCs w:val="16"/>
        <w:lang w:val="fr-FR"/>
      </w:rPr>
      <w:t>31.07.19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2A03F7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F7" w:rsidRDefault="002A03F7" w:rsidP="006C3242">
      <w:pPr>
        <w:spacing w:before="0" w:line="240" w:lineRule="auto"/>
      </w:pPr>
      <w:r>
        <w:separator/>
      </w:r>
    </w:p>
  </w:footnote>
  <w:footnote w:type="continuationSeparator" w:id="0">
    <w:p w:rsidR="002A03F7" w:rsidRDefault="002A03F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B398C" w:rsidP="00B71BD0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B71BD0">
          <w:rPr>
            <w:rFonts w:cs="Calibri"/>
            <w:noProof/>
            <w:sz w:val="20"/>
            <w:szCs w:val="20"/>
          </w:rPr>
          <w:t>135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C44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F02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E63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EEB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6C50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1AE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1AA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F06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A0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802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F7"/>
    <w:rsid w:val="00090574"/>
    <w:rsid w:val="000C1C0E"/>
    <w:rsid w:val="000C548A"/>
    <w:rsid w:val="001C0169"/>
    <w:rsid w:val="001C3A6E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A03F7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54B7E"/>
    <w:rsid w:val="004E11DC"/>
    <w:rsid w:val="005409AC"/>
    <w:rsid w:val="0055516A"/>
    <w:rsid w:val="0058491B"/>
    <w:rsid w:val="00592EA5"/>
    <w:rsid w:val="005A3170"/>
    <w:rsid w:val="00677396"/>
    <w:rsid w:val="0069200F"/>
    <w:rsid w:val="006A65CB"/>
    <w:rsid w:val="006B398C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47363"/>
    <w:rsid w:val="00952F86"/>
    <w:rsid w:val="00982B28"/>
    <w:rsid w:val="009D313F"/>
    <w:rsid w:val="00A47A5A"/>
    <w:rsid w:val="00A6683B"/>
    <w:rsid w:val="00A97F94"/>
    <w:rsid w:val="00AB7BDC"/>
    <w:rsid w:val="00B05BC8"/>
    <w:rsid w:val="00B64B47"/>
    <w:rsid w:val="00B71BD0"/>
    <w:rsid w:val="00C002DE"/>
    <w:rsid w:val="00C53BF8"/>
    <w:rsid w:val="00C66157"/>
    <w:rsid w:val="00C674FE"/>
    <w:rsid w:val="00C67501"/>
    <w:rsid w:val="00C75633"/>
    <w:rsid w:val="00C7607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F3B62C30-4CF6-4A8E-914F-2736099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CallChar">
    <w:name w:val="Call Char"/>
    <w:basedOn w:val="DefaultParagraphFont"/>
    <w:link w:val="Call"/>
    <w:locked/>
    <w:rsid w:val="002A03F7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A03F7"/>
    <w:rPr>
      <w:rFonts w:ascii="Calibri" w:hAnsi="Calibri" w:cs="Traditional Arabic"/>
      <w:szCs w:val="30"/>
      <w:lang w:bidi="ar-SY"/>
    </w:rPr>
  </w:style>
  <w:style w:type="character" w:customStyle="1" w:styleId="TableheadChar">
    <w:name w:val="Table_head Char"/>
    <w:basedOn w:val="DefaultParagraphFont"/>
    <w:link w:val="Tablehead0"/>
    <w:locked/>
    <w:rsid w:val="002A03F7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head0">
    <w:name w:val="Table_head"/>
    <w:basedOn w:val="Normal"/>
    <w:link w:val="TableheadChar"/>
    <w:qFormat/>
    <w:rsid w:val="002A03F7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eastAsia="Times New Roman"/>
      <w:b/>
      <w:bCs/>
      <w:sz w:val="20"/>
      <w:szCs w:val="26"/>
      <w:lang w:eastAsia="en-US" w:bidi="ar-EG"/>
    </w:rPr>
  </w:style>
  <w:style w:type="paragraph" w:customStyle="1" w:styleId="Decisiontitle">
    <w:name w:val="Decision_title"/>
    <w:basedOn w:val="Normal"/>
    <w:qFormat/>
    <w:rsid w:val="002A03F7"/>
    <w:pPr>
      <w:keepNext/>
      <w:tabs>
        <w:tab w:val="clear" w:pos="79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</w:pPr>
    <w:rPr>
      <w:rFonts w:asciiTheme="minorHAnsi" w:eastAsia="Times New Roman" w:hAnsiTheme="minorHAnsi"/>
      <w:b/>
      <w:bCs/>
      <w:sz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1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25C4-E84D-41E0-8BC5-4E997366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Awad, Samy</cp:lastModifiedBy>
  <cp:revision>7</cp:revision>
  <dcterms:created xsi:type="dcterms:W3CDTF">2019-07-31T12:03:00Z</dcterms:created>
  <dcterms:modified xsi:type="dcterms:W3CDTF">2019-08-01T15:16:00Z</dcterms:modified>
</cp:coreProperties>
</file>