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bookmarkStart w:id="1" w:name="_GoBack"/>
            <w:bookmarkEnd w:id="1"/>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2D20E3">
            <w:pPr>
              <w:spacing w:before="0" w:line="240" w:lineRule="atLeast"/>
              <w:rPr>
                <w:b/>
                <w:smallCaps/>
                <w:szCs w:val="24"/>
              </w:rPr>
            </w:pPr>
          </w:p>
        </w:tc>
        <w:tc>
          <w:tcPr>
            <w:tcW w:w="3120" w:type="dxa"/>
            <w:tcBorders>
              <w:top w:val="single" w:sz="12" w:space="0" w:color="auto"/>
            </w:tcBorders>
          </w:tcPr>
          <w:p w:rsidR="002A2188" w:rsidRPr="00813E5E" w:rsidRDefault="002A2188" w:rsidP="002D20E3">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464B6C">
            <w:pPr>
              <w:tabs>
                <w:tab w:val="left" w:pos="851"/>
              </w:tabs>
              <w:spacing w:line="240" w:lineRule="atLeast"/>
              <w:rPr>
                <w:b/>
              </w:rPr>
            </w:pPr>
            <w:bookmarkStart w:id="3" w:name="dmeeting" w:colFirst="0" w:colLast="0"/>
            <w:bookmarkStart w:id="4" w:name="dnum" w:colFirst="1" w:colLast="1"/>
          </w:p>
        </w:tc>
        <w:tc>
          <w:tcPr>
            <w:tcW w:w="3120" w:type="dxa"/>
          </w:tcPr>
          <w:p w:rsidR="002A2188" w:rsidRPr="00E85629" w:rsidRDefault="002A2188" w:rsidP="009B5BBA">
            <w:pPr>
              <w:tabs>
                <w:tab w:val="left" w:pos="851"/>
              </w:tabs>
              <w:spacing w:before="0" w:line="240" w:lineRule="atLeast"/>
              <w:rPr>
                <w:b/>
              </w:rPr>
            </w:pPr>
            <w:r>
              <w:rPr>
                <w:b/>
              </w:rPr>
              <w:t>Document C1</w:t>
            </w:r>
            <w:r w:rsidR="00FB1279">
              <w:rPr>
                <w:b/>
              </w:rPr>
              <w:t>9</w:t>
            </w:r>
            <w:r w:rsidR="00A878B9">
              <w:rPr>
                <w:b/>
              </w:rPr>
              <w:t>/13</w:t>
            </w:r>
            <w:r w:rsidR="009B5BBA">
              <w:rPr>
                <w:b/>
              </w:rPr>
              <w:t>3</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A878B9" w:rsidP="00FB1279">
            <w:pPr>
              <w:tabs>
                <w:tab w:val="left" w:pos="993"/>
              </w:tabs>
              <w:spacing w:before="0"/>
              <w:rPr>
                <w:b/>
              </w:rPr>
            </w:pPr>
            <w:r>
              <w:rPr>
                <w:b/>
              </w:rPr>
              <w:t>20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bl>
    <w:p w:rsidR="009B5BBA" w:rsidRDefault="009B5BBA" w:rsidP="002D20E3">
      <w:pPr>
        <w:pStyle w:val="RecNo"/>
      </w:pPr>
      <w:bookmarkStart w:id="7" w:name="dstart"/>
      <w:bookmarkStart w:id="8" w:name="dbreak"/>
      <w:bookmarkEnd w:id="6"/>
      <w:bookmarkEnd w:id="7"/>
      <w:bookmarkEnd w:id="8"/>
      <w:r w:rsidRPr="007B1EA5">
        <w:t>DECISION</w:t>
      </w:r>
      <w:r>
        <w:t xml:space="preserve"> 616</w:t>
      </w:r>
    </w:p>
    <w:p w:rsidR="009B5BBA" w:rsidRDefault="009B5BBA" w:rsidP="009B5BBA">
      <w:pPr>
        <w:jc w:val="center"/>
      </w:pPr>
      <w:r>
        <w:rPr>
          <w:rFonts w:cs="Calibri"/>
          <w:sz w:val="28"/>
          <w:szCs w:val="28"/>
        </w:rPr>
        <w:t>(</w:t>
      </w:r>
      <w:proofErr w:type="gramStart"/>
      <w:r>
        <w:rPr>
          <w:rFonts w:cs="Calibri"/>
          <w:sz w:val="28"/>
          <w:szCs w:val="28"/>
        </w:rPr>
        <w:t>adopted</w:t>
      </w:r>
      <w:proofErr w:type="gramEnd"/>
      <w:r>
        <w:rPr>
          <w:rFonts w:cs="Calibri"/>
          <w:sz w:val="28"/>
          <w:szCs w:val="28"/>
        </w:rPr>
        <w:t xml:space="preserve"> at the ninth Plenary Meeting)</w:t>
      </w:r>
    </w:p>
    <w:p w:rsidR="009B5BBA" w:rsidRPr="00517863" w:rsidRDefault="009B5BBA" w:rsidP="002D20E3">
      <w:pPr>
        <w:pStyle w:val="Parttitle"/>
      </w:pPr>
      <w:r w:rsidRPr="00517863">
        <w:t>Regional presence</w:t>
      </w:r>
    </w:p>
    <w:p w:rsidR="009B5BBA" w:rsidRPr="002D20E3" w:rsidRDefault="009B5BBA" w:rsidP="002D20E3">
      <w:pPr>
        <w:pStyle w:val="Normalaftertitle"/>
      </w:pPr>
      <w:r w:rsidRPr="002D20E3">
        <w:t>The Council,</w:t>
      </w:r>
    </w:p>
    <w:p w:rsidR="009B5BBA" w:rsidRPr="00D52ED9" w:rsidRDefault="009B5BBA" w:rsidP="002D20E3">
      <w:pPr>
        <w:pStyle w:val="Call"/>
      </w:pPr>
      <w:proofErr w:type="gramStart"/>
      <w:r w:rsidRPr="00D52ED9">
        <w:t>considering</w:t>
      </w:r>
      <w:proofErr w:type="gramEnd"/>
    </w:p>
    <w:p w:rsidR="009B5BBA" w:rsidRPr="00D52ED9" w:rsidRDefault="009B5BBA" w:rsidP="00E469F2">
      <w:pPr>
        <w:tabs>
          <w:tab w:val="clear" w:pos="567"/>
          <w:tab w:val="clear" w:pos="1134"/>
          <w:tab w:val="clear" w:pos="1701"/>
          <w:tab w:val="clear" w:pos="2268"/>
          <w:tab w:val="clear" w:pos="2835"/>
        </w:tabs>
        <w:snapToGrid w:val="0"/>
        <w:jc w:val="both"/>
        <w:rPr>
          <w:rFonts w:cs="Calibri"/>
          <w:szCs w:val="24"/>
        </w:rPr>
      </w:pPr>
      <w:r w:rsidRPr="00D52ED9">
        <w:rPr>
          <w:rFonts w:cs="Calibri"/>
          <w:i/>
          <w:iCs/>
          <w:szCs w:val="24"/>
        </w:rPr>
        <w:t>a)</w:t>
      </w:r>
      <w:r w:rsidRPr="00D52ED9">
        <w:rPr>
          <w:rFonts w:cs="Calibri"/>
          <w:szCs w:val="24"/>
        </w:rPr>
        <w:tab/>
        <w:t>Resolution 25 of the Plenipotentiary Conference (</w:t>
      </w:r>
      <w:r w:rsidR="002D20E3">
        <w:rPr>
          <w:rFonts w:cs="Calibri"/>
          <w:szCs w:val="24"/>
        </w:rPr>
        <w:t>Rev. </w:t>
      </w:r>
      <w:r w:rsidRPr="00D52ED9">
        <w:rPr>
          <w:rFonts w:cs="Calibri"/>
          <w:szCs w:val="24"/>
        </w:rPr>
        <w:t>Dubai, 2018);</w:t>
      </w:r>
    </w:p>
    <w:p w:rsidR="009B5BBA" w:rsidRPr="00D52ED9" w:rsidRDefault="009B5BBA" w:rsidP="00E469F2">
      <w:pPr>
        <w:tabs>
          <w:tab w:val="clear" w:pos="567"/>
          <w:tab w:val="clear" w:pos="1134"/>
          <w:tab w:val="clear" w:pos="1701"/>
          <w:tab w:val="clear" w:pos="2268"/>
          <w:tab w:val="clear" w:pos="2835"/>
        </w:tabs>
        <w:snapToGrid w:val="0"/>
        <w:jc w:val="both"/>
        <w:rPr>
          <w:rFonts w:cs="Calibri"/>
          <w:szCs w:val="24"/>
        </w:rPr>
      </w:pPr>
      <w:r w:rsidRPr="00D52ED9">
        <w:rPr>
          <w:rFonts w:cs="Calibri"/>
          <w:i/>
          <w:iCs/>
          <w:szCs w:val="24"/>
        </w:rPr>
        <w:t>b)</w:t>
      </w:r>
      <w:r w:rsidRPr="00D52ED9">
        <w:rPr>
          <w:rFonts w:cs="Calibri"/>
          <w:szCs w:val="24"/>
        </w:rPr>
        <w:tab/>
      </w:r>
      <w:proofErr w:type="gramStart"/>
      <w:r w:rsidRPr="00D52ED9">
        <w:rPr>
          <w:rFonts w:cs="Calibri"/>
          <w:szCs w:val="24"/>
        </w:rPr>
        <w:t>the</w:t>
      </w:r>
      <w:proofErr w:type="gramEnd"/>
      <w:r w:rsidRPr="00D52ED9">
        <w:rPr>
          <w:rFonts w:cs="Calibri"/>
          <w:szCs w:val="24"/>
        </w:rPr>
        <w:t xml:space="preserve"> reports by the External Auditors, Internal Auditors, and the Independent Management Advisory Committee on the Fraud Case in the Regional Office submitted to the 2019 session;</w:t>
      </w:r>
    </w:p>
    <w:p w:rsidR="009B5BBA" w:rsidRPr="00D52ED9" w:rsidRDefault="009B5BBA" w:rsidP="00E469F2">
      <w:pPr>
        <w:tabs>
          <w:tab w:val="clear" w:pos="567"/>
          <w:tab w:val="clear" w:pos="1134"/>
          <w:tab w:val="clear" w:pos="1701"/>
          <w:tab w:val="clear" w:pos="2268"/>
          <w:tab w:val="clear" w:pos="2835"/>
        </w:tabs>
        <w:snapToGrid w:val="0"/>
        <w:jc w:val="both"/>
        <w:rPr>
          <w:rFonts w:cs="Calibri"/>
          <w:szCs w:val="24"/>
        </w:rPr>
      </w:pPr>
      <w:r w:rsidRPr="00D52ED9">
        <w:rPr>
          <w:rFonts w:cs="Calibri"/>
          <w:i/>
          <w:iCs/>
          <w:szCs w:val="24"/>
        </w:rPr>
        <w:t>c)</w:t>
      </w:r>
      <w:r w:rsidRPr="00D52ED9">
        <w:rPr>
          <w:rFonts w:cs="Calibri"/>
          <w:szCs w:val="24"/>
        </w:rPr>
        <w:tab/>
      </w:r>
      <w:hyperlink r:id="rId9" w:history="1">
        <w:r w:rsidRPr="002D20E3">
          <w:rPr>
            <w:rStyle w:val="Hyperlink"/>
            <w:rFonts w:cs="Calibri"/>
            <w:szCs w:val="24"/>
          </w:rPr>
          <w:t>Document C19/25</w:t>
        </w:r>
        <w:r w:rsidR="002D20E3" w:rsidRPr="002D20E3">
          <w:rPr>
            <w:rStyle w:val="Hyperlink"/>
            <w:rFonts w:cs="Calibri"/>
            <w:szCs w:val="24"/>
          </w:rPr>
          <w:t> (R</w:t>
        </w:r>
        <w:r w:rsidRPr="002D20E3">
          <w:rPr>
            <w:rStyle w:val="Hyperlink"/>
            <w:rFonts w:cs="Calibri"/>
            <w:szCs w:val="24"/>
          </w:rPr>
          <w:t>ev.2</w:t>
        </w:r>
        <w:r w:rsidR="002D20E3" w:rsidRPr="002D20E3">
          <w:rPr>
            <w:rStyle w:val="Hyperlink"/>
            <w:rFonts w:cs="Calibri"/>
            <w:szCs w:val="24"/>
          </w:rPr>
          <w:t>)</w:t>
        </w:r>
      </w:hyperlink>
      <w:r w:rsidRPr="00D52ED9">
        <w:rPr>
          <w:rFonts w:cs="Calibri"/>
          <w:szCs w:val="24"/>
        </w:rPr>
        <w:t xml:space="preserve"> report on the implementation of Resolution 25 (Rev. Dubai, 2018) </w:t>
      </w:r>
      <w:r w:rsidR="002D20E3">
        <w:rPr>
          <w:rFonts w:cs="Calibri"/>
          <w:szCs w:val="24"/>
        </w:rPr>
        <w:t>(S</w:t>
      </w:r>
      <w:r w:rsidRPr="00D52ED9">
        <w:rPr>
          <w:rFonts w:cs="Calibri"/>
          <w:szCs w:val="24"/>
        </w:rPr>
        <w:t>trengthening the regional presence</w:t>
      </w:r>
      <w:r w:rsidR="002D20E3">
        <w:rPr>
          <w:rFonts w:cs="Calibri"/>
          <w:szCs w:val="24"/>
        </w:rPr>
        <w:t>)</w:t>
      </w:r>
      <w:r w:rsidRPr="00D52ED9">
        <w:rPr>
          <w:rFonts w:cs="Calibri"/>
          <w:szCs w:val="24"/>
        </w:rPr>
        <w:t>,</w:t>
      </w:r>
    </w:p>
    <w:p w:rsidR="009B5BBA" w:rsidRPr="00D52ED9" w:rsidRDefault="009B5BBA" w:rsidP="00E469F2">
      <w:pPr>
        <w:pStyle w:val="Call"/>
        <w:jc w:val="both"/>
      </w:pPr>
      <w:proofErr w:type="gramStart"/>
      <w:r w:rsidRPr="00D52ED9">
        <w:t>reaffirming</w:t>
      </w:r>
      <w:proofErr w:type="gramEnd"/>
    </w:p>
    <w:p w:rsidR="009B5BBA" w:rsidRPr="00D52ED9" w:rsidRDefault="009B5BBA" w:rsidP="00E469F2">
      <w:pPr>
        <w:tabs>
          <w:tab w:val="clear" w:pos="567"/>
          <w:tab w:val="clear" w:pos="1134"/>
          <w:tab w:val="clear" w:pos="1701"/>
          <w:tab w:val="clear" w:pos="2268"/>
          <w:tab w:val="clear" w:pos="2835"/>
        </w:tabs>
        <w:snapToGrid w:val="0"/>
        <w:jc w:val="both"/>
        <w:rPr>
          <w:rFonts w:cs="Calibri"/>
          <w:szCs w:val="24"/>
        </w:rPr>
      </w:pPr>
      <w:r w:rsidRPr="00D52ED9">
        <w:rPr>
          <w:rFonts w:cs="Calibri"/>
          <w:i/>
          <w:iCs/>
          <w:szCs w:val="24"/>
        </w:rPr>
        <w:t>a)</w:t>
      </w:r>
      <w:r w:rsidRPr="00D52ED9">
        <w:rPr>
          <w:rFonts w:cs="Calibri"/>
          <w:szCs w:val="24"/>
        </w:rPr>
        <w:tab/>
      </w:r>
      <w:proofErr w:type="gramStart"/>
      <w:r w:rsidRPr="00D52ED9">
        <w:rPr>
          <w:rFonts w:cs="Calibri"/>
          <w:szCs w:val="24"/>
        </w:rPr>
        <w:t>the</w:t>
      </w:r>
      <w:proofErr w:type="gramEnd"/>
      <w:r w:rsidRPr="00D52ED9">
        <w:rPr>
          <w:rFonts w:cs="Calibri"/>
          <w:szCs w:val="24"/>
        </w:rPr>
        <w:t xml:space="preserve"> importance of the regional presen</w:t>
      </w:r>
      <w:r w:rsidR="002D20E3">
        <w:rPr>
          <w:rFonts w:cs="Calibri"/>
          <w:szCs w:val="24"/>
        </w:rPr>
        <w:t>ce to the accomplishment of ITU’</w:t>
      </w:r>
      <w:r w:rsidRPr="00D52ED9">
        <w:rPr>
          <w:rFonts w:cs="Calibri"/>
          <w:szCs w:val="24"/>
        </w:rPr>
        <w:t>s development mission;</w:t>
      </w:r>
    </w:p>
    <w:p w:rsidR="009B5BBA" w:rsidRPr="00D52ED9" w:rsidRDefault="009B5BBA" w:rsidP="00E469F2">
      <w:pPr>
        <w:tabs>
          <w:tab w:val="clear" w:pos="567"/>
          <w:tab w:val="clear" w:pos="1134"/>
          <w:tab w:val="clear" w:pos="1701"/>
          <w:tab w:val="clear" w:pos="2268"/>
          <w:tab w:val="clear" w:pos="2835"/>
        </w:tabs>
        <w:snapToGrid w:val="0"/>
        <w:jc w:val="both"/>
        <w:rPr>
          <w:rFonts w:cs="Calibri"/>
          <w:szCs w:val="24"/>
        </w:rPr>
      </w:pPr>
      <w:r w:rsidRPr="00D52ED9">
        <w:rPr>
          <w:rFonts w:cs="Calibri"/>
          <w:i/>
          <w:iCs/>
          <w:szCs w:val="24"/>
        </w:rPr>
        <w:t>b)</w:t>
      </w:r>
      <w:r w:rsidRPr="00D52ED9">
        <w:rPr>
          <w:rFonts w:cs="Calibri"/>
          <w:szCs w:val="24"/>
        </w:rPr>
        <w:tab/>
      </w:r>
      <w:proofErr w:type="gramStart"/>
      <w:r w:rsidRPr="00D52ED9">
        <w:rPr>
          <w:rFonts w:cs="Calibri"/>
          <w:szCs w:val="24"/>
        </w:rPr>
        <w:t>the</w:t>
      </w:r>
      <w:proofErr w:type="gramEnd"/>
      <w:r w:rsidRPr="00D52ED9">
        <w:rPr>
          <w:rFonts w:cs="Calibri"/>
          <w:szCs w:val="24"/>
        </w:rPr>
        <w:t xml:space="preserve"> need to strengthen the regional presence by enhancing its usefulness and effectiveness of the regional offices to encompass all activities of the ITU,</w:t>
      </w:r>
    </w:p>
    <w:p w:rsidR="009B5BBA" w:rsidRPr="00D52ED9" w:rsidRDefault="009B5BBA" w:rsidP="00E469F2">
      <w:pPr>
        <w:pStyle w:val="Call"/>
        <w:jc w:val="both"/>
      </w:pPr>
      <w:proofErr w:type="gramStart"/>
      <w:r w:rsidRPr="00D52ED9">
        <w:t>decides</w:t>
      </w:r>
      <w:proofErr w:type="gramEnd"/>
      <w:r w:rsidRPr="00D52ED9">
        <w:t xml:space="preserve"> to instruct the Secretary-General </w:t>
      </w:r>
    </w:p>
    <w:p w:rsidR="009B5BBA" w:rsidRPr="00D52ED9" w:rsidRDefault="009B5BBA" w:rsidP="00E469F2">
      <w:pPr>
        <w:tabs>
          <w:tab w:val="clear" w:pos="567"/>
          <w:tab w:val="clear" w:pos="1134"/>
          <w:tab w:val="clear" w:pos="1701"/>
          <w:tab w:val="clear" w:pos="2268"/>
          <w:tab w:val="clear" w:pos="2835"/>
        </w:tabs>
        <w:snapToGrid w:val="0"/>
        <w:jc w:val="both"/>
        <w:rPr>
          <w:rFonts w:cs="Calibri"/>
          <w:szCs w:val="24"/>
        </w:rPr>
      </w:pPr>
      <w:r w:rsidRPr="00D52ED9">
        <w:rPr>
          <w:rFonts w:cs="Calibri"/>
          <w:szCs w:val="24"/>
        </w:rPr>
        <w:t xml:space="preserve">to recruit and hire an independent external management consultancy to perform a comprehensive programmatic, strategic and financial assessment and review of ITU’s Regional Presence program in accordance with the terms of reference set forth in the Annex, taking into consideration contributions from the ITU membership, and submit a report with recommendations to the 2021 session of the Council for action, </w:t>
      </w:r>
    </w:p>
    <w:p w:rsidR="009B5BBA" w:rsidRPr="00D52ED9" w:rsidRDefault="009B5BBA" w:rsidP="00E469F2">
      <w:pPr>
        <w:pStyle w:val="Call"/>
        <w:jc w:val="both"/>
      </w:pPr>
      <w:proofErr w:type="gramStart"/>
      <w:r w:rsidRPr="00D52ED9">
        <w:t>further</w:t>
      </w:r>
      <w:proofErr w:type="gramEnd"/>
      <w:r w:rsidRPr="00D52ED9">
        <w:t xml:space="preserve"> decides</w:t>
      </w:r>
    </w:p>
    <w:p w:rsidR="009B5BBA" w:rsidRDefault="009B5BBA" w:rsidP="00E469F2">
      <w:pPr>
        <w:tabs>
          <w:tab w:val="clear" w:pos="567"/>
          <w:tab w:val="clear" w:pos="1134"/>
          <w:tab w:val="clear" w:pos="1701"/>
          <w:tab w:val="clear" w:pos="2268"/>
          <w:tab w:val="clear" w:pos="2835"/>
        </w:tabs>
        <w:snapToGrid w:val="0"/>
        <w:jc w:val="both"/>
        <w:rPr>
          <w:rFonts w:cs="Calibri"/>
          <w:szCs w:val="24"/>
        </w:rPr>
      </w:pPr>
      <w:proofErr w:type="gramStart"/>
      <w:r w:rsidRPr="00D52ED9">
        <w:rPr>
          <w:rFonts w:cs="Calibri"/>
          <w:szCs w:val="24"/>
        </w:rPr>
        <w:t>that</w:t>
      </w:r>
      <w:proofErr w:type="gramEnd"/>
      <w:r w:rsidRPr="00D52ED9">
        <w:rPr>
          <w:rFonts w:cs="Calibri"/>
          <w:szCs w:val="24"/>
        </w:rPr>
        <w:t xml:space="preserve"> the provision for payment of the independent external management c</w:t>
      </w:r>
      <w:r w:rsidR="002D20E3">
        <w:rPr>
          <w:rFonts w:cs="Calibri"/>
          <w:szCs w:val="24"/>
        </w:rPr>
        <w:t>onsultancy shall not exceed CHF 500 </w:t>
      </w:r>
      <w:r w:rsidRPr="00D52ED9">
        <w:rPr>
          <w:rFonts w:cs="Calibri"/>
          <w:szCs w:val="24"/>
        </w:rPr>
        <w:t xml:space="preserve">000 </w:t>
      </w:r>
      <w:r w:rsidRPr="00D52ED9">
        <w:rPr>
          <w:rFonts w:cs="Calibri"/>
          <w:color w:val="000000"/>
          <w:szCs w:val="24"/>
        </w:rPr>
        <w:t xml:space="preserve">and </w:t>
      </w:r>
      <w:r w:rsidRPr="00D52ED9">
        <w:rPr>
          <w:rFonts w:cs="Calibri"/>
          <w:szCs w:val="24"/>
        </w:rPr>
        <w:t>the expenses for hiring the consultancy shall be financed from the 201</w:t>
      </w:r>
      <w:r>
        <w:rPr>
          <w:rFonts w:cs="Calibri"/>
          <w:szCs w:val="24"/>
        </w:rPr>
        <w:t>9</w:t>
      </w:r>
      <w:r w:rsidRPr="00D52ED9">
        <w:rPr>
          <w:rFonts w:cs="Calibri"/>
          <w:szCs w:val="24"/>
        </w:rPr>
        <w:t xml:space="preserve"> budget implementation surpluses,</w:t>
      </w:r>
    </w:p>
    <w:p w:rsidR="009B5BBA" w:rsidRDefault="002D20E3" w:rsidP="002D20E3">
      <w:pPr>
        <w:tabs>
          <w:tab w:val="clear" w:pos="567"/>
          <w:tab w:val="clear" w:pos="1134"/>
          <w:tab w:val="clear" w:pos="1701"/>
          <w:tab w:val="clear" w:pos="2268"/>
          <w:tab w:val="clear" w:pos="2835"/>
        </w:tabs>
        <w:snapToGrid w:val="0"/>
        <w:spacing w:before="840"/>
        <w:rPr>
          <w:caps/>
          <w:sz w:val="28"/>
        </w:rPr>
      </w:pPr>
      <w:r w:rsidRPr="002D20E3">
        <w:rPr>
          <w:rFonts w:cs="Calibri"/>
          <w:b/>
          <w:bCs/>
          <w:szCs w:val="24"/>
        </w:rPr>
        <w:t>Annex:</w:t>
      </w:r>
      <w:r>
        <w:rPr>
          <w:rFonts w:cs="Calibri"/>
          <w:szCs w:val="24"/>
        </w:rPr>
        <w:t xml:space="preserve"> 1</w:t>
      </w:r>
      <w:r w:rsidR="009B5BBA">
        <w:br w:type="page"/>
      </w:r>
    </w:p>
    <w:p w:rsidR="009B5BBA" w:rsidRPr="002D20E3" w:rsidRDefault="009B5BBA" w:rsidP="002D20E3">
      <w:pPr>
        <w:pStyle w:val="AnnexNo"/>
      </w:pPr>
      <w:r w:rsidRPr="002D20E3">
        <w:lastRenderedPageBreak/>
        <w:t>ANNEX</w:t>
      </w:r>
    </w:p>
    <w:p w:rsidR="009B5BBA" w:rsidRPr="00970A2D" w:rsidRDefault="009B5BBA" w:rsidP="002D20E3">
      <w:pPr>
        <w:pStyle w:val="Annextitle"/>
      </w:pPr>
      <w:r w:rsidRPr="00970A2D">
        <w:t xml:space="preserve">Terms of reference </w:t>
      </w:r>
      <w:r w:rsidRPr="00970A2D">
        <w:br/>
        <w:t>for an external consultant to review ITU’s Regional Presence</w:t>
      </w:r>
    </w:p>
    <w:p w:rsidR="009B5BBA" w:rsidRPr="00D52ED9" w:rsidRDefault="009B5BBA" w:rsidP="002D20E3">
      <w:pPr>
        <w:pStyle w:val="Normalaftertitle"/>
        <w:snapToGrid w:val="0"/>
        <w:spacing w:before="120"/>
        <w:rPr>
          <w:rFonts w:cs="Calibri"/>
          <w:b/>
          <w:bCs/>
          <w:szCs w:val="24"/>
        </w:rPr>
      </w:pPr>
      <w:r w:rsidRPr="00D52ED9">
        <w:rPr>
          <w:rFonts w:cs="Calibri"/>
          <w:b/>
          <w:bCs/>
          <w:szCs w:val="24"/>
        </w:rPr>
        <w:t>1.</w:t>
      </w:r>
      <w:r w:rsidRPr="00D52ED9">
        <w:rPr>
          <w:rFonts w:cs="Calibri"/>
          <w:b/>
          <w:bCs/>
          <w:szCs w:val="24"/>
        </w:rPr>
        <w:tab/>
        <w:t>Purpose:</w:t>
      </w:r>
    </w:p>
    <w:p w:rsidR="009B5BBA" w:rsidRPr="00D52ED9" w:rsidRDefault="009B5BBA" w:rsidP="00E469F2">
      <w:pPr>
        <w:snapToGrid w:val="0"/>
        <w:jc w:val="both"/>
        <w:rPr>
          <w:rFonts w:cs="Calibri"/>
          <w:szCs w:val="24"/>
        </w:rPr>
      </w:pPr>
      <w:r w:rsidRPr="00D52ED9">
        <w:rPr>
          <w:rFonts w:cs="Calibri"/>
          <w:szCs w:val="24"/>
        </w:rPr>
        <w:t>ITU intends to conduct a review of the organization’s regional presence, in accordance to the requirements and pr</w:t>
      </w:r>
      <w:r w:rsidR="00E469F2">
        <w:rPr>
          <w:rFonts w:cs="Calibri"/>
          <w:szCs w:val="24"/>
        </w:rPr>
        <w:t>ovisions of Resolution 25 (Rev. </w:t>
      </w:r>
      <w:r w:rsidRPr="00D52ED9">
        <w:rPr>
          <w:rFonts w:cs="Calibri"/>
          <w:szCs w:val="24"/>
        </w:rPr>
        <w:t>Dubai, 2018).</w:t>
      </w:r>
    </w:p>
    <w:p w:rsidR="009B5BBA" w:rsidRPr="00D52ED9" w:rsidRDefault="009B5BBA" w:rsidP="00E469F2">
      <w:pPr>
        <w:snapToGrid w:val="0"/>
        <w:jc w:val="both"/>
        <w:rPr>
          <w:rFonts w:cs="Calibri"/>
          <w:szCs w:val="24"/>
        </w:rPr>
      </w:pPr>
      <w:r w:rsidRPr="00D52ED9">
        <w:rPr>
          <w:rFonts w:cs="Calibri"/>
          <w:szCs w:val="24"/>
        </w:rPr>
        <w:t>From this perspective it is crucial to assess whether the organization and functioning of field offices is contributing substantively towards bringing ITU institutional activities closer to its membership.</w:t>
      </w:r>
    </w:p>
    <w:p w:rsidR="009B5BBA" w:rsidRPr="00D52ED9" w:rsidRDefault="009B5BBA" w:rsidP="00E469F2">
      <w:pPr>
        <w:snapToGrid w:val="0"/>
        <w:jc w:val="both"/>
        <w:rPr>
          <w:rFonts w:cs="Calibri"/>
          <w:szCs w:val="24"/>
        </w:rPr>
      </w:pPr>
      <w:r w:rsidRPr="00D52ED9">
        <w:rPr>
          <w:rFonts w:cs="Calibri"/>
          <w:szCs w:val="24"/>
        </w:rPr>
        <w:t>The goal of this review is to develop and implement an action plan that will allow:</w:t>
      </w:r>
    </w:p>
    <w:p w:rsidR="009B5BBA" w:rsidRPr="00D52ED9" w:rsidRDefault="009B5BBA" w:rsidP="00E469F2">
      <w:pPr>
        <w:tabs>
          <w:tab w:val="clear" w:pos="1134"/>
        </w:tabs>
        <w:snapToGrid w:val="0"/>
        <w:ind w:left="1134" w:hanging="567"/>
        <w:jc w:val="both"/>
        <w:rPr>
          <w:rFonts w:cs="Calibri"/>
          <w:szCs w:val="24"/>
        </w:rPr>
      </w:pPr>
      <w:r w:rsidRPr="00D52ED9">
        <w:rPr>
          <w:rFonts w:cs="Calibri"/>
          <w:szCs w:val="24"/>
        </w:rPr>
        <w:t>a)</w:t>
      </w:r>
      <w:r w:rsidRPr="00D52ED9">
        <w:rPr>
          <w:rFonts w:cs="Calibri"/>
          <w:szCs w:val="24"/>
        </w:rPr>
        <w:tab/>
      </w:r>
      <w:proofErr w:type="gramStart"/>
      <w:r w:rsidRPr="00D52ED9">
        <w:rPr>
          <w:rFonts w:cs="Calibri"/>
          <w:szCs w:val="24"/>
        </w:rPr>
        <w:t>to</w:t>
      </w:r>
      <w:proofErr w:type="gramEnd"/>
      <w:r w:rsidRPr="00D52ED9">
        <w:rPr>
          <w:rFonts w:cs="Calibri"/>
          <w:szCs w:val="24"/>
        </w:rPr>
        <w:t xml:space="preserve"> be able to measure the performance of a Regional Office (RO) under the new set of rules;</w:t>
      </w:r>
    </w:p>
    <w:p w:rsidR="009B5BBA" w:rsidRPr="00D52ED9" w:rsidRDefault="009B5BBA" w:rsidP="00E469F2">
      <w:pPr>
        <w:tabs>
          <w:tab w:val="clear" w:pos="1134"/>
        </w:tabs>
        <w:snapToGrid w:val="0"/>
        <w:ind w:left="1134" w:hanging="567"/>
        <w:jc w:val="both"/>
        <w:rPr>
          <w:rFonts w:cs="Calibri"/>
          <w:szCs w:val="24"/>
        </w:rPr>
      </w:pPr>
      <w:r w:rsidRPr="00D52ED9">
        <w:rPr>
          <w:rFonts w:cs="Calibri"/>
          <w:szCs w:val="24"/>
        </w:rPr>
        <w:t>b)</w:t>
      </w:r>
      <w:r w:rsidRPr="00D52ED9">
        <w:rPr>
          <w:rFonts w:cs="Calibri"/>
          <w:szCs w:val="24"/>
        </w:rPr>
        <w:tab/>
      </w:r>
      <w:proofErr w:type="gramStart"/>
      <w:r w:rsidRPr="00D52ED9">
        <w:rPr>
          <w:rFonts w:cs="Calibri"/>
          <w:szCs w:val="24"/>
        </w:rPr>
        <w:t>to</w:t>
      </w:r>
      <w:proofErr w:type="gramEnd"/>
      <w:r w:rsidRPr="00D52ED9">
        <w:rPr>
          <w:rFonts w:cs="Calibri"/>
          <w:szCs w:val="24"/>
        </w:rPr>
        <w:t xml:space="preserve"> develop an effective Risk Management (ERM) process, including the risk assessment (RA) of the activities carried out at the RO level;</w:t>
      </w:r>
    </w:p>
    <w:p w:rsidR="009B5BBA" w:rsidRPr="00D52ED9" w:rsidRDefault="009B5BBA" w:rsidP="00E469F2">
      <w:pPr>
        <w:tabs>
          <w:tab w:val="clear" w:pos="1134"/>
        </w:tabs>
        <w:snapToGrid w:val="0"/>
        <w:ind w:left="1134" w:hanging="567"/>
        <w:jc w:val="both"/>
        <w:rPr>
          <w:rFonts w:cs="Calibri"/>
          <w:szCs w:val="24"/>
        </w:rPr>
      </w:pPr>
      <w:r w:rsidRPr="00D52ED9">
        <w:rPr>
          <w:rFonts w:cs="Calibri"/>
          <w:szCs w:val="24"/>
        </w:rPr>
        <w:t>c)</w:t>
      </w:r>
      <w:r w:rsidRPr="00D52ED9">
        <w:rPr>
          <w:rFonts w:cs="Calibri"/>
          <w:szCs w:val="24"/>
        </w:rPr>
        <w:tab/>
      </w:r>
      <w:proofErr w:type="gramStart"/>
      <w:r w:rsidRPr="00D52ED9">
        <w:rPr>
          <w:rFonts w:cs="Calibri"/>
          <w:szCs w:val="24"/>
        </w:rPr>
        <w:t>to</w:t>
      </w:r>
      <w:proofErr w:type="gramEnd"/>
      <w:r w:rsidRPr="00D52ED9">
        <w:rPr>
          <w:rFonts w:cs="Calibri"/>
          <w:szCs w:val="24"/>
        </w:rPr>
        <w:t xml:space="preserve"> develop instruments that facilitate effective coordination between Headquarters and ROs;</w:t>
      </w:r>
    </w:p>
    <w:p w:rsidR="009B5BBA" w:rsidRPr="00D52ED9" w:rsidRDefault="009B5BBA" w:rsidP="00E469F2">
      <w:pPr>
        <w:tabs>
          <w:tab w:val="clear" w:pos="1134"/>
        </w:tabs>
        <w:snapToGrid w:val="0"/>
        <w:ind w:left="1134" w:hanging="567"/>
        <w:jc w:val="both"/>
        <w:rPr>
          <w:rFonts w:cs="Calibri"/>
          <w:szCs w:val="24"/>
        </w:rPr>
      </w:pPr>
      <w:r w:rsidRPr="00D52ED9">
        <w:rPr>
          <w:rFonts w:cs="Calibri"/>
          <w:szCs w:val="24"/>
        </w:rPr>
        <w:t>d)</w:t>
      </w:r>
      <w:r w:rsidRPr="00D52ED9">
        <w:rPr>
          <w:rFonts w:cs="Calibri"/>
          <w:szCs w:val="24"/>
        </w:rPr>
        <w:tab/>
      </w:r>
      <w:proofErr w:type="gramStart"/>
      <w:r w:rsidRPr="00D52ED9">
        <w:rPr>
          <w:rFonts w:cs="Calibri"/>
          <w:szCs w:val="24"/>
        </w:rPr>
        <w:t>to</w:t>
      </w:r>
      <w:proofErr w:type="gramEnd"/>
      <w:r w:rsidRPr="00D52ED9">
        <w:rPr>
          <w:rFonts w:cs="Calibri"/>
          <w:szCs w:val="24"/>
        </w:rPr>
        <w:t xml:space="preserve"> ensure that the ROs comply with the rules and procedures issued by Headquarters relating to financial management, projects and procurement;</w:t>
      </w:r>
    </w:p>
    <w:p w:rsidR="009B5BBA" w:rsidRPr="00D52ED9" w:rsidRDefault="009B5BBA" w:rsidP="00E469F2">
      <w:pPr>
        <w:tabs>
          <w:tab w:val="clear" w:pos="1134"/>
        </w:tabs>
        <w:snapToGrid w:val="0"/>
        <w:ind w:left="1134" w:hanging="567"/>
        <w:jc w:val="both"/>
        <w:rPr>
          <w:rFonts w:cs="Calibri"/>
          <w:szCs w:val="24"/>
        </w:rPr>
      </w:pPr>
      <w:r w:rsidRPr="00D52ED9">
        <w:rPr>
          <w:rFonts w:cs="Calibri"/>
          <w:szCs w:val="24"/>
        </w:rPr>
        <w:t>e)</w:t>
      </w:r>
      <w:r w:rsidRPr="00D52ED9">
        <w:rPr>
          <w:rFonts w:cs="Calibri"/>
          <w:szCs w:val="24"/>
        </w:rPr>
        <w:tab/>
      </w:r>
      <w:proofErr w:type="gramStart"/>
      <w:r w:rsidRPr="00D52ED9">
        <w:rPr>
          <w:rFonts w:cs="Calibri"/>
          <w:szCs w:val="24"/>
        </w:rPr>
        <w:t>to</w:t>
      </w:r>
      <w:proofErr w:type="gramEnd"/>
      <w:r w:rsidRPr="00D52ED9">
        <w:rPr>
          <w:rFonts w:cs="Calibri"/>
          <w:szCs w:val="24"/>
        </w:rPr>
        <w:t xml:space="preserve"> ensure the proper implementation of all the recommendations of the Internal Auditor, the External Auditor and the ITU Independent Management Advisory Committee (IMAC), in particular those related to the lack of internal controls identified in the recent fraud case.</w:t>
      </w:r>
    </w:p>
    <w:p w:rsidR="009B5BBA" w:rsidRPr="00D52ED9" w:rsidRDefault="009B5BBA" w:rsidP="00E469F2">
      <w:pPr>
        <w:snapToGrid w:val="0"/>
        <w:jc w:val="both"/>
        <w:rPr>
          <w:rFonts w:cs="Calibri"/>
          <w:szCs w:val="24"/>
        </w:rPr>
      </w:pPr>
      <w:r w:rsidRPr="00D52ED9">
        <w:rPr>
          <w:rFonts w:cs="Calibri"/>
          <w:szCs w:val="24"/>
        </w:rPr>
        <w:t>The review should take into consideration of the following elements:</w:t>
      </w:r>
    </w:p>
    <w:p w:rsidR="009B5BBA" w:rsidRPr="00D52ED9" w:rsidRDefault="009B5BBA" w:rsidP="00E469F2">
      <w:pPr>
        <w:snapToGrid w:val="0"/>
        <w:ind w:left="1134" w:hanging="567"/>
        <w:jc w:val="both"/>
        <w:rPr>
          <w:rFonts w:cs="Calibri"/>
          <w:szCs w:val="24"/>
        </w:rPr>
      </w:pPr>
      <w:r w:rsidRPr="00D52ED9">
        <w:rPr>
          <w:rFonts w:cs="Calibri"/>
          <w:szCs w:val="24"/>
        </w:rPr>
        <w:t>a)</w:t>
      </w:r>
      <w:r w:rsidRPr="00D52ED9">
        <w:rPr>
          <w:rFonts w:cs="Calibri"/>
          <w:szCs w:val="24"/>
        </w:rPr>
        <w:tab/>
        <w:t>the extent of fulfilment of the provisions of Resolution 25 (Rev.</w:t>
      </w:r>
      <w:r w:rsidR="00E469F2">
        <w:rPr>
          <w:rFonts w:cs="Calibri"/>
          <w:szCs w:val="24"/>
        </w:rPr>
        <w:t> </w:t>
      </w:r>
      <w:r w:rsidRPr="00D52ED9">
        <w:rPr>
          <w:rFonts w:cs="Calibri"/>
          <w:szCs w:val="24"/>
        </w:rPr>
        <w:t>Dubai, 2018) by the Telecommunication Development Bureau, the General Secretariat, and the other two Bureaux, as appropriate;</w:t>
      </w:r>
    </w:p>
    <w:p w:rsidR="009B5BBA" w:rsidRPr="00D52ED9" w:rsidRDefault="009B5BBA" w:rsidP="00E469F2">
      <w:pPr>
        <w:snapToGrid w:val="0"/>
        <w:ind w:left="1134" w:hanging="567"/>
        <w:jc w:val="both"/>
        <w:rPr>
          <w:rFonts w:cs="Calibri"/>
          <w:szCs w:val="24"/>
        </w:rPr>
      </w:pPr>
      <w:r w:rsidRPr="00D52ED9">
        <w:rPr>
          <w:rFonts w:cs="Calibri"/>
          <w:szCs w:val="24"/>
        </w:rPr>
        <w:t>b)</w:t>
      </w:r>
      <w:r w:rsidRPr="00D52ED9">
        <w:rPr>
          <w:rFonts w:cs="Calibri"/>
          <w:szCs w:val="24"/>
        </w:rPr>
        <w:tab/>
        <w:t>all the recommendations of the External Auditor, the Internal Auditor and IMAC, providing advice on the need for substantially improved management oversight and internal control in the light of the weaknesses revealed by the recent fraud case in a regional office; and especially the need to establish a culture of transparency and collaboration leading to stronger individual management responsibility and effective accountability;</w:t>
      </w:r>
    </w:p>
    <w:p w:rsidR="009B5BBA" w:rsidRPr="00D52ED9" w:rsidRDefault="009B5BBA" w:rsidP="00E469F2">
      <w:pPr>
        <w:snapToGrid w:val="0"/>
        <w:ind w:left="1134" w:hanging="567"/>
        <w:jc w:val="both"/>
        <w:rPr>
          <w:rFonts w:cs="Calibri"/>
          <w:szCs w:val="24"/>
        </w:rPr>
      </w:pPr>
      <w:r w:rsidRPr="00D52ED9">
        <w:rPr>
          <w:rFonts w:cs="Calibri"/>
          <w:szCs w:val="24"/>
        </w:rPr>
        <w:t>c)</w:t>
      </w:r>
      <w:r w:rsidRPr="00D52ED9">
        <w:rPr>
          <w:rFonts w:cs="Calibri"/>
          <w:szCs w:val="24"/>
        </w:rPr>
        <w:tab/>
      </w:r>
      <w:proofErr w:type="gramStart"/>
      <w:r w:rsidRPr="00D52ED9">
        <w:rPr>
          <w:rFonts w:cs="Calibri"/>
          <w:szCs w:val="24"/>
        </w:rPr>
        <w:t>how</w:t>
      </w:r>
      <w:proofErr w:type="gramEnd"/>
      <w:r w:rsidRPr="00D52ED9">
        <w:rPr>
          <w:rFonts w:cs="Calibri"/>
          <w:szCs w:val="24"/>
        </w:rPr>
        <w:t xml:space="preserve"> further decentralization could ensure greater efficiency at lower cost, taking into consideration accountability and transparency;</w:t>
      </w:r>
    </w:p>
    <w:p w:rsidR="009B5BBA" w:rsidRPr="00D52ED9" w:rsidRDefault="009B5BBA" w:rsidP="00E469F2">
      <w:pPr>
        <w:snapToGrid w:val="0"/>
        <w:ind w:left="1134" w:hanging="567"/>
        <w:jc w:val="both"/>
        <w:rPr>
          <w:rFonts w:cs="Calibri"/>
          <w:szCs w:val="24"/>
        </w:rPr>
      </w:pPr>
      <w:r w:rsidRPr="00D52ED9">
        <w:rPr>
          <w:rFonts w:cs="Calibri"/>
          <w:szCs w:val="24"/>
        </w:rPr>
        <w:t>d)</w:t>
      </w:r>
      <w:r w:rsidRPr="00D52ED9">
        <w:rPr>
          <w:rFonts w:cs="Calibri"/>
          <w:szCs w:val="24"/>
        </w:rPr>
        <w:tab/>
        <w:t>the result of past surveys of the level of satisfaction of Member States, Sector Members, and regional telecommunication/ICT organizations with ITU’s regional presence;</w:t>
      </w:r>
    </w:p>
    <w:p w:rsidR="009B5BBA" w:rsidRPr="00D52ED9" w:rsidRDefault="009B5BBA" w:rsidP="00E469F2">
      <w:pPr>
        <w:snapToGrid w:val="0"/>
        <w:ind w:left="1134" w:hanging="567"/>
        <w:jc w:val="both"/>
        <w:rPr>
          <w:rFonts w:cs="Calibri"/>
          <w:szCs w:val="24"/>
        </w:rPr>
      </w:pPr>
      <w:r w:rsidRPr="00D52ED9">
        <w:rPr>
          <w:rFonts w:cs="Calibri"/>
          <w:szCs w:val="24"/>
        </w:rPr>
        <w:t>e)</w:t>
      </w:r>
      <w:r w:rsidRPr="00D52ED9">
        <w:rPr>
          <w:rFonts w:cs="Calibri"/>
          <w:szCs w:val="24"/>
        </w:rPr>
        <w:tab/>
      </w:r>
      <w:proofErr w:type="gramStart"/>
      <w:r w:rsidRPr="00D52ED9">
        <w:rPr>
          <w:rFonts w:cs="Calibri"/>
          <w:szCs w:val="24"/>
        </w:rPr>
        <w:t>assistance</w:t>
      </w:r>
      <w:proofErr w:type="gramEnd"/>
      <w:r w:rsidRPr="00D52ED9">
        <w:rPr>
          <w:rFonts w:cs="Calibri"/>
          <w:szCs w:val="24"/>
        </w:rPr>
        <w:t xml:space="preserve"> for developing countries to participate in ITU activities;</w:t>
      </w:r>
    </w:p>
    <w:p w:rsidR="009B5BBA" w:rsidRPr="00D52ED9" w:rsidRDefault="009B5BBA" w:rsidP="00E469F2">
      <w:pPr>
        <w:snapToGrid w:val="0"/>
        <w:ind w:left="1134" w:hanging="567"/>
        <w:jc w:val="both"/>
        <w:rPr>
          <w:rFonts w:cs="Calibri"/>
          <w:szCs w:val="24"/>
        </w:rPr>
      </w:pPr>
      <w:r w:rsidRPr="00D52ED9">
        <w:rPr>
          <w:rFonts w:cs="Calibri"/>
          <w:szCs w:val="24"/>
        </w:rPr>
        <w:t>f)</w:t>
      </w:r>
      <w:r w:rsidRPr="00D52ED9">
        <w:rPr>
          <w:rFonts w:cs="Calibri"/>
          <w:szCs w:val="24"/>
        </w:rPr>
        <w:tab/>
      </w:r>
      <w:proofErr w:type="gramStart"/>
      <w:r w:rsidRPr="00D52ED9">
        <w:rPr>
          <w:rFonts w:cs="Calibri"/>
          <w:szCs w:val="24"/>
        </w:rPr>
        <w:t>the</w:t>
      </w:r>
      <w:proofErr w:type="gramEnd"/>
      <w:r w:rsidRPr="00D52ED9">
        <w:rPr>
          <w:rFonts w:cs="Calibri"/>
          <w:szCs w:val="24"/>
        </w:rPr>
        <w:t xml:space="preserve"> extent of possible duplication between the functions of ITU headquarters and the regional offices;</w:t>
      </w:r>
    </w:p>
    <w:p w:rsidR="009B5BBA" w:rsidRPr="00D52ED9" w:rsidRDefault="009B5BBA" w:rsidP="00E469F2">
      <w:pPr>
        <w:snapToGrid w:val="0"/>
        <w:ind w:left="1134" w:hanging="567"/>
        <w:jc w:val="both"/>
        <w:rPr>
          <w:rFonts w:cs="Calibri"/>
          <w:szCs w:val="24"/>
        </w:rPr>
      </w:pPr>
      <w:r w:rsidRPr="00D52ED9">
        <w:rPr>
          <w:rFonts w:cs="Calibri"/>
          <w:szCs w:val="24"/>
        </w:rPr>
        <w:lastRenderedPageBreak/>
        <w:t>g)</w:t>
      </w:r>
      <w:r w:rsidRPr="00D52ED9">
        <w:rPr>
          <w:rFonts w:cs="Calibri"/>
          <w:szCs w:val="24"/>
        </w:rPr>
        <w:tab/>
      </w:r>
      <w:proofErr w:type="gramStart"/>
      <w:r w:rsidRPr="00D52ED9">
        <w:rPr>
          <w:rFonts w:cs="Calibri"/>
          <w:szCs w:val="24"/>
        </w:rPr>
        <w:t>the</w:t>
      </w:r>
      <w:proofErr w:type="gramEnd"/>
      <w:r w:rsidRPr="00D52ED9">
        <w:rPr>
          <w:rFonts w:cs="Calibri"/>
          <w:szCs w:val="24"/>
        </w:rPr>
        <w:t xml:space="preserve"> extent of fulfilment of the provisions of Resolution 17 (Rev.</w:t>
      </w:r>
      <w:r w:rsidR="00E469F2">
        <w:rPr>
          <w:rFonts w:cs="Calibri"/>
          <w:szCs w:val="24"/>
        </w:rPr>
        <w:t> </w:t>
      </w:r>
      <w:r w:rsidRPr="00D52ED9">
        <w:rPr>
          <w:rFonts w:cs="Calibri"/>
          <w:szCs w:val="24"/>
        </w:rPr>
        <w:t>Buenos Aires, 2017) of the World Telecommunication Development Conference;</w:t>
      </w:r>
    </w:p>
    <w:p w:rsidR="009B5BBA" w:rsidRPr="00D52ED9" w:rsidRDefault="009B5BBA" w:rsidP="00E469F2">
      <w:pPr>
        <w:snapToGrid w:val="0"/>
        <w:ind w:left="1134" w:hanging="567"/>
        <w:jc w:val="both"/>
        <w:rPr>
          <w:rFonts w:cs="Calibri"/>
          <w:szCs w:val="24"/>
        </w:rPr>
      </w:pPr>
      <w:r w:rsidRPr="00D52ED9">
        <w:rPr>
          <w:rFonts w:cs="Calibri"/>
          <w:szCs w:val="24"/>
        </w:rPr>
        <w:t>h)</w:t>
      </w:r>
      <w:r w:rsidRPr="00D52ED9">
        <w:rPr>
          <w:rFonts w:cs="Calibri"/>
          <w:szCs w:val="24"/>
        </w:rPr>
        <w:tab/>
      </w:r>
      <w:proofErr w:type="gramStart"/>
      <w:r w:rsidRPr="00D52ED9">
        <w:rPr>
          <w:rFonts w:cs="Calibri"/>
          <w:szCs w:val="24"/>
        </w:rPr>
        <w:t>the</w:t>
      </w:r>
      <w:proofErr w:type="gramEnd"/>
      <w:r w:rsidRPr="00D52ED9">
        <w:rPr>
          <w:rFonts w:cs="Calibri"/>
          <w:szCs w:val="24"/>
        </w:rPr>
        <w:t xml:space="preserve"> degree of autonomy in decision-making currently accorded to regional offices, and whether greater autonomy could enhance their efficiency and effectiveness;</w:t>
      </w:r>
    </w:p>
    <w:p w:rsidR="009B5BBA" w:rsidRPr="00D52ED9" w:rsidRDefault="009B5BBA" w:rsidP="00E469F2">
      <w:pPr>
        <w:snapToGrid w:val="0"/>
        <w:ind w:left="1134" w:hanging="567"/>
        <w:jc w:val="both"/>
        <w:rPr>
          <w:rFonts w:cs="Calibri"/>
          <w:szCs w:val="24"/>
        </w:rPr>
      </w:pPr>
      <w:proofErr w:type="spellStart"/>
      <w:r w:rsidRPr="00D52ED9">
        <w:rPr>
          <w:rFonts w:cs="Calibri"/>
          <w:szCs w:val="24"/>
        </w:rPr>
        <w:t>i</w:t>
      </w:r>
      <w:proofErr w:type="spellEnd"/>
      <w:r w:rsidRPr="00D52ED9">
        <w:rPr>
          <w:rFonts w:cs="Calibri"/>
          <w:szCs w:val="24"/>
        </w:rPr>
        <w:t>)</w:t>
      </w:r>
      <w:r w:rsidRPr="00D52ED9">
        <w:rPr>
          <w:rFonts w:cs="Calibri"/>
          <w:szCs w:val="24"/>
        </w:rPr>
        <w:tab/>
      </w:r>
      <w:proofErr w:type="gramStart"/>
      <w:r w:rsidRPr="00D52ED9">
        <w:rPr>
          <w:rFonts w:cs="Calibri"/>
          <w:szCs w:val="24"/>
        </w:rPr>
        <w:t>the</w:t>
      </w:r>
      <w:proofErr w:type="gramEnd"/>
      <w:r w:rsidRPr="00D52ED9">
        <w:rPr>
          <w:rFonts w:cs="Calibri"/>
          <w:szCs w:val="24"/>
        </w:rPr>
        <w:t xml:space="preserve"> effectiveness of collaboration and coordination between the ITU regional offices, regional telecommunication/ICT organizations and other regional and international development and financial organizations;</w:t>
      </w:r>
    </w:p>
    <w:p w:rsidR="009B5BBA" w:rsidRPr="00D52ED9" w:rsidRDefault="009B5BBA" w:rsidP="00E469F2">
      <w:pPr>
        <w:snapToGrid w:val="0"/>
        <w:ind w:left="1134" w:hanging="567"/>
        <w:jc w:val="both"/>
        <w:rPr>
          <w:rFonts w:cs="Calibri"/>
          <w:szCs w:val="24"/>
        </w:rPr>
      </w:pPr>
      <w:r w:rsidRPr="00D52ED9">
        <w:rPr>
          <w:rFonts w:cs="Calibri"/>
          <w:szCs w:val="24"/>
        </w:rPr>
        <w:t>j)</w:t>
      </w:r>
      <w:r w:rsidRPr="00D52ED9">
        <w:rPr>
          <w:rFonts w:cs="Calibri"/>
          <w:szCs w:val="24"/>
        </w:rPr>
        <w:tab/>
      </w:r>
      <w:proofErr w:type="gramStart"/>
      <w:r w:rsidRPr="00D52ED9">
        <w:rPr>
          <w:rFonts w:cs="Calibri"/>
          <w:szCs w:val="24"/>
        </w:rPr>
        <w:t>how</w:t>
      </w:r>
      <w:proofErr w:type="gramEnd"/>
      <w:r w:rsidRPr="00D52ED9">
        <w:rPr>
          <w:rFonts w:cs="Calibri"/>
          <w:szCs w:val="24"/>
        </w:rPr>
        <w:t xml:space="preserve"> regional presence and the organization of activities in the regions can enhance the effective participation of all countries in ITU work;</w:t>
      </w:r>
    </w:p>
    <w:p w:rsidR="009B5BBA" w:rsidRPr="00D52ED9" w:rsidRDefault="009B5BBA" w:rsidP="00E469F2">
      <w:pPr>
        <w:snapToGrid w:val="0"/>
        <w:ind w:left="1134" w:hanging="567"/>
        <w:jc w:val="both"/>
        <w:rPr>
          <w:rFonts w:cs="Calibri"/>
          <w:szCs w:val="24"/>
        </w:rPr>
      </w:pPr>
      <w:r w:rsidRPr="00D52ED9">
        <w:rPr>
          <w:rFonts w:cs="Calibri"/>
          <w:szCs w:val="24"/>
        </w:rPr>
        <w:t>k)</w:t>
      </w:r>
      <w:r w:rsidRPr="00D52ED9">
        <w:rPr>
          <w:rFonts w:cs="Calibri"/>
          <w:szCs w:val="24"/>
        </w:rPr>
        <w:tab/>
      </w:r>
      <w:proofErr w:type="gramStart"/>
      <w:r w:rsidRPr="00D52ED9">
        <w:rPr>
          <w:rFonts w:cs="Calibri"/>
          <w:szCs w:val="24"/>
        </w:rPr>
        <w:t>the</w:t>
      </w:r>
      <w:proofErr w:type="gramEnd"/>
      <w:r w:rsidRPr="00D52ED9">
        <w:rPr>
          <w:rFonts w:cs="Calibri"/>
          <w:szCs w:val="24"/>
        </w:rPr>
        <w:t xml:space="preserve"> resources currently made available to the regional offices for reducing the digital divide;</w:t>
      </w:r>
    </w:p>
    <w:p w:rsidR="009B5BBA" w:rsidRPr="00D52ED9" w:rsidRDefault="009B5BBA" w:rsidP="00E469F2">
      <w:pPr>
        <w:snapToGrid w:val="0"/>
        <w:ind w:left="1134" w:hanging="567"/>
        <w:jc w:val="both"/>
        <w:rPr>
          <w:rFonts w:cs="Calibri"/>
          <w:szCs w:val="24"/>
        </w:rPr>
      </w:pPr>
      <w:r w:rsidRPr="00D52ED9">
        <w:rPr>
          <w:rFonts w:cs="Calibri"/>
          <w:szCs w:val="24"/>
        </w:rPr>
        <w:t>l)</w:t>
      </w:r>
      <w:r w:rsidRPr="00D52ED9">
        <w:rPr>
          <w:rFonts w:cs="Calibri"/>
          <w:szCs w:val="24"/>
        </w:rPr>
        <w:tab/>
      </w:r>
      <w:proofErr w:type="gramStart"/>
      <w:r w:rsidRPr="00D52ED9">
        <w:rPr>
          <w:rFonts w:cs="Calibri"/>
          <w:szCs w:val="24"/>
        </w:rPr>
        <w:t>the</w:t>
      </w:r>
      <w:proofErr w:type="gramEnd"/>
      <w:r w:rsidRPr="00D52ED9">
        <w:rPr>
          <w:rFonts w:cs="Calibri"/>
          <w:szCs w:val="24"/>
        </w:rPr>
        <w:t xml:space="preserve"> optimal overall structure of the ITU regional presence, including the location and number of regional and area offices.</w:t>
      </w:r>
    </w:p>
    <w:p w:rsidR="009B5BBA" w:rsidRPr="00D52ED9" w:rsidRDefault="009B5BBA" w:rsidP="00E469F2">
      <w:pPr>
        <w:snapToGrid w:val="0"/>
        <w:jc w:val="both"/>
        <w:rPr>
          <w:rFonts w:cs="Calibri"/>
          <w:b/>
          <w:bCs/>
          <w:szCs w:val="24"/>
        </w:rPr>
      </w:pPr>
      <w:r w:rsidRPr="00D52ED9">
        <w:rPr>
          <w:rFonts w:cs="Calibri"/>
          <w:b/>
          <w:bCs/>
          <w:szCs w:val="24"/>
        </w:rPr>
        <w:t>2.</w:t>
      </w:r>
      <w:r w:rsidRPr="00D52ED9">
        <w:rPr>
          <w:rFonts w:cs="Calibri"/>
          <w:b/>
          <w:bCs/>
          <w:szCs w:val="24"/>
        </w:rPr>
        <w:tab/>
        <w:t>Functional requirements:</w:t>
      </w:r>
    </w:p>
    <w:p w:rsidR="009B5BBA" w:rsidRPr="00D52ED9" w:rsidRDefault="009B5BBA" w:rsidP="00E469F2">
      <w:pPr>
        <w:snapToGrid w:val="0"/>
        <w:ind w:left="1134" w:hanging="567"/>
        <w:jc w:val="both"/>
        <w:rPr>
          <w:rFonts w:cs="Calibri"/>
          <w:szCs w:val="24"/>
        </w:rPr>
      </w:pPr>
      <w:r w:rsidRPr="00D52ED9">
        <w:rPr>
          <w:rFonts w:cs="Calibri"/>
          <w:szCs w:val="24"/>
        </w:rPr>
        <w:t>1.</w:t>
      </w:r>
      <w:r w:rsidRPr="00D52ED9">
        <w:rPr>
          <w:rFonts w:cs="Calibri"/>
          <w:szCs w:val="24"/>
        </w:rPr>
        <w:tab/>
        <w:t>Analyse the purpose and role of ITU’s regional presence in contributing to the implementation of the ITU Strategic Plan 2020-2023;</w:t>
      </w:r>
    </w:p>
    <w:p w:rsidR="009B5BBA" w:rsidRPr="00D52ED9" w:rsidRDefault="009B5BBA" w:rsidP="00E469F2">
      <w:pPr>
        <w:snapToGrid w:val="0"/>
        <w:ind w:left="1134" w:hanging="567"/>
        <w:jc w:val="both"/>
        <w:rPr>
          <w:rFonts w:cs="Calibri"/>
          <w:szCs w:val="24"/>
        </w:rPr>
      </w:pPr>
      <w:r w:rsidRPr="00D52ED9">
        <w:rPr>
          <w:rFonts w:cs="Calibri"/>
          <w:szCs w:val="24"/>
        </w:rPr>
        <w:t>2.</w:t>
      </w:r>
      <w:r w:rsidRPr="00D52ED9">
        <w:rPr>
          <w:rFonts w:cs="Calibri"/>
          <w:szCs w:val="24"/>
        </w:rPr>
        <w:tab/>
        <w:t>Analyse how “fit for purpose” is ITU’s regional presence to implement WTDCs Plans of Action;</w:t>
      </w:r>
    </w:p>
    <w:p w:rsidR="009B5BBA" w:rsidRPr="00D52ED9" w:rsidRDefault="00E469F2" w:rsidP="00E469F2">
      <w:pPr>
        <w:snapToGrid w:val="0"/>
        <w:ind w:left="1134" w:hanging="567"/>
        <w:jc w:val="both"/>
        <w:rPr>
          <w:rFonts w:cs="Calibri"/>
          <w:szCs w:val="24"/>
        </w:rPr>
      </w:pPr>
      <w:r>
        <w:rPr>
          <w:rFonts w:cs="Calibri"/>
          <w:szCs w:val="24"/>
        </w:rPr>
        <w:t>3.</w:t>
      </w:r>
      <w:r>
        <w:rPr>
          <w:rFonts w:cs="Calibri"/>
          <w:szCs w:val="24"/>
        </w:rPr>
        <w:tab/>
        <w:t>Pursuant to Resolution</w:t>
      </w:r>
      <w:r w:rsidR="009B5BBA" w:rsidRPr="00D52ED9">
        <w:rPr>
          <w:rFonts w:cs="Calibri"/>
          <w:szCs w:val="24"/>
        </w:rPr>
        <w:t xml:space="preserve"> 25 (</w:t>
      </w:r>
      <w:r>
        <w:rPr>
          <w:rFonts w:cs="Calibri"/>
          <w:szCs w:val="24"/>
        </w:rPr>
        <w:t>Rev. </w:t>
      </w:r>
      <w:r w:rsidR="009B5BBA" w:rsidRPr="00D52ED9">
        <w:rPr>
          <w:rFonts w:cs="Calibri"/>
          <w:szCs w:val="24"/>
        </w:rPr>
        <w:t xml:space="preserve">Dubai, 2018), analyse how the regional presence will implement the regional activities of the whole of the ITU, including BR, TSB and the General Secretariat; </w:t>
      </w:r>
    </w:p>
    <w:p w:rsidR="009B5BBA" w:rsidRPr="00D52ED9" w:rsidRDefault="009B5BBA" w:rsidP="00E469F2">
      <w:pPr>
        <w:snapToGrid w:val="0"/>
        <w:ind w:left="1134" w:hanging="567"/>
        <w:jc w:val="both"/>
        <w:rPr>
          <w:rFonts w:cs="Calibri"/>
          <w:szCs w:val="24"/>
        </w:rPr>
      </w:pPr>
      <w:r w:rsidRPr="00D52ED9">
        <w:rPr>
          <w:rFonts w:cs="Calibri"/>
          <w:szCs w:val="24"/>
        </w:rPr>
        <w:t>4.</w:t>
      </w:r>
      <w:r w:rsidRPr="00D52ED9">
        <w:rPr>
          <w:rFonts w:cs="Calibri"/>
          <w:szCs w:val="24"/>
        </w:rPr>
        <w:tab/>
        <w:t>Analyse the role of the Regional Offices/presence within the UN development system and the industry ecosystem, at a national and regional level;</w:t>
      </w:r>
    </w:p>
    <w:p w:rsidR="009B5BBA" w:rsidRPr="00D52ED9" w:rsidRDefault="009B5BBA" w:rsidP="00E469F2">
      <w:pPr>
        <w:snapToGrid w:val="0"/>
        <w:ind w:left="1134" w:hanging="567"/>
        <w:jc w:val="both"/>
        <w:rPr>
          <w:rFonts w:cs="Calibri"/>
          <w:szCs w:val="24"/>
        </w:rPr>
      </w:pPr>
      <w:r w:rsidRPr="00D52ED9">
        <w:rPr>
          <w:rFonts w:cs="Calibri"/>
          <w:szCs w:val="24"/>
        </w:rPr>
        <w:t>5.</w:t>
      </w:r>
      <w:r w:rsidRPr="00D52ED9">
        <w:rPr>
          <w:rFonts w:cs="Calibri"/>
          <w:szCs w:val="24"/>
        </w:rPr>
        <w:tab/>
        <w:t>Assist the ITU management team to (re)define the role, structure and objectives for ITU’s regional presence;</w:t>
      </w:r>
    </w:p>
    <w:p w:rsidR="009B5BBA" w:rsidRPr="00D52ED9" w:rsidRDefault="009B5BBA" w:rsidP="00E469F2">
      <w:pPr>
        <w:snapToGrid w:val="0"/>
        <w:ind w:left="1134" w:hanging="567"/>
        <w:jc w:val="both"/>
        <w:rPr>
          <w:rFonts w:cs="Calibri"/>
          <w:szCs w:val="24"/>
        </w:rPr>
      </w:pPr>
      <w:r w:rsidRPr="00D52ED9">
        <w:rPr>
          <w:rFonts w:cs="Calibri"/>
          <w:szCs w:val="24"/>
        </w:rPr>
        <w:t>6.</w:t>
      </w:r>
      <w:r w:rsidRPr="00D52ED9">
        <w:rPr>
          <w:rFonts w:cs="Calibri"/>
          <w:szCs w:val="24"/>
        </w:rPr>
        <w:tab/>
        <w:t>Assist in improving the measurement of performance of the Regional Offices (as per the related recommendation of the External Auditor), by:</w:t>
      </w:r>
    </w:p>
    <w:p w:rsidR="009B5BBA" w:rsidRPr="00D52ED9" w:rsidRDefault="009B5BBA" w:rsidP="00E469F2">
      <w:pPr>
        <w:snapToGrid w:val="0"/>
        <w:ind w:left="1701" w:hanging="567"/>
        <w:jc w:val="both"/>
        <w:rPr>
          <w:rFonts w:cs="Calibri"/>
          <w:szCs w:val="24"/>
        </w:rPr>
      </w:pPr>
      <w:r w:rsidRPr="00D52ED9">
        <w:rPr>
          <w:rFonts w:cs="Calibri"/>
          <w:szCs w:val="24"/>
        </w:rPr>
        <w:t>a.</w:t>
      </w:r>
      <w:r w:rsidRPr="00D52ED9">
        <w:rPr>
          <w:rFonts w:cs="Calibri"/>
          <w:szCs w:val="24"/>
        </w:rPr>
        <w:tab/>
        <w:t>Defining specific and measurable Objectives for BDT HQ and ROs;</w:t>
      </w:r>
    </w:p>
    <w:p w:rsidR="009B5BBA" w:rsidRPr="00D52ED9" w:rsidRDefault="009B5BBA" w:rsidP="00E469F2">
      <w:pPr>
        <w:snapToGrid w:val="0"/>
        <w:ind w:left="1701" w:hanging="567"/>
        <w:jc w:val="both"/>
        <w:rPr>
          <w:rFonts w:cs="Calibri"/>
          <w:szCs w:val="24"/>
        </w:rPr>
      </w:pPr>
      <w:r w:rsidRPr="00D52ED9">
        <w:rPr>
          <w:rFonts w:cs="Calibri"/>
          <w:szCs w:val="24"/>
        </w:rPr>
        <w:t>b.</w:t>
      </w:r>
      <w:r w:rsidRPr="00D52ED9">
        <w:rPr>
          <w:rFonts w:cs="Calibri"/>
          <w:szCs w:val="24"/>
        </w:rPr>
        <w:tab/>
        <w:t>Establishing key effective controls and robust KPIs covering the entire range of activities carried out locally, from technical assistance to financial management, duty travel and non-staff recruitment;</w:t>
      </w:r>
    </w:p>
    <w:p w:rsidR="009B5BBA" w:rsidRPr="00D52ED9" w:rsidRDefault="009B5BBA" w:rsidP="00E469F2">
      <w:pPr>
        <w:snapToGrid w:val="0"/>
        <w:ind w:left="1134" w:hanging="567"/>
        <w:jc w:val="both"/>
        <w:rPr>
          <w:rFonts w:cs="Calibri"/>
          <w:szCs w:val="24"/>
        </w:rPr>
      </w:pPr>
      <w:r w:rsidRPr="00D52ED9">
        <w:rPr>
          <w:rFonts w:cs="Calibri"/>
          <w:szCs w:val="24"/>
        </w:rPr>
        <w:t>7.</w:t>
      </w:r>
      <w:r w:rsidRPr="00D52ED9">
        <w:rPr>
          <w:rFonts w:cs="Calibri"/>
          <w:szCs w:val="24"/>
        </w:rPr>
        <w:tab/>
        <w:t>Identify measures to enhance the level of internal controls in Regional and Area Offices, in order to prevent other cases of fraud similar to the one detected, and ensure prompt implementation to the outstanding recommendations made by the Internal Auditor, the External Auditor and the IMAC;</w:t>
      </w:r>
    </w:p>
    <w:p w:rsidR="009B5BBA" w:rsidRPr="00D52ED9" w:rsidRDefault="009B5BBA" w:rsidP="00E469F2">
      <w:pPr>
        <w:snapToGrid w:val="0"/>
        <w:ind w:left="1134" w:hanging="567"/>
        <w:jc w:val="both"/>
        <w:rPr>
          <w:rFonts w:cs="Calibri"/>
          <w:szCs w:val="24"/>
        </w:rPr>
      </w:pPr>
      <w:r w:rsidRPr="00D52ED9">
        <w:rPr>
          <w:rFonts w:cs="Calibri"/>
          <w:szCs w:val="24"/>
        </w:rPr>
        <w:t>8.</w:t>
      </w:r>
      <w:r w:rsidRPr="00D52ED9">
        <w:rPr>
          <w:rFonts w:cs="Calibri"/>
          <w:szCs w:val="24"/>
        </w:rPr>
        <w:tab/>
        <w:t>Assist in redesigning the role of Regional Directors as supervisors of the implementation of projects and initiatives and as managers of financial resources at the local level;</w:t>
      </w:r>
    </w:p>
    <w:p w:rsidR="009B5BBA" w:rsidRPr="00D52ED9" w:rsidRDefault="009B5BBA" w:rsidP="00E469F2">
      <w:pPr>
        <w:snapToGrid w:val="0"/>
        <w:ind w:left="1134" w:hanging="567"/>
        <w:jc w:val="both"/>
        <w:rPr>
          <w:rFonts w:cs="Calibri"/>
          <w:szCs w:val="24"/>
        </w:rPr>
      </w:pPr>
      <w:r w:rsidRPr="00D52ED9">
        <w:rPr>
          <w:rFonts w:cs="Calibri"/>
          <w:szCs w:val="24"/>
        </w:rPr>
        <w:t>9.</w:t>
      </w:r>
      <w:r w:rsidRPr="00D52ED9">
        <w:rPr>
          <w:rFonts w:cs="Calibri"/>
          <w:szCs w:val="24"/>
        </w:rPr>
        <w:tab/>
        <w:t>Assess the engagement of ITU’s regional presence with the different partners in the ICT ecosystem in order to facilitate discussions on regional matters;</w:t>
      </w:r>
    </w:p>
    <w:p w:rsidR="009B5BBA" w:rsidRPr="00D52ED9" w:rsidRDefault="009B5BBA" w:rsidP="00E469F2">
      <w:pPr>
        <w:snapToGrid w:val="0"/>
        <w:ind w:left="1134" w:hanging="567"/>
        <w:jc w:val="both"/>
        <w:rPr>
          <w:rFonts w:cs="Calibri"/>
          <w:szCs w:val="24"/>
        </w:rPr>
      </w:pPr>
      <w:r w:rsidRPr="00D52ED9">
        <w:rPr>
          <w:rFonts w:cs="Calibri"/>
          <w:szCs w:val="24"/>
        </w:rPr>
        <w:lastRenderedPageBreak/>
        <w:t>10.</w:t>
      </w:r>
      <w:r w:rsidRPr="00D52ED9">
        <w:rPr>
          <w:rFonts w:cs="Calibri"/>
          <w:szCs w:val="24"/>
        </w:rPr>
        <w:tab/>
        <w:t xml:space="preserve">Assess the role of regional presence in strengthening ITU’s role as an executing agency for implementing projects (in alignment with </w:t>
      </w:r>
      <w:r w:rsidR="00E469F2">
        <w:rPr>
          <w:rFonts w:cs="Calibri"/>
          <w:szCs w:val="24"/>
        </w:rPr>
        <w:t>the Plenipotentiary Conference (PP)</w:t>
      </w:r>
      <w:r w:rsidRPr="00D52ED9">
        <w:rPr>
          <w:rFonts w:cs="Calibri"/>
          <w:szCs w:val="24"/>
        </w:rPr>
        <w:t xml:space="preserve"> Res</w:t>
      </w:r>
      <w:r w:rsidR="00E469F2">
        <w:rPr>
          <w:rFonts w:cs="Calibri"/>
          <w:szCs w:val="24"/>
        </w:rPr>
        <w:t xml:space="preserve">olution </w:t>
      </w:r>
      <w:r w:rsidRPr="00D52ED9">
        <w:rPr>
          <w:rFonts w:cs="Calibri"/>
          <w:szCs w:val="24"/>
        </w:rPr>
        <w:t>135 on providing technical assistance and implementing projects);</w:t>
      </w:r>
    </w:p>
    <w:p w:rsidR="009B5BBA" w:rsidRPr="00D52ED9" w:rsidRDefault="009B5BBA" w:rsidP="00E469F2">
      <w:pPr>
        <w:snapToGrid w:val="0"/>
        <w:ind w:left="1134" w:hanging="567"/>
        <w:jc w:val="both"/>
        <w:rPr>
          <w:rFonts w:cs="Calibri"/>
          <w:szCs w:val="24"/>
        </w:rPr>
      </w:pPr>
      <w:r w:rsidRPr="00D52ED9">
        <w:rPr>
          <w:rFonts w:cs="Calibri"/>
          <w:szCs w:val="24"/>
        </w:rPr>
        <w:t>11.</w:t>
      </w:r>
      <w:r w:rsidRPr="00D52ED9">
        <w:rPr>
          <w:rFonts w:cs="Calibri"/>
          <w:szCs w:val="24"/>
        </w:rPr>
        <w:tab/>
        <w:t>Review the support provided by the Regional Offices in the regional preparatory processes for major ITU conferences, including PP, WTSA, WTDC, WRC, and the support of Regional Offices for the major global ITU events taking place in the respective regions;</w:t>
      </w:r>
    </w:p>
    <w:p w:rsidR="009B5BBA" w:rsidRPr="00D52ED9" w:rsidRDefault="009B5BBA" w:rsidP="00E469F2">
      <w:pPr>
        <w:snapToGrid w:val="0"/>
        <w:ind w:left="1134" w:hanging="567"/>
        <w:jc w:val="both"/>
        <w:rPr>
          <w:rFonts w:cs="Calibri"/>
          <w:szCs w:val="24"/>
        </w:rPr>
      </w:pPr>
      <w:r w:rsidRPr="00D52ED9">
        <w:rPr>
          <w:rFonts w:cs="Calibri"/>
          <w:szCs w:val="24"/>
        </w:rPr>
        <w:t>12.</w:t>
      </w:r>
      <w:r w:rsidRPr="00D52ED9">
        <w:rPr>
          <w:rFonts w:cs="Calibri"/>
          <w:szCs w:val="24"/>
        </w:rPr>
        <w:tab/>
        <w:t>Review the role of regional offices in supporting Regional Study Groups (following related WTSA and WTDC Resolutions);</w:t>
      </w:r>
    </w:p>
    <w:p w:rsidR="009B5BBA" w:rsidRPr="00D52ED9" w:rsidRDefault="009B5BBA" w:rsidP="00E469F2">
      <w:pPr>
        <w:snapToGrid w:val="0"/>
        <w:ind w:left="1134" w:hanging="567"/>
        <w:jc w:val="both"/>
        <w:rPr>
          <w:rFonts w:cs="Calibri"/>
          <w:szCs w:val="24"/>
        </w:rPr>
      </w:pPr>
      <w:r w:rsidRPr="00D52ED9">
        <w:rPr>
          <w:rFonts w:cs="Calibri"/>
          <w:szCs w:val="24"/>
        </w:rPr>
        <w:t>13.</w:t>
      </w:r>
      <w:r w:rsidRPr="00D52ED9">
        <w:rPr>
          <w:rFonts w:cs="Calibri"/>
          <w:szCs w:val="24"/>
        </w:rPr>
        <w:tab/>
        <w:t>Review internal administrative procedures pertaining to the work of the regional offices, with a view to their simplification and transparency and enhancing work efficiency (with a focus on procedure for ex ante and ex post regulation), including:</w:t>
      </w:r>
    </w:p>
    <w:p w:rsidR="009B5BBA" w:rsidRPr="00D52ED9" w:rsidRDefault="009B5BBA" w:rsidP="00E469F2">
      <w:pPr>
        <w:snapToGrid w:val="0"/>
        <w:ind w:left="1701" w:hanging="567"/>
        <w:jc w:val="both"/>
        <w:rPr>
          <w:rFonts w:cs="Calibri"/>
          <w:szCs w:val="24"/>
        </w:rPr>
      </w:pPr>
      <w:r w:rsidRPr="00D52ED9">
        <w:rPr>
          <w:rFonts w:cs="Calibri"/>
          <w:szCs w:val="24"/>
        </w:rPr>
        <w:t>a.</w:t>
      </w:r>
      <w:r w:rsidRPr="00D52ED9">
        <w:rPr>
          <w:rFonts w:cs="Calibri"/>
          <w:szCs w:val="24"/>
        </w:rPr>
        <w:tab/>
        <w:t>Analysing the internal communication of the Regional Offices/presence with Headquarters and in particular BDT, TSB, BR and the General Secretariat;</w:t>
      </w:r>
    </w:p>
    <w:p w:rsidR="009B5BBA" w:rsidRPr="00D52ED9" w:rsidRDefault="009B5BBA" w:rsidP="00E469F2">
      <w:pPr>
        <w:snapToGrid w:val="0"/>
        <w:ind w:left="1701" w:hanging="567"/>
        <w:jc w:val="both"/>
        <w:rPr>
          <w:rFonts w:cs="Calibri"/>
          <w:szCs w:val="24"/>
        </w:rPr>
      </w:pPr>
      <w:r w:rsidRPr="00D52ED9">
        <w:rPr>
          <w:rFonts w:cs="Calibri"/>
          <w:szCs w:val="24"/>
        </w:rPr>
        <w:t>b.</w:t>
      </w:r>
      <w:r w:rsidRPr="00D52ED9">
        <w:rPr>
          <w:rFonts w:cs="Calibri"/>
          <w:szCs w:val="24"/>
        </w:rPr>
        <w:tab/>
        <w:t>Assessing mechanisms to strengthen the expertise in the regional offices, including whether the mobility policy can be applied in ITU;</w:t>
      </w:r>
    </w:p>
    <w:p w:rsidR="009B5BBA" w:rsidRPr="00D52ED9" w:rsidRDefault="009B5BBA" w:rsidP="00E469F2">
      <w:pPr>
        <w:snapToGrid w:val="0"/>
        <w:ind w:left="1701" w:hanging="567"/>
        <w:jc w:val="both"/>
        <w:rPr>
          <w:rFonts w:cs="Calibri"/>
          <w:szCs w:val="24"/>
        </w:rPr>
      </w:pPr>
      <w:r w:rsidRPr="00D52ED9">
        <w:rPr>
          <w:rFonts w:cs="Calibri"/>
          <w:szCs w:val="24"/>
        </w:rPr>
        <w:t>c.</w:t>
      </w:r>
      <w:r w:rsidRPr="00D52ED9">
        <w:rPr>
          <w:rFonts w:cs="Calibri"/>
          <w:szCs w:val="24"/>
        </w:rPr>
        <w:tab/>
        <w:t>Examining the financial management and the procurement activities carried out in the Regional and Area Offices;</w:t>
      </w:r>
    </w:p>
    <w:p w:rsidR="009B5BBA" w:rsidRPr="00D52ED9" w:rsidRDefault="009B5BBA" w:rsidP="00E469F2">
      <w:pPr>
        <w:snapToGrid w:val="0"/>
        <w:ind w:left="1134" w:hanging="567"/>
        <w:jc w:val="both"/>
        <w:rPr>
          <w:rFonts w:cs="Calibri"/>
          <w:szCs w:val="24"/>
        </w:rPr>
      </w:pPr>
      <w:r w:rsidRPr="00D52ED9">
        <w:rPr>
          <w:rFonts w:cs="Calibri"/>
          <w:szCs w:val="24"/>
        </w:rPr>
        <w:t>14.</w:t>
      </w:r>
      <w:r w:rsidRPr="00D52ED9">
        <w:rPr>
          <w:rFonts w:cs="Calibri"/>
          <w:szCs w:val="24"/>
        </w:rPr>
        <w:tab/>
        <w:t>Undertake all necessary activities to conduct the review and consult with all stakeholders, including:</w:t>
      </w:r>
    </w:p>
    <w:p w:rsidR="009B5BBA" w:rsidRPr="00D52ED9" w:rsidRDefault="009B5BBA" w:rsidP="00E469F2">
      <w:pPr>
        <w:snapToGrid w:val="0"/>
        <w:ind w:left="1701" w:hanging="567"/>
        <w:jc w:val="both"/>
        <w:rPr>
          <w:rFonts w:cs="Calibri"/>
          <w:szCs w:val="24"/>
        </w:rPr>
      </w:pPr>
      <w:r w:rsidRPr="00D52ED9">
        <w:rPr>
          <w:rFonts w:cs="Calibri"/>
          <w:szCs w:val="24"/>
        </w:rPr>
        <w:t>a.</w:t>
      </w:r>
      <w:r w:rsidRPr="00D52ED9">
        <w:rPr>
          <w:rFonts w:cs="Calibri"/>
          <w:szCs w:val="24"/>
        </w:rPr>
        <w:tab/>
        <w:t>Preparing samples questionnaires/interviewing guidelines;</w:t>
      </w:r>
    </w:p>
    <w:p w:rsidR="009B5BBA" w:rsidRPr="00D52ED9" w:rsidRDefault="009B5BBA" w:rsidP="00E469F2">
      <w:pPr>
        <w:snapToGrid w:val="0"/>
        <w:ind w:left="1701" w:hanging="567"/>
        <w:jc w:val="both"/>
        <w:rPr>
          <w:rFonts w:cs="Calibri"/>
          <w:szCs w:val="24"/>
        </w:rPr>
      </w:pPr>
      <w:proofErr w:type="gramStart"/>
      <w:r w:rsidRPr="00D52ED9">
        <w:rPr>
          <w:rFonts w:cs="Calibri"/>
          <w:szCs w:val="24"/>
        </w:rPr>
        <w:t>b</w:t>
      </w:r>
      <w:proofErr w:type="gramEnd"/>
      <w:r w:rsidRPr="00D52ED9">
        <w:rPr>
          <w:rFonts w:cs="Calibri"/>
          <w:szCs w:val="24"/>
        </w:rPr>
        <w:t>.</w:t>
      </w:r>
      <w:r w:rsidRPr="00D52ED9">
        <w:rPr>
          <w:rFonts w:cs="Calibri"/>
          <w:szCs w:val="24"/>
        </w:rPr>
        <w:tab/>
        <w:t>Preparing the communication plan and communication initiative in the organization itself;</w:t>
      </w:r>
    </w:p>
    <w:p w:rsidR="009B5BBA" w:rsidRPr="00D52ED9" w:rsidRDefault="009B5BBA" w:rsidP="00E469F2">
      <w:pPr>
        <w:snapToGrid w:val="0"/>
        <w:ind w:left="1701" w:hanging="567"/>
        <w:jc w:val="both"/>
        <w:rPr>
          <w:rFonts w:cs="Calibri"/>
          <w:szCs w:val="24"/>
        </w:rPr>
      </w:pPr>
      <w:r w:rsidRPr="00D52ED9">
        <w:rPr>
          <w:rFonts w:cs="Calibri"/>
          <w:szCs w:val="24"/>
        </w:rPr>
        <w:t>c.</w:t>
      </w:r>
      <w:r w:rsidRPr="00D52ED9">
        <w:rPr>
          <w:rFonts w:cs="Calibri"/>
          <w:szCs w:val="24"/>
        </w:rPr>
        <w:tab/>
        <w:t>Data collection, interviewing and consultation of representatives of all ITU stakeholders, including representatives of Member States, ITU Sector members and ITU staff;</w:t>
      </w:r>
    </w:p>
    <w:p w:rsidR="009B5BBA" w:rsidRPr="00D52ED9" w:rsidRDefault="009B5BBA" w:rsidP="00E469F2">
      <w:pPr>
        <w:snapToGrid w:val="0"/>
        <w:ind w:left="1701" w:hanging="567"/>
        <w:jc w:val="both"/>
        <w:rPr>
          <w:rFonts w:cs="Calibri"/>
          <w:szCs w:val="24"/>
        </w:rPr>
      </w:pPr>
      <w:r w:rsidRPr="00D52ED9">
        <w:rPr>
          <w:rFonts w:cs="Calibri"/>
          <w:szCs w:val="24"/>
        </w:rPr>
        <w:t>d.</w:t>
      </w:r>
      <w:r w:rsidRPr="00D52ED9">
        <w:rPr>
          <w:rFonts w:cs="Calibri"/>
          <w:szCs w:val="24"/>
        </w:rPr>
        <w:tab/>
        <w:t>Data processing, analysis and development of reports;</w:t>
      </w:r>
    </w:p>
    <w:p w:rsidR="009B5BBA" w:rsidRPr="00D52ED9" w:rsidRDefault="009B5BBA" w:rsidP="00E469F2">
      <w:pPr>
        <w:snapToGrid w:val="0"/>
        <w:ind w:left="1701" w:hanging="567"/>
        <w:jc w:val="both"/>
        <w:rPr>
          <w:rFonts w:cs="Calibri"/>
          <w:szCs w:val="24"/>
        </w:rPr>
      </w:pPr>
      <w:r w:rsidRPr="00D52ED9">
        <w:rPr>
          <w:rFonts w:cs="Calibri"/>
          <w:szCs w:val="24"/>
        </w:rPr>
        <w:t>e.</w:t>
      </w:r>
      <w:r w:rsidRPr="00D52ED9">
        <w:rPr>
          <w:rFonts w:cs="Calibri"/>
          <w:szCs w:val="24"/>
        </w:rPr>
        <w:tab/>
        <w:t>Presenting the conclusions of the study and propose appropriate measures to ensure the continued effectiveness and efficiency of the ITU regional presence;</w:t>
      </w:r>
    </w:p>
    <w:p w:rsidR="009B5BBA" w:rsidRPr="00D52ED9" w:rsidRDefault="009B5BBA" w:rsidP="00E469F2">
      <w:pPr>
        <w:snapToGrid w:val="0"/>
        <w:ind w:left="1134" w:hanging="567"/>
        <w:jc w:val="both"/>
        <w:rPr>
          <w:rFonts w:cs="Calibri"/>
          <w:szCs w:val="24"/>
        </w:rPr>
      </w:pPr>
      <w:r w:rsidRPr="00D52ED9">
        <w:rPr>
          <w:rFonts w:cs="Calibri"/>
          <w:szCs w:val="24"/>
        </w:rPr>
        <w:t>15.</w:t>
      </w:r>
      <w:r w:rsidRPr="00D52ED9">
        <w:rPr>
          <w:rFonts w:cs="Calibri"/>
          <w:szCs w:val="24"/>
        </w:rPr>
        <w:tab/>
        <w:t>Propose a plan of action for the implementation of the proposed measures.</w:t>
      </w:r>
    </w:p>
    <w:p w:rsidR="009B5BBA" w:rsidRPr="00D52ED9" w:rsidRDefault="009B5BBA" w:rsidP="00E469F2">
      <w:pPr>
        <w:snapToGrid w:val="0"/>
        <w:jc w:val="both"/>
        <w:rPr>
          <w:rFonts w:cs="Calibri"/>
          <w:b/>
          <w:bCs/>
          <w:szCs w:val="24"/>
        </w:rPr>
      </w:pPr>
      <w:r w:rsidRPr="00D52ED9">
        <w:rPr>
          <w:rFonts w:cs="Calibri"/>
          <w:b/>
          <w:bCs/>
          <w:szCs w:val="24"/>
        </w:rPr>
        <w:t>3.</w:t>
      </w:r>
      <w:r w:rsidRPr="00D52ED9">
        <w:rPr>
          <w:rFonts w:cs="Calibri"/>
          <w:b/>
          <w:bCs/>
          <w:szCs w:val="24"/>
        </w:rPr>
        <w:tab/>
        <w:t>Deliverables</w:t>
      </w:r>
    </w:p>
    <w:p w:rsidR="009B5BBA" w:rsidRPr="00D52ED9" w:rsidRDefault="009B5BBA" w:rsidP="00E469F2">
      <w:pPr>
        <w:snapToGrid w:val="0"/>
        <w:jc w:val="both"/>
        <w:rPr>
          <w:rFonts w:cs="Calibri"/>
          <w:szCs w:val="24"/>
        </w:rPr>
      </w:pPr>
      <w:r w:rsidRPr="00D52ED9">
        <w:rPr>
          <w:rFonts w:cs="Calibri"/>
          <w:szCs w:val="24"/>
        </w:rPr>
        <w:t>The project should produce the following deliverables:</w:t>
      </w:r>
    </w:p>
    <w:p w:rsidR="009B5BBA" w:rsidRPr="00D52ED9" w:rsidRDefault="009B5BBA" w:rsidP="00E469F2">
      <w:pPr>
        <w:snapToGrid w:val="0"/>
        <w:ind w:left="1134" w:hanging="567"/>
        <w:jc w:val="both"/>
        <w:rPr>
          <w:rFonts w:cs="Calibri"/>
          <w:szCs w:val="24"/>
        </w:rPr>
      </w:pPr>
      <w:r w:rsidRPr="00D52ED9">
        <w:rPr>
          <w:rFonts w:cs="Calibri"/>
          <w:szCs w:val="24"/>
        </w:rPr>
        <w:t>1.</w:t>
      </w:r>
      <w:r w:rsidRPr="00D52ED9">
        <w:rPr>
          <w:rFonts w:cs="Calibri"/>
          <w:szCs w:val="24"/>
        </w:rPr>
        <w:tab/>
        <w:t>Profile the current structure of regional offices/presence, including procedures and performance indicators to conduct a gap analysis (which will consider resources, skills, tools);</w:t>
      </w:r>
    </w:p>
    <w:p w:rsidR="009B5BBA" w:rsidRPr="00D52ED9" w:rsidRDefault="009B5BBA" w:rsidP="00E469F2">
      <w:pPr>
        <w:snapToGrid w:val="0"/>
        <w:ind w:left="1134" w:hanging="567"/>
        <w:jc w:val="both"/>
        <w:rPr>
          <w:rFonts w:cs="Calibri"/>
          <w:szCs w:val="24"/>
        </w:rPr>
      </w:pPr>
      <w:r w:rsidRPr="00D52ED9">
        <w:rPr>
          <w:rFonts w:cs="Calibri"/>
          <w:szCs w:val="24"/>
        </w:rPr>
        <w:t>2.</w:t>
      </w:r>
      <w:r w:rsidRPr="00D52ED9">
        <w:rPr>
          <w:rFonts w:cs="Calibri"/>
          <w:szCs w:val="24"/>
        </w:rPr>
        <w:tab/>
        <w:t xml:space="preserve">Existing level of organizational efficacy/performance parameters; </w:t>
      </w:r>
    </w:p>
    <w:p w:rsidR="009B5BBA" w:rsidRPr="00D52ED9" w:rsidRDefault="009B5BBA" w:rsidP="00E469F2">
      <w:pPr>
        <w:snapToGrid w:val="0"/>
        <w:ind w:left="1134" w:hanging="567"/>
        <w:jc w:val="both"/>
        <w:rPr>
          <w:rFonts w:cs="Calibri"/>
          <w:szCs w:val="24"/>
        </w:rPr>
      </w:pPr>
      <w:r w:rsidRPr="00D52ED9">
        <w:rPr>
          <w:rFonts w:cs="Calibri"/>
          <w:szCs w:val="24"/>
        </w:rPr>
        <w:t>3.</w:t>
      </w:r>
      <w:r w:rsidRPr="00D52ED9">
        <w:rPr>
          <w:rFonts w:cs="Calibri"/>
          <w:szCs w:val="24"/>
        </w:rPr>
        <w:tab/>
        <w:t xml:space="preserve">Profile of </w:t>
      </w:r>
      <w:r w:rsidRPr="002D20E3">
        <w:rPr>
          <w:rFonts w:cs="Calibri"/>
          <w:szCs w:val="24"/>
        </w:rPr>
        <w:t>desirable structure of the regional offices/presence, including optimal number and location of regional offices, managerial objectives serving the strategic direction of the organization and staff skills required to</w:t>
      </w:r>
      <w:r w:rsidRPr="00D52ED9">
        <w:rPr>
          <w:rFonts w:cs="Calibri"/>
          <w:szCs w:val="24"/>
        </w:rPr>
        <w:t xml:space="preserve"> implement those objectives;</w:t>
      </w:r>
    </w:p>
    <w:p w:rsidR="009B5BBA" w:rsidRPr="00D52ED9" w:rsidRDefault="009B5BBA" w:rsidP="00E469F2">
      <w:pPr>
        <w:snapToGrid w:val="0"/>
        <w:ind w:left="1134" w:hanging="567"/>
        <w:jc w:val="both"/>
        <w:rPr>
          <w:rFonts w:cs="Calibri"/>
          <w:szCs w:val="24"/>
        </w:rPr>
      </w:pPr>
      <w:r w:rsidRPr="00D52ED9">
        <w:rPr>
          <w:rFonts w:cs="Calibri"/>
          <w:szCs w:val="24"/>
        </w:rPr>
        <w:lastRenderedPageBreak/>
        <w:t>4.</w:t>
      </w:r>
      <w:r w:rsidRPr="00D52ED9">
        <w:rPr>
          <w:rFonts w:cs="Calibri"/>
          <w:szCs w:val="24"/>
        </w:rPr>
        <w:tab/>
        <w:t>Managerial objectives of improving organizational performance (including people/skills, processes technology and tools);</w:t>
      </w:r>
    </w:p>
    <w:p w:rsidR="009B5BBA" w:rsidRPr="00D52ED9" w:rsidRDefault="009B5BBA" w:rsidP="00E469F2">
      <w:pPr>
        <w:snapToGrid w:val="0"/>
        <w:ind w:left="1134" w:hanging="567"/>
        <w:jc w:val="both"/>
        <w:rPr>
          <w:rFonts w:cs="Calibri"/>
          <w:szCs w:val="24"/>
        </w:rPr>
      </w:pPr>
      <w:r w:rsidRPr="00D52ED9">
        <w:rPr>
          <w:rFonts w:cs="Calibri"/>
          <w:szCs w:val="24"/>
        </w:rPr>
        <w:t>5.</w:t>
      </w:r>
      <w:r w:rsidRPr="00D52ED9">
        <w:rPr>
          <w:rFonts w:cs="Calibri"/>
          <w:szCs w:val="24"/>
        </w:rPr>
        <w:tab/>
        <w:t>Develop / extend the RBM model for regional presence/offices;</w:t>
      </w:r>
    </w:p>
    <w:p w:rsidR="009B5BBA" w:rsidRDefault="009B5BBA" w:rsidP="00E469F2">
      <w:pPr>
        <w:snapToGrid w:val="0"/>
        <w:ind w:left="1134" w:hanging="567"/>
        <w:jc w:val="both"/>
        <w:rPr>
          <w:rFonts w:cs="Calibri"/>
          <w:szCs w:val="24"/>
        </w:rPr>
      </w:pPr>
      <w:r w:rsidRPr="00D52ED9">
        <w:rPr>
          <w:rFonts w:cs="Calibri"/>
          <w:szCs w:val="24"/>
        </w:rPr>
        <w:t>6.</w:t>
      </w:r>
      <w:r w:rsidRPr="00D52ED9">
        <w:rPr>
          <w:rFonts w:cs="Calibri"/>
          <w:szCs w:val="24"/>
        </w:rPr>
        <w:tab/>
        <w:t>Action Plan for change, addressing all the related recommendations provided by the External Auditor, the Internal Auditor and IMAC.</w:t>
      </w:r>
    </w:p>
    <w:p w:rsidR="00264425" w:rsidRPr="002D20E3" w:rsidRDefault="002D20E3" w:rsidP="002D20E3">
      <w:pPr>
        <w:snapToGrid w:val="0"/>
        <w:spacing w:before="840"/>
        <w:jc w:val="center"/>
        <w:rPr>
          <w:rFonts w:cs="Calibri"/>
          <w:bCs/>
          <w:sz w:val="28"/>
          <w:szCs w:val="28"/>
        </w:rPr>
      </w:pPr>
      <w:r>
        <w:rPr>
          <w:rFonts w:cs="Calibri"/>
          <w:bCs/>
          <w:sz w:val="28"/>
          <w:szCs w:val="28"/>
        </w:rPr>
        <w:t>___________________</w:t>
      </w:r>
    </w:p>
    <w:sectPr w:rsidR="00264425" w:rsidRPr="002D20E3"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52" w:rsidRDefault="007D2A52">
      <w:r>
        <w:separator/>
      </w:r>
    </w:p>
  </w:endnote>
  <w:endnote w:type="continuationSeparator" w:id="0">
    <w:p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C325C8" w:rsidRDefault="00517863">
    <w:pPr>
      <w:pStyle w:val="Footer"/>
      <w:rPr>
        <w:color w:val="D9D9D9" w:themeColor="background1" w:themeShade="D9"/>
      </w:rPr>
    </w:pPr>
    <w:r w:rsidRPr="00C325C8">
      <w:rPr>
        <w:color w:val="D9D9D9" w:themeColor="background1" w:themeShade="D9"/>
      </w:rPr>
      <w:fldChar w:fldCharType="begin"/>
    </w:r>
    <w:r w:rsidRPr="00C325C8">
      <w:rPr>
        <w:color w:val="D9D9D9" w:themeColor="background1" w:themeShade="D9"/>
      </w:rPr>
      <w:instrText xml:space="preserve"> FILENAME \p  \* MERGEFORMAT </w:instrText>
    </w:r>
    <w:r w:rsidRPr="00C325C8">
      <w:rPr>
        <w:color w:val="D9D9D9" w:themeColor="background1" w:themeShade="D9"/>
      </w:rPr>
      <w:fldChar w:fldCharType="separate"/>
    </w:r>
    <w:r w:rsidR="007D2A52" w:rsidRPr="00C325C8">
      <w:rPr>
        <w:color w:val="D9D9D9" w:themeColor="background1" w:themeShade="D9"/>
      </w:rPr>
      <w:t>Document4</w:t>
    </w:r>
    <w:r w:rsidRPr="00C325C8">
      <w:rPr>
        <w:color w:val="D9D9D9" w:themeColor="background1" w:themeShade="D9"/>
      </w:rPr>
      <w:fldChar w:fldCharType="end"/>
    </w:r>
    <w:r w:rsidR="00CB18FF" w:rsidRPr="00C325C8">
      <w:rPr>
        <w:color w:val="D9D9D9" w:themeColor="background1" w:themeShade="D9"/>
      </w:rPr>
      <w:tab/>
    </w:r>
    <w:r w:rsidR="00864AFF" w:rsidRPr="00C325C8">
      <w:rPr>
        <w:color w:val="D9D9D9" w:themeColor="background1" w:themeShade="D9"/>
      </w:rPr>
      <w:fldChar w:fldCharType="begin"/>
    </w:r>
    <w:r w:rsidR="00CB18FF" w:rsidRPr="00C325C8">
      <w:rPr>
        <w:color w:val="D9D9D9" w:themeColor="background1" w:themeShade="D9"/>
      </w:rPr>
      <w:instrText xml:space="preserve"> SAVEDATE \@ DD.MM.YY </w:instrText>
    </w:r>
    <w:r w:rsidR="00864AFF" w:rsidRPr="00C325C8">
      <w:rPr>
        <w:color w:val="D9D9D9" w:themeColor="background1" w:themeShade="D9"/>
      </w:rPr>
      <w:fldChar w:fldCharType="separate"/>
    </w:r>
    <w:r w:rsidR="002D20E3" w:rsidRPr="00C325C8">
      <w:rPr>
        <w:color w:val="D9D9D9" w:themeColor="background1" w:themeShade="D9"/>
      </w:rPr>
      <w:t>26.06.19</w:t>
    </w:r>
    <w:r w:rsidR="00864AFF" w:rsidRPr="00C325C8">
      <w:rPr>
        <w:color w:val="D9D9D9" w:themeColor="background1" w:themeShade="D9"/>
      </w:rPr>
      <w:fldChar w:fldCharType="end"/>
    </w:r>
    <w:r w:rsidR="00CB18FF" w:rsidRPr="00C325C8">
      <w:rPr>
        <w:color w:val="D9D9D9" w:themeColor="background1" w:themeShade="D9"/>
      </w:rPr>
      <w:tab/>
    </w:r>
    <w:r w:rsidR="00864AFF" w:rsidRPr="00C325C8">
      <w:rPr>
        <w:color w:val="D9D9D9" w:themeColor="background1" w:themeShade="D9"/>
      </w:rPr>
      <w:fldChar w:fldCharType="begin"/>
    </w:r>
    <w:r w:rsidR="00CB18FF" w:rsidRPr="00C325C8">
      <w:rPr>
        <w:color w:val="D9D9D9" w:themeColor="background1" w:themeShade="D9"/>
      </w:rPr>
      <w:instrText xml:space="preserve"> PRINTDATE \@ DD.MM.YY </w:instrText>
    </w:r>
    <w:r w:rsidR="00864AFF" w:rsidRPr="00C325C8">
      <w:rPr>
        <w:color w:val="D9D9D9" w:themeColor="background1" w:themeShade="D9"/>
      </w:rPr>
      <w:fldChar w:fldCharType="separate"/>
    </w:r>
    <w:r w:rsidR="007D2A52" w:rsidRPr="00C325C8">
      <w:rPr>
        <w:color w:val="D9D9D9" w:themeColor="background1" w:themeShade="D9"/>
      </w:rPr>
      <w:t>18.07.00</w:t>
    </w:r>
    <w:r w:rsidR="00864AFF" w:rsidRPr="00C325C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2D20E3" w:rsidRDefault="00517863">
    <w:pPr>
      <w:pStyle w:val="Footer"/>
      <w:rPr>
        <w:color w:val="D9D9D9" w:themeColor="background1" w:themeShade="D9"/>
      </w:rPr>
    </w:pPr>
    <w:r w:rsidRPr="002D20E3">
      <w:rPr>
        <w:color w:val="D9D9D9" w:themeColor="background1" w:themeShade="D9"/>
      </w:rPr>
      <w:fldChar w:fldCharType="begin"/>
    </w:r>
    <w:r w:rsidRPr="002D20E3">
      <w:rPr>
        <w:color w:val="D9D9D9" w:themeColor="background1" w:themeShade="D9"/>
      </w:rPr>
      <w:instrText xml:space="preserve"> FILENAME \p  \* MERGEFORMAT </w:instrText>
    </w:r>
    <w:r w:rsidRPr="002D20E3">
      <w:rPr>
        <w:color w:val="D9D9D9" w:themeColor="background1" w:themeShade="D9"/>
      </w:rPr>
      <w:fldChar w:fldCharType="separate"/>
    </w:r>
    <w:r w:rsidR="007D2A52" w:rsidRPr="002D20E3">
      <w:rPr>
        <w:color w:val="D9D9D9" w:themeColor="background1" w:themeShade="D9"/>
      </w:rPr>
      <w:t>Document4</w:t>
    </w:r>
    <w:r w:rsidRPr="002D20E3">
      <w:rPr>
        <w:color w:val="D9D9D9" w:themeColor="background1" w:themeShade="D9"/>
      </w:rPr>
      <w:fldChar w:fldCharType="end"/>
    </w:r>
    <w:r w:rsidR="00322D0D" w:rsidRPr="002D20E3">
      <w:rPr>
        <w:color w:val="D9D9D9" w:themeColor="background1" w:themeShade="D9"/>
      </w:rPr>
      <w:tab/>
    </w:r>
    <w:r w:rsidR="00864AFF" w:rsidRPr="002D20E3">
      <w:rPr>
        <w:color w:val="D9D9D9" w:themeColor="background1" w:themeShade="D9"/>
      </w:rPr>
      <w:fldChar w:fldCharType="begin"/>
    </w:r>
    <w:r w:rsidR="00322D0D" w:rsidRPr="002D20E3">
      <w:rPr>
        <w:color w:val="D9D9D9" w:themeColor="background1" w:themeShade="D9"/>
      </w:rPr>
      <w:instrText xml:space="preserve"> SAVEDATE \@ DD.MM.YY </w:instrText>
    </w:r>
    <w:r w:rsidR="00864AFF" w:rsidRPr="002D20E3">
      <w:rPr>
        <w:color w:val="D9D9D9" w:themeColor="background1" w:themeShade="D9"/>
      </w:rPr>
      <w:fldChar w:fldCharType="separate"/>
    </w:r>
    <w:r w:rsidR="002D20E3" w:rsidRPr="002D20E3">
      <w:rPr>
        <w:color w:val="D9D9D9" w:themeColor="background1" w:themeShade="D9"/>
      </w:rPr>
      <w:t>26.06.19</w:t>
    </w:r>
    <w:r w:rsidR="00864AFF" w:rsidRPr="002D20E3">
      <w:rPr>
        <w:color w:val="D9D9D9" w:themeColor="background1" w:themeShade="D9"/>
      </w:rPr>
      <w:fldChar w:fldCharType="end"/>
    </w:r>
    <w:r w:rsidR="00322D0D" w:rsidRPr="002D20E3">
      <w:rPr>
        <w:color w:val="D9D9D9" w:themeColor="background1" w:themeShade="D9"/>
      </w:rPr>
      <w:tab/>
    </w:r>
    <w:r w:rsidR="00864AFF" w:rsidRPr="002D20E3">
      <w:rPr>
        <w:color w:val="D9D9D9" w:themeColor="background1" w:themeShade="D9"/>
      </w:rPr>
      <w:fldChar w:fldCharType="begin"/>
    </w:r>
    <w:r w:rsidR="00322D0D" w:rsidRPr="002D20E3">
      <w:rPr>
        <w:color w:val="D9D9D9" w:themeColor="background1" w:themeShade="D9"/>
      </w:rPr>
      <w:instrText xml:space="preserve"> PRINTDATE \@ DD.MM.YY </w:instrText>
    </w:r>
    <w:r w:rsidR="00864AFF" w:rsidRPr="002D20E3">
      <w:rPr>
        <w:color w:val="D9D9D9" w:themeColor="background1" w:themeShade="D9"/>
      </w:rPr>
      <w:fldChar w:fldCharType="separate"/>
    </w:r>
    <w:r w:rsidR="007D2A52" w:rsidRPr="002D20E3">
      <w:rPr>
        <w:color w:val="D9D9D9" w:themeColor="background1" w:themeShade="D9"/>
      </w:rPr>
      <w:t>18.07.00</w:t>
    </w:r>
    <w:r w:rsidR="00864AFF" w:rsidRPr="002D20E3">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52" w:rsidRDefault="007D2A52">
      <w:r>
        <w:t>____________________</w:t>
      </w:r>
    </w:p>
  </w:footnote>
  <w:footnote w:type="continuationSeparator" w:id="0">
    <w:p w:rsidR="007D2A52" w:rsidRDefault="007D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12791">
      <w:rPr>
        <w:noProof/>
      </w:rPr>
      <w:t>2</w:t>
    </w:r>
    <w:r>
      <w:rPr>
        <w:noProof/>
      </w:rPr>
      <w:fldChar w:fldCharType="end"/>
    </w:r>
  </w:p>
  <w:p w:rsidR="00322D0D" w:rsidRPr="00623AE3" w:rsidRDefault="00623AE3" w:rsidP="002D20E3">
    <w:pPr>
      <w:pStyle w:val="Header"/>
      <w:rPr>
        <w:bCs/>
      </w:rPr>
    </w:pPr>
    <w:r w:rsidRPr="00623AE3">
      <w:rPr>
        <w:bCs/>
      </w:rPr>
      <w:t>C1</w:t>
    </w:r>
    <w:r w:rsidR="00FB1279">
      <w:rPr>
        <w:bCs/>
      </w:rPr>
      <w:t>9</w:t>
    </w:r>
    <w:r w:rsidRPr="00623AE3">
      <w:rPr>
        <w:bCs/>
      </w:rPr>
      <w:t>/</w:t>
    </w:r>
    <w:r w:rsidR="002D20E3">
      <w:rPr>
        <w:bCs/>
      </w:rPr>
      <w:t>133</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EB1"/>
    <w:rsid w:val="001E0F7B"/>
    <w:rsid w:val="002119FD"/>
    <w:rsid w:val="00212791"/>
    <w:rsid w:val="002130E0"/>
    <w:rsid w:val="00264425"/>
    <w:rsid w:val="00265875"/>
    <w:rsid w:val="0027303B"/>
    <w:rsid w:val="0028109B"/>
    <w:rsid w:val="002A2188"/>
    <w:rsid w:val="002B1F58"/>
    <w:rsid w:val="002C1C7A"/>
    <w:rsid w:val="002D20E3"/>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17863"/>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7D2A52"/>
    <w:rsid w:val="00813E5E"/>
    <w:rsid w:val="0083581B"/>
    <w:rsid w:val="00864AFF"/>
    <w:rsid w:val="008B4A6A"/>
    <w:rsid w:val="008C7E27"/>
    <w:rsid w:val="009173EF"/>
    <w:rsid w:val="00932906"/>
    <w:rsid w:val="00961B0B"/>
    <w:rsid w:val="009671AE"/>
    <w:rsid w:val="009B38C3"/>
    <w:rsid w:val="009B5BBA"/>
    <w:rsid w:val="009E17BD"/>
    <w:rsid w:val="009E485A"/>
    <w:rsid w:val="00A04CEC"/>
    <w:rsid w:val="00A27F92"/>
    <w:rsid w:val="00A32257"/>
    <w:rsid w:val="00A36D20"/>
    <w:rsid w:val="00A55622"/>
    <w:rsid w:val="00A83502"/>
    <w:rsid w:val="00A878B9"/>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25C8"/>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469F2"/>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link w:val="Normalaftertitle"/>
    <w:locked/>
    <w:rsid w:val="00A878B9"/>
    <w:rPr>
      <w:rFonts w:ascii="Calibri" w:hAnsi="Calibri"/>
      <w:sz w:val="24"/>
      <w:lang w:val="en-GB" w:eastAsia="en-US"/>
    </w:rPr>
  </w:style>
  <w:style w:type="character" w:customStyle="1" w:styleId="CallChar">
    <w:name w:val="Call Char"/>
    <w:basedOn w:val="DefaultParagraphFont"/>
    <w:link w:val="Call"/>
    <w:rsid w:val="00A878B9"/>
    <w:rPr>
      <w:rFonts w:ascii="Calibri" w:hAnsi="Calibri"/>
      <w:i/>
      <w:sz w:val="24"/>
      <w:lang w:val="en-GB" w:eastAsia="en-US"/>
    </w:rPr>
  </w:style>
  <w:style w:type="character" w:customStyle="1" w:styleId="RestitleChar">
    <w:name w:val="Res_title Char"/>
    <w:basedOn w:val="DefaultParagraphFont"/>
    <w:link w:val="Restitle"/>
    <w:locked/>
    <w:rsid w:val="00A878B9"/>
    <w:rPr>
      <w:rFonts w:ascii="Calibri" w:hAnsi="Calibri"/>
      <w:b/>
      <w:sz w:val="28"/>
      <w:lang w:val="en-GB" w:eastAsia="en-US"/>
    </w:rPr>
  </w:style>
  <w:style w:type="paragraph" w:customStyle="1" w:styleId="call0">
    <w:name w:val="call"/>
    <w:basedOn w:val="Normal"/>
    <w:next w:val="Normal"/>
    <w:rsid w:val="009B5BBA"/>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rPr>
  </w:style>
  <w:style w:type="paragraph" w:customStyle="1" w:styleId="AnnexTitle0">
    <w:name w:val="Annex_Title"/>
    <w:basedOn w:val="Normal"/>
    <w:next w:val="Normalaftertitle"/>
    <w:uiPriority w:val="99"/>
    <w:rsid w:val="009B5BBA"/>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rPr>
  </w:style>
  <w:style w:type="character" w:customStyle="1" w:styleId="AnnexNoChar">
    <w:name w:val="Annex_No Char"/>
    <w:basedOn w:val="DefaultParagraphFont"/>
    <w:link w:val="AnnexNo"/>
    <w:rsid w:val="009B5BBA"/>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025/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3BE8-EF9A-462D-AA52-809D5DB1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19</TotalTime>
  <Pages>5</Pages>
  <Words>1396</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9664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616 - Regional Presence</dc:title>
  <dc:subject>Council 2019</dc:subject>
  <dc:creator>Brouard, Ricarda</dc:creator>
  <cp:keywords>C2019, C19</cp:keywords>
  <dc:description/>
  <cp:lastModifiedBy>Brouard, Ricarda</cp:lastModifiedBy>
  <cp:revision>5</cp:revision>
  <cp:lastPrinted>2000-07-18T13:30:00Z</cp:lastPrinted>
  <dcterms:created xsi:type="dcterms:W3CDTF">2019-06-26T09:16:00Z</dcterms:created>
  <dcterms:modified xsi:type="dcterms:W3CDTF">2019-06-26T12:55:00Z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