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290728" w:rsidP="00592EA5">
            <w:pPr>
              <w:spacing w:before="20" w:after="20" w:line="340" w:lineRule="exact"/>
              <w:rPr>
                <w:b/>
                <w:bCs/>
                <w:highlight w:val="yellow"/>
                <w:rtl/>
                <w:lang w:bidi="ar-EG"/>
              </w:rPr>
            </w:pPr>
          </w:p>
        </w:tc>
        <w:tc>
          <w:tcPr>
            <w:tcW w:w="3052" w:type="dxa"/>
            <w:vAlign w:val="center"/>
          </w:tcPr>
          <w:p w:rsidR="00290728" w:rsidRPr="00290728" w:rsidRDefault="00290728" w:rsidP="008353CB">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8353CB">
              <w:rPr>
                <w:b/>
                <w:bCs/>
                <w:lang w:bidi="ar-SY"/>
              </w:rPr>
              <w:t>130</w:t>
            </w:r>
            <w:r w:rsidRPr="00290728">
              <w:rPr>
                <w:b/>
                <w:bCs/>
                <w:lang w:bidi="ar-SY"/>
              </w:rPr>
              <w:t>-A</w:t>
            </w:r>
          </w:p>
        </w:tc>
      </w:tr>
      <w:tr w:rsidR="00290728" w:rsidRPr="00290728" w:rsidTr="009F66A8">
        <w:trPr>
          <w:cantSplit/>
        </w:trPr>
        <w:tc>
          <w:tcPr>
            <w:tcW w:w="6620" w:type="dxa"/>
          </w:tcPr>
          <w:p w:rsidR="00290728" w:rsidRPr="00290728" w:rsidRDefault="00290728" w:rsidP="00592EA5">
            <w:pPr>
              <w:spacing w:before="20" w:after="20" w:line="340" w:lineRule="exact"/>
              <w:rPr>
                <w:b/>
                <w:bCs/>
                <w:lang w:bidi="ar-SY"/>
              </w:rPr>
            </w:pPr>
          </w:p>
        </w:tc>
        <w:tc>
          <w:tcPr>
            <w:tcW w:w="3052" w:type="dxa"/>
            <w:vAlign w:val="center"/>
          </w:tcPr>
          <w:p w:rsidR="00290728" w:rsidRPr="00290728" w:rsidRDefault="008353CB" w:rsidP="00592EA5">
            <w:pPr>
              <w:spacing w:before="20" w:after="20" w:line="340" w:lineRule="exact"/>
              <w:rPr>
                <w:b/>
                <w:bCs/>
                <w:rtl/>
                <w:lang w:bidi="ar-EG"/>
              </w:rPr>
            </w:pPr>
            <w:r>
              <w:rPr>
                <w:b/>
                <w:bCs/>
                <w:lang w:bidi="ar-SY"/>
              </w:rPr>
              <w:t>20</w:t>
            </w:r>
            <w:r>
              <w:rPr>
                <w:rFonts w:hint="cs"/>
                <w:b/>
                <w:bCs/>
                <w:rtl/>
                <w:lang w:bidi="ar-EG"/>
              </w:rPr>
              <w:t xml:space="preserve"> يونيو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592EA5">
            <w:pPr>
              <w:spacing w:before="20" w:after="20" w:line="340" w:lineRule="exact"/>
              <w:rPr>
                <w:b/>
                <w:bCs/>
                <w:lang w:bidi="ar-EG"/>
              </w:rPr>
            </w:pPr>
          </w:p>
        </w:tc>
        <w:tc>
          <w:tcPr>
            <w:tcW w:w="3052" w:type="dxa"/>
            <w:vAlign w:val="center"/>
          </w:tcPr>
          <w:p w:rsidR="00290728" w:rsidRPr="00290728" w:rsidRDefault="00290728" w:rsidP="008353CB">
            <w:pPr>
              <w:spacing w:before="20" w:after="20" w:line="340" w:lineRule="exact"/>
              <w:rPr>
                <w:b/>
                <w:bCs/>
                <w:lang w:bidi="ar-SY"/>
              </w:rPr>
            </w:pPr>
            <w:r w:rsidRPr="00290728">
              <w:rPr>
                <w:b/>
                <w:bCs/>
                <w:rtl/>
                <w:lang w:bidi="ar-EG"/>
              </w:rPr>
              <w:t xml:space="preserve">الأصل: </w:t>
            </w:r>
            <w:r w:rsidR="008353CB">
              <w:rPr>
                <w:rFonts w:hint="cs"/>
                <w:b/>
                <w:bCs/>
                <w:rtl/>
                <w:lang w:bidi="ar-EG"/>
              </w:rPr>
              <w:t>بالإنكليزية</w:t>
            </w:r>
          </w:p>
        </w:tc>
      </w:tr>
    </w:tbl>
    <w:p w:rsidR="002E52AF" w:rsidRDefault="002E52AF" w:rsidP="002E52AF">
      <w:pPr>
        <w:pStyle w:val="DecNo"/>
        <w:rPr>
          <w:rtl/>
          <w:lang w:bidi="ar-EG"/>
        </w:rPr>
      </w:pPr>
      <w:r>
        <w:rPr>
          <w:rFonts w:hint="cs"/>
          <w:rtl/>
        </w:rPr>
        <w:t xml:space="preserve">المقرر </w:t>
      </w:r>
      <w:r>
        <w:t>613</w:t>
      </w:r>
    </w:p>
    <w:p w:rsidR="002E52AF" w:rsidRDefault="002E52AF" w:rsidP="002E52AF">
      <w:pPr>
        <w:jc w:val="center"/>
        <w:rPr>
          <w:rtl/>
          <w:lang w:bidi="ar-EG"/>
        </w:rPr>
      </w:pPr>
      <w:r>
        <w:rPr>
          <w:rFonts w:hint="cs"/>
          <w:rtl/>
          <w:lang w:bidi="ar-EG"/>
        </w:rPr>
        <w:t>(اعتُمد في الجلسة العامة التاسعة)</w:t>
      </w:r>
    </w:p>
    <w:p w:rsidR="002E52AF" w:rsidRDefault="002E52AF" w:rsidP="002E52AF">
      <w:pPr>
        <w:pStyle w:val="Dectitle"/>
        <w:rPr>
          <w:rtl/>
          <w:lang w:bidi="ar-EG"/>
        </w:rPr>
      </w:pPr>
      <w:r w:rsidRPr="00996EBE">
        <w:rPr>
          <w:rFonts w:hint="cs"/>
          <w:w w:val="110"/>
          <w:rtl/>
          <w:lang w:bidi="ar-EG"/>
        </w:rPr>
        <w:t>المراجعة العامة</w:t>
      </w:r>
      <w:r w:rsidRPr="00996EBE">
        <w:rPr>
          <w:w w:val="110"/>
          <w:rtl/>
        </w:rPr>
        <w:t xml:space="preserve"> في أعقاب </w:t>
      </w:r>
      <w:r w:rsidRPr="00996EBE">
        <w:rPr>
          <w:rFonts w:hint="cs"/>
          <w:w w:val="110"/>
          <w:rtl/>
          <w:lang w:bidi="ar-EG"/>
        </w:rPr>
        <w:t xml:space="preserve">وقوع </w:t>
      </w:r>
      <w:r w:rsidRPr="00996EBE">
        <w:rPr>
          <w:rFonts w:hint="cs"/>
          <w:w w:val="110"/>
          <w:rtl/>
        </w:rPr>
        <w:t>حالة</w:t>
      </w:r>
      <w:r w:rsidRPr="00996EBE">
        <w:rPr>
          <w:w w:val="110"/>
          <w:rtl/>
        </w:rPr>
        <w:t xml:space="preserve"> الاحتيال في مكتب إقليمي</w:t>
      </w:r>
    </w:p>
    <w:p w:rsidR="008353CB" w:rsidRPr="00436130" w:rsidRDefault="002E52AF" w:rsidP="008353CB">
      <w:pPr>
        <w:pStyle w:val="Normalaftertitle"/>
        <w:keepNext w:val="0"/>
        <w:rPr>
          <w:rtl/>
        </w:rPr>
      </w:pPr>
      <w:r>
        <w:rPr>
          <w:rFonts w:hint="cs"/>
          <w:rtl/>
        </w:rPr>
        <w:t>إن</w:t>
      </w:r>
      <w:r w:rsidR="008353CB">
        <w:rPr>
          <w:rFonts w:hint="cs"/>
          <w:rtl/>
        </w:rPr>
        <w:t xml:space="preserve"> </w:t>
      </w:r>
      <w:r w:rsidR="008353CB">
        <w:rPr>
          <w:rtl/>
        </w:rPr>
        <w:t>المجلس</w:t>
      </w:r>
      <w:r w:rsidR="008353CB">
        <w:rPr>
          <w:rFonts w:hint="cs"/>
          <w:rtl/>
        </w:rPr>
        <w:t>،</w:t>
      </w:r>
    </w:p>
    <w:p w:rsidR="008353CB" w:rsidRPr="00FE6FA2" w:rsidRDefault="008353CB" w:rsidP="008353CB">
      <w:pPr>
        <w:pStyle w:val="Call"/>
        <w:keepNext w:val="0"/>
        <w:rPr>
          <w:rtl/>
          <w:lang w:bidi="ar"/>
        </w:rPr>
      </w:pPr>
      <w:r w:rsidRPr="00FE6FA2">
        <w:rPr>
          <w:rFonts w:hint="cs"/>
          <w:rtl/>
          <w:lang w:bidi="ar"/>
        </w:rPr>
        <w:t>إذ يعبر</w:t>
      </w:r>
      <w:r w:rsidRPr="00FE6FA2">
        <w:rPr>
          <w:rtl/>
          <w:lang w:bidi="ar"/>
        </w:rPr>
        <w:t xml:space="preserve"> عن </w:t>
      </w:r>
      <w:r>
        <w:rPr>
          <w:rFonts w:hint="cs"/>
          <w:rtl/>
          <w:lang w:bidi="ar"/>
        </w:rPr>
        <w:t>قلقه</w:t>
      </w:r>
      <w:r w:rsidRPr="00FE6FA2">
        <w:rPr>
          <w:rFonts w:hint="cs"/>
          <w:rtl/>
          <w:lang w:bidi="ar"/>
        </w:rPr>
        <w:t xml:space="preserve"> العميق</w:t>
      </w:r>
    </w:p>
    <w:p w:rsidR="008353CB" w:rsidRPr="00436130" w:rsidRDefault="008353CB" w:rsidP="008353CB">
      <w:pPr>
        <w:rPr>
          <w:rFonts w:ascii="Traditional Arabic" w:hAnsi="Traditional Arabic"/>
          <w:sz w:val="30"/>
          <w:rtl/>
          <w:lang w:bidi="ar"/>
        </w:rPr>
      </w:pPr>
      <w:r w:rsidRPr="00436130">
        <w:rPr>
          <w:rFonts w:ascii="Traditional Arabic" w:hAnsi="Traditional Arabic"/>
          <w:sz w:val="30"/>
          <w:rtl/>
          <w:lang w:bidi="ar"/>
        </w:rPr>
        <w:t xml:space="preserve">فيما يتعلق بعمليات الاختلاس التي </w:t>
      </w:r>
      <w:r>
        <w:rPr>
          <w:rFonts w:ascii="Traditional Arabic" w:hAnsi="Traditional Arabic" w:hint="cs"/>
          <w:sz w:val="30"/>
          <w:rtl/>
          <w:lang w:bidi="ar"/>
        </w:rPr>
        <w:t>اكتُشفت</w:t>
      </w:r>
      <w:r>
        <w:rPr>
          <w:rFonts w:ascii="Traditional Arabic" w:hAnsi="Traditional Arabic"/>
          <w:sz w:val="30"/>
          <w:rtl/>
          <w:lang w:bidi="ar"/>
        </w:rPr>
        <w:t xml:space="preserve"> مؤخراً</w:t>
      </w:r>
      <w:r w:rsidRPr="00436130">
        <w:rPr>
          <w:rFonts w:ascii="Traditional Arabic" w:hAnsi="Traditional Arabic"/>
          <w:sz w:val="30"/>
          <w:rtl/>
          <w:lang w:bidi="ar"/>
        </w:rPr>
        <w:t>، لا</w:t>
      </w:r>
      <w:r>
        <w:rPr>
          <w:rFonts w:ascii="Traditional Arabic" w:hAnsi="Traditional Arabic" w:hint="cs"/>
          <w:sz w:val="30"/>
          <w:rtl/>
          <w:lang w:bidi="ar"/>
        </w:rPr>
        <w:t> </w:t>
      </w:r>
      <w:r w:rsidRPr="00436130">
        <w:rPr>
          <w:rFonts w:ascii="Traditional Arabic" w:hAnsi="Traditional Arabic"/>
          <w:sz w:val="30"/>
          <w:rtl/>
          <w:lang w:bidi="ar"/>
        </w:rPr>
        <w:t xml:space="preserve">سيما حجمها وسهولة ارتكابها وضعف آليات الكشف </w:t>
      </w:r>
      <w:r>
        <w:rPr>
          <w:rFonts w:ascii="Traditional Arabic" w:hAnsi="Traditional Arabic" w:hint="cs"/>
          <w:sz w:val="30"/>
          <w:rtl/>
          <w:lang w:bidi="ar"/>
        </w:rPr>
        <w:t>الموجودة</w:t>
      </w:r>
      <w:r w:rsidRPr="00436130">
        <w:rPr>
          <w:rFonts w:ascii="Traditional Arabic" w:hAnsi="Traditional Arabic"/>
          <w:sz w:val="30"/>
          <w:rtl/>
          <w:lang w:bidi="ar"/>
        </w:rPr>
        <w:t>،</w:t>
      </w:r>
    </w:p>
    <w:p w:rsidR="008353CB" w:rsidRPr="00FE6FA2" w:rsidRDefault="008353CB" w:rsidP="008353CB">
      <w:pPr>
        <w:pStyle w:val="Call"/>
        <w:keepNext w:val="0"/>
        <w:rPr>
          <w:rtl/>
          <w:lang w:bidi="ar"/>
        </w:rPr>
      </w:pPr>
      <w:r w:rsidRPr="00FE6FA2">
        <w:rPr>
          <w:rFonts w:hint="cs"/>
          <w:rtl/>
          <w:lang w:bidi="ar"/>
        </w:rPr>
        <w:t>وإذ يعترف بضرورة</w:t>
      </w:r>
    </w:p>
    <w:p w:rsidR="008353CB" w:rsidRPr="00436130" w:rsidRDefault="008353CB" w:rsidP="008353CB">
      <w:pPr>
        <w:rPr>
          <w:rFonts w:ascii="Traditional Arabic" w:hAnsi="Traditional Arabic"/>
          <w:sz w:val="30"/>
          <w:lang w:bidi="ar"/>
        </w:rPr>
      </w:pPr>
      <w:r w:rsidRPr="00436130">
        <w:rPr>
          <w:rFonts w:ascii="Traditional Arabic" w:hAnsi="Traditional Arabic"/>
          <w:sz w:val="30"/>
          <w:rtl/>
          <w:lang w:bidi="ar"/>
        </w:rPr>
        <w:t>وجود آليات رقابة و</w:t>
      </w:r>
      <w:r>
        <w:rPr>
          <w:rFonts w:ascii="Traditional Arabic" w:hAnsi="Traditional Arabic" w:hint="cs"/>
          <w:sz w:val="30"/>
          <w:rtl/>
          <w:lang w:bidi="ar"/>
        </w:rPr>
        <w:t>مراجعة</w:t>
      </w:r>
      <w:r>
        <w:rPr>
          <w:rFonts w:ascii="Traditional Arabic" w:hAnsi="Traditional Arabic"/>
          <w:sz w:val="30"/>
          <w:rtl/>
          <w:lang w:bidi="ar"/>
        </w:rPr>
        <w:t xml:space="preserve"> فع</w:t>
      </w:r>
      <w:r>
        <w:rPr>
          <w:rFonts w:ascii="Traditional Arabic" w:hAnsi="Traditional Arabic" w:hint="cs"/>
          <w:sz w:val="30"/>
          <w:rtl/>
          <w:lang w:bidi="ar"/>
        </w:rPr>
        <w:t>ّ</w:t>
      </w:r>
      <w:r>
        <w:rPr>
          <w:rFonts w:ascii="Traditional Arabic" w:hAnsi="Traditional Arabic"/>
          <w:sz w:val="30"/>
          <w:rtl/>
          <w:lang w:bidi="ar"/>
        </w:rPr>
        <w:t>الة</w:t>
      </w:r>
      <w:r>
        <w:rPr>
          <w:rFonts w:ascii="Traditional Arabic" w:hAnsi="Traditional Arabic" w:hint="cs"/>
          <w:sz w:val="30"/>
          <w:rtl/>
          <w:lang w:bidi="ar"/>
        </w:rPr>
        <w:t xml:space="preserve"> وأنظمة فعّالة فيما يتعلق بالأشخاص </w:t>
      </w:r>
      <w:r>
        <w:rPr>
          <w:rFonts w:ascii="Traditional Arabic" w:hAnsi="Traditional Arabic"/>
          <w:sz w:val="30"/>
          <w:rtl/>
          <w:lang w:bidi="ar"/>
        </w:rPr>
        <w:t>و</w:t>
      </w:r>
      <w:r>
        <w:rPr>
          <w:rFonts w:ascii="Traditional Arabic" w:hAnsi="Traditional Arabic" w:hint="cs"/>
          <w:sz w:val="30"/>
          <w:rtl/>
          <w:lang w:bidi="ar"/>
        </w:rPr>
        <w:t>ال</w:t>
      </w:r>
      <w:r>
        <w:rPr>
          <w:rFonts w:ascii="Traditional Arabic" w:hAnsi="Traditional Arabic"/>
          <w:sz w:val="30"/>
          <w:rtl/>
          <w:lang w:bidi="ar"/>
        </w:rPr>
        <w:t>عمليات والسياسات والإجراءات</w:t>
      </w:r>
      <w:r w:rsidRPr="00436130">
        <w:rPr>
          <w:rFonts w:ascii="Traditional Arabic" w:hAnsi="Traditional Arabic"/>
          <w:sz w:val="30"/>
          <w:rtl/>
          <w:lang w:bidi="ar"/>
        </w:rPr>
        <w:t>، وتفويض واضح للس</w:t>
      </w:r>
      <w:r>
        <w:rPr>
          <w:rFonts w:ascii="Traditional Arabic" w:hAnsi="Traditional Arabic"/>
          <w:sz w:val="30"/>
          <w:rtl/>
          <w:lang w:bidi="ar"/>
        </w:rPr>
        <w:t>لطة في</w:t>
      </w:r>
      <w:r>
        <w:rPr>
          <w:rFonts w:ascii="Traditional Arabic" w:hAnsi="Traditional Arabic" w:hint="cs"/>
          <w:sz w:val="30"/>
          <w:rtl/>
          <w:lang w:bidi="ar"/>
        </w:rPr>
        <w:t> </w:t>
      </w:r>
      <w:r>
        <w:rPr>
          <w:rFonts w:ascii="Traditional Arabic" w:hAnsi="Traditional Arabic"/>
          <w:sz w:val="30"/>
          <w:rtl/>
          <w:lang w:bidi="ar"/>
        </w:rPr>
        <w:t>جميع العمليات والموافقات</w:t>
      </w:r>
      <w:r w:rsidRPr="00436130">
        <w:rPr>
          <w:rFonts w:ascii="Traditional Arabic" w:hAnsi="Traditional Arabic"/>
          <w:sz w:val="30"/>
          <w:rtl/>
          <w:lang w:bidi="ar"/>
        </w:rPr>
        <w:t xml:space="preserve">، من أجل تمكين اتخاذ الإجراء المناسب في الوقت المناسب لمعالجة </w:t>
      </w:r>
      <w:r>
        <w:rPr>
          <w:rFonts w:ascii="Traditional Arabic" w:hAnsi="Traditional Arabic" w:hint="cs"/>
          <w:sz w:val="30"/>
          <w:rtl/>
          <w:lang w:bidi="ar"/>
        </w:rPr>
        <w:t xml:space="preserve">مثل هذه </w:t>
      </w:r>
      <w:r>
        <w:rPr>
          <w:rFonts w:ascii="Traditional Arabic" w:hAnsi="Traditional Arabic"/>
          <w:sz w:val="30"/>
          <w:rtl/>
          <w:lang w:bidi="ar"/>
        </w:rPr>
        <w:t>الشواغل</w:t>
      </w:r>
      <w:r w:rsidRPr="00436130">
        <w:rPr>
          <w:rFonts w:ascii="Traditional Arabic" w:hAnsi="Traditional Arabic"/>
          <w:sz w:val="30"/>
          <w:rtl/>
          <w:lang w:bidi="ar"/>
        </w:rPr>
        <w:t>، بما في ذلك من خلال أ</w:t>
      </w:r>
      <w:r>
        <w:rPr>
          <w:rFonts w:ascii="Traditional Arabic" w:hAnsi="Traditional Arabic"/>
          <w:sz w:val="30"/>
          <w:rtl/>
          <w:lang w:bidi="ar"/>
        </w:rPr>
        <w:t xml:space="preserve">فضل الممارسات التي </w:t>
      </w:r>
      <w:r>
        <w:rPr>
          <w:rFonts w:ascii="Traditional Arabic" w:hAnsi="Traditional Arabic" w:hint="cs"/>
          <w:sz w:val="30"/>
          <w:rtl/>
          <w:lang w:bidi="ar"/>
        </w:rPr>
        <w:t xml:space="preserve">تعبر عن </w:t>
      </w:r>
      <w:r w:rsidRPr="00436130">
        <w:rPr>
          <w:rFonts w:ascii="Traditional Arabic" w:hAnsi="Traditional Arabic"/>
          <w:sz w:val="30"/>
          <w:rtl/>
          <w:lang w:bidi="ar"/>
        </w:rPr>
        <w:t xml:space="preserve">استقلال عملية </w:t>
      </w:r>
      <w:r w:rsidRPr="00436130">
        <w:rPr>
          <w:rFonts w:ascii="Traditional Arabic" w:hAnsi="Traditional Arabic" w:hint="cs"/>
          <w:sz w:val="30"/>
          <w:rtl/>
          <w:lang w:bidi="ar"/>
        </w:rPr>
        <w:t>التحقيق،</w:t>
      </w:r>
      <w:r w:rsidRPr="00436130">
        <w:rPr>
          <w:rFonts w:ascii="Traditional Arabic" w:hAnsi="Traditional Arabic"/>
          <w:sz w:val="30"/>
          <w:rtl/>
          <w:lang w:bidi="ar"/>
        </w:rPr>
        <w:t xml:space="preserve"> </w:t>
      </w:r>
      <w:r>
        <w:rPr>
          <w:rFonts w:ascii="Traditional Arabic" w:hAnsi="Traditional Arabic" w:hint="cs"/>
          <w:sz w:val="30"/>
          <w:rtl/>
          <w:lang w:bidi="ar"/>
        </w:rPr>
        <w:t>و</w:t>
      </w:r>
      <w:r w:rsidRPr="00436130">
        <w:rPr>
          <w:rFonts w:ascii="Traditional Arabic" w:hAnsi="Traditional Arabic"/>
          <w:sz w:val="30"/>
          <w:rtl/>
          <w:lang w:bidi="ar"/>
        </w:rPr>
        <w:t xml:space="preserve">وظائف </w:t>
      </w:r>
      <w:r>
        <w:rPr>
          <w:rFonts w:ascii="Traditional Arabic" w:hAnsi="Traditional Arabic" w:hint="cs"/>
          <w:sz w:val="30"/>
          <w:rtl/>
          <w:lang w:bidi="ar"/>
        </w:rPr>
        <w:t>الأخلاقيات</w:t>
      </w:r>
      <w:r>
        <w:rPr>
          <w:rFonts w:ascii="Traditional Arabic" w:hAnsi="Traditional Arabic"/>
          <w:sz w:val="30"/>
          <w:rtl/>
          <w:lang w:bidi="ar"/>
        </w:rPr>
        <w:t xml:space="preserve"> القوية</w:t>
      </w:r>
      <w:r w:rsidRPr="00436130">
        <w:rPr>
          <w:rFonts w:ascii="Traditional Arabic" w:hAnsi="Traditional Arabic"/>
          <w:sz w:val="30"/>
          <w:rtl/>
          <w:lang w:bidi="ar"/>
        </w:rPr>
        <w:t xml:space="preserve">، وثقافة الشركات التي تشجع على تحديد أوجه القصور المؤسسية </w:t>
      </w:r>
      <w:r>
        <w:rPr>
          <w:rFonts w:ascii="Traditional Arabic" w:hAnsi="Traditional Arabic" w:hint="cs"/>
          <w:sz w:val="30"/>
          <w:rtl/>
          <w:lang w:bidi="ar"/>
        </w:rPr>
        <w:t>ومعالجتها</w:t>
      </w:r>
      <w:r w:rsidRPr="00436130">
        <w:rPr>
          <w:rFonts w:ascii="Traditional Arabic" w:hAnsi="Traditional Arabic"/>
          <w:sz w:val="30"/>
          <w:rtl/>
          <w:lang w:bidi="ar"/>
        </w:rPr>
        <w:t>،</w:t>
      </w:r>
    </w:p>
    <w:p w:rsidR="008353CB" w:rsidRPr="00FE6FA2" w:rsidRDefault="008353CB" w:rsidP="008353CB">
      <w:pPr>
        <w:pStyle w:val="Call"/>
        <w:keepNext w:val="0"/>
        <w:rPr>
          <w:rtl/>
          <w:lang w:bidi="ar"/>
        </w:rPr>
      </w:pPr>
      <w:r w:rsidRPr="00FE6FA2">
        <w:rPr>
          <w:rFonts w:hint="cs"/>
          <w:rtl/>
          <w:lang w:bidi="ar"/>
        </w:rPr>
        <w:t>وإذ يدرك</w:t>
      </w:r>
    </w:p>
    <w:p w:rsidR="008353CB" w:rsidRPr="00436130" w:rsidRDefault="008353CB" w:rsidP="008353CB">
      <w:pPr>
        <w:rPr>
          <w:rFonts w:ascii="Traditional Arabic" w:hAnsi="Traditional Arabic"/>
          <w:sz w:val="30"/>
          <w:rtl/>
          <w:lang w:bidi="ar"/>
        </w:rPr>
      </w:pPr>
      <w:r w:rsidRPr="00436130">
        <w:rPr>
          <w:rFonts w:ascii="Traditional Arabic" w:hAnsi="Traditional Arabic"/>
          <w:sz w:val="30"/>
          <w:rtl/>
          <w:lang w:bidi="ar"/>
        </w:rPr>
        <w:t xml:space="preserve">التزام </w:t>
      </w:r>
      <w:r>
        <w:rPr>
          <w:rFonts w:ascii="Traditional Arabic" w:hAnsi="Traditional Arabic"/>
          <w:sz w:val="30"/>
          <w:rtl/>
          <w:lang w:bidi="ar"/>
        </w:rPr>
        <w:t>موظفي الاتحاد</w:t>
      </w:r>
      <w:r w:rsidRPr="00436130">
        <w:rPr>
          <w:rFonts w:ascii="Traditional Arabic" w:hAnsi="Traditional Arabic"/>
          <w:sz w:val="30"/>
          <w:rtl/>
          <w:lang w:bidi="ar"/>
        </w:rPr>
        <w:t xml:space="preserve"> و</w:t>
      </w:r>
      <w:r>
        <w:rPr>
          <w:rFonts w:ascii="Traditional Arabic" w:hAnsi="Traditional Arabic" w:hint="cs"/>
          <w:sz w:val="30"/>
          <w:rtl/>
          <w:lang w:bidi="ar"/>
        </w:rPr>
        <w:t>جودة</w:t>
      </w:r>
      <w:r>
        <w:rPr>
          <w:rFonts w:ascii="Traditional Arabic" w:hAnsi="Traditional Arabic"/>
          <w:sz w:val="30"/>
          <w:rtl/>
          <w:lang w:bidi="ar"/>
        </w:rPr>
        <w:t xml:space="preserve"> </w:t>
      </w:r>
      <w:r>
        <w:rPr>
          <w:rFonts w:ascii="Traditional Arabic" w:hAnsi="Traditional Arabic" w:hint="cs"/>
          <w:sz w:val="30"/>
          <w:rtl/>
          <w:lang w:bidi="ar"/>
        </w:rPr>
        <w:t>عملهم</w:t>
      </w:r>
      <w:r>
        <w:rPr>
          <w:rFonts w:ascii="Traditional Arabic" w:hAnsi="Traditional Arabic"/>
          <w:sz w:val="30"/>
          <w:rtl/>
          <w:lang w:bidi="ar"/>
        </w:rPr>
        <w:t xml:space="preserve"> ونزاه</w:t>
      </w:r>
      <w:r>
        <w:rPr>
          <w:rFonts w:ascii="Traditional Arabic" w:hAnsi="Traditional Arabic" w:hint="cs"/>
          <w:sz w:val="30"/>
          <w:rtl/>
          <w:lang w:bidi="ar"/>
        </w:rPr>
        <w:t>تهم</w:t>
      </w:r>
      <w:r w:rsidRPr="00436130">
        <w:rPr>
          <w:rFonts w:ascii="Traditional Arabic" w:hAnsi="Traditional Arabic"/>
          <w:sz w:val="30"/>
          <w:rtl/>
          <w:lang w:bidi="ar"/>
        </w:rPr>
        <w:t>،</w:t>
      </w:r>
    </w:p>
    <w:p w:rsidR="008353CB" w:rsidRPr="00FE6FA2" w:rsidRDefault="008353CB" w:rsidP="008353CB">
      <w:pPr>
        <w:pStyle w:val="Call"/>
        <w:keepNext w:val="0"/>
        <w:rPr>
          <w:rtl/>
          <w:lang w:bidi="ar"/>
        </w:rPr>
      </w:pPr>
      <w:r w:rsidRPr="00FE6FA2">
        <w:rPr>
          <w:rFonts w:hint="cs"/>
          <w:rtl/>
          <w:lang w:bidi="ar"/>
        </w:rPr>
        <w:t>وإذ يدرك كذلك</w:t>
      </w:r>
    </w:p>
    <w:p w:rsidR="008353CB" w:rsidRPr="00436130" w:rsidRDefault="008353CB" w:rsidP="008353CB">
      <w:pPr>
        <w:rPr>
          <w:rFonts w:ascii="Traditional Arabic" w:hAnsi="Traditional Arabic"/>
          <w:sz w:val="30"/>
          <w:rtl/>
          <w:lang w:bidi="ar"/>
        </w:rPr>
      </w:pPr>
      <w:r>
        <w:rPr>
          <w:rFonts w:ascii="Traditional Arabic" w:hAnsi="Traditional Arabic" w:hint="cs"/>
          <w:sz w:val="30"/>
          <w:rtl/>
          <w:lang w:bidi="ar"/>
        </w:rPr>
        <w:t>أن سلوك المب</w:t>
      </w:r>
      <w:r w:rsidRPr="00436130">
        <w:rPr>
          <w:rFonts w:ascii="Traditional Arabic" w:hAnsi="Traditional Arabic"/>
          <w:sz w:val="30"/>
          <w:rtl/>
          <w:lang w:bidi="ar"/>
        </w:rPr>
        <w:t>لغ عن المخالفات سمح بالكشف عن حا</w:t>
      </w:r>
      <w:r>
        <w:rPr>
          <w:rFonts w:ascii="Traditional Arabic" w:hAnsi="Traditional Arabic"/>
          <w:sz w:val="30"/>
          <w:rtl/>
          <w:lang w:bidi="ar"/>
        </w:rPr>
        <w:t>لات الاختلاس هذه</w:t>
      </w:r>
      <w:r w:rsidRPr="00436130">
        <w:rPr>
          <w:rFonts w:ascii="Traditional Arabic" w:hAnsi="Traditional Arabic"/>
          <w:sz w:val="30"/>
          <w:rtl/>
          <w:lang w:bidi="ar"/>
        </w:rPr>
        <w:t>، وأن</w:t>
      </w:r>
      <w:r>
        <w:rPr>
          <w:rFonts w:ascii="Traditional Arabic" w:hAnsi="Traditional Arabic" w:hint="cs"/>
          <w:sz w:val="30"/>
          <w:rtl/>
          <w:lang w:bidi="ar"/>
        </w:rPr>
        <w:t>ه يتعين</w:t>
      </w:r>
      <w:r w:rsidRPr="00436130">
        <w:rPr>
          <w:rFonts w:ascii="Traditional Arabic" w:hAnsi="Traditional Arabic"/>
          <w:sz w:val="30"/>
          <w:rtl/>
          <w:lang w:bidi="ar"/>
        </w:rPr>
        <w:t xml:space="preserve"> اتخاذ المزيد من الإجراءات لتعزيز حماية </w:t>
      </w:r>
      <w:r>
        <w:rPr>
          <w:rFonts w:ascii="Traditional Arabic" w:hAnsi="Traditional Arabic" w:hint="cs"/>
          <w:sz w:val="30"/>
          <w:rtl/>
          <w:lang w:bidi="ar"/>
        </w:rPr>
        <w:t>المبلغين</w:t>
      </w:r>
      <w:r>
        <w:rPr>
          <w:rFonts w:ascii="Traditional Arabic" w:hAnsi="Traditional Arabic"/>
          <w:sz w:val="30"/>
          <w:rtl/>
          <w:lang w:bidi="ar"/>
        </w:rPr>
        <w:t xml:space="preserve"> في المنظمة</w:t>
      </w:r>
      <w:r w:rsidRPr="00436130">
        <w:rPr>
          <w:rFonts w:ascii="Traditional Arabic" w:hAnsi="Traditional Arabic"/>
          <w:sz w:val="30"/>
          <w:rtl/>
          <w:lang w:bidi="ar"/>
        </w:rPr>
        <w:t>،</w:t>
      </w:r>
    </w:p>
    <w:p w:rsidR="008353CB" w:rsidRPr="008A0CC3" w:rsidRDefault="008353CB" w:rsidP="008353CB">
      <w:pPr>
        <w:pStyle w:val="Call"/>
        <w:keepNext w:val="0"/>
        <w:rPr>
          <w:rtl/>
          <w:lang w:bidi="ar"/>
        </w:rPr>
      </w:pPr>
      <w:r w:rsidRPr="008A0CC3">
        <w:rPr>
          <w:rFonts w:hint="cs"/>
          <w:rtl/>
          <w:lang w:bidi="ar"/>
        </w:rPr>
        <w:t>وإذ يعرب</w:t>
      </w:r>
      <w:r w:rsidRPr="008A0CC3">
        <w:rPr>
          <w:rtl/>
          <w:lang w:bidi="ar"/>
        </w:rPr>
        <w:t xml:space="preserve"> عن امتنانه</w:t>
      </w:r>
    </w:p>
    <w:p w:rsidR="008353CB" w:rsidRPr="00436130" w:rsidRDefault="008353CB" w:rsidP="008353CB">
      <w:pPr>
        <w:rPr>
          <w:rFonts w:ascii="Traditional Arabic" w:hAnsi="Traditional Arabic"/>
          <w:sz w:val="30"/>
          <w:rtl/>
          <w:lang w:bidi="ar"/>
        </w:rPr>
      </w:pPr>
      <w:r w:rsidRPr="002E52AF">
        <w:rPr>
          <w:rFonts w:ascii="Traditional Arabic" w:hAnsi="Traditional Arabic" w:hint="cs"/>
          <w:sz w:val="30"/>
          <w:rtl/>
          <w:lang w:bidi="ar"/>
        </w:rPr>
        <w:t>ل</w:t>
      </w:r>
      <w:r w:rsidRPr="002E52AF">
        <w:rPr>
          <w:rFonts w:ascii="Traditional Arabic" w:hAnsi="Traditional Arabic"/>
          <w:sz w:val="30"/>
          <w:rtl/>
          <w:lang w:bidi="ar"/>
        </w:rPr>
        <w:t xml:space="preserve">حكومة مملكة تايلاند لاستعدادها للمساعدة في إجراء مزيد من التحقيقات </w:t>
      </w:r>
      <w:r w:rsidRPr="002E52AF">
        <w:rPr>
          <w:rFonts w:ascii="Traditional Arabic" w:hAnsi="Traditional Arabic" w:hint="cs"/>
          <w:sz w:val="30"/>
          <w:rtl/>
          <w:lang w:bidi="ar"/>
        </w:rPr>
        <w:t>بشأن</w:t>
      </w:r>
      <w:r w:rsidRPr="002E52AF">
        <w:rPr>
          <w:rFonts w:ascii="Traditional Arabic" w:hAnsi="Traditional Arabic"/>
          <w:sz w:val="30"/>
          <w:rtl/>
          <w:lang w:bidi="ar"/>
        </w:rPr>
        <w:t xml:space="preserve"> سوء السلوك الذي </w:t>
      </w:r>
      <w:r w:rsidRPr="002E52AF">
        <w:rPr>
          <w:rFonts w:ascii="Traditional Arabic" w:hAnsi="Traditional Arabic" w:hint="cs"/>
          <w:sz w:val="30"/>
          <w:rtl/>
          <w:lang w:bidi="ar"/>
        </w:rPr>
        <w:t>اكتُشف</w:t>
      </w:r>
      <w:r w:rsidRPr="002E52AF">
        <w:rPr>
          <w:rFonts w:ascii="Traditional Arabic" w:hAnsi="Traditional Arabic"/>
          <w:sz w:val="30"/>
          <w:rtl/>
          <w:lang w:bidi="ar"/>
        </w:rPr>
        <w:t xml:space="preserve"> مؤخرا</w:t>
      </w:r>
      <w:r w:rsidRPr="002E52AF">
        <w:rPr>
          <w:rFonts w:ascii="Traditional Arabic" w:hAnsi="Traditional Arabic" w:hint="cs"/>
          <w:sz w:val="30"/>
          <w:rtl/>
          <w:lang w:bidi="ar"/>
        </w:rPr>
        <w:t>ً</w:t>
      </w:r>
      <w:r w:rsidRPr="002E52AF">
        <w:rPr>
          <w:rFonts w:ascii="Traditional Arabic" w:hAnsi="Traditional Arabic"/>
          <w:sz w:val="30"/>
          <w:rtl/>
          <w:lang w:bidi="ar"/>
        </w:rPr>
        <w:t xml:space="preserve"> في</w:t>
      </w:r>
      <w:r w:rsidRPr="002E52AF">
        <w:rPr>
          <w:rFonts w:ascii="Traditional Arabic" w:hAnsi="Traditional Arabic" w:hint="cs"/>
          <w:sz w:val="30"/>
          <w:rtl/>
          <w:lang w:bidi="ar"/>
        </w:rPr>
        <w:t> </w:t>
      </w:r>
      <w:r w:rsidRPr="002E52AF">
        <w:rPr>
          <w:rFonts w:ascii="Traditional Arabic" w:hAnsi="Traditional Arabic"/>
          <w:sz w:val="30"/>
          <w:rtl/>
          <w:lang w:bidi="ar"/>
        </w:rPr>
        <w:t>المكتب الإقليمي لآسيا والمحيط الهادئ</w:t>
      </w:r>
      <w:r w:rsidR="002E52AF" w:rsidRPr="002E52AF">
        <w:rPr>
          <w:rFonts w:ascii="Traditional Arabic" w:hAnsi="Traditional Arabic" w:hint="cs"/>
          <w:sz w:val="30"/>
          <w:rtl/>
          <w:lang w:bidi="ar"/>
        </w:rPr>
        <w:t xml:space="preserve"> التابع للاتحاد</w:t>
      </w:r>
      <w:r w:rsidRPr="00436130">
        <w:rPr>
          <w:rFonts w:ascii="Traditional Arabic" w:hAnsi="Traditional Arabic"/>
          <w:sz w:val="30"/>
          <w:rtl/>
          <w:lang w:bidi="ar"/>
        </w:rPr>
        <w:t>،</w:t>
      </w:r>
    </w:p>
    <w:p w:rsidR="008353CB" w:rsidRPr="008A0CC3" w:rsidRDefault="008353CB" w:rsidP="008353CB">
      <w:pPr>
        <w:pStyle w:val="Call"/>
        <w:keepLines/>
        <w:rPr>
          <w:rtl/>
          <w:lang w:bidi="ar"/>
        </w:rPr>
      </w:pPr>
      <w:r w:rsidRPr="008A0CC3">
        <w:rPr>
          <w:rFonts w:hint="cs"/>
          <w:rtl/>
          <w:lang w:bidi="ar"/>
        </w:rPr>
        <w:t>وإذ يذك</w:t>
      </w:r>
      <w:r>
        <w:rPr>
          <w:rFonts w:hint="cs"/>
          <w:rtl/>
          <w:lang w:bidi="ar"/>
        </w:rPr>
        <w:t>ّ</w:t>
      </w:r>
      <w:r w:rsidRPr="008A0CC3">
        <w:rPr>
          <w:rFonts w:hint="cs"/>
          <w:rtl/>
          <w:lang w:bidi="ar"/>
        </w:rPr>
        <w:t>ر</w:t>
      </w:r>
    </w:p>
    <w:p w:rsidR="008353CB" w:rsidRDefault="008353CB" w:rsidP="008353CB">
      <w:pPr>
        <w:rPr>
          <w:rFonts w:ascii="Traditional Arabic" w:hAnsi="Traditional Arabic"/>
          <w:sz w:val="30"/>
          <w:rtl/>
          <w:lang w:bidi="ar"/>
        </w:rPr>
      </w:pPr>
      <w:r>
        <w:rPr>
          <w:rFonts w:ascii="Traditional Arabic" w:hAnsi="Traditional Arabic" w:hint="cs"/>
          <w:sz w:val="30"/>
          <w:rtl/>
          <w:lang w:bidi="ar"/>
        </w:rPr>
        <w:t>ب</w:t>
      </w:r>
      <w:r>
        <w:rPr>
          <w:rFonts w:ascii="Traditional Arabic" w:hAnsi="Traditional Arabic"/>
          <w:sz w:val="30"/>
          <w:rtl/>
          <w:lang w:bidi="ar"/>
        </w:rPr>
        <w:t xml:space="preserve">أن سمعة الاتحاد </w:t>
      </w:r>
      <w:r>
        <w:rPr>
          <w:rFonts w:ascii="Traditional Arabic" w:hAnsi="Traditional Arabic" w:hint="cs"/>
          <w:sz w:val="30"/>
          <w:rtl/>
          <w:lang w:bidi="ar"/>
        </w:rPr>
        <w:t>فيما يتعلق بالإدارة</w:t>
      </w:r>
      <w:r w:rsidRPr="00436130">
        <w:rPr>
          <w:rFonts w:ascii="Traditional Arabic" w:hAnsi="Traditional Arabic"/>
          <w:sz w:val="30"/>
          <w:rtl/>
          <w:lang w:bidi="ar"/>
        </w:rPr>
        <w:t xml:space="preserve"> المتقنة والحذ</w:t>
      </w:r>
      <w:r>
        <w:rPr>
          <w:rFonts w:ascii="Traditional Arabic" w:hAnsi="Traditional Arabic"/>
          <w:sz w:val="30"/>
          <w:rtl/>
          <w:lang w:bidi="ar"/>
        </w:rPr>
        <w:t>رة والفع</w:t>
      </w:r>
      <w:r>
        <w:rPr>
          <w:rFonts w:ascii="Traditional Arabic" w:hAnsi="Traditional Arabic" w:hint="cs"/>
          <w:sz w:val="30"/>
          <w:rtl/>
          <w:lang w:bidi="ar"/>
        </w:rPr>
        <w:t>ّ</w:t>
      </w:r>
      <w:r>
        <w:rPr>
          <w:rFonts w:ascii="Traditional Arabic" w:hAnsi="Traditional Arabic"/>
          <w:sz w:val="30"/>
          <w:rtl/>
          <w:lang w:bidi="ar"/>
        </w:rPr>
        <w:t xml:space="preserve">الة للأموال التي </w:t>
      </w:r>
      <w:r>
        <w:rPr>
          <w:rFonts w:ascii="Traditional Arabic" w:hAnsi="Traditional Arabic" w:hint="cs"/>
          <w:sz w:val="30"/>
          <w:rtl/>
          <w:lang w:bidi="ar"/>
        </w:rPr>
        <w:t xml:space="preserve">وضعها الأعضاء المساهمون </w:t>
      </w:r>
      <w:r w:rsidRPr="00436130">
        <w:rPr>
          <w:rFonts w:ascii="Traditional Arabic" w:hAnsi="Traditional Arabic"/>
          <w:sz w:val="30"/>
          <w:rtl/>
          <w:lang w:bidi="ar"/>
        </w:rPr>
        <w:t xml:space="preserve">والجهات المانحة </w:t>
      </w:r>
      <w:r>
        <w:rPr>
          <w:rFonts w:ascii="Traditional Arabic" w:hAnsi="Traditional Arabic" w:hint="cs"/>
          <w:sz w:val="30"/>
          <w:rtl/>
          <w:lang w:bidi="ar"/>
        </w:rPr>
        <w:t>تحت تصرفه تحظى بأهمية قصوى</w:t>
      </w:r>
      <w:r w:rsidRPr="00436130">
        <w:rPr>
          <w:rFonts w:ascii="Traditional Arabic" w:hAnsi="Traditional Arabic"/>
          <w:sz w:val="30"/>
          <w:rtl/>
          <w:lang w:bidi="ar"/>
        </w:rPr>
        <w:t>،</w:t>
      </w:r>
    </w:p>
    <w:p w:rsidR="008353CB" w:rsidRPr="008A0CC3" w:rsidRDefault="008353CB" w:rsidP="008353CB">
      <w:pPr>
        <w:pStyle w:val="Call"/>
        <w:rPr>
          <w:rtl/>
          <w:lang w:bidi="ar"/>
        </w:rPr>
      </w:pPr>
      <w:r w:rsidRPr="008A0CC3">
        <w:rPr>
          <w:rFonts w:hint="cs"/>
          <w:rtl/>
          <w:lang w:bidi="ar"/>
        </w:rPr>
        <w:lastRenderedPageBreak/>
        <w:t>وقد نظر في</w:t>
      </w:r>
    </w:p>
    <w:p w:rsidR="008353CB" w:rsidRPr="007C3BC3" w:rsidRDefault="008353CB" w:rsidP="002E52AF">
      <w:pPr>
        <w:rPr>
          <w:rtl/>
          <w:lang w:bidi="ar-EG"/>
        </w:rPr>
      </w:pPr>
      <w:r w:rsidRPr="007C3BC3">
        <w:rPr>
          <w:rtl/>
          <w:lang w:bidi="ar"/>
        </w:rPr>
        <w:t xml:space="preserve">التقرير الخاص والتوصيات الصادرة عن </w:t>
      </w:r>
      <w:r w:rsidRPr="007C3BC3">
        <w:rPr>
          <w:rFonts w:hint="cs"/>
          <w:rtl/>
          <w:lang w:bidi="ar"/>
        </w:rPr>
        <w:t>مراجع الحسابات</w:t>
      </w:r>
      <w:r w:rsidRPr="007C3BC3">
        <w:rPr>
          <w:rtl/>
          <w:lang w:bidi="ar"/>
        </w:rPr>
        <w:t xml:space="preserve"> الخارجي لمعالجة </w:t>
      </w:r>
      <w:r w:rsidRPr="007C3BC3">
        <w:rPr>
          <w:rFonts w:hint="cs"/>
          <w:rtl/>
          <w:lang w:bidi="ar"/>
        </w:rPr>
        <w:t>حالة</w:t>
      </w:r>
      <w:r w:rsidRPr="007C3BC3">
        <w:rPr>
          <w:rtl/>
          <w:lang w:bidi="ar"/>
        </w:rPr>
        <w:t xml:space="preserve"> الاحتيال في الاتحاد الدولي للاتصالات (الوثيقة</w:t>
      </w:r>
      <w:r>
        <w:rPr>
          <w:rFonts w:hint="cs"/>
          <w:rtl/>
          <w:lang w:bidi="ar"/>
        </w:rPr>
        <w:t> </w:t>
      </w:r>
      <w:hyperlink r:id="rId9" w:history="1">
        <w:r w:rsidRPr="007C3BC3">
          <w:rPr>
            <w:rStyle w:val="Hyperlink"/>
            <w:rFonts w:cstheme="minorHAnsi"/>
            <w:spacing w:val="-4"/>
          </w:rPr>
          <w:t>C19/106</w:t>
        </w:r>
      </w:hyperlink>
      <w:r w:rsidRPr="007C3BC3">
        <w:rPr>
          <w:rtl/>
          <w:lang w:bidi="ar"/>
        </w:rPr>
        <w:t xml:space="preserve">، </w:t>
      </w:r>
      <w:r w:rsidRPr="007C3BC3">
        <w:rPr>
          <w:rFonts w:hint="cs"/>
          <w:rtl/>
          <w:lang w:bidi="ar"/>
        </w:rPr>
        <w:t>و</w:t>
      </w:r>
      <w:r w:rsidRPr="007C3BC3">
        <w:rPr>
          <w:rtl/>
          <w:lang w:bidi="ar"/>
        </w:rPr>
        <w:t xml:space="preserve">رد الأمين العام والوثيقة </w:t>
      </w:r>
      <w:hyperlink r:id="rId10" w:history="1">
        <w:r w:rsidRPr="007C3BC3">
          <w:rPr>
            <w:rStyle w:val="Hyperlink"/>
            <w:rFonts w:cstheme="minorHAnsi"/>
            <w:spacing w:val="-4"/>
          </w:rPr>
          <w:t>C19/</w:t>
        </w:r>
        <w:r w:rsidRPr="007C3BC3">
          <w:rPr>
            <w:rStyle w:val="Hyperlink"/>
            <w:rFonts w:cstheme="minorHAnsi" w:hint="cs"/>
            <w:spacing w:val="-4"/>
          </w:rPr>
          <w:t>108</w:t>
        </w:r>
      </w:hyperlink>
      <w:r w:rsidRPr="007C3BC3">
        <w:rPr>
          <w:rtl/>
          <w:lang w:bidi="ar"/>
        </w:rPr>
        <w:t xml:space="preserve">)، بما في ذلك جميع </w:t>
      </w:r>
      <w:r w:rsidRPr="007C3BC3">
        <w:rPr>
          <w:rFonts w:hint="cs"/>
          <w:rtl/>
          <w:lang w:bidi="ar"/>
        </w:rPr>
        <w:t>ال</w:t>
      </w:r>
      <w:r w:rsidRPr="007C3BC3">
        <w:rPr>
          <w:rtl/>
          <w:lang w:bidi="ar"/>
        </w:rPr>
        <w:t>توصيات</w:t>
      </w:r>
      <w:r w:rsidRPr="007C3BC3">
        <w:rPr>
          <w:rFonts w:hint="cs"/>
          <w:rtl/>
          <w:lang w:bidi="ar"/>
        </w:rPr>
        <w:t xml:space="preserve"> المتعلقة</w:t>
      </w:r>
      <w:r w:rsidRPr="007C3BC3">
        <w:rPr>
          <w:rtl/>
          <w:lang w:bidi="ar"/>
        </w:rPr>
        <w:t xml:space="preserve"> </w:t>
      </w:r>
      <w:r w:rsidRPr="007C3BC3">
        <w:rPr>
          <w:rFonts w:hint="cs"/>
          <w:rtl/>
          <w:lang w:bidi="ar"/>
        </w:rPr>
        <w:t>ب</w:t>
      </w:r>
      <w:r w:rsidRPr="007C3BC3">
        <w:rPr>
          <w:rtl/>
          <w:lang w:bidi="ar"/>
        </w:rPr>
        <w:t xml:space="preserve">المراجعة، وخاصة </w:t>
      </w:r>
      <w:r w:rsidR="002E52AF">
        <w:rPr>
          <w:rFonts w:hint="cs"/>
          <w:rtl/>
          <w:lang w:bidi="ar"/>
        </w:rPr>
        <w:t>التوصيتان</w:t>
      </w:r>
      <w:r>
        <w:rPr>
          <w:rFonts w:hint="cs"/>
          <w:rtl/>
          <w:lang w:bidi="ar"/>
        </w:rPr>
        <w:t> </w:t>
      </w:r>
      <w:r w:rsidRPr="007C3BC3">
        <w:rPr>
          <w:rFonts w:cstheme="minorHAnsi"/>
          <w:lang w:bidi="ar"/>
        </w:rPr>
        <w:t>9</w:t>
      </w:r>
      <w:r w:rsidRPr="007C3BC3">
        <w:rPr>
          <w:rtl/>
          <w:lang w:bidi="ar"/>
        </w:rPr>
        <w:t xml:space="preserve"> و</w:t>
      </w:r>
      <w:r w:rsidRPr="007C3BC3">
        <w:rPr>
          <w:rFonts w:cstheme="minorHAnsi"/>
          <w:lang w:bidi="ar"/>
        </w:rPr>
        <w:t>11</w:t>
      </w:r>
      <w:r w:rsidRPr="007C3BC3">
        <w:rPr>
          <w:rFonts w:cstheme="minorHAnsi" w:hint="cs"/>
          <w:rtl/>
          <w:lang w:bidi="ar"/>
        </w:rPr>
        <w:t xml:space="preserve"> </w:t>
      </w:r>
      <w:r w:rsidRPr="007C3BC3">
        <w:rPr>
          <w:rtl/>
          <w:lang w:bidi="ar"/>
        </w:rPr>
        <w:t>والنقطة الرابعة في الملخص التنفيذي</w:t>
      </w:r>
      <w:r w:rsidR="00BF31C0">
        <w:rPr>
          <w:rFonts w:hint="cs"/>
          <w:rtl/>
          <w:lang w:bidi="ar"/>
        </w:rPr>
        <w:t xml:space="preserve"> </w:t>
      </w:r>
      <w:r w:rsidR="002E52AF">
        <w:rPr>
          <w:rFonts w:hint="cs"/>
          <w:rtl/>
          <w:lang w:bidi="ar"/>
        </w:rPr>
        <w:t xml:space="preserve">في الوثيقة </w:t>
      </w:r>
      <w:r w:rsidR="002E52AF" w:rsidRPr="002E52AF">
        <w:rPr>
          <w:lang w:bidi="ar"/>
        </w:rPr>
        <w:t>C19/106</w:t>
      </w:r>
      <w:r w:rsidRPr="007C3BC3">
        <w:rPr>
          <w:rtl/>
          <w:lang w:bidi="ar"/>
        </w:rPr>
        <w:t>،</w:t>
      </w:r>
    </w:p>
    <w:p w:rsidR="008353CB" w:rsidRPr="008A0CC3" w:rsidRDefault="008353CB" w:rsidP="008353CB">
      <w:pPr>
        <w:pStyle w:val="Call"/>
        <w:rPr>
          <w:rtl/>
          <w:lang w:bidi="ar-EG"/>
        </w:rPr>
      </w:pPr>
      <w:r w:rsidRPr="008A0CC3">
        <w:rPr>
          <w:rFonts w:hint="cs"/>
          <w:rtl/>
          <w:lang w:bidi="ar-EG"/>
        </w:rPr>
        <w:t>وإذ يعتزم</w:t>
      </w:r>
    </w:p>
    <w:p w:rsidR="008353CB" w:rsidRPr="00436130" w:rsidRDefault="008353CB" w:rsidP="008353CB">
      <w:pPr>
        <w:rPr>
          <w:rFonts w:ascii="Traditional Arabic" w:hAnsi="Traditional Arabic"/>
          <w:sz w:val="30"/>
          <w:rtl/>
          <w:lang w:bidi="ar"/>
        </w:rPr>
      </w:pPr>
      <w:r w:rsidRPr="00436130">
        <w:rPr>
          <w:rFonts w:ascii="Traditional Arabic" w:hAnsi="Traditional Arabic"/>
          <w:sz w:val="30"/>
          <w:rtl/>
          <w:lang w:bidi="ar"/>
        </w:rPr>
        <w:t>التحقيق في جميع أنشطة الاتحاد التي ربما</w:t>
      </w:r>
      <w:r>
        <w:rPr>
          <w:rFonts w:ascii="Traditional Arabic" w:hAnsi="Traditional Arabic"/>
          <w:sz w:val="30"/>
          <w:rtl/>
          <w:lang w:bidi="ar"/>
        </w:rPr>
        <w:t xml:space="preserve"> حدثت فيها عمليات اختلاس</w:t>
      </w:r>
      <w:r w:rsidRPr="00436130">
        <w:rPr>
          <w:rFonts w:ascii="Traditional Arabic" w:hAnsi="Traditional Arabic"/>
          <w:sz w:val="30"/>
          <w:rtl/>
          <w:lang w:bidi="ar"/>
        </w:rPr>
        <w:t xml:space="preserve">، والتأكد من </w:t>
      </w:r>
      <w:r>
        <w:rPr>
          <w:rFonts w:ascii="Traditional Arabic" w:hAnsi="Traditional Arabic" w:hint="cs"/>
          <w:sz w:val="30"/>
          <w:rtl/>
          <w:lang w:bidi="ar"/>
        </w:rPr>
        <w:t>إشراف</w:t>
      </w:r>
      <w:r w:rsidRPr="00436130">
        <w:rPr>
          <w:rFonts w:ascii="Traditional Arabic" w:hAnsi="Traditional Arabic"/>
          <w:sz w:val="30"/>
          <w:rtl/>
          <w:lang w:bidi="ar"/>
        </w:rPr>
        <w:t xml:space="preserve"> أعضاء المجلس </w:t>
      </w:r>
      <w:r>
        <w:rPr>
          <w:rFonts w:ascii="Traditional Arabic" w:hAnsi="Traditional Arabic" w:hint="cs"/>
          <w:sz w:val="30"/>
          <w:rtl/>
          <w:lang w:bidi="ar"/>
        </w:rPr>
        <w:t>على</w:t>
      </w:r>
      <w:r w:rsidRPr="00436130">
        <w:rPr>
          <w:rFonts w:ascii="Traditional Arabic" w:hAnsi="Traditional Arabic"/>
          <w:sz w:val="30"/>
          <w:rtl/>
          <w:lang w:bidi="ar"/>
        </w:rPr>
        <w:t xml:space="preserve"> </w:t>
      </w:r>
      <w:r>
        <w:rPr>
          <w:rFonts w:ascii="Traditional Arabic" w:hAnsi="Traditional Arabic"/>
          <w:sz w:val="30"/>
          <w:rtl/>
          <w:lang w:bidi="ar"/>
        </w:rPr>
        <w:t>عملية الإصلاح</w:t>
      </w:r>
      <w:r w:rsidRPr="00436130">
        <w:rPr>
          <w:rFonts w:ascii="Traditional Arabic" w:hAnsi="Traditional Arabic"/>
          <w:sz w:val="30"/>
          <w:rtl/>
          <w:lang w:bidi="ar"/>
        </w:rPr>
        <w:t xml:space="preserve">، وتحديد ما إذا كانت هناك حاجة إلى </w:t>
      </w:r>
      <w:r>
        <w:rPr>
          <w:rFonts w:ascii="Traditional Arabic" w:hAnsi="Traditional Arabic" w:hint="cs"/>
          <w:sz w:val="30"/>
          <w:rtl/>
          <w:lang w:bidi="ar"/>
        </w:rPr>
        <w:t xml:space="preserve">إجراء </w:t>
      </w:r>
      <w:r w:rsidRPr="00436130">
        <w:rPr>
          <w:rFonts w:ascii="Traditional Arabic" w:hAnsi="Traditional Arabic"/>
          <w:sz w:val="30"/>
          <w:rtl/>
          <w:lang w:bidi="ar"/>
        </w:rPr>
        <w:t xml:space="preserve">مزيد من </w:t>
      </w:r>
      <w:r w:rsidRPr="00436130">
        <w:rPr>
          <w:rFonts w:ascii="Traditional Arabic" w:hAnsi="Traditional Arabic" w:hint="cs"/>
          <w:sz w:val="30"/>
          <w:rtl/>
          <w:lang w:bidi="ar"/>
        </w:rPr>
        <w:t>الإصلاحات،</w:t>
      </w:r>
    </w:p>
    <w:p w:rsidR="008353CB" w:rsidRPr="004F4D8C" w:rsidRDefault="008353CB" w:rsidP="008353CB">
      <w:pPr>
        <w:pStyle w:val="Call"/>
        <w:rPr>
          <w:rtl/>
          <w:lang w:bidi="ar-SY"/>
        </w:rPr>
      </w:pPr>
      <w:r w:rsidRPr="004F4D8C">
        <w:rPr>
          <w:rFonts w:hint="cs"/>
          <w:rtl/>
          <w:lang w:bidi="ar-SY"/>
        </w:rPr>
        <w:t>يقرر أن يكلف الأمين العام بما يلي</w:t>
      </w:r>
    </w:p>
    <w:p w:rsidR="008353CB" w:rsidRPr="00C24886" w:rsidRDefault="008353CB" w:rsidP="008353CB">
      <w:pPr>
        <w:rPr>
          <w:rtl/>
          <w:lang w:bidi="ar-SY"/>
        </w:rPr>
      </w:pPr>
      <w:proofErr w:type="gramStart"/>
      <w:r w:rsidRPr="00C24886">
        <w:rPr>
          <w:lang w:bidi="ar-SY"/>
        </w:rPr>
        <w:t>1</w:t>
      </w:r>
      <w:proofErr w:type="gramEnd"/>
      <w:r w:rsidRPr="00C24886">
        <w:rPr>
          <w:rtl/>
          <w:lang w:bidi="ar-SY"/>
        </w:rPr>
        <w:tab/>
      </w:r>
      <w:r w:rsidRPr="00C24886">
        <w:rPr>
          <w:rFonts w:hint="cs"/>
          <w:rtl/>
          <w:lang w:bidi="ar-EG"/>
        </w:rPr>
        <w:t xml:space="preserve">تكليف </w:t>
      </w:r>
      <w:r w:rsidRPr="00C24886">
        <w:rPr>
          <w:rFonts w:hint="cs"/>
          <w:rtl/>
          <w:lang w:bidi="ar-SY"/>
        </w:rPr>
        <w:t>مؤسسة خارجية متخصصة في التحقيق في الجرائم المالية بإجراء مراجعة محاسبية جنائية للاتحاد الدولي للاتصالات من أجل تقصي أي حالة احتيال أو أي سوء تصرف في الأموال على مدى السنوات العشر الأخيرة؛</w:t>
      </w:r>
    </w:p>
    <w:p w:rsidR="008353CB" w:rsidRPr="00C24886" w:rsidRDefault="008353CB" w:rsidP="008353CB">
      <w:pPr>
        <w:rPr>
          <w:rtl/>
          <w:lang w:bidi="ar-SY"/>
        </w:rPr>
      </w:pPr>
      <w:proofErr w:type="gramStart"/>
      <w:r w:rsidRPr="00C24886">
        <w:rPr>
          <w:lang w:bidi="ar-SY"/>
        </w:rPr>
        <w:t>2</w:t>
      </w:r>
      <w:r w:rsidRPr="00C24886">
        <w:rPr>
          <w:lang w:bidi="ar-SY"/>
        </w:rPr>
        <w:tab/>
      </w:r>
      <w:r w:rsidRPr="00C24886">
        <w:rPr>
          <w:rFonts w:hint="cs"/>
          <w:rtl/>
          <w:lang w:bidi="ar-SY"/>
        </w:rPr>
        <w:t>إعداد</w:t>
      </w:r>
      <w:proofErr w:type="gramEnd"/>
      <w:r w:rsidRPr="00C24886">
        <w:rPr>
          <w:rFonts w:hint="cs"/>
          <w:rtl/>
          <w:lang w:bidi="ar-SY"/>
        </w:rPr>
        <w:t xml:space="preserve"> اختصاصات المؤسسة الخارجية، بالتشاور مع اللجنة الاستشارية المستقلة للإدارة، قبل عملية تقديم العروض، لضمان أن تراعي مواطن الضعف في المنظمة تجاه الاحتيال، بما في ذلك مواطن الضعف التي قد حددت بالفعل في تقارير وتوصيات المراجع الداخلي والمراجع الخارجي واللجنة الاستشارية المستقلة للإدارة في الاتحاد وغيرها من مواطن الضعف؛</w:t>
      </w:r>
    </w:p>
    <w:p w:rsidR="008353CB" w:rsidRPr="00C24886" w:rsidRDefault="008353CB" w:rsidP="008353CB">
      <w:pPr>
        <w:rPr>
          <w:rtl/>
          <w:lang w:bidi="ar-SY"/>
        </w:rPr>
      </w:pPr>
      <w:proofErr w:type="gramStart"/>
      <w:r w:rsidRPr="00C24886">
        <w:rPr>
          <w:lang w:bidi="ar-SY"/>
        </w:rPr>
        <w:t>3</w:t>
      </w:r>
      <w:r w:rsidRPr="00C24886">
        <w:rPr>
          <w:lang w:bidi="ar-SY"/>
        </w:rPr>
        <w:tab/>
      </w:r>
      <w:r w:rsidRPr="00C24886">
        <w:rPr>
          <w:rFonts w:hint="cs"/>
          <w:rtl/>
          <w:lang w:bidi="ar-SY"/>
        </w:rPr>
        <w:t>ضمان</w:t>
      </w:r>
      <w:proofErr w:type="gramEnd"/>
      <w:r w:rsidRPr="00C24886">
        <w:rPr>
          <w:rFonts w:hint="cs"/>
          <w:rtl/>
          <w:lang w:bidi="ar-SY"/>
        </w:rPr>
        <w:t xml:space="preserve"> أن تحدد المراجعة ما إذا كانت المنظمة في الواقع قد تكبدت مزيداً من الخسائر والأضرار بالإضافة إلى حالة الاحتيال المعروفة في المكتب الإقليمي للاتحاد لمنطقة آسيا والمحيط الهادئ؛</w:t>
      </w:r>
    </w:p>
    <w:p w:rsidR="008353CB" w:rsidRPr="00C24886" w:rsidRDefault="008353CB" w:rsidP="008353CB">
      <w:pPr>
        <w:rPr>
          <w:spacing w:val="-2"/>
          <w:rtl/>
          <w:lang w:bidi="ar-SY"/>
        </w:rPr>
      </w:pPr>
      <w:proofErr w:type="gramStart"/>
      <w:r w:rsidRPr="00C24886">
        <w:rPr>
          <w:spacing w:val="-2"/>
          <w:lang w:bidi="ar-SY"/>
        </w:rPr>
        <w:t>4</w:t>
      </w:r>
      <w:r w:rsidRPr="00C24886">
        <w:rPr>
          <w:spacing w:val="-2"/>
          <w:lang w:bidi="ar-SY"/>
        </w:rPr>
        <w:tab/>
      </w:r>
      <w:r w:rsidRPr="00C24886">
        <w:rPr>
          <w:rFonts w:hint="cs"/>
          <w:spacing w:val="-2"/>
          <w:rtl/>
          <w:lang w:bidi="ar-SY"/>
        </w:rPr>
        <w:t>استعادة</w:t>
      </w:r>
      <w:proofErr w:type="gramEnd"/>
      <w:r w:rsidRPr="00C24886">
        <w:rPr>
          <w:rFonts w:hint="cs"/>
          <w:spacing w:val="-2"/>
          <w:rtl/>
          <w:lang w:bidi="ar-SY"/>
        </w:rPr>
        <w:t xml:space="preserve"> الأموال التي فُقدت واتخاذ تدابير، بما في ذلك الإجراءات القانونية بحق الجاني وأي كيانات أخرى، حسب</w:t>
      </w:r>
      <w:r w:rsidRPr="00C24886">
        <w:rPr>
          <w:rFonts w:hint="eastAsia"/>
          <w:spacing w:val="-2"/>
          <w:rtl/>
          <w:lang w:bidi="ar-SY"/>
        </w:rPr>
        <w:t> </w:t>
      </w:r>
      <w:r w:rsidRPr="00C24886">
        <w:rPr>
          <w:rFonts w:hint="cs"/>
          <w:spacing w:val="-2"/>
          <w:rtl/>
          <w:lang w:bidi="ar-SY"/>
        </w:rPr>
        <w:t>الاقتضاء؛</w:t>
      </w:r>
    </w:p>
    <w:p w:rsidR="008353CB" w:rsidRPr="00C24886" w:rsidRDefault="008353CB" w:rsidP="008353CB">
      <w:pPr>
        <w:rPr>
          <w:rtl/>
          <w:lang w:bidi="ar-SY"/>
        </w:rPr>
      </w:pPr>
      <w:r w:rsidRPr="00C24886">
        <w:rPr>
          <w:lang w:bidi="ar-SY"/>
        </w:rPr>
        <w:t>5</w:t>
      </w:r>
      <w:r w:rsidRPr="00C24886">
        <w:rPr>
          <w:lang w:bidi="ar-SY"/>
        </w:rPr>
        <w:tab/>
      </w:r>
      <w:r w:rsidRPr="00C24886">
        <w:rPr>
          <w:rFonts w:hint="cs"/>
          <w:rtl/>
          <w:lang w:bidi="ar-SY"/>
        </w:rPr>
        <w:t xml:space="preserve">تقديم التقرير النهائي للمؤسسة المذكورة أعلاه في دورة المجلس لعام </w:t>
      </w:r>
      <w:r w:rsidRPr="00C24886">
        <w:rPr>
          <w:lang w:bidi="ar-SY"/>
        </w:rPr>
        <w:t>2021</w:t>
      </w:r>
      <w:r w:rsidRPr="00C24886">
        <w:rPr>
          <w:rFonts w:hint="cs"/>
          <w:rtl/>
          <w:lang w:bidi="ar-SY"/>
        </w:rPr>
        <w:t xml:space="preserve">؛ وينبغي لهذا التقرير أن يتضمن توصيات بشأن تعزيز الضوابط الداخلية والمساءلة الإدارية في الاتحاد؛ وتقديم تقارير مؤقتة في اجتماعات فريق العمل التابع للمجلس والمعني بالموارد المالية وإلى اللجنة الاستشارية المستقلة للإدارة ودورة المجلس لعام </w:t>
      </w:r>
      <w:r w:rsidRPr="00C24886">
        <w:rPr>
          <w:lang w:bidi="ar-SY"/>
        </w:rPr>
        <w:t>2020</w:t>
      </w:r>
      <w:r w:rsidRPr="00C24886">
        <w:rPr>
          <w:rFonts w:hint="cs"/>
          <w:rtl/>
          <w:lang w:bidi="ar-SY"/>
        </w:rPr>
        <w:t xml:space="preserve"> من أجل اتخاذ التدابير اللازمة حسب</w:t>
      </w:r>
      <w:r w:rsidRPr="00C24886">
        <w:rPr>
          <w:rFonts w:hint="eastAsia"/>
          <w:rtl/>
          <w:lang w:bidi="ar-SY"/>
        </w:rPr>
        <w:t> </w:t>
      </w:r>
      <w:r w:rsidRPr="00C24886">
        <w:rPr>
          <w:rFonts w:hint="cs"/>
          <w:rtl/>
          <w:lang w:bidi="ar-SY"/>
        </w:rPr>
        <w:t>الاقتضاء،</w:t>
      </w:r>
    </w:p>
    <w:p w:rsidR="008353CB" w:rsidRPr="004F4D8C" w:rsidRDefault="008353CB" w:rsidP="008353CB">
      <w:pPr>
        <w:pStyle w:val="Call"/>
        <w:rPr>
          <w:rtl/>
          <w:lang w:bidi="ar-SY"/>
        </w:rPr>
      </w:pPr>
      <w:r w:rsidRPr="004F4D8C">
        <w:rPr>
          <w:rFonts w:hint="cs"/>
          <w:rtl/>
          <w:lang w:bidi="ar-SY"/>
        </w:rPr>
        <w:t>يقرر كذلك</w:t>
      </w:r>
    </w:p>
    <w:p w:rsidR="008353CB" w:rsidRPr="00E40406" w:rsidRDefault="008353CB" w:rsidP="002E52AF">
      <w:pPr>
        <w:rPr>
          <w:rtl/>
          <w:lang w:bidi="ar-SY"/>
        </w:rPr>
      </w:pPr>
      <w:r w:rsidRPr="00E40406">
        <w:rPr>
          <w:rFonts w:hint="cs"/>
          <w:rtl/>
          <w:lang w:bidi="ar-SY"/>
        </w:rPr>
        <w:t>تخصيص مبلغ أولي</w:t>
      </w:r>
      <w:r w:rsidR="002E52AF" w:rsidRPr="00E40406">
        <w:rPr>
          <w:rFonts w:hint="cs"/>
          <w:rtl/>
          <w:lang w:bidi="ar-SY"/>
        </w:rPr>
        <w:t xml:space="preserve"> قدره</w:t>
      </w:r>
      <w:r w:rsidRPr="00E40406">
        <w:rPr>
          <w:rFonts w:hint="cs"/>
          <w:rtl/>
          <w:lang w:bidi="ar-SY"/>
        </w:rPr>
        <w:t xml:space="preserve"> </w:t>
      </w:r>
      <w:r w:rsidRPr="00E40406">
        <w:rPr>
          <w:lang w:bidi="ar-SY"/>
        </w:rPr>
        <w:t>1,1</w:t>
      </w:r>
      <w:r w:rsidRPr="00E40406">
        <w:rPr>
          <w:rFonts w:hint="cs"/>
          <w:rtl/>
          <w:lang w:bidi="ar-SY"/>
        </w:rPr>
        <w:t xml:space="preserve"> مليون </w:t>
      </w:r>
      <w:r w:rsidR="00BF31C0" w:rsidRPr="00E40406">
        <w:rPr>
          <w:rFonts w:hint="cs"/>
          <w:rtl/>
          <w:lang w:bidi="ar-SY"/>
        </w:rPr>
        <w:t xml:space="preserve">فرنك سويسري </w:t>
      </w:r>
      <w:r w:rsidRPr="00E40406">
        <w:rPr>
          <w:rFonts w:hint="cs"/>
          <w:rtl/>
          <w:lang w:bidi="ar-SY"/>
        </w:rPr>
        <w:t xml:space="preserve">لتمويل هذه المراجعة الجنائية من وفورات تنفيذ ميزانية </w:t>
      </w:r>
      <w:r w:rsidRPr="00E40406">
        <w:rPr>
          <w:lang w:bidi="ar-SY"/>
        </w:rPr>
        <w:t>2018</w:t>
      </w:r>
      <w:r w:rsidRPr="00E40406">
        <w:rPr>
          <w:rFonts w:hint="cs"/>
          <w:rtl/>
          <w:lang w:bidi="ar-EG"/>
        </w:rPr>
        <w:t xml:space="preserve"> </w:t>
      </w:r>
      <w:r w:rsidRPr="00E40406">
        <w:rPr>
          <w:rFonts w:hint="cs"/>
          <w:rtl/>
          <w:lang w:bidi="ar-SY"/>
        </w:rPr>
        <w:t>وفقاً لمقررات المجلس ذات</w:t>
      </w:r>
      <w:r w:rsidRPr="00E40406">
        <w:rPr>
          <w:rFonts w:hint="eastAsia"/>
          <w:rtl/>
          <w:lang w:bidi="ar-SY"/>
        </w:rPr>
        <w:t> </w:t>
      </w:r>
      <w:r w:rsidR="002E52AF" w:rsidRPr="00E40406">
        <w:rPr>
          <w:rFonts w:hint="cs"/>
          <w:rtl/>
          <w:lang w:bidi="ar-SY"/>
        </w:rPr>
        <w:t xml:space="preserve">الصلة؛ ويمكن للمجلس في دورته لعام </w:t>
      </w:r>
      <w:r w:rsidR="002E52AF" w:rsidRPr="00E40406">
        <w:rPr>
          <w:lang w:bidi="ar-SY"/>
        </w:rPr>
        <w:t>2020</w:t>
      </w:r>
      <w:r w:rsidR="002E52AF" w:rsidRPr="00E40406">
        <w:rPr>
          <w:rFonts w:hint="cs"/>
          <w:rtl/>
          <w:lang w:bidi="ar-EG"/>
        </w:rPr>
        <w:t xml:space="preserve"> </w:t>
      </w:r>
      <w:r w:rsidR="002E52AF" w:rsidRPr="00E40406">
        <w:rPr>
          <w:rFonts w:hint="cs"/>
          <w:rtl/>
          <w:lang w:bidi="ar-SY"/>
        </w:rPr>
        <w:t>أن يستعرض المخصصات المالية</w:t>
      </w:r>
      <w:r w:rsidRPr="00E40406">
        <w:rPr>
          <w:rFonts w:hint="cs"/>
          <w:rtl/>
          <w:lang w:bidi="ar-SY"/>
        </w:rPr>
        <w:t>،</w:t>
      </w:r>
    </w:p>
    <w:p w:rsidR="008353CB" w:rsidRPr="004F4D8C" w:rsidRDefault="008353CB" w:rsidP="008353CB">
      <w:pPr>
        <w:pStyle w:val="Call"/>
        <w:rPr>
          <w:rtl/>
          <w:lang w:bidi="ar-SY"/>
        </w:rPr>
      </w:pPr>
      <w:r w:rsidRPr="004F4D8C">
        <w:rPr>
          <w:rFonts w:hint="cs"/>
          <w:rtl/>
          <w:lang w:bidi="ar-SY"/>
        </w:rPr>
        <w:t>يكلف كذلك فريق العمل التابع للمجلس والمعني بالموارد المالية والبشرية</w:t>
      </w:r>
    </w:p>
    <w:p w:rsidR="008353CB" w:rsidRPr="004F4D8C" w:rsidRDefault="008353CB" w:rsidP="008353CB">
      <w:pPr>
        <w:rPr>
          <w:rtl/>
          <w:lang w:bidi="ar-SY"/>
        </w:rPr>
      </w:pPr>
      <w:r w:rsidRPr="004F4D8C">
        <w:rPr>
          <w:rFonts w:hint="cs"/>
          <w:rtl/>
          <w:lang w:bidi="ar-SY"/>
        </w:rPr>
        <w:t>استناداً إلى استنتاجات المراجعة، وبالتشاور مع مكتب الأخلاقيات ووحدة</w:t>
      </w:r>
      <w:bookmarkStart w:id="1" w:name="_GoBack"/>
      <w:bookmarkEnd w:id="1"/>
      <w:r w:rsidRPr="004F4D8C">
        <w:rPr>
          <w:rFonts w:hint="cs"/>
          <w:rtl/>
          <w:lang w:bidi="ar-SY"/>
        </w:rPr>
        <w:t xml:space="preserve"> المراجعة الداخلية، أن يوصي بتدابير لمجلس الاتحاد </w:t>
      </w:r>
      <w:r>
        <w:rPr>
          <w:rFonts w:hint="cs"/>
          <w:rtl/>
          <w:lang w:bidi="ar-SY"/>
        </w:rPr>
        <w:t>لتعزيز</w:t>
      </w:r>
      <w:r w:rsidRPr="004F4D8C">
        <w:rPr>
          <w:rFonts w:hint="cs"/>
          <w:rtl/>
          <w:lang w:bidi="ar-SY"/>
        </w:rPr>
        <w:t xml:space="preserve"> استقلالية </w:t>
      </w:r>
      <w:r>
        <w:rPr>
          <w:rFonts w:hint="cs"/>
          <w:rtl/>
          <w:lang w:bidi="ar-SY"/>
        </w:rPr>
        <w:t xml:space="preserve">وظائف </w:t>
      </w:r>
      <w:r w:rsidRPr="004F4D8C">
        <w:rPr>
          <w:rFonts w:hint="cs"/>
          <w:rtl/>
          <w:lang w:bidi="ar-SY"/>
        </w:rPr>
        <w:t>الإشراف والمراجعة، وإطار الأخلاقيات، وإجراءات التحقيق في الاتحاد</w:t>
      </w:r>
      <w:r>
        <w:rPr>
          <w:rFonts w:hint="cs"/>
          <w:rtl/>
          <w:lang w:bidi="ar-SY"/>
        </w:rPr>
        <w:t>،</w:t>
      </w:r>
      <w:r w:rsidRPr="004F4D8C">
        <w:rPr>
          <w:rFonts w:hint="cs"/>
          <w:rtl/>
          <w:lang w:bidi="ar-SY"/>
        </w:rPr>
        <w:t xml:space="preserve"> في ضوء أفضل الممارسات على نطاق منظومة الأمم المتحدة وتوصيات وحدة التفتيش المشتركة للأمم المتحدة</w:t>
      </w:r>
      <w:r>
        <w:rPr>
          <w:rFonts w:hint="cs"/>
          <w:rtl/>
          <w:lang w:bidi="ar-SY"/>
        </w:rPr>
        <w:t>،</w:t>
      </w:r>
      <w:r w:rsidRPr="004F4D8C">
        <w:rPr>
          <w:rFonts w:hint="cs"/>
          <w:rtl/>
          <w:lang w:bidi="ar-SY"/>
        </w:rPr>
        <w:t xml:space="preserve"> حسب الاقتضاء، وأن يسدي المشورة، الصائبة قدر</w:t>
      </w:r>
      <w:r>
        <w:rPr>
          <w:rFonts w:hint="eastAsia"/>
          <w:rtl/>
          <w:lang w:bidi="ar-SY"/>
        </w:rPr>
        <w:t> </w:t>
      </w:r>
      <w:r w:rsidRPr="004F4D8C">
        <w:rPr>
          <w:rFonts w:hint="cs"/>
          <w:rtl/>
          <w:lang w:bidi="ar-SY"/>
        </w:rPr>
        <w:t>الإمكان، إلى وحدة التفتيش المشتركة للأمم المتحدة فيما يتعلق بأي مسألة ذات صلة،</w:t>
      </w:r>
    </w:p>
    <w:p w:rsidR="008353CB" w:rsidRPr="004F4D8C" w:rsidRDefault="008353CB" w:rsidP="008353CB">
      <w:pPr>
        <w:pStyle w:val="Call"/>
        <w:keepLines/>
        <w:rPr>
          <w:rtl/>
          <w:lang w:bidi="ar-SY"/>
        </w:rPr>
      </w:pPr>
      <w:r w:rsidRPr="004F4D8C">
        <w:rPr>
          <w:rFonts w:hint="cs"/>
          <w:rtl/>
          <w:lang w:bidi="ar-SY"/>
        </w:rPr>
        <w:t>يدعو الأعضاء والإدارة والموظفين والخبراء ومقدمي الخدمات ممن لديهم الآن، أو</w:t>
      </w:r>
      <w:r>
        <w:rPr>
          <w:rFonts w:hint="cs"/>
          <w:rtl/>
          <w:lang w:bidi="ar-SY"/>
        </w:rPr>
        <w:t xml:space="preserve"> كان لهم مسبقاً، عقد مع الاتحاد</w:t>
      </w:r>
    </w:p>
    <w:p w:rsidR="008353CB" w:rsidRPr="004F4D8C" w:rsidRDefault="008353CB" w:rsidP="008353CB">
      <w:pPr>
        <w:keepNext/>
        <w:keepLines/>
        <w:rPr>
          <w:rtl/>
          <w:lang w:bidi="ar-SY"/>
        </w:rPr>
      </w:pPr>
      <w:r w:rsidRPr="004F4D8C">
        <w:rPr>
          <w:rFonts w:hint="cs"/>
          <w:rtl/>
          <w:lang w:bidi="ar-SY"/>
        </w:rPr>
        <w:t>إلى التعاون بشكل كامل وتقديم كل الدعم اللازم من أجل السعي إلى استعادة موثوقية الاتحاد،</w:t>
      </w:r>
    </w:p>
    <w:p w:rsidR="008353CB" w:rsidRPr="004F4D8C" w:rsidRDefault="008353CB" w:rsidP="008353CB">
      <w:pPr>
        <w:pStyle w:val="Call"/>
        <w:rPr>
          <w:rtl/>
          <w:lang w:bidi="ar-SY"/>
        </w:rPr>
      </w:pPr>
      <w:r w:rsidRPr="004F4D8C">
        <w:rPr>
          <w:rFonts w:hint="cs"/>
          <w:rtl/>
          <w:lang w:bidi="ar-SY"/>
        </w:rPr>
        <w:t>يشجع</w:t>
      </w:r>
    </w:p>
    <w:p w:rsidR="008353CB" w:rsidRPr="004F4D8C" w:rsidRDefault="008353CB" w:rsidP="008353CB">
      <w:pPr>
        <w:rPr>
          <w:rtl/>
          <w:lang w:bidi="ar-SY"/>
        </w:rPr>
      </w:pPr>
      <w:r w:rsidRPr="004F4D8C">
        <w:rPr>
          <w:rFonts w:hint="cs"/>
          <w:rtl/>
          <w:lang w:bidi="ar-SY"/>
        </w:rPr>
        <w:t xml:space="preserve">المبلّغين المحتملين الآخرين الذين هم على دراية باحتمال وجود مخالفات قد تضر بالاتحاد على </w:t>
      </w:r>
      <w:r>
        <w:rPr>
          <w:rFonts w:hint="cs"/>
          <w:rtl/>
          <w:lang w:bidi="ar-SY"/>
        </w:rPr>
        <w:t>الإبلاغ عنها</w:t>
      </w:r>
      <w:r w:rsidRPr="004F4D8C">
        <w:rPr>
          <w:rFonts w:hint="cs"/>
          <w:rtl/>
          <w:lang w:bidi="ar-SY"/>
        </w:rPr>
        <w:t>.</w:t>
      </w:r>
    </w:p>
    <w:p w:rsidR="0074420E" w:rsidRDefault="008353CB" w:rsidP="002E52AF">
      <w:pPr>
        <w:spacing w:before="360"/>
        <w:jc w:val="center"/>
        <w:rPr>
          <w:lang w:bidi="ar-EG"/>
        </w:rPr>
      </w:pPr>
      <w:r>
        <w:rPr>
          <w:rFonts w:hint="cs"/>
          <w:rtl/>
          <w:lang w:bidi="ar-SY"/>
        </w:rPr>
        <w:t>___________</w:t>
      </w:r>
    </w:p>
    <w:sectPr w:rsidR="0074420E" w:rsidSect="006C3242">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CB" w:rsidRDefault="008353CB" w:rsidP="006C3242">
      <w:pPr>
        <w:spacing w:before="0" w:line="240" w:lineRule="auto"/>
      </w:pPr>
      <w:r>
        <w:separator/>
      </w:r>
    </w:p>
  </w:endnote>
  <w:endnote w:type="continuationSeparator" w:id="0">
    <w:p w:rsidR="008353CB" w:rsidRDefault="008353C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BF31C0">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2E52AF">
      <w:rPr>
        <w:rFonts w:ascii="Calibri" w:hAnsi="Calibri" w:cs="Calibri"/>
        <w:noProof/>
        <w:sz w:val="16"/>
        <w:szCs w:val="16"/>
        <w:lang w:val="fr-FR"/>
      </w:rPr>
      <w:t>P:\ARA\SG\CONSEIL\C19\100\130A.docx</w:t>
    </w:r>
    <w:r w:rsidRPr="006C3242">
      <w:rPr>
        <w:rFonts w:ascii="Calibri" w:hAnsi="Calibri" w:cs="Calibri"/>
        <w:sz w:val="16"/>
        <w:szCs w:val="16"/>
      </w:rPr>
      <w:fldChar w:fldCharType="end"/>
    </w:r>
    <w:r w:rsidRPr="00BF31C0">
      <w:rPr>
        <w:rFonts w:ascii="Calibri" w:hAnsi="Calibri" w:cs="Calibri"/>
        <w:sz w:val="16"/>
        <w:szCs w:val="16"/>
        <w:lang w:val="fr-CH"/>
      </w:rPr>
      <w:t xml:space="preserve">  </w:t>
    </w:r>
    <w:r w:rsidRPr="006C3242">
      <w:rPr>
        <w:rFonts w:ascii="Calibri" w:hAnsi="Calibri" w:cs="Calibri"/>
        <w:sz w:val="16"/>
        <w:szCs w:val="16"/>
        <w:lang w:val="fr-FR"/>
      </w:rPr>
      <w:t xml:space="preserve"> (</w:t>
    </w:r>
    <w:r w:rsidR="00BF31C0">
      <w:rPr>
        <w:rFonts w:ascii="Calibri" w:hAnsi="Calibri" w:cs="Calibri"/>
        <w:sz w:val="16"/>
        <w:szCs w:val="16"/>
        <w:lang w:val="fr-FR"/>
      </w:rPr>
      <w:t>457567</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C24886">
      <w:rPr>
        <w:rFonts w:ascii="Calibri" w:hAnsi="Calibri" w:cs="Calibri"/>
        <w:noProof/>
        <w:sz w:val="16"/>
        <w:szCs w:val="16"/>
        <w:lang w:val="fr-FR"/>
      </w:rPr>
      <w:t>31.07.19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8353CB">
      <w:rPr>
        <w:rFonts w:ascii="Calibri" w:hAnsi="Calibri" w:cs="Calibri"/>
        <w:noProof/>
        <w:sz w:val="16"/>
        <w:szCs w:val="16"/>
        <w:lang w:val="fr-FR"/>
      </w:rPr>
      <w:t>00.00.00</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CB" w:rsidRDefault="008353CB" w:rsidP="006C3242">
      <w:pPr>
        <w:spacing w:before="0" w:line="240" w:lineRule="auto"/>
      </w:pPr>
      <w:r>
        <w:separator/>
      </w:r>
    </w:p>
  </w:footnote>
  <w:footnote w:type="continuationSeparator" w:id="0">
    <w:p w:rsidR="008353CB" w:rsidRDefault="008353CB"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E40406" w:rsidP="008353CB">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8353CB">
          <w:rPr>
            <w:rFonts w:cs="Calibri"/>
            <w:noProof/>
            <w:sz w:val="20"/>
            <w:szCs w:val="20"/>
          </w:rPr>
          <w:t>130</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118DB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780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E041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B6EF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FC42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B441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0280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681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CAFA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AC1E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CB"/>
    <w:rsid w:val="00090574"/>
    <w:rsid w:val="000C1C0E"/>
    <w:rsid w:val="000C548A"/>
    <w:rsid w:val="0013753F"/>
    <w:rsid w:val="001C0169"/>
    <w:rsid w:val="001D1D50"/>
    <w:rsid w:val="001D6745"/>
    <w:rsid w:val="001E446E"/>
    <w:rsid w:val="002154EE"/>
    <w:rsid w:val="002276D2"/>
    <w:rsid w:val="0023283D"/>
    <w:rsid w:val="00271C43"/>
    <w:rsid w:val="00290728"/>
    <w:rsid w:val="002978F4"/>
    <w:rsid w:val="002B028D"/>
    <w:rsid w:val="002E52AF"/>
    <w:rsid w:val="002E6541"/>
    <w:rsid w:val="00334924"/>
    <w:rsid w:val="003409BC"/>
    <w:rsid w:val="00357185"/>
    <w:rsid w:val="00383829"/>
    <w:rsid w:val="003F4B29"/>
    <w:rsid w:val="0042686F"/>
    <w:rsid w:val="004317D8"/>
    <w:rsid w:val="00434183"/>
    <w:rsid w:val="00443869"/>
    <w:rsid w:val="00447F32"/>
    <w:rsid w:val="004E11DC"/>
    <w:rsid w:val="005409AC"/>
    <w:rsid w:val="0055516A"/>
    <w:rsid w:val="0058491B"/>
    <w:rsid w:val="00592EA5"/>
    <w:rsid w:val="005A3170"/>
    <w:rsid w:val="00677396"/>
    <w:rsid w:val="0069200F"/>
    <w:rsid w:val="006A65CB"/>
    <w:rsid w:val="006C3242"/>
    <w:rsid w:val="006C7CC0"/>
    <w:rsid w:val="006F63F7"/>
    <w:rsid w:val="007025C7"/>
    <w:rsid w:val="00706D7A"/>
    <w:rsid w:val="00722F0D"/>
    <w:rsid w:val="0074420E"/>
    <w:rsid w:val="00783E26"/>
    <w:rsid w:val="007C3BC7"/>
    <w:rsid w:val="007D4ACF"/>
    <w:rsid w:val="007F0787"/>
    <w:rsid w:val="00804EAF"/>
    <w:rsid w:val="00810B7B"/>
    <w:rsid w:val="0082358A"/>
    <w:rsid w:val="008235CD"/>
    <w:rsid w:val="008247DE"/>
    <w:rsid w:val="008353CB"/>
    <w:rsid w:val="00840B10"/>
    <w:rsid w:val="008513CB"/>
    <w:rsid w:val="008A7F84"/>
    <w:rsid w:val="0091702E"/>
    <w:rsid w:val="00923B0C"/>
    <w:rsid w:val="0094021C"/>
    <w:rsid w:val="00952F86"/>
    <w:rsid w:val="00982B28"/>
    <w:rsid w:val="009D313F"/>
    <w:rsid w:val="00A47A5A"/>
    <w:rsid w:val="00A6683B"/>
    <w:rsid w:val="00A94040"/>
    <w:rsid w:val="00A97F94"/>
    <w:rsid w:val="00B05BC8"/>
    <w:rsid w:val="00B64B47"/>
    <w:rsid w:val="00BF31C0"/>
    <w:rsid w:val="00C002DE"/>
    <w:rsid w:val="00C24886"/>
    <w:rsid w:val="00C53BF8"/>
    <w:rsid w:val="00C66157"/>
    <w:rsid w:val="00C674FE"/>
    <w:rsid w:val="00C67501"/>
    <w:rsid w:val="00C75633"/>
    <w:rsid w:val="00CE2EE1"/>
    <w:rsid w:val="00CE3349"/>
    <w:rsid w:val="00CF3FFD"/>
    <w:rsid w:val="00D10CCF"/>
    <w:rsid w:val="00D77D0F"/>
    <w:rsid w:val="00DA1CF0"/>
    <w:rsid w:val="00DC1E02"/>
    <w:rsid w:val="00DC24B4"/>
    <w:rsid w:val="00DC5FB0"/>
    <w:rsid w:val="00DF16DC"/>
    <w:rsid w:val="00E40406"/>
    <w:rsid w:val="00E45211"/>
    <w:rsid w:val="00E92863"/>
    <w:rsid w:val="00EB796D"/>
    <w:rsid w:val="00F058DC"/>
    <w:rsid w:val="00F24FC4"/>
    <w:rsid w:val="00F2676C"/>
    <w:rsid w:val="00F84366"/>
    <w:rsid w:val="00F85089"/>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A7D0A40-5D82-4027-9F9F-7F8101A3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8A7F84"/>
    <w:pPr>
      <w:spacing w:before="80"/>
      <w:ind w:left="794" w:hanging="794"/>
      <w:outlineLvl w:val="0"/>
    </w:pPr>
    <w:rPr>
      <w:lang w:bidi="ar-SY"/>
    </w:rPr>
  </w:style>
  <w:style w:type="paragraph" w:customStyle="1" w:styleId="enumlev2">
    <w:name w:val="enumlev 2"/>
    <w:basedOn w:val="Normal"/>
    <w:next w:val="enumlev1"/>
    <w:qFormat/>
    <w:rsid w:val="008A7F84"/>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DC5FB0"/>
    <w:pPr>
      <w:keepNext/>
      <w:spacing w:before="240"/>
      <w:jc w:val="center"/>
    </w:pPr>
    <w:rPr>
      <w:w w:val="120"/>
      <w:sz w:val="26"/>
      <w:szCs w:val="36"/>
    </w:rPr>
  </w:style>
  <w:style w:type="paragraph" w:customStyle="1" w:styleId="Title3">
    <w:name w:val="Title 3"/>
    <w:basedOn w:val="Normal"/>
    <w:qFormat/>
    <w:rsid w:val="00DC5FB0"/>
    <w:pPr>
      <w:keepNext/>
      <w:spacing w:before="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91702E"/>
    <w:pPr>
      <w:tabs>
        <w:tab w:val="clear" w:pos="794"/>
        <w:tab w:val="left" w:pos="397"/>
      </w:tabs>
      <w:spacing w:before="60" w:line="168" w:lineRule="auto"/>
      <w:ind w:left="397" w:hanging="397"/>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9-CL-C-0108/en" TargetMode="External"/><Relationship Id="rId4" Type="http://schemas.openxmlformats.org/officeDocument/2006/relationships/settings" Target="settings.xml"/><Relationship Id="rId9" Type="http://schemas.openxmlformats.org/officeDocument/2006/relationships/hyperlink" Target="https://www.itu.int/md/S19-CL-C-0106/en"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SG\PA_Council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097A0-736C-465B-ADE2-E2B9DD14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PA_Council_2019.dotx</Template>
  <TotalTime>32</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Ganat, ELBAHNASSAWY</dc:creator>
  <cp:keywords/>
  <dc:description/>
  <cp:lastModifiedBy>Awad, Samy</cp:lastModifiedBy>
  <cp:revision>5</cp:revision>
  <dcterms:created xsi:type="dcterms:W3CDTF">2019-07-31T11:43:00Z</dcterms:created>
  <dcterms:modified xsi:type="dcterms:W3CDTF">2019-08-01T09:30:00Z</dcterms:modified>
</cp:coreProperties>
</file>