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A23A45">
        <w:trPr>
          <w:cantSplit/>
        </w:trPr>
        <w:tc>
          <w:tcPr>
            <w:tcW w:w="6911" w:type="dxa"/>
          </w:tcPr>
          <w:p w:rsidR="00700D1F" w:rsidRPr="00A23A45" w:rsidRDefault="00662911" w:rsidP="00662911">
            <w:pPr>
              <w:topLinePunct w:val="0"/>
              <w:autoSpaceDE w:val="0"/>
              <w:autoSpaceDN w:val="0"/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A23A45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A23A4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2019</w:t>
            </w:r>
            <w:r w:rsidRPr="00A23A45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A23A45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A23A45">
              <w:rPr>
                <w:b/>
                <w:bCs/>
                <w:color w:val="000000"/>
                <w:lang w:eastAsia="zh-CN"/>
              </w:rPr>
              <w:t>2019</w:t>
            </w:r>
            <w:r w:rsidRPr="00A23A45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Pr="00A23A45">
              <w:rPr>
                <w:b/>
                <w:bCs/>
                <w:color w:val="000000"/>
                <w:lang w:eastAsia="zh-CN"/>
              </w:rPr>
              <w:t>6</w:t>
            </w:r>
            <w:r w:rsidRPr="00A23A45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Pr="00A23A45">
              <w:rPr>
                <w:b/>
                <w:bCs/>
                <w:color w:val="000000"/>
                <w:lang w:eastAsia="zh-CN"/>
              </w:rPr>
              <w:t>10-20</w:t>
            </w:r>
            <w:r w:rsidRPr="00A23A45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A23A45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A23A45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Pr="00A23A45" w:rsidRDefault="00AB42C1" w:rsidP="00662911">
            <w:pPr>
              <w:topLinePunct w:val="0"/>
              <w:autoSpaceDE w:val="0"/>
              <w:autoSpaceDN w:val="0"/>
              <w:spacing w:before="0"/>
              <w:jc w:val="right"/>
            </w:pPr>
            <w:bookmarkStart w:id="0" w:name="ditulogo"/>
            <w:bookmarkEnd w:id="0"/>
            <w:r w:rsidRPr="00A23A45"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A23A4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A23A45" w:rsidRDefault="00700D1F" w:rsidP="00662911">
            <w:pPr>
              <w:topLinePunct w:val="0"/>
              <w:autoSpaceDE w:val="0"/>
              <w:autoSpaceDN w:val="0"/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A23A45" w:rsidRDefault="00700D1F" w:rsidP="00662911">
            <w:pPr>
              <w:topLinePunct w:val="0"/>
              <w:autoSpaceDE w:val="0"/>
              <w:autoSpaceDN w:val="0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A23A4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A23A45" w:rsidRDefault="00700D1F" w:rsidP="00662911">
            <w:pPr>
              <w:topLinePunct w:val="0"/>
              <w:autoSpaceDE w:val="0"/>
              <w:autoSpaceDN w:val="0"/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A23A45" w:rsidRDefault="00700D1F" w:rsidP="00662911">
            <w:pPr>
              <w:topLinePunct w:val="0"/>
              <w:autoSpaceDE w:val="0"/>
              <w:autoSpaceDN w:val="0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A23A45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A23A45" w:rsidRDefault="00700D1F" w:rsidP="00662911">
            <w:pPr>
              <w:tabs>
                <w:tab w:val="left" w:pos="851"/>
              </w:tabs>
              <w:topLinePunct w:val="0"/>
              <w:autoSpaceDE w:val="0"/>
              <w:autoSpaceDN w:val="0"/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A23A45" w:rsidRDefault="00700D1F" w:rsidP="00FB04D9">
            <w:pPr>
              <w:tabs>
                <w:tab w:val="left" w:pos="851"/>
              </w:tabs>
              <w:topLinePunct w:val="0"/>
              <w:autoSpaceDE w:val="0"/>
              <w:autoSpaceDN w:val="0"/>
              <w:spacing w:before="0"/>
              <w:rPr>
                <w:b/>
                <w:bCs/>
                <w:lang w:eastAsia="zh-CN"/>
              </w:rPr>
            </w:pPr>
            <w:r w:rsidRPr="00A23A45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A23A45">
              <w:rPr>
                <w:b/>
                <w:bCs/>
                <w:sz w:val="20"/>
                <w:lang w:eastAsia="zh-CN"/>
              </w:rPr>
              <w:t xml:space="preserve"> </w:t>
            </w:r>
            <w:r w:rsidRPr="00A23A45">
              <w:rPr>
                <w:b/>
                <w:bCs/>
                <w:szCs w:val="24"/>
                <w:lang w:eastAsia="zh-CN"/>
              </w:rPr>
              <w:t>C</w:t>
            </w:r>
            <w:r w:rsidR="00325C25" w:rsidRPr="00A23A45">
              <w:rPr>
                <w:b/>
                <w:bCs/>
                <w:szCs w:val="24"/>
                <w:lang w:eastAsia="zh-CN"/>
              </w:rPr>
              <w:t>1</w:t>
            </w:r>
            <w:r w:rsidR="00D453EE" w:rsidRPr="00A23A45">
              <w:rPr>
                <w:b/>
                <w:bCs/>
                <w:szCs w:val="24"/>
                <w:lang w:eastAsia="zh-CN"/>
              </w:rPr>
              <w:t>9</w:t>
            </w:r>
            <w:r w:rsidRPr="00A23A45">
              <w:rPr>
                <w:b/>
                <w:bCs/>
                <w:szCs w:val="24"/>
                <w:lang w:eastAsia="zh-CN"/>
              </w:rPr>
              <w:t>/</w:t>
            </w:r>
            <w:r w:rsidR="00FB04D9">
              <w:rPr>
                <w:b/>
                <w:bCs/>
                <w:szCs w:val="24"/>
                <w:lang w:eastAsia="zh-CN"/>
              </w:rPr>
              <w:t>1</w:t>
            </w:r>
            <w:r w:rsidR="00B22EE2" w:rsidRPr="00A23A45">
              <w:rPr>
                <w:b/>
                <w:bCs/>
                <w:szCs w:val="24"/>
                <w:lang w:eastAsia="zh-CN"/>
              </w:rPr>
              <w:t>2</w:t>
            </w:r>
            <w:r w:rsidR="00FB04D9">
              <w:rPr>
                <w:b/>
                <w:bCs/>
                <w:szCs w:val="24"/>
                <w:lang w:eastAsia="zh-CN"/>
              </w:rPr>
              <w:t>1</w:t>
            </w:r>
            <w:r w:rsidRPr="00A23A45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:rsidRPr="00A23A45">
        <w:trPr>
          <w:cantSplit/>
          <w:trHeight w:val="23"/>
        </w:trPr>
        <w:tc>
          <w:tcPr>
            <w:tcW w:w="6911" w:type="dxa"/>
            <w:vMerge/>
          </w:tcPr>
          <w:p w:rsidR="00700D1F" w:rsidRPr="00A23A45" w:rsidRDefault="00700D1F" w:rsidP="00662911">
            <w:pPr>
              <w:tabs>
                <w:tab w:val="left" w:pos="851"/>
              </w:tabs>
              <w:topLinePunct w:val="0"/>
              <w:autoSpaceDE w:val="0"/>
              <w:autoSpaceDN w:val="0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A23A45" w:rsidRDefault="00700D1F" w:rsidP="00FB04D9">
            <w:pPr>
              <w:tabs>
                <w:tab w:val="left" w:pos="993"/>
              </w:tabs>
              <w:topLinePunct w:val="0"/>
              <w:autoSpaceDE w:val="0"/>
              <w:autoSpaceDN w:val="0"/>
              <w:spacing w:before="0"/>
              <w:rPr>
                <w:b/>
                <w:bCs/>
                <w:szCs w:val="24"/>
                <w:lang w:eastAsia="zh-CN"/>
              </w:rPr>
            </w:pPr>
            <w:r w:rsidRPr="00A23A45">
              <w:rPr>
                <w:b/>
                <w:bCs/>
                <w:szCs w:val="24"/>
                <w:lang w:eastAsia="zh-CN"/>
              </w:rPr>
              <w:t>20</w:t>
            </w:r>
            <w:r w:rsidR="00325C25" w:rsidRPr="00A23A45">
              <w:rPr>
                <w:b/>
                <w:bCs/>
                <w:szCs w:val="24"/>
                <w:lang w:eastAsia="zh-CN"/>
              </w:rPr>
              <w:t>1</w:t>
            </w:r>
            <w:r w:rsidR="00D453EE" w:rsidRPr="00A23A45">
              <w:rPr>
                <w:b/>
                <w:bCs/>
                <w:szCs w:val="24"/>
                <w:lang w:eastAsia="zh-CN"/>
              </w:rPr>
              <w:t>9</w:t>
            </w: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FB04D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FB04D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</w:t>
            </w: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:rsidRPr="00A23A45">
        <w:trPr>
          <w:cantSplit/>
          <w:trHeight w:val="23"/>
        </w:trPr>
        <w:tc>
          <w:tcPr>
            <w:tcW w:w="6911" w:type="dxa"/>
            <w:vMerge/>
          </w:tcPr>
          <w:p w:rsidR="00700D1F" w:rsidRPr="00A23A45" w:rsidRDefault="00700D1F" w:rsidP="00662911">
            <w:pPr>
              <w:tabs>
                <w:tab w:val="left" w:pos="851"/>
              </w:tabs>
              <w:topLinePunct w:val="0"/>
              <w:autoSpaceDE w:val="0"/>
              <w:autoSpaceDN w:val="0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A23A45" w:rsidRDefault="00700D1F" w:rsidP="00662911">
            <w:pPr>
              <w:tabs>
                <w:tab w:val="left" w:pos="993"/>
              </w:tabs>
              <w:topLinePunct w:val="0"/>
              <w:autoSpaceDE w:val="0"/>
              <w:autoSpaceDN w:val="0"/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A23A45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A23A45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:rsidR="008B117A" w:rsidRDefault="008B117A" w:rsidP="00FB04D9">
      <w:pPr>
        <w:pStyle w:val="ResNo"/>
        <w:rPr>
          <w:lang w:eastAsia="zh-CN"/>
        </w:rPr>
      </w:pPr>
      <w:r w:rsidRPr="00A23A45">
        <w:rPr>
          <w:rFonts w:hint="eastAsia"/>
          <w:lang w:eastAsia="zh-CN"/>
        </w:rPr>
        <w:t>第</w:t>
      </w:r>
      <w:r w:rsidR="00FB04D9">
        <w:t>1395</w:t>
      </w:r>
      <w:r w:rsidRPr="00A23A45">
        <w:rPr>
          <w:rFonts w:hint="eastAsia"/>
          <w:lang w:eastAsia="zh-CN"/>
        </w:rPr>
        <w:t>号决议</w:t>
      </w:r>
    </w:p>
    <w:p w:rsidR="004A1A76" w:rsidRPr="00FB4186" w:rsidRDefault="004A1A76" w:rsidP="00FB4186">
      <w:pPr>
        <w:pStyle w:val="Restitle"/>
        <w:rPr>
          <w:b w:val="0"/>
          <w:bCs/>
          <w:lang w:eastAsia="zh-CN"/>
        </w:rPr>
      </w:pPr>
      <w:r w:rsidRPr="00FB4186">
        <w:rPr>
          <w:b w:val="0"/>
          <w:bCs/>
          <w:caps/>
          <w:lang w:eastAsia="zh-CN"/>
        </w:rPr>
        <w:t>（</w:t>
      </w:r>
      <w:r w:rsidR="00FB4186" w:rsidRPr="00FB4186">
        <w:rPr>
          <w:rFonts w:hint="eastAsia"/>
          <w:b w:val="0"/>
          <w:bCs/>
          <w:lang w:eastAsia="zh-CN"/>
        </w:rPr>
        <w:t>在开幕全体会议上通过</w:t>
      </w:r>
      <w:r w:rsidRPr="00FB4186">
        <w:rPr>
          <w:b w:val="0"/>
          <w:bCs/>
          <w:lang w:eastAsia="zh-CN"/>
        </w:rPr>
        <w:t>）</w:t>
      </w:r>
    </w:p>
    <w:p w:rsidR="008B117A" w:rsidRPr="00A23A45" w:rsidRDefault="00E011A9" w:rsidP="0086658B">
      <w:pPr>
        <w:pStyle w:val="Restitle"/>
        <w:rPr>
          <w:lang w:eastAsia="zh-CN"/>
        </w:rPr>
      </w:pPr>
      <w:r w:rsidRPr="00A23A45">
        <w:rPr>
          <w:rFonts w:hint="eastAsia"/>
          <w:lang w:eastAsia="zh-CN"/>
        </w:rPr>
        <w:t>国际电联</w:t>
      </w:r>
      <w:r w:rsidRPr="00A23A45">
        <w:rPr>
          <w:lang w:eastAsia="zh-CN"/>
        </w:rPr>
        <w:t>2020-2023</w:t>
      </w:r>
      <w:r w:rsidR="008B117A" w:rsidRPr="00A23A45">
        <w:rPr>
          <w:rFonts w:hint="eastAsia"/>
          <w:lang w:eastAsia="zh-CN"/>
        </w:rPr>
        <w:t>年</w:t>
      </w:r>
      <w:r w:rsidR="0086658B" w:rsidRPr="00A23A45">
        <w:rPr>
          <w:rFonts w:hint="eastAsia"/>
          <w:lang w:eastAsia="zh-CN"/>
        </w:rPr>
        <w:t>的年度</w:t>
      </w:r>
      <w:r w:rsidR="008B117A" w:rsidRPr="00A23A45">
        <w:rPr>
          <w:rFonts w:hint="eastAsia"/>
          <w:lang w:eastAsia="zh-CN"/>
        </w:rPr>
        <w:t>四年期滚动式运作规划</w:t>
      </w:r>
    </w:p>
    <w:p w:rsidR="008B117A" w:rsidRPr="00A23A45" w:rsidRDefault="008B117A" w:rsidP="008B117A">
      <w:pPr>
        <w:pStyle w:val="Normalaftertitle"/>
        <w:jc w:val="both"/>
        <w:rPr>
          <w:rFonts w:cstheme="minorHAnsi"/>
          <w:szCs w:val="24"/>
          <w:lang w:eastAsia="zh-CN"/>
        </w:rPr>
      </w:pPr>
      <w:r w:rsidRPr="00A23A45">
        <w:rPr>
          <w:rFonts w:cstheme="minorHAnsi" w:hint="eastAsia"/>
          <w:szCs w:val="24"/>
          <w:lang w:eastAsia="zh-CN"/>
        </w:rPr>
        <w:t>理事会，</w:t>
      </w:r>
    </w:p>
    <w:p w:rsidR="008B117A" w:rsidRPr="00A23A45" w:rsidRDefault="008B117A" w:rsidP="008B117A">
      <w:pPr>
        <w:pStyle w:val="Call"/>
        <w:jc w:val="both"/>
        <w:rPr>
          <w:rFonts w:eastAsia="STKaiti" w:cstheme="minorHAnsi"/>
          <w:szCs w:val="24"/>
          <w:lang w:eastAsia="zh-CN"/>
        </w:rPr>
      </w:pPr>
      <w:r w:rsidRPr="00A23A45">
        <w:rPr>
          <w:rFonts w:eastAsia="STKaiti" w:cstheme="minorHAnsi" w:hint="eastAsia"/>
          <w:szCs w:val="24"/>
          <w:lang w:eastAsia="zh-CN"/>
        </w:rPr>
        <w:t>认识到</w:t>
      </w:r>
    </w:p>
    <w:p w:rsidR="008B117A" w:rsidRPr="00A23A45" w:rsidRDefault="008B117A" w:rsidP="008B117A">
      <w:pPr>
        <w:ind w:firstLineChars="200" w:firstLine="480"/>
        <w:rPr>
          <w:lang w:eastAsia="zh-CN"/>
        </w:rPr>
      </w:pPr>
      <w:r w:rsidRPr="00A23A45">
        <w:rPr>
          <w:rFonts w:hint="eastAsia"/>
          <w:lang w:eastAsia="zh-CN"/>
        </w:rPr>
        <w:t>国际电联《公约》第</w:t>
      </w:r>
      <w:r w:rsidRPr="00A23A45">
        <w:rPr>
          <w:lang w:eastAsia="zh-CN"/>
        </w:rPr>
        <w:t>5</w:t>
      </w:r>
      <w:r w:rsidRPr="00A23A45">
        <w:rPr>
          <w:rFonts w:hint="eastAsia"/>
          <w:lang w:eastAsia="zh-CN"/>
        </w:rPr>
        <w:t>、</w:t>
      </w:r>
      <w:r w:rsidRPr="00A23A45">
        <w:rPr>
          <w:rFonts w:cstheme="minorHAnsi"/>
          <w:szCs w:val="24"/>
          <w:lang w:eastAsia="zh-CN"/>
        </w:rPr>
        <w:t>11A</w:t>
      </w:r>
      <w:r w:rsidRPr="00A23A45">
        <w:rPr>
          <w:rFonts w:hint="eastAsia"/>
          <w:lang w:eastAsia="zh-CN"/>
        </w:rPr>
        <w:t>、</w:t>
      </w:r>
      <w:r w:rsidRPr="00A23A45">
        <w:rPr>
          <w:rFonts w:cstheme="minorHAnsi"/>
          <w:szCs w:val="24"/>
          <w:lang w:eastAsia="zh-CN"/>
        </w:rPr>
        <w:t>12</w:t>
      </w:r>
      <w:r w:rsidRPr="00A23A45">
        <w:rPr>
          <w:rFonts w:hint="eastAsia"/>
          <w:lang w:eastAsia="zh-CN"/>
        </w:rPr>
        <w:t>、</w:t>
      </w:r>
      <w:r w:rsidRPr="00A23A45">
        <w:rPr>
          <w:rFonts w:cstheme="minorHAnsi"/>
          <w:szCs w:val="24"/>
          <w:lang w:eastAsia="zh-CN"/>
        </w:rPr>
        <w:t>14A</w:t>
      </w:r>
      <w:r w:rsidRPr="00A23A45">
        <w:rPr>
          <w:rFonts w:hint="eastAsia"/>
          <w:lang w:eastAsia="zh-CN"/>
        </w:rPr>
        <w:t>、</w:t>
      </w:r>
      <w:r w:rsidRPr="00A23A45">
        <w:rPr>
          <w:rFonts w:cstheme="minorHAnsi"/>
          <w:szCs w:val="24"/>
          <w:lang w:eastAsia="zh-CN"/>
        </w:rPr>
        <w:t>15</w:t>
      </w:r>
      <w:r w:rsidRPr="00A23A45">
        <w:rPr>
          <w:rFonts w:cstheme="minorHAnsi" w:hint="eastAsia"/>
          <w:szCs w:val="24"/>
          <w:lang w:eastAsia="zh-CN"/>
        </w:rPr>
        <w:t>和第</w:t>
      </w:r>
      <w:r w:rsidRPr="00A23A45">
        <w:rPr>
          <w:rFonts w:cstheme="minorHAnsi"/>
          <w:szCs w:val="24"/>
          <w:lang w:eastAsia="zh-CN"/>
        </w:rPr>
        <w:t>18</w:t>
      </w:r>
      <w:r w:rsidRPr="00A23A45">
        <w:rPr>
          <w:rFonts w:hint="eastAsia"/>
          <w:lang w:eastAsia="zh-CN"/>
        </w:rPr>
        <w:t>条的规定，</w:t>
      </w:r>
    </w:p>
    <w:p w:rsidR="008B117A" w:rsidRPr="00A23A45" w:rsidRDefault="008B117A" w:rsidP="008B117A">
      <w:pPr>
        <w:pStyle w:val="Call"/>
        <w:rPr>
          <w:rFonts w:eastAsia="STKaiti" w:cstheme="minorHAnsi"/>
          <w:szCs w:val="24"/>
          <w:lang w:eastAsia="zh-CN"/>
        </w:rPr>
      </w:pPr>
      <w:r w:rsidRPr="00A23A45">
        <w:rPr>
          <w:rFonts w:eastAsia="STKaiti" w:cstheme="minorHAnsi" w:hint="eastAsia"/>
          <w:szCs w:val="24"/>
          <w:lang w:eastAsia="zh-CN"/>
        </w:rPr>
        <w:t>忆及</w:t>
      </w:r>
    </w:p>
    <w:p w:rsidR="008B117A" w:rsidRPr="00A23A45" w:rsidRDefault="008B117A" w:rsidP="008B117A">
      <w:pPr>
        <w:ind w:firstLineChars="200" w:firstLine="480"/>
        <w:jc w:val="both"/>
        <w:rPr>
          <w:rFonts w:cstheme="minorHAnsi"/>
          <w:szCs w:val="24"/>
          <w:lang w:eastAsia="zh-CN"/>
        </w:rPr>
      </w:pPr>
      <w:r w:rsidRPr="00A23A45">
        <w:rPr>
          <w:rFonts w:cstheme="minorHAnsi" w:hint="eastAsia"/>
          <w:szCs w:val="24"/>
          <w:lang w:eastAsia="zh-CN"/>
        </w:rPr>
        <w:t>有关国际电联</w:t>
      </w:r>
      <w:r w:rsidR="00E011A9" w:rsidRPr="00A23A45">
        <w:rPr>
          <w:rFonts w:cstheme="minorHAnsi"/>
          <w:szCs w:val="24"/>
          <w:lang w:eastAsia="zh-CN"/>
        </w:rPr>
        <w:t>2020-2023</w:t>
      </w:r>
      <w:r w:rsidRPr="00A23A45">
        <w:rPr>
          <w:rFonts w:cstheme="minorHAnsi" w:hint="eastAsia"/>
          <w:szCs w:val="24"/>
          <w:lang w:eastAsia="zh-CN"/>
        </w:rPr>
        <w:t>年战略规划的第</w:t>
      </w:r>
      <w:r w:rsidRPr="00A23A45">
        <w:rPr>
          <w:rFonts w:cstheme="minorHAnsi" w:hint="eastAsia"/>
          <w:szCs w:val="24"/>
          <w:lang w:eastAsia="zh-CN"/>
        </w:rPr>
        <w:t>71</w:t>
      </w:r>
      <w:r w:rsidRPr="00A23A45">
        <w:rPr>
          <w:rFonts w:cstheme="minorHAnsi" w:hint="eastAsia"/>
          <w:szCs w:val="24"/>
          <w:lang w:eastAsia="zh-CN"/>
        </w:rPr>
        <w:t>号决议（</w:t>
      </w:r>
      <w:r w:rsidRPr="00A23A45">
        <w:rPr>
          <w:rFonts w:cstheme="minorHAnsi" w:hint="eastAsia"/>
          <w:szCs w:val="24"/>
          <w:lang w:eastAsia="zh-CN"/>
        </w:rPr>
        <w:t>201</w:t>
      </w:r>
      <w:r w:rsidR="00E011A9" w:rsidRPr="00A23A45">
        <w:rPr>
          <w:rFonts w:cstheme="minorHAnsi"/>
          <w:szCs w:val="24"/>
          <w:lang w:eastAsia="zh-CN"/>
        </w:rPr>
        <w:t>8</w:t>
      </w:r>
      <w:r w:rsidRPr="00A23A45">
        <w:rPr>
          <w:rFonts w:cstheme="minorHAnsi" w:hint="eastAsia"/>
          <w:szCs w:val="24"/>
          <w:lang w:eastAsia="zh-CN"/>
        </w:rPr>
        <w:t>年，</w:t>
      </w:r>
      <w:r w:rsidR="00E011A9" w:rsidRPr="00A23A45">
        <w:rPr>
          <w:rFonts w:cstheme="minorHAnsi" w:hint="eastAsia"/>
          <w:szCs w:val="24"/>
          <w:lang w:eastAsia="zh-CN"/>
        </w:rPr>
        <w:t>迪拜</w:t>
      </w:r>
      <w:r w:rsidRPr="00A23A45">
        <w:rPr>
          <w:rFonts w:cstheme="minorHAnsi" w:hint="eastAsia"/>
          <w:szCs w:val="24"/>
          <w:lang w:eastAsia="zh-CN"/>
        </w:rPr>
        <w:t>，修订版）以及有关</w:t>
      </w:r>
      <w:r w:rsidR="00E011A9" w:rsidRPr="00A23A45">
        <w:rPr>
          <w:rFonts w:cstheme="minorHAnsi" w:hint="eastAsia"/>
          <w:szCs w:val="24"/>
          <w:lang w:eastAsia="zh-CN"/>
        </w:rPr>
        <w:t>实施</w:t>
      </w:r>
      <w:r w:rsidRPr="00A23A45">
        <w:rPr>
          <w:rFonts w:cstheme="minorHAnsi" w:hint="eastAsia"/>
          <w:szCs w:val="24"/>
          <w:lang w:eastAsia="zh-CN"/>
        </w:rPr>
        <w:t>基于结果的管理方式的第</w:t>
      </w:r>
      <w:r w:rsidRPr="00A23A45">
        <w:rPr>
          <w:rFonts w:cstheme="minorHAnsi" w:hint="eastAsia"/>
          <w:szCs w:val="24"/>
          <w:lang w:eastAsia="zh-CN"/>
        </w:rPr>
        <w:t>151</w:t>
      </w:r>
      <w:r w:rsidRPr="00A23A45">
        <w:rPr>
          <w:rFonts w:cstheme="minorHAnsi" w:hint="eastAsia"/>
          <w:szCs w:val="24"/>
          <w:lang w:eastAsia="zh-CN"/>
        </w:rPr>
        <w:t>号决议（</w:t>
      </w:r>
      <w:r w:rsidRPr="00A23A45">
        <w:rPr>
          <w:rFonts w:cstheme="minorHAnsi" w:hint="eastAsia"/>
          <w:szCs w:val="24"/>
          <w:lang w:eastAsia="zh-CN"/>
        </w:rPr>
        <w:t>201</w:t>
      </w:r>
      <w:r w:rsidR="00E011A9" w:rsidRPr="00A23A45">
        <w:rPr>
          <w:rFonts w:cstheme="minorHAnsi"/>
          <w:szCs w:val="24"/>
          <w:lang w:eastAsia="zh-CN"/>
        </w:rPr>
        <w:t>8</w:t>
      </w:r>
      <w:r w:rsidRPr="00A23A45">
        <w:rPr>
          <w:rFonts w:cstheme="minorHAnsi" w:hint="eastAsia"/>
          <w:szCs w:val="24"/>
          <w:lang w:eastAsia="zh-CN"/>
        </w:rPr>
        <w:t>年，</w:t>
      </w:r>
      <w:r w:rsidR="00E011A9" w:rsidRPr="00A23A45">
        <w:rPr>
          <w:rFonts w:cstheme="minorHAnsi" w:hint="eastAsia"/>
          <w:szCs w:val="24"/>
          <w:lang w:eastAsia="zh-CN"/>
        </w:rPr>
        <w:t>迪拜</w:t>
      </w:r>
      <w:r w:rsidRPr="00A23A45">
        <w:rPr>
          <w:rFonts w:cstheme="minorHAnsi" w:hint="eastAsia"/>
          <w:szCs w:val="24"/>
          <w:lang w:eastAsia="zh-CN"/>
        </w:rPr>
        <w:t>，修订版），</w:t>
      </w:r>
    </w:p>
    <w:p w:rsidR="008B117A" w:rsidRPr="00A23A45" w:rsidRDefault="00FB4186" w:rsidP="00FB4186">
      <w:pPr>
        <w:pStyle w:val="Call"/>
        <w:jc w:val="both"/>
        <w:rPr>
          <w:rFonts w:ascii="Calibri" w:hAnsi="Calibri" w:cstheme="minorHAnsi"/>
          <w:szCs w:val="24"/>
          <w:lang w:eastAsia="zh-CN"/>
        </w:rPr>
      </w:pPr>
      <w:r>
        <w:rPr>
          <w:rFonts w:eastAsia="STKaiti" w:cstheme="minorHAnsi" w:hint="eastAsia"/>
          <w:szCs w:val="24"/>
          <w:lang w:eastAsia="zh-CN"/>
        </w:rPr>
        <w:t>经审议</w:t>
      </w:r>
    </w:p>
    <w:p w:rsidR="008B117A" w:rsidRPr="00A23A45" w:rsidRDefault="00E011A9" w:rsidP="008B117A">
      <w:pPr>
        <w:ind w:firstLineChars="200" w:firstLine="480"/>
        <w:rPr>
          <w:rFonts w:cstheme="minorHAnsi"/>
          <w:szCs w:val="24"/>
          <w:lang w:eastAsia="zh-CN"/>
        </w:rPr>
      </w:pPr>
      <w:r w:rsidRPr="00A23A45">
        <w:rPr>
          <w:rFonts w:cstheme="minorHAnsi"/>
          <w:szCs w:val="24"/>
          <w:lang w:val="en-US" w:eastAsia="zh-CN"/>
        </w:rPr>
        <w:t>2020-2023</w:t>
      </w:r>
      <w:r w:rsidR="008B117A" w:rsidRPr="00A23A45">
        <w:rPr>
          <w:rFonts w:hint="eastAsia"/>
          <w:lang w:eastAsia="zh-CN"/>
        </w:rPr>
        <w:t>年四年期滚动式运作规划草案</w:t>
      </w:r>
      <w:r w:rsidR="00B03539" w:rsidRPr="00A23A45">
        <w:rPr>
          <w:rFonts w:hint="eastAsia"/>
          <w:lang w:eastAsia="zh-CN"/>
        </w:rPr>
        <w:t>（</w:t>
      </w:r>
      <w:hyperlink r:id="rId9" w:history="1">
        <w:r w:rsidR="00B03539" w:rsidRPr="00A23A45">
          <w:rPr>
            <w:rStyle w:val="Hyperlink"/>
            <w:lang w:eastAsia="zh-CN"/>
          </w:rPr>
          <w:t>C19/28</w:t>
        </w:r>
      </w:hyperlink>
      <w:r w:rsidR="00B03539" w:rsidRPr="00A23A45">
        <w:rPr>
          <w:rFonts w:hint="eastAsia"/>
          <w:lang w:eastAsia="zh-CN"/>
        </w:rPr>
        <w:t>号文件）</w:t>
      </w:r>
      <w:r w:rsidR="008B117A" w:rsidRPr="00A23A45">
        <w:rPr>
          <w:rFonts w:cstheme="minorHAnsi" w:hint="eastAsia"/>
          <w:szCs w:val="24"/>
          <w:lang w:eastAsia="zh-CN"/>
        </w:rPr>
        <w:t>，</w:t>
      </w:r>
    </w:p>
    <w:p w:rsidR="008B117A" w:rsidRPr="00A23A45" w:rsidRDefault="008B117A" w:rsidP="008B117A">
      <w:pPr>
        <w:pStyle w:val="Call"/>
        <w:jc w:val="both"/>
        <w:rPr>
          <w:rFonts w:eastAsia="STKaiti" w:cstheme="minorHAnsi"/>
          <w:szCs w:val="24"/>
          <w:lang w:eastAsia="zh-CN"/>
        </w:rPr>
      </w:pPr>
      <w:r w:rsidRPr="00A23A45">
        <w:rPr>
          <w:rFonts w:eastAsia="STKaiti" w:cstheme="minorHAnsi" w:hint="eastAsia"/>
          <w:szCs w:val="24"/>
          <w:lang w:eastAsia="zh-CN"/>
        </w:rPr>
        <w:t>亦考虑到</w:t>
      </w:r>
    </w:p>
    <w:p w:rsidR="008B117A" w:rsidRPr="00A23A45" w:rsidRDefault="008B117A" w:rsidP="0086658B">
      <w:pPr>
        <w:ind w:firstLineChars="200" w:firstLine="480"/>
        <w:jc w:val="both"/>
        <w:rPr>
          <w:rFonts w:cstheme="minorHAnsi"/>
          <w:szCs w:val="24"/>
          <w:lang w:eastAsia="zh-CN"/>
        </w:rPr>
      </w:pPr>
      <w:r w:rsidRPr="00A23A45">
        <w:rPr>
          <w:rFonts w:hint="eastAsia"/>
          <w:lang w:eastAsia="zh-CN"/>
        </w:rPr>
        <w:t>秘书长和各局主任在实施</w:t>
      </w:r>
      <w:r w:rsidR="0086658B" w:rsidRPr="00A23A45">
        <w:rPr>
          <w:rFonts w:hint="eastAsia"/>
          <w:lang w:eastAsia="zh-CN"/>
        </w:rPr>
        <w:t>年度</w:t>
      </w:r>
      <w:r w:rsidRPr="00A23A45">
        <w:rPr>
          <w:rFonts w:hint="eastAsia"/>
          <w:lang w:eastAsia="zh-CN"/>
        </w:rPr>
        <w:t>四年期滚动式运作规划</w:t>
      </w:r>
      <w:r w:rsidR="00B03539" w:rsidRPr="00A23A45">
        <w:rPr>
          <w:rFonts w:hint="eastAsia"/>
          <w:lang w:eastAsia="zh-CN"/>
        </w:rPr>
        <w:t>的相应部分</w:t>
      </w:r>
      <w:r w:rsidRPr="00A23A45">
        <w:rPr>
          <w:rFonts w:hint="eastAsia"/>
          <w:lang w:eastAsia="zh-CN"/>
        </w:rPr>
        <w:t>时需</w:t>
      </w:r>
      <w:r w:rsidR="00FB4186">
        <w:rPr>
          <w:rFonts w:hint="eastAsia"/>
          <w:lang w:eastAsia="zh-CN"/>
        </w:rPr>
        <w:t>要</w:t>
      </w:r>
      <w:r w:rsidRPr="00A23A45">
        <w:rPr>
          <w:rFonts w:hint="eastAsia"/>
          <w:lang w:eastAsia="zh-CN"/>
        </w:rPr>
        <w:t>有一定的灵活性，以便应对两届理事会</w:t>
      </w:r>
      <w:r w:rsidR="00FB4186">
        <w:rPr>
          <w:rFonts w:hint="eastAsia"/>
          <w:lang w:eastAsia="zh-CN"/>
        </w:rPr>
        <w:t>会议</w:t>
      </w:r>
      <w:r w:rsidRPr="00A23A45">
        <w:rPr>
          <w:rFonts w:hint="eastAsia"/>
          <w:lang w:eastAsia="zh-CN"/>
        </w:rPr>
        <w:t>之间可能发生的变化</w:t>
      </w:r>
      <w:r w:rsidRPr="00A23A45">
        <w:rPr>
          <w:rFonts w:cstheme="minorHAnsi" w:hint="eastAsia"/>
          <w:szCs w:val="24"/>
          <w:lang w:eastAsia="zh-CN"/>
        </w:rPr>
        <w:t>，</w:t>
      </w:r>
    </w:p>
    <w:p w:rsidR="008B117A" w:rsidRPr="00A23A45" w:rsidRDefault="008B117A" w:rsidP="008B117A">
      <w:pPr>
        <w:pStyle w:val="Call"/>
        <w:jc w:val="both"/>
        <w:rPr>
          <w:rFonts w:eastAsia="STKaiti" w:cstheme="minorHAnsi"/>
          <w:szCs w:val="24"/>
          <w:lang w:eastAsia="zh-CN"/>
        </w:rPr>
      </w:pPr>
      <w:r w:rsidRPr="00A23A45">
        <w:rPr>
          <w:rFonts w:eastAsia="STKaiti" w:cstheme="minorHAnsi" w:hint="eastAsia"/>
          <w:szCs w:val="24"/>
          <w:lang w:eastAsia="zh-CN"/>
        </w:rPr>
        <w:t>做出决议</w:t>
      </w:r>
    </w:p>
    <w:p w:rsidR="008B117A" w:rsidRPr="00A23A45" w:rsidRDefault="008B117A" w:rsidP="0086658B">
      <w:pPr>
        <w:jc w:val="both"/>
        <w:rPr>
          <w:rFonts w:cstheme="minorHAnsi"/>
          <w:szCs w:val="24"/>
          <w:lang w:eastAsia="zh-CN"/>
        </w:rPr>
      </w:pPr>
      <w:r w:rsidRPr="00A23A45">
        <w:rPr>
          <w:rFonts w:cstheme="minorHAnsi"/>
          <w:szCs w:val="24"/>
          <w:lang w:eastAsia="zh-CN"/>
        </w:rPr>
        <w:t>1</w:t>
      </w:r>
      <w:r w:rsidRPr="00A23A45">
        <w:rPr>
          <w:rFonts w:cstheme="minorHAnsi"/>
          <w:szCs w:val="24"/>
          <w:lang w:eastAsia="zh-CN"/>
        </w:rPr>
        <w:tab/>
      </w:r>
      <w:r w:rsidR="00B03539" w:rsidRPr="00A23A45">
        <w:rPr>
          <w:rFonts w:cstheme="minorHAnsi" w:hint="eastAsia"/>
          <w:szCs w:val="24"/>
          <w:lang w:eastAsia="zh-CN"/>
        </w:rPr>
        <w:t>批准国际电联</w:t>
      </w:r>
      <w:r w:rsidR="00B03539" w:rsidRPr="00A23A45">
        <w:rPr>
          <w:rFonts w:cstheme="minorHAnsi"/>
          <w:szCs w:val="24"/>
          <w:lang w:eastAsia="zh-CN"/>
        </w:rPr>
        <w:t>2020-2023</w:t>
      </w:r>
      <w:r w:rsidR="00B03539" w:rsidRPr="00A23A45">
        <w:rPr>
          <w:rFonts w:cstheme="minorHAnsi" w:hint="eastAsia"/>
          <w:szCs w:val="24"/>
          <w:lang w:eastAsia="zh-CN"/>
        </w:rPr>
        <w:t>年</w:t>
      </w:r>
      <w:r w:rsidR="0086658B" w:rsidRPr="00A23A45">
        <w:rPr>
          <w:rFonts w:cstheme="minorHAnsi" w:hint="eastAsia"/>
          <w:szCs w:val="24"/>
          <w:lang w:eastAsia="zh-CN"/>
        </w:rPr>
        <w:t>的年度</w:t>
      </w:r>
      <w:r w:rsidR="00B03539" w:rsidRPr="00A23A45">
        <w:rPr>
          <w:rFonts w:cstheme="minorHAnsi" w:hint="eastAsia"/>
          <w:szCs w:val="24"/>
          <w:lang w:eastAsia="zh-CN"/>
        </w:rPr>
        <w:t>四年期滚动式运作规划；</w:t>
      </w:r>
    </w:p>
    <w:p w:rsidR="008B117A" w:rsidRDefault="008B117A" w:rsidP="0086658B">
      <w:pPr>
        <w:jc w:val="both"/>
        <w:rPr>
          <w:rFonts w:cstheme="minorHAnsi"/>
          <w:szCs w:val="24"/>
          <w:lang w:eastAsia="zh-CN"/>
        </w:rPr>
      </w:pPr>
      <w:r w:rsidRPr="00A23A45">
        <w:rPr>
          <w:rFonts w:cstheme="minorHAnsi"/>
          <w:szCs w:val="24"/>
          <w:lang w:eastAsia="zh-CN"/>
        </w:rPr>
        <w:t>2</w:t>
      </w:r>
      <w:r w:rsidRPr="00A23A45">
        <w:rPr>
          <w:rFonts w:cstheme="minorHAnsi"/>
          <w:szCs w:val="24"/>
          <w:lang w:eastAsia="zh-CN"/>
        </w:rPr>
        <w:tab/>
      </w:r>
      <w:r w:rsidRPr="00A23A45">
        <w:rPr>
          <w:rFonts w:cstheme="minorHAnsi" w:hint="eastAsia"/>
          <w:szCs w:val="24"/>
          <w:lang w:eastAsia="zh-CN"/>
        </w:rPr>
        <w:t>在</w:t>
      </w:r>
      <w:r w:rsidR="00B03539" w:rsidRPr="00A23A45">
        <w:rPr>
          <w:rFonts w:cstheme="minorHAnsi" w:hint="eastAsia"/>
          <w:szCs w:val="24"/>
          <w:lang w:eastAsia="zh-CN"/>
        </w:rPr>
        <w:t>实施</w:t>
      </w:r>
      <w:r w:rsidR="00B03539" w:rsidRPr="00A23A45">
        <w:rPr>
          <w:rFonts w:cstheme="minorHAnsi"/>
          <w:szCs w:val="24"/>
          <w:lang w:eastAsia="zh-CN"/>
        </w:rPr>
        <w:t>2020-2023</w:t>
      </w:r>
      <w:r w:rsidRPr="00A23A45">
        <w:rPr>
          <w:rFonts w:hint="eastAsia"/>
          <w:lang w:eastAsia="zh-CN"/>
        </w:rPr>
        <w:t>年</w:t>
      </w:r>
      <w:r w:rsidR="0086658B">
        <w:rPr>
          <w:rFonts w:hint="eastAsia"/>
          <w:lang w:eastAsia="zh-CN"/>
        </w:rPr>
        <w:t>的年度</w:t>
      </w:r>
      <w:r w:rsidRPr="00A23A45">
        <w:rPr>
          <w:rFonts w:hint="eastAsia"/>
          <w:lang w:eastAsia="zh-CN"/>
        </w:rPr>
        <w:t>四年期滚动式运作规划</w:t>
      </w:r>
      <w:r w:rsidR="00B03539" w:rsidRPr="00A23A45">
        <w:rPr>
          <w:rFonts w:hint="eastAsia"/>
          <w:lang w:eastAsia="zh-CN"/>
        </w:rPr>
        <w:t>的相应部分时，</w:t>
      </w:r>
      <w:r w:rsidRPr="00A23A45">
        <w:rPr>
          <w:rFonts w:cstheme="minorHAnsi" w:hint="eastAsia"/>
          <w:szCs w:val="24"/>
          <w:lang w:eastAsia="zh-CN"/>
        </w:rPr>
        <w:t>给予秘书长和各局主任必要的灵活性。</w:t>
      </w:r>
    </w:p>
    <w:p w:rsidR="007912BF" w:rsidRDefault="007912BF" w:rsidP="0086658B">
      <w:pPr>
        <w:jc w:val="both"/>
        <w:rPr>
          <w:rFonts w:cstheme="minorHAnsi"/>
          <w:szCs w:val="24"/>
          <w:lang w:eastAsia="zh-CN"/>
        </w:rPr>
      </w:pPr>
    </w:p>
    <w:p w:rsidR="007912BF" w:rsidRPr="00A23A45" w:rsidRDefault="007912BF" w:rsidP="0086658B">
      <w:pPr>
        <w:jc w:val="both"/>
        <w:rPr>
          <w:rFonts w:hint="eastAsia"/>
          <w:lang w:eastAsia="zh-CN"/>
        </w:rPr>
      </w:pPr>
      <w:bookmarkStart w:id="2" w:name="_GoBack"/>
      <w:bookmarkEnd w:id="2"/>
    </w:p>
    <w:p w:rsidR="008B117A" w:rsidRDefault="008B117A" w:rsidP="008B117A">
      <w:pPr>
        <w:jc w:val="center"/>
      </w:pPr>
      <w:r w:rsidRPr="00A23A45">
        <w:t>______________</w:t>
      </w:r>
    </w:p>
    <w:sectPr w:rsidR="008B117A" w:rsidSect="00A261E7"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66" w:rsidRDefault="00467166">
      <w:r>
        <w:separator/>
      </w:r>
    </w:p>
  </w:endnote>
  <w:endnote w:type="continuationSeparator" w:id="0">
    <w:p w:rsidR="00467166" w:rsidRDefault="0046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D9" w:rsidRDefault="00FB04D9" w:rsidP="00FB04D9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66" w:rsidRDefault="00467166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467166" w:rsidRDefault="007912BF" w:rsidP="008B117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A5215">
      <w:t>P:\CHI\SG\CONSEIL\C19\000\028C.docx</w:t>
    </w:r>
    <w:r>
      <w:fldChar w:fldCharType="end"/>
    </w:r>
    <w:r w:rsidR="00467166">
      <w:t xml:space="preserve"> (425106)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66" w:rsidRDefault="00467166">
      <w:r>
        <w:t>____________________</w:t>
      </w:r>
    </w:p>
  </w:footnote>
  <w:footnote w:type="continuationSeparator" w:id="0">
    <w:p w:rsidR="00467166" w:rsidRDefault="0046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868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86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E2D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D290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B28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9230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44A4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0CC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7E8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DD8DF10"/>
    <w:lvl w:ilvl="0">
      <w:numFmt w:val="bullet"/>
      <w:lvlText w:val="*"/>
      <w:lvlJc w:val="left"/>
    </w:lvl>
  </w:abstractNum>
  <w:abstractNum w:abstractNumId="11" w15:restartNumberingAfterBreak="0">
    <w:nsid w:val="02A345A7"/>
    <w:multiLevelType w:val="hybridMultilevel"/>
    <w:tmpl w:val="D9A056A2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3813DC"/>
    <w:multiLevelType w:val="hybridMultilevel"/>
    <w:tmpl w:val="0804F6D0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341B0D"/>
    <w:multiLevelType w:val="hybridMultilevel"/>
    <w:tmpl w:val="F0C44EEC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415ECE"/>
    <w:multiLevelType w:val="hybridMultilevel"/>
    <w:tmpl w:val="B1D00A96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19128C"/>
    <w:multiLevelType w:val="hybridMultilevel"/>
    <w:tmpl w:val="96F6ECB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31889"/>
    <w:multiLevelType w:val="hybridMultilevel"/>
    <w:tmpl w:val="D1901F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61558"/>
    <w:multiLevelType w:val="hybridMultilevel"/>
    <w:tmpl w:val="E2D8FFC2"/>
    <w:lvl w:ilvl="0" w:tplc="663469F8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966AFE"/>
    <w:multiLevelType w:val="hybridMultilevel"/>
    <w:tmpl w:val="C5ACD824"/>
    <w:lvl w:ilvl="0" w:tplc="36BE7FF4">
      <w:start w:val="18"/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4A131017"/>
    <w:multiLevelType w:val="multilevel"/>
    <w:tmpl w:val="D102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A9870AB"/>
    <w:multiLevelType w:val="hybridMultilevel"/>
    <w:tmpl w:val="1EE0F5D8"/>
    <w:lvl w:ilvl="0" w:tplc="41AA705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36C35"/>
    <w:multiLevelType w:val="hybridMultilevel"/>
    <w:tmpl w:val="00B80E14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930B5D"/>
    <w:multiLevelType w:val="hybridMultilevel"/>
    <w:tmpl w:val="5EA66CC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242ECF"/>
    <w:multiLevelType w:val="hybridMultilevel"/>
    <w:tmpl w:val="F25C3FFC"/>
    <w:lvl w:ilvl="0" w:tplc="36BE7FF4">
      <w:start w:val="18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E83386A"/>
    <w:multiLevelType w:val="hybridMultilevel"/>
    <w:tmpl w:val="DF5AF9CE"/>
    <w:lvl w:ilvl="0" w:tplc="36BE7FF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0"/>
  </w:num>
  <w:num w:numId="4">
    <w:abstractNumId w:val="28"/>
  </w:num>
  <w:num w:numId="5">
    <w:abstractNumId w:val="30"/>
  </w:num>
  <w:num w:numId="6">
    <w:abstractNumId w:val="29"/>
  </w:num>
  <w:num w:numId="7">
    <w:abstractNumId w:val="16"/>
  </w:num>
  <w:num w:numId="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31"/>
  </w:num>
  <w:num w:numId="10">
    <w:abstractNumId w:val="22"/>
  </w:num>
  <w:num w:numId="11">
    <w:abstractNumId w:val="17"/>
  </w:num>
  <w:num w:numId="12">
    <w:abstractNumId w:val="26"/>
  </w:num>
  <w:num w:numId="13">
    <w:abstractNumId w:val="13"/>
  </w:num>
  <w:num w:numId="14">
    <w:abstractNumId w:val="12"/>
  </w:num>
  <w:num w:numId="15">
    <w:abstractNumId w:val="32"/>
  </w:num>
  <w:num w:numId="16">
    <w:abstractNumId w:val="23"/>
  </w:num>
  <w:num w:numId="17">
    <w:abstractNumId w:val="14"/>
  </w:num>
  <w:num w:numId="18">
    <w:abstractNumId w:val="11"/>
  </w:num>
  <w:num w:numId="19">
    <w:abstractNumId w:val="1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15"/>
  </w:num>
  <w:num w:numId="31">
    <w:abstractNumId w:val="27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wNLYwMbMwNjcxNDFS0lEKTi0uzszPAykwqwUAZuaYMywAAAA="/>
  </w:docVars>
  <w:rsids>
    <w:rsidRoot w:val="008C074D"/>
    <w:rsid w:val="00001B77"/>
    <w:rsid w:val="0000517A"/>
    <w:rsid w:val="00007D36"/>
    <w:rsid w:val="00010753"/>
    <w:rsid w:val="00021531"/>
    <w:rsid w:val="00031E72"/>
    <w:rsid w:val="000404D2"/>
    <w:rsid w:val="000416E5"/>
    <w:rsid w:val="00046BE4"/>
    <w:rsid w:val="00057CF4"/>
    <w:rsid w:val="00061AB2"/>
    <w:rsid w:val="0007478D"/>
    <w:rsid w:val="00081C86"/>
    <w:rsid w:val="00081EF2"/>
    <w:rsid w:val="00082E2C"/>
    <w:rsid w:val="000853C0"/>
    <w:rsid w:val="000A1C21"/>
    <w:rsid w:val="000A6D91"/>
    <w:rsid w:val="000D15EA"/>
    <w:rsid w:val="00100D84"/>
    <w:rsid w:val="00102F60"/>
    <w:rsid w:val="00111D6D"/>
    <w:rsid w:val="0012317C"/>
    <w:rsid w:val="00124C9D"/>
    <w:rsid w:val="00126CAC"/>
    <w:rsid w:val="0013281C"/>
    <w:rsid w:val="001351D5"/>
    <w:rsid w:val="00157496"/>
    <w:rsid w:val="00157773"/>
    <w:rsid w:val="0016179C"/>
    <w:rsid w:val="0018251A"/>
    <w:rsid w:val="00190272"/>
    <w:rsid w:val="00193244"/>
    <w:rsid w:val="0019389E"/>
    <w:rsid w:val="00193C1C"/>
    <w:rsid w:val="00193E44"/>
    <w:rsid w:val="00195C6C"/>
    <w:rsid w:val="00195FED"/>
    <w:rsid w:val="001A4BD6"/>
    <w:rsid w:val="001B6628"/>
    <w:rsid w:val="001C212D"/>
    <w:rsid w:val="001C5AED"/>
    <w:rsid w:val="001D26D3"/>
    <w:rsid w:val="001D5A18"/>
    <w:rsid w:val="00206D28"/>
    <w:rsid w:val="00211217"/>
    <w:rsid w:val="00213E19"/>
    <w:rsid w:val="00226F13"/>
    <w:rsid w:val="00230E91"/>
    <w:rsid w:val="002626F3"/>
    <w:rsid w:val="00280EB8"/>
    <w:rsid w:val="002810A5"/>
    <w:rsid w:val="00295D9C"/>
    <w:rsid w:val="002A1AE2"/>
    <w:rsid w:val="002A2CFB"/>
    <w:rsid w:val="002A6670"/>
    <w:rsid w:val="002C1109"/>
    <w:rsid w:val="002C5951"/>
    <w:rsid w:val="002E1704"/>
    <w:rsid w:val="002E750E"/>
    <w:rsid w:val="00301631"/>
    <w:rsid w:val="00303502"/>
    <w:rsid w:val="003202F1"/>
    <w:rsid w:val="0032376B"/>
    <w:rsid w:val="00325C25"/>
    <w:rsid w:val="0033350C"/>
    <w:rsid w:val="003343DD"/>
    <w:rsid w:val="0033613B"/>
    <w:rsid w:val="00342E12"/>
    <w:rsid w:val="00345265"/>
    <w:rsid w:val="00345747"/>
    <w:rsid w:val="00347611"/>
    <w:rsid w:val="00352629"/>
    <w:rsid w:val="00352BDE"/>
    <w:rsid w:val="00357E6A"/>
    <w:rsid w:val="00360A9F"/>
    <w:rsid w:val="00365F4B"/>
    <w:rsid w:val="00372C8F"/>
    <w:rsid w:val="00380ECE"/>
    <w:rsid w:val="003867D0"/>
    <w:rsid w:val="00387027"/>
    <w:rsid w:val="00393DDF"/>
    <w:rsid w:val="00397F55"/>
    <w:rsid w:val="003B239F"/>
    <w:rsid w:val="003B4454"/>
    <w:rsid w:val="003B67DB"/>
    <w:rsid w:val="003C2E37"/>
    <w:rsid w:val="003D0A9B"/>
    <w:rsid w:val="003D1FFB"/>
    <w:rsid w:val="003F1415"/>
    <w:rsid w:val="0040144C"/>
    <w:rsid w:val="00403EB7"/>
    <w:rsid w:val="004159C7"/>
    <w:rsid w:val="00430BF0"/>
    <w:rsid w:val="00467166"/>
    <w:rsid w:val="004672E6"/>
    <w:rsid w:val="00474ED1"/>
    <w:rsid w:val="00487DB6"/>
    <w:rsid w:val="00493085"/>
    <w:rsid w:val="00496C44"/>
    <w:rsid w:val="00497A3B"/>
    <w:rsid w:val="004A0800"/>
    <w:rsid w:val="004A10C6"/>
    <w:rsid w:val="004A1A76"/>
    <w:rsid w:val="004A36EC"/>
    <w:rsid w:val="004C0E92"/>
    <w:rsid w:val="004D163F"/>
    <w:rsid w:val="004D3238"/>
    <w:rsid w:val="004E09DC"/>
    <w:rsid w:val="004E4BFF"/>
    <w:rsid w:val="004E5560"/>
    <w:rsid w:val="004F2598"/>
    <w:rsid w:val="00506901"/>
    <w:rsid w:val="00517530"/>
    <w:rsid w:val="00523AAD"/>
    <w:rsid w:val="00525F0B"/>
    <w:rsid w:val="005403F7"/>
    <w:rsid w:val="00540632"/>
    <w:rsid w:val="00541CF4"/>
    <w:rsid w:val="005451E8"/>
    <w:rsid w:val="00547FEF"/>
    <w:rsid w:val="005507F2"/>
    <w:rsid w:val="0055454F"/>
    <w:rsid w:val="00566817"/>
    <w:rsid w:val="00567097"/>
    <w:rsid w:val="00571413"/>
    <w:rsid w:val="005759CC"/>
    <w:rsid w:val="005772BF"/>
    <w:rsid w:val="00582701"/>
    <w:rsid w:val="00594B3E"/>
    <w:rsid w:val="005962FC"/>
    <w:rsid w:val="005A2192"/>
    <w:rsid w:val="005A72E1"/>
    <w:rsid w:val="005B5096"/>
    <w:rsid w:val="005B6BD1"/>
    <w:rsid w:val="005C6632"/>
    <w:rsid w:val="005D1C9E"/>
    <w:rsid w:val="00605743"/>
    <w:rsid w:val="00615D50"/>
    <w:rsid w:val="00645598"/>
    <w:rsid w:val="00654257"/>
    <w:rsid w:val="0065435A"/>
    <w:rsid w:val="00662911"/>
    <w:rsid w:val="00671B38"/>
    <w:rsid w:val="006775DA"/>
    <w:rsid w:val="006A0192"/>
    <w:rsid w:val="006A2DD3"/>
    <w:rsid w:val="006A2FB1"/>
    <w:rsid w:val="006A5AF8"/>
    <w:rsid w:val="006C36CD"/>
    <w:rsid w:val="006D4B70"/>
    <w:rsid w:val="00700D1F"/>
    <w:rsid w:val="00707F96"/>
    <w:rsid w:val="007205CB"/>
    <w:rsid w:val="00726073"/>
    <w:rsid w:val="00734FE8"/>
    <w:rsid w:val="007360CE"/>
    <w:rsid w:val="007572DD"/>
    <w:rsid w:val="00772315"/>
    <w:rsid w:val="00775157"/>
    <w:rsid w:val="007813AE"/>
    <w:rsid w:val="00781722"/>
    <w:rsid w:val="007903B5"/>
    <w:rsid w:val="007912BF"/>
    <w:rsid w:val="00797B59"/>
    <w:rsid w:val="00797EF3"/>
    <w:rsid w:val="007A37DB"/>
    <w:rsid w:val="007B147F"/>
    <w:rsid w:val="007C3FB6"/>
    <w:rsid w:val="007E189D"/>
    <w:rsid w:val="007F3420"/>
    <w:rsid w:val="007F47DF"/>
    <w:rsid w:val="00811259"/>
    <w:rsid w:val="00813AA2"/>
    <w:rsid w:val="008173A3"/>
    <w:rsid w:val="00822118"/>
    <w:rsid w:val="00827DD5"/>
    <w:rsid w:val="008439C4"/>
    <w:rsid w:val="00844A09"/>
    <w:rsid w:val="0084532A"/>
    <w:rsid w:val="0085209E"/>
    <w:rsid w:val="008548EC"/>
    <w:rsid w:val="00857D4B"/>
    <w:rsid w:val="0086059C"/>
    <w:rsid w:val="00864589"/>
    <w:rsid w:val="0086658B"/>
    <w:rsid w:val="00886DE3"/>
    <w:rsid w:val="00890AFB"/>
    <w:rsid w:val="00890FC4"/>
    <w:rsid w:val="00895905"/>
    <w:rsid w:val="008A2434"/>
    <w:rsid w:val="008B117A"/>
    <w:rsid w:val="008B41AE"/>
    <w:rsid w:val="008C074D"/>
    <w:rsid w:val="008C481E"/>
    <w:rsid w:val="008D4B31"/>
    <w:rsid w:val="008D7B5B"/>
    <w:rsid w:val="008E07D9"/>
    <w:rsid w:val="009164A9"/>
    <w:rsid w:val="00917CC9"/>
    <w:rsid w:val="00922527"/>
    <w:rsid w:val="00924805"/>
    <w:rsid w:val="009258CB"/>
    <w:rsid w:val="00927F00"/>
    <w:rsid w:val="0093362E"/>
    <w:rsid w:val="00944563"/>
    <w:rsid w:val="00953160"/>
    <w:rsid w:val="0095401A"/>
    <w:rsid w:val="009602A4"/>
    <w:rsid w:val="009625D8"/>
    <w:rsid w:val="009734F3"/>
    <w:rsid w:val="00980D36"/>
    <w:rsid w:val="0098459B"/>
    <w:rsid w:val="009910E6"/>
    <w:rsid w:val="00997185"/>
    <w:rsid w:val="009C2458"/>
    <w:rsid w:val="009C4A7B"/>
    <w:rsid w:val="009C6123"/>
    <w:rsid w:val="009D5EFF"/>
    <w:rsid w:val="009E07AF"/>
    <w:rsid w:val="009F1E3E"/>
    <w:rsid w:val="00A019B3"/>
    <w:rsid w:val="00A01D83"/>
    <w:rsid w:val="00A05E84"/>
    <w:rsid w:val="00A1213C"/>
    <w:rsid w:val="00A13462"/>
    <w:rsid w:val="00A20498"/>
    <w:rsid w:val="00A23A45"/>
    <w:rsid w:val="00A261E7"/>
    <w:rsid w:val="00A272FF"/>
    <w:rsid w:val="00A4152B"/>
    <w:rsid w:val="00A5354B"/>
    <w:rsid w:val="00A5626B"/>
    <w:rsid w:val="00A71B57"/>
    <w:rsid w:val="00A819CF"/>
    <w:rsid w:val="00A969B6"/>
    <w:rsid w:val="00A97D14"/>
    <w:rsid w:val="00AA6F32"/>
    <w:rsid w:val="00AA7B02"/>
    <w:rsid w:val="00AB42C1"/>
    <w:rsid w:val="00AC2BA4"/>
    <w:rsid w:val="00AC516F"/>
    <w:rsid w:val="00AE2926"/>
    <w:rsid w:val="00B0184B"/>
    <w:rsid w:val="00B03539"/>
    <w:rsid w:val="00B035CD"/>
    <w:rsid w:val="00B0769D"/>
    <w:rsid w:val="00B217F8"/>
    <w:rsid w:val="00B22EE2"/>
    <w:rsid w:val="00B32486"/>
    <w:rsid w:val="00B332EA"/>
    <w:rsid w:val="00B40A53"/>
    <w:rsid w:val="00B45365"/>
    <w:rsid w:val="00B46A65"/>
    <w:rsid w:val="00B568DF"/>
    <w:rsid w:val="00B60184"/>
    <w:rsid w:val="00B617D9"/>
    <w:rsid w:val="00B62D20"/>
    <w:rsid w:val="00B6776A"/>
    <w:rsid w:val="00B81E75"/>
    <w:rsid w:val="00B924D3"/>
    <w:rsid w:val="00BA5215"/>
    <w:rsid w:val="00BD1A5A"/>
    <w:rsid w:val="00BD7A9B"/>
    <w:rsid w:val="00BD7BE1"/>
    <w:rsid w:val="00BE5E9E"/>
    <w:rsid w:val="00BF416B"/>
    <w:rsid w:val="00C10B0D"/>
    <w:rsid w:val="00C121B6"/>
    <w:rsid w:val="00C23255"/>
    <w:rsid w:val="00C33513"/>
    <w:rsid w:val="00C346C3"/>
    <w:rsid w:val="00C35941"/>
    <w:rsid w:val="00C45C21"/>
    <w:rsid w:val="00C46EA1"/>
    <w:rsid w:val="00C54003"/>
    <w:rsid w:val="00C570A8"/>
    <w:rsid w:val="00C624E6"/>
    <w:rsid w:val="00C64E4E"/>
    <w:rsid w:val="00C66E64"/>
    <w:rsid w:val="00C72127"/>
    <w:rsid w:val="00C73C87"/>
    <w:rsid w:val="00C7567D"/>
    <w:rsid w:val="00C761A0"/>
    <w:rsid w:val="00C85F7E"/>
    <w:rsid w:val="00C90632"/>
    <w:rsid w:val="00C90D53"/>
    <w:rsid w:val="00C9117A"/>
    <w:rsid w:val="00CC7B60"/>
    <w:rsid w:val="00CD47F0"/>
    <w:rsid w:val="00CD5566"/>
    <w:rsid w:val="00CD64D7"/>
    <w:rsid w:val="00CE6F22"/>
    <w:rsid w:val="00CF30A4"/>
    <w:rsid w:val="00CF41F6"/>
    <w:rsid w:val="00CF7D3E"/>
    <w:rsid w:val="00D02B4E"/>
    <w:rsid w:val="00D06268"/>
    <w:rsid w:val="00D13C9E"/>
    <w:rsid w:val="00D21F11"/>
    <w:rsid w:val="00D257C0"/>
    <w:rsid w:val="00D36817"/>
    <w:rsid w:val="00D453EE"/>
    <w:rsid w:val="00D53508"/>
    <w:rsid w:val="00D5499A"/>
    <w:rsid w:val="00D5666C"/>
    <w:rsid w:val="00D60511"/>
    <w:rsid w:val="00D62A9E"/>
    <w:rsid w:val="00D632F1"/>
    <w:rsid w:val="00D666BC"/>
    <w:rsid w:val="00D82BF6"/>
    <w:rsid w:val="00D83542"/>
    <w:rsid w:val="00D92F45"/>
    <w:rsid w:val="00D94637"/>
    <w:rsid w:val="00D9725C"/>
    <w:rsid w:val="00DA0720"/>
    <w:rsid w:val="00DA7006"/>
    <w:rsid w:val="00DC3499"/>
    <w:rsid w:val="00DC6427"/>
    <w:rsid w:val="00DC7529"/>
    <w:rsid w:val="00DD54B0"/>
    <w:rsid w:val="00DD66A1"/>
    <w:rsid w:val="00DE196D"/>
    <w:rsid w:val="00DE4155"/>
    <w:rsid w:val="00DE62C7"/>
    <w:rsid w:val="00DF6B49"/>
    <w:rsid w:val="00E011A9"/>
    <w:rsid w:val="00E02417"/>
    <w:rsid w:val="00E048AD"/>
    <w:rsid w:val="00E067C5"/>
    <w:rsid w:val="00E265BF"/>
    <w:rsid w:val="00E32318"/>
    <w:rsid w:val="00E378D8"/>
    <w:rsid w:val="00E43A12"/>
    <w:rsid w:val="00E52152"/>
    <w:rsid w:val="00E67C67"/>
    <w:rsid w:val="00E73095"/>
    <w:rsid w:val="00E76A70"/>
    <w:rsid w:val="00E77476"/>
    <w:rsid w:val="00E8228B"/>
    <w:rsid w:val="00EA1C48"/>
    <w:rsid w:val="00ED48DE"/>
    <w:rsid w:val="00EE0C6A"/>
    <w:rsid w:val="00EE5706"/>
    <w:rsid w:val="00EF373D"/>
    <w:rsid w:val="00F01369"/>
    <w:rsid w:val="00F01ED8"/>
    <w:rsid w:val="00F07E9A"/>
    <w:rsid w:val="00F11595"/>
    <w:rsid w:val="00F12C4B"/>
    <w:rsid w:val="00F13BC9"/>
    <w:rsid w:val="00F315EE"/>
    <w:rsid w:val="00F33B40"/>
    <w:rsid w:val="00F357B2"/>
    <w:rsid w:val="00F358ED"/>
    <w:rsid w:val="00F36556"/>
    <w:rsid w:val="00F500C3"/>
    <w:rsid w:val="00F62AC8"/>
    <w:rsid w:val="00F705DF"/>
    <w:rsid w:val="00F70622"/>
    <w:rsid w:val="00F85624"/>
    <w:rsid w:val="00F867A8"/>
    <w:rsid w:val="00F87C05"/>
    <w:rsid w:val="00F93191"/>
    <w:rsid w:val="00F93A17"/>
    <w:rsid w:val="00FA2AF6"/>
    <w:rsid w:val="00FB04D9"/>
    <w:rsid w:val="00FB073D"/>
    <w:rsid w:val="00FB1E09"/>
    <w:rsid w:val="00FB4186"/>
    <w:rsid w:val="00FB602B"/>
    <w:rsid w:val="00FB771F"/>
    <w:rsid w:val="00FC3207"/>
    <w:rsid w:val="00FC4375"/>
    <w:rsid w:val="00FC5386"/>
    <w:rsid w:val="00FC7324"/>
    <w:rsid w:val="00FD4070"/>
    <w:rsid w:val="00FE1B5B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AEB7F66-481B-4DC6-880F-0CB9D333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911"/>
    <w:pPr>
      <w:tabs>
        <w:tab w:val="left" w:pos="794"/>
        <w:tab w:val="left" w:pos="1191"/>
        <w:tab w:val="left" w:pos="1588"/>
        <w:tab w:val="left" w:pos="1985"/>
      </w:tabs>
      <w:overflowPunct w:val="0"/>
      <w:topLinePunct/>
      <w:adjustRightInd w:val="0"/>
      <w:spacing w:before="120"/>
      <w:textAlignment w:val="baseline"/>
    </w:pPr>
    <w:rPr>
      <w:rFonts w:ascii="Calibri" w:hAnsi="Calibri" w:cstheme="minorBid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C0E92"/>
    <w:pPr>
      <w:spacing w:before="320"/>
      <w:ind w:left="0" w:firstLine="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,Style 12,(NECG) Footnote Reference,FR,Style 13,Style 124,o,fr,Style 3,Footnote symbol,Voetnootverwijzing,Times 10 Point,Exposant 3 Point,footnote ref,Fuكnotenzeichen diss neu,Odwołanie przypisu,Ref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uiPriority w:val="99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C0E92"/>
    <w:rPr>
      <w:rFonts w:ascii="Calibri" w:hAnsi="Calibri" w:cstheme="minorBid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table" w:styleId="ListTable3-Accent1">
    <w:name w:val="List Table 3 Accent 1"/>
    <w:basedOn w:val="TableNormal"/>
    <w:uiPriority w:val="48"/>
    <w:rsid w:val="0055454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55454F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HeaderChar">
    <w:name w:val="Header Char"/>
    <w:basedOn w:val="DefaultParagraphFont"/>
    <w:link w:val="Header"/>
    <w:rsid w:val="0055454F"/>
    <w:rPr>
      <w:rFonts w:ascii="Calibri" w:hAnsi="Calibri"/>
      <w:sz w:val="18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55454F"/>
    <w:rPr>
      <w:rFonts w:ascii="Calibri" w:hAnsi="Calibri"/>
      <w:b/>
      <w:sz w:val="28"/>
      <w:lang w:val="en-GB" w:eastAsia="en-US"/>
    </w:rPr>
  </w:style>
  <w:style w:type="paragraph" w:styleId="NoSpacing">
    <w:name w:val="No Spacing"/>
    <w:uiPriority w:val="1"/>
    <w:qFormat/>
    <w:rsid w:val="0055454F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54F"/>
    <w:pPr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4F"/>
    <w:rPr>
      <w:rFonts w:ascii="Segoe UI" w:eastAsiaTheme="minorEastAsia" w:hAnsi="Segoe UI" w:cs="Segoe UI"/>
      <w:sz w:val="18"/>
      <w:szCs w:val="18"/>
      <w:lang w:val="en-GB"/>
    </w:rPr>
  </w:style>
  <w:style w:type="table" w:styleId="GridTable1Light-Accent1">
    <w:name w:val="Grid Table 1 Light Accent 1"/>
    <w:basedOn w:val="TableNormal"/>
    <w:uiPriority w:val="46"/>
    <w:rsid w:val="0055454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link w:val="ListParagraph"/>
    <w:uiPriority w:val="34"/>
    <w:rsid w:val="0055454F"/>
    <w:rPr>
      <w:rFonts w:ascii="Calibri" w:eastAsia="Times New Roman" w:hAnsi="Calibri"/>
      <w:sz w:val="24"/>
      <w:lang w:val="en-GB" w:eastAsia="en-US"/>
    </w:rPr>
  </w:style>
  <w:style w:type="table" w:customStyle="1" w:styleId="GridTable4-Accent1121">
    <w:name w:val="Grid Table 4 - Accent 1121"/>
    <w:basedOn w:val="TableNormal"/>
    <w:uiPriority w:val="49"/>
    <w:rsid w:val="0055454F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Heading5Char">
    <w:name w:val="Heading 5 Char"/>
    <w:basedOn w:val="DefaultParagraphFont"/>
    <w:link w:val="Heading5"/>
    <w:rsid w:val="0055454F"/>
    <w:rPr>
      <w:rFonts w:ascii="Calibri" w:hAnsi="Calibri"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5454F"/>
    <w:rPr>
      <w:rFonts w:ascii="Calibri" w:hAnsi="Calibri"/>
      <w:i/>
      <w:sz w:val="24"/>
      <w:lang w:val="en-GB" w:eastAsia="en-US"/>
    </w:rPr>
  </w:style>
  <w:style w:type="paragraph" w:customStyle="1" w:styleId="Table">
    <w:name w:val="Table_#"/>
    <w:basedOn w:val="Normal"/>
    <w:next w:val="Normal"/>
    <w:rsid w:val="0055454F"/>
    <w:pPr>
      <w:keepNext/>
      <w:overflowPunct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55454F"/>
    <w:rPr>
      <w:rFonts w:ascii="Calibri" w:hAnsi="Calibri"/>
      <w:b/>
      <w:i/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B32486"/>
    <w:rPr>
      <w:rFonts w:ascii="Calibri" w:hAnsi="Calibri"/>
      <w:sz w:val="24"/>
      <w:lang w:val="en-GB" w:eastAsia="en-US"/>
    </w:rPr>
  </w:style>
  <w:style w:type="table" w:customStyle="1" w:styleId="GridTable4-Accent112">
    <w:name w:val="Grid Table 4 - Accent 112"/>
    <w:basedOn w:val="TableNormal"/>
    <w:uiPriority w:val="49"/>
    <w:rsid w:val="0033350C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abletextChar">
    <w:name w:val="Table_text Char"/>
    <w:basedOn w:val="DefaultParagraphFont"/>
    <w:link w:val="Tabletext"/>
    <w:locked/>
    <w:rsid w:val="004E5560"/>
    <w:rPr>
      <w:rFonts w:ascii="Calibri" w:hAnsi="Calibri" w:cstheme="minorBidi"/>
      <w:sz w:val="22"/>
      <w:lang w:val="en-GB" w:eastAsia="en-US"/>
    </w:rPr>
  </w:style>
  <w:style w:type="table" w:customStyle="1" w:styleId="GridTable4-Accent111">
    <w:name w:val="Grid Table 4 - Accent 111"/>
    <w:basedOn w:val="TableNormal"/>
    <w:uiPriority w:val="49"/>
    <w:rsid w:val="004E5560"/>
    <w:rPr>
      <w:rFonts w:asciiTheme="minorHAnsi" w:eastAsia="Calibr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28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E776-A0B7-4802-BE1E-FB33CED8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four-year rolling operational plans for the Union for 2020-2023</vt:lpstr>
    </vt:vector>
  </TitlesOfParts>
  <Manager>General Secretariat - Pool</Manager>
  <Company>International Telecommunication Union (ITU)</Company>
  <LinksUpToDate>false</LinksUpToDate>
  <CharactersWithSpaces>518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rolling operational plans for the Union for 2020-2023</dc:title>
  <dc:subject>Council 2019</dc:subject>
  <dc:creator>Tang, Ting</dc:creator>
  <cp:keywords>C2019, C19</cp:keywords>
  <dc:description/>
  <cp:lastModifiedBy>Yuan, Tianxiang</cp:lastModifiedBy>
  <cp:revision>6</cp:revision>
  <cp:lastPrinted>2015-02-24T13:23:00Z</cp:lastPrinted>
  <dcterms:created xsi:type="dcterms:W3CDTF">2019-07-12T08:13:00Z</dcterms:created>
  <dcterms:modified xsi:type="dcterms:W3CDTF">2019-07-30T14:11:00Z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