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E670E7">
        <w:trPr>
          <w:cantSplit/>
        </w:trPr>
        <w:tc>
          <w:tcPr>
            <w:tcW w:w="6912" w:type="dxa"/>
          </w:tcPr>
          <w:p w:rsidR="00093EEB" w:rsidRPr="00E670E7" w:rsidRDefault="00093EEB" w:rsidP="00C2727F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 w:rsidRPr="00E670E7">
              <w:rPr>
                <w:b/>
                <w:bCs/>
                <w:sz w:val="30"/>
                <w:szCs w:val="30"/>
              </w:rPr>
              <w:t>Consejo 201</w:t>
            </w:r>
            <w:r w:rsidR="00C2727F" w:rsidRPr="00E670E7">
              <w:rPr>
                <w:b/>
                <w:bCs/>
                <w:sz w:val="30"/>
                <w:szCs w:val="30"/>
              </w:rPr>
              <w:t>9</w:t>
            </w:r>
            <w:r w:rsidRPr="00E670E7">
              <w:rPr>
                <w:b/>
                <w:bCs/>
                <w:sz w:val="26"/>
                <w:szCs w:val="26"/>
              </w:rPr>
              <w:br/>
            </w:r>
            <w:r w:rsidRPr="00E670E7">
              <w:rPr>
                <w:b/>
                <w:bCs/>
                <w:szCs w:val="24"/>
              </w:rPr>
              <w:t>Ginebra, 1</w:t>
            </w:r>
            <w:r w:rsidR="00C2727F" w:rsidRPr="00E670E7">
              <w:rPr>
                <w:b/>
                <w:bCs/>
                <w:szCs w:val="24"/>
              </w:rPr>
              <w:t>0</w:t>
            </w:r>
            <w:r w:rsidRPr="00E670E7">
              <w:rPr>
                <w:b/>
                <w:bCs/>
                <w:szCs w:val="24"/>
              </w:rPr>
              <w:t>-2</w:t>
            </w:r>
            <w:r w:rsidR="00C2727F" w:rsidRPr="00E670E7">
              <w:rPr>
                <w:b/>
                <w:bCs/>
                <w:szCs w:val="24"/>
              </w:rPr>
              <w:t>0</w:t>
            </w:r>
            <w:r w:rsidRPr="00E670E7">
              <w:rPr>
                <w:b/>
                <w:bCs/>
                <w:szCs w:val="24"/>
              </w:rPr>
              <w:t xml:space="preserve"> de </w:t>
            </w:r>
            <w:r w:rsidR="00C2727F" w:rsidRPr="00E670E7">
              <w:rPr>
                <w:b/>
                <w:bCs/>
                <w:szCs w:val="24"/>
              </w:rPr>
              <w:t>junio</w:t>
            </w:r>
            <w:r w:rsidRPr="00E670E7">
              <w:rPr>
                <w:b/>
                <w:bCs/>
                <w:szCs w:val="24"/>
              </w:rPr>
              <w:t xml:space="preserve"> de 201</w:t>
            </w:r>
            <w:r w:rsidR="00C2727F" w:rsidRPr="00E670E7">
              <w:rPr>
                <w:b/>
                <w:bCs/>
                <w:szCs w:val="24"/>
              </w:rPr>
              <w:t>9</w:t>
            </w:r>
          </w:p>
        </w:tc>
        <w:tc>
          <w:tcPr>
            <w:tcW w:w="3261" w:type="dxa"/>
          </w:tcPr>
          <w:p w:rsidR="00093EEB" w:rsidRPr="00E670E7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2" w:name="ditulogo"/>
            <w:bookmarkEnd w:id="2"/>
            <w:r w:rsidRPr="00E670E7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E670E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E670E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670E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E670E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E670E7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E670E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670E7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</w:p>
        </w:tc>
        <w:tc>
          <w:tcPr>
            <w:tcW w:w="3261" w:type="dxa"/>
          </w:tcPr>
          <w:p w:rsidR="00093EEB" w:rsidRPr="00E670E7" w:rsidRDefault="00093EEB" w:rsidP="00235A74">
            <w:pPr>
              <w:spacing w:before="0"/>
              <w:rPr>
                <w:b/>
                <w:bCs/>
                <w:szCs w:val="24"/>
              </w:rPr>
            </w:pPr>
            <w:r w:rsidRPr="00E670E7">
              <w:rPr>
                <w:b/>
                <w:bCs/>
                <w:szCs w:val="24"/>
              </w:rPr>
              <w:t>Documento C1</w:t>
            </w:r>
            <w:r w:rsidR="00C2727F" w:rsidRPr="00E670E7">
              <w:rPr>
                <w:b/>
                <w:bCs/>
                <w:szCs w:val="24"/>
              </w:rPr>
              <w:t>9</w:t>
            </w:r>
            <w:r w:rsidRPr="00E670E7">
              <w:rPr>
                <w:b/>
                <w:bCs/>
                <w:szCs w:val="24"/>
              </w:rPr>
              <w:t>/</w:t>
            </w:r>
            <w:r w:rsidR="00922A9B" w:rsidRPr="00E670E7">
              <w:rPr>
                <w:b/>
                <w:bCs/>
                <w:szCs w:val="24"/>
              </w:rPr>
              <w:t>11</w:t>
            </w:r>
            <w:r w:rsidR="00235A74">
              <w:rPr>
                <w:b/>
                <w:bCs/>
                <w:szCs w:val="24"/>
              </w:rPr>
              <w:t>8</w:t>
            </w:r>
            <w:r w:rsidRPr="00E670E7">
              <w:rPr>
                <w:b/>
                <w:bCs/>
                <w:szCs w:val="24"/>
              </w:rPr>
              <w:t>-S</w:t>
            </w:r>
          </w:p>
        </w:tc>
      </w:tr>
      <w:tr w:rsidR="00093EEB" w:rsidRPr="00E670E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670E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261" w:type="dxa"/>
          </w:tcPr>
          <w:p w:rsidR="00093EEB" w:rsidRPr="00E670E7" w:rsidRDefault="00E318A4" w:rsidP="00E318A4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  <w:r w:rsidR="00922A9B" w:rsidRPr="00E670E7">
              <w:rPr>
                <w:b/>
                <w:bCs/>
                <w:szCs w:val="24"/>
              </w:rPr>
              <w:t xml:space="preserve"> de ju</w:t>
            </w:r>
            <w:r>
              <w:rPr>
                <w:b/>
                <w:bCs/>
                <w:szCs w:val="24"/>
              </w:rPr>
              <w:t>l</w:t>
            </w:r>
            <w:bookmarkStart w:id="6" w:name="_GoBack"/>
            <w:bookmarkEnd w:id="6"/>
            <w:r w:rsidR="00922A9B" w:rsidRPr="00E670E7">
              <w:rPr>
                <w:b/>
                <w:bCs/>
                <w:szCs w:val="24"/>
              </w:rPr>
              <w:t>io</w:t>
            </w:r>
            <w:r w:rsidR="00093EEB" w:rsidRPr="00E670E7">
              <w:rPr>
                <w:b/>
                <w:bCs/>
                <w:szCs w:val="24"/>
              </w:rPr>
              <w:t xml:space="preserve"> de 201</w:t>
            </w:r>
            <w:r w:rsidR="00C2727F" w:rsidRPr="00E670E7">
              <w:rPr>
                <w:b/>
                <w:bCs/>
                <w:szCs w:val="24"/>
              </w:rPr>
              <w:t>9</w:t>
            </w:r>
          </w:p>
        </w:tc>
      </w:tr>
      <w:tr w:rsidR="00093EEB" w:rsidRPr="00E670E7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E670E7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7" w:name="dorlang" w:colFirst="1" w:colLast="1"/>
            <w:bookmarkEnd w:id="5"/>
          </w:p>
        </w:tc>
        <w:tc>
          <w:tcPr>
            <w:tcW w:w="3261" w:type="dxa"/>
          </w:tcPr>
          <w:p w:rsidR="00093EEB" w:rsidRPr="00E670E7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E670E7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E670E7">
        <w:trPr>
          <w:cantSplit/>
        </w:trPr>
        <w:tc>
          <w:tcPr>
            <w:tcW w:w="10173" w:type="dxa"/>
            <w:gridSpan w:val="2"/>
          </w:tcPr>
          <w:p w:rsidR="00093EEB" w:rsidRPr="00E670E7" w:rsidRDefault="00093EEB">
            <w:pPr>
              <w:pStyle w:val="Source"/>
            </w:pPr>
            <w:bookmarkStart w:id="8" w:name="dsource" w:colFirst="0" w:colLast="0"/>
            <w:bookmarkEnd w:id="1"/>
            <w:bookmarkEnd w:id="7"/>
          </w:p>
        </w:tc>
      </w:tr>
      <w:tr w:rsidR="00093EEB" w:rsidRPr="00E670E7">
        <w:trPr>
          <w:cantSplit/>
        </w:trPr>
        <w:tc>
          <w:tcPr>
            <w:tcW w:w="10173" w:type="dxa"/>
            <w:gridSpan w:val="2"/>
          </w:tcPr>
          <w:p w:rsidR="00922A9B" w:rsidRPr="00E670E7" w:rsidRDefault="00922A9B" w:rsidP="00922A9B">
            <w:pPr>
              <w:pStyle w:val="Title1"/>
            </w:pPr>
            <w:bookmarkStart w:id="9" w:name="dtitle1" w:colFirst="0" w:colLast="0"/>
            <w:bookmarkEnd w:id="8"/>
            <w:r w:rsidRPr="00E670E7">
              <w:t>RESUMEN DE LOS DEBATES</w:t>
            </w:r>
          </w:p>
          <w:p w:rsidR="00922A9B" w:rsidRPr="00E670E7" w:rsidRDefault="00922A9B" w:rsidP="00922A9B">
            <w:pPr>
              <w:pStyle w:val="Title1"/>
            </w:pPr>
            <w:r w:rsidRPr="00E670E7">
              <w:t xml:space="preserve">DE LA </w:t>
            </w:r>
          </w:p>
          <w:p w:rsidR="00093EEB" w:rsidRPr="00E670E7" w:rsidRDefault="00922A9B" w:rsidP="00922A9B">
            <w:pPr>
              <w:pStyle w:val="Title1"/>
            </w:pPr>
            <w:r w:rsidRPr="00E670E7">
              <w:t>SÉPTIMA SESIÓN PLENARIA</w:t>
            </w:r>
          </w:p>
        </w:tc>
      </w:tr>
      <w:tr w:rsidR="00922A9B" w:rsidRPr="00E670E7">
        <w:trPr>
          <w:cantSplit/>
        </w:trPr>
        <w:tc>
          <w:tcPr>
            <w:tcW w:w="10173" w:type="dxa"/>
            <w:gridSpan w:val="2"/>
          </w:tcPr>
          <w:p w:rsidR="00922A9B" w:rsidRPr="00E670E7" w:rsidRDefault="00922A9B" w:rsidP="00922A9B">
            <w:pPr>
              <w:pStyle w:val="Title1"/>
            </w:pPr>
            <w:r w:rsidRPr="00E670E7">
              <w:rPr>
                <w:caps w:val="0"/>
                <w:sz w:val="24"/>
                <w:szCs w:val="24"/>
              </w:rPr>
              <w:t>Miércoles</w:t>
            </w:r>
            <w:r w:rsidRPr="00E670E7">
              <w:rPr>
                <w:sz w:val="24"/>
                <w:szCs w:val="24"/>
              </w:rPr>
              <w:t xml:space="preserve">, 19 </w:t>
            </w:r>
            <w:r w:rsidRPr="00E670E7">
              <w:rPr>
                <w:caps w:val="0"/>
                <w:sz w:val="24"/>
                <w:szCs w:val="24"/>
              </w:rPr>
              <w:t xml:space="preserve">de junio de </w:t>
            </w:r>
            <w:r w:rsidRPr="00E670E7">
              <w:rPr>
                <w:sz w:val="24"/>
                <w:szCs w:val="24"/>
              </w:rPr>
              <w:t xml:space="preserve">2019, </w:t>
            </w:r>
            <w:r w:rsidRPr="00E670E7">
              <w:rPr>
                <w:caps w:val="0"/>
                <w:sz w:val="24"/>
                <w:szCs w:val="24"/>
              </w:rPr>
              <w:t xml:space="preserve">de las </w:t>
            </w:r>
            <w:r w:rsidRPr="00E670E7">
              <w:rPr>
                <w:sz w:val="24"/>
                <w:szCs w:val="24"/>
              </w:rPr>
              <w:t xml:space="preserve">14.45 </w:t>
            </w:r>
            <w:r w:rsidRPr="00E670E7">
              <w:rPr>
                <w:caps w:val="0"/>
                <w:sz w:val="24"/>
                <w:szCs w:val="24"/>
              </w:rPr>
              <w:t xml:space="preserve">a las </w:t>
            </w:r>
            <w:r w:rsidRPr="00E670E7">
              <w:rPr>
                <w:sz w:val="24"/>
                <w:szCs w:val="24"/>
              </w:rPr>
              <w:t xml:space="preserve">15.10 </w:t>
            </w:r>
            <w:r w:rsidRPr="00E670E7">
              <w:rPr>
                <w:caps w:val="0"/>
                <w:sz w:val="24"/>
                <w:szCs w:val="24"/>
              </w:rPr>
              <w:t>horas</w:t>
            </w:r>
          </w:p>
        </w:tc>
      </w:tr>
      <w:tr w:rsidR="00922A9B" w:rsidRPr="00E670E7">
        <w:trPr>
          <w:cantSplit/>
        </w:trPr>
        <w:tc>
          <w:tcPr>
            <w:tcW w:w="10173" w:type="dxa"/>
            <w:gridSpan w:val="2"/>
          </w:tcPr>
          <w:p w:rsidR="00922A9B" w:rsidRPr="00E670E7" w:rsidRDefault="00922A9B" w:rsidP="00922A9B">
            <w:pPr>
              <w:pStyle w:val="Title1"/>
            </w:pPr>
            <w:r w:rsidRPr="00E670E7">
              <w:rPr>
                <w:b/>
                <w:bCs/>
                <w:caps w:val="0"/>
                <w:sz w:val="24"/>
                <w:szCs w:val="24"/>
              </w:rPr>
              <w:t>Presidente en funciones</w:t>
            </w:r>
            <w:r w:rsidRPr="00E670E7">
              <w:rPr>
                <w:sz w:val="24"/>
                <w:szCs w:val="24"/>
              </w:rPr>
              <w:t xml:space="preserve">: </w:t>
            </w:r>
            <w:r w:rsidRPr="00E670E7">
              <w:rPr>
                <w:caps w:val="0"/>
                <w:sz w:val="24"/>
                <w:szCs w:val="24"/>
              </w:rPr>
              <w:t>Sr</w:t>
            </w:r>
            <w:r w:rsidRPr="00E670E7">
              <w:rPr>
                <w:sz w:val="24"/>
                <w:szCs w:val="24"/>
              </w:rPr>
              <w:t xml:space="preserve">. F. </w:t>
            </w:r>
            <w:r w:rsidRPr="00E670E7">
              <w:rPr>
                <w:caps w:val="0"/>
                <w:sz w:val="24"/>
                <w:szCs w:val="24"/>
              </w:rPr>
              <w:t xml:space="preserve">BIGI </w:t>
            </w:r>
            <w:r w:rsidRPr="00E670E7">
              <w:rPr>
                <w:sz w:val="24"/>
                <w:szCs w:val="24"/>
              </w:rPr>
              <w:t>(</w:t>
            </w:r>
            <w:r w:rsidRPr="00E670E7">
              <w:rPr>
                <w:caps w:val="0"/>
                <w:sz w:val="24"/>
                <w:szCs w:val="24"/>
              </w:rPr>
              <w:t>Italia</w:t>
            </w:r>
            <w:r w:rsidRPr="00E670E7">
              <w:rPr>
                <w:sz w:val="24"/>
                <w:szCs w:val="24"/>
              </w:rPr>
              <w:t>)</w:t>
            </w:r>
          </w:p>
        </w:tc>
      </w:tr>
      <w:bookmarkEnd w:id="9"/>
    </w:tbl>
    <w:p w:rsidR="00C2727F" w:rsidRPr="00E670E7" w:rsidRDefault="00C2727F" w:rsidP="000B0D00"/>
    <w:tbl>
      <w:tblPr>
        <w:tblW w:w="5221" w:type="pct"/>
        <w:tblLook w:val="0000" w:firstRow="0" w:lastRow="0" w:firstColumn="0" w:lastColumn="0" w:noHBand="0" w:noVBand="0"/>
      </w:tblPr>
      <w:tblGrid>
        <w:gridCol w:w="505"/>
        <w:gridCol w:w="7575"/>
        <w:gridCol w:w="1985"/>
      </w:tblGrid>
      <w:tr w:rsidR="00922A9B" w:rsidRPr="00E670E7" w:rsidTr="004746F6">
        <w:tc>
          <w:tcPr>
            <w:tcW w:w="251" w:type="pct"/>
          </w:tcPr>
          <w:p w:rsidR="00922A9B" w:rsidRPr="00E670E7" w:rsidRDefault="00922A9B" w:rsidP="004746F6">
            <w:pPr>
              <w:spacing w:after="120"/>
              <w:rPr>
                <w:b/>
              </w:rPr>
            </w:pPr>
            <w:r w:rsidRPr="00E670E7">
              <w:rPr>
                <w:b/>
              </w:rPr>
              <w:br w:type="page"/>
            </w:r>
            <w:r w:rsidRPr="00E670E7">
              <w:rPr>
                <w:b/>
              </w:rPr>
              <w:br w:type="page"/>
            </w:r>
          </w:p>
        </w:tc>
        <w:tc>
          <w:tcPr>
            <w:tcW w:w="3763" w:type="pct"/>
          </w:tcPr>
          <w:p w:rsidR="00922A9B" w:rsidRPr="00E670E7" w:rsidRDefault="00922A9B" w:rsidP="004746F6">
            <w:pPr>
              <w:spacing w:after="120"/>
              <w:rPr>
                <w:b/>
              </w:rPr>
            </w:pPr>
            <w:r w:rsidRPr="00E670E7">
              <w:rPr>
                <w:b/>
              </w:rPr>
              <w:t>Asuntos tratados</w:t>
            </w:r>
          </w:p>
        </w:tc>
        <w:tc>
          <w:tcPr>
            <w:tcW w:w="986" w:type="pct"/>
          </w:tcPr>
          <w:p w:rsidR="00922A9B" w:rsidRPr="00E670E7" w:rsidRDefault="00922A9B" w:rsidP="004746F6">
            <w:pPr>
              <w:spacing w:after="120"/>
              <w:jc w:val="center"/>
              <w:rPr>
                <w:b/>
              </w:rPr>
            </w:pPr>
            <w:r w:rsidRPr="00E670E7">
              <w:rPr>
                <w:b/>
              </w:rPr>
              <w:t>Documentos</w:t>
            </w:r>
          </w:p>
        </w:tc>
      </w:tr>
      <w:tr w:rsidR="00922A9B" w:rsidRPr="00E670E7" w:rsidTr="004746F6">
        <w:tc>
          <w:tcPr>
            <w:tcW w:w="251" w:type="pct"/>
          </w:tcPr>
          <w:p w:rsidR="00922A9B" w:rsidRPr="00E670E7" w:rsidRDefault="00922A9B" w:rsidP="004746F6">
            <w:r w:rsidRPr="00E670E7">
              <w:t>1</w:t>
            </w:r>
          </w:p>
        </w:tc>
        <w:tc>
          <w:tcPr>
            <w:tcW w:w="3763" w:type="pct"/>
          </w:tcPr>
          <w:p w:rsidR="00922A9B" w:rsidRPr="00E670E7" w:rsidRDefault="00922A9B" w:rsidP="004746F6">
            <w:r w:rsidRPr="00E670E7">
              <w:t>Informe del Presidente del Grupo de Trabajo del Consejo sobre Cuestiones de Política Pública relacionadas con Internet (GTC-Internet)</w:t>
            </w:r>
            <w:r w:rsidR="009F6A1B">
              <w:t xml:space="preserve"> (continuación)</w:t>
            </w:r>
          </w:p>
        </w:tc>
        <w:tc>
          <w:tcPr>
            <w:tcW w:w="986" w:type="pct"/>
          </w:tcPr>
          <w:p w:rsidR="00922A9B" w:rsidRPr="00E670E7" w:rsidRDefault="00922A9B" w:rsidP="004746F6">
            <w:pPr>
              <w:jc w:val="center"/>
            </w:pPr>
            <w:r w:rsidRPr="00E670E7">
              <w:t>–</w:t>
            </w:r>
          </w:p>
        </w:tc>
      </w:tr>
      <w:tr w:rsidR="00922A9B" w:rsidRPr="00E670E7" w:rsidTr="004746F6">
        <w:tc>
          <w:tcPr>
            <w:tcW w:w="251" w:type="pct"/>
          </w:tcPr>
          <w:p w:rsidR="00922A9B" w:rsidRPr="00E670E7" w:rsidRDefault="00922A9B" w:rsidP="004746F6">
            <w:r w:rsidRPr="00E670E7">
              <w:t>2</w:t>
            </w:r>
          </w:p>
        </w:tc>
        <w:tc>
          <w:tcPr>
            <w:tcW w:w="3763" w:type="pct"/>
          </w:tcPr>
          <w:p w:rsidR="00922A9B" w:rsidRPr="00E670E7" w:rsidRDefault="00922A9B" w:rsidP="004746F6">
            <w:r w:rsidRPr="00E670E7">
              <w:t>Fechas propuestas y duración de las reuniones de 2020, 2021 y 2022 del Consejo</w:t>
            </w:r>
          </w:p>
        </w:tc>
        <w:tc>
          <w:tcPr>
            <w:tcW w:w="986" w:type="pct"/>
          </w:tcPr>
          <w:p w:rsidR="00922A9B" w:rsidRPr="00E670E7" w:rsidRDefault="00E318A4" w:rsidP="004746F6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7" w:history="1">
              <w:bookmarkStart w:id="10" w:name="lt_pId021"/>
              <w:r w:rsidR="00922A9B" w:rsidRPr="00E670E7">
                <w:rPr>
                  <w:rStyle w:val="Hyperlink"/>
                  <w:b w:val="0"/>
                  <w:bCs/>
                </w:rPr>
                <w:t>C19/2(Rev.1)</w:t>
              </w:r>
              <w:bookmarkEnd w:id="10"/>
            </w:hyperlink>
          </w:p>
        </w:tc>
      </w:tr>
      <w:tr w:rsidR="00922A9B" w:rsidRPr="00E670E7" w:rsidTr="004746F6">
        <w:tc>
          <w:tcPr>
            <w:tcW w:w="251" w:type="pct"/>
          </w:tcPr>
          <w:p w:rsidR="00922A9B" w:rsidRPr="00E670E7" w:rsidRDefault="00922A9B" w:rsidP="004746F6">
            <w:r w:rsidRPr="00E670E7">
              <w:t>3</w:t>
            </w:r>
          </w:p>
        </w:tc>
        <w:tc>
          <w:tcPr>
            <w:tcW w:w="3763" w:type="pct"/>
          </w:tcPr>
          <w:p w:rsidR="00922A9B" w:rsidRPr="00E670E7" w:rsidRDefault="00922A9B" w:rsidP="004746F6">
            <w:r w:rsidRPr="00E670E7">
              <w:t>Resoluciones y Acuerdos obsoletos del Consejo</w:t>
            </w:r>
          </w:p>
        </w:tc>
        <w:tc>
          <w:tcPr>
            <w:tcW w:w="986" w:type="pct"/>
          </w:tcPr>
          <w:p w:rsidR="00922A9B" w:rsidRPr="00E670E7" w:rsidRDefault="00E318A4" w:rsidP="004746F6">
            <w:pPr>
              <w:pStyle w:val="toc0"/>
              <w:spacing w:after="120"/>
              <w:jc w:val="center"/>
              <w:rPr>
                <w:b w:val="0"/>
                <w:bCs/>
              </w:rPr>
            </w:pPr>
            <w:hyperlink r:id="rId8" w:history="1">
              <w:bookmarkStart w:id="11" w:name="lt_pId024"/>
              <w:r w:rsidR="00922A9B" w:rsidRPr="00E670E7">
                <w:rPr>
                  <w:rStyle w:val="Hyperlink"/>
                  <w:b w:val="0"/>
                  <w:bCs/>
                </w:rPr>
                <w:t>C19/3</w:t>
              </w:r>
              <w:bookmarkEnd w:id="11"/>
            </w:hyperlink>
          </w:p>
        </w:tc>
      </w:tr>
    </w:tbl>
    <w:p w:rsidR="00922A9B" w:rsidRPr="00E670E7" w:rsidRDefault="00922A9B" w:rsidP="000B0D00"/>
    <w:p w:rsidR="00922A9B" w:rsidRPr="00E670E7" w:rsidRDefault="00922A9B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 w:rsidRPr="00E670E7">
        <w:br w:type="page"/>
      </w:r>
    </w:p>
    <w:p w:rsidR="00922A9B" w:rsidRPr="00E670E7" w:rsidRDefault="00922A9B" w:rsidP="00922A9B">
      <w:pPr>
        <w:pStyle w:val="Heading1"/>
      </w:pPr>
      <w:r w:rsidRPr="00E670E7">
        <w:lastRenderedPageBreak/>
        <w:t>1</w:t>
      </w:r>
      <w:r w:rsidRPr="00E670E7">
        <w:tab/>
        <w:t>Informe del Presidente del Grupo de Trabajo del Consejo sobre Cuestiones de Política Pública relacionadas con Internet (GTC-Internet)</w:t>
      </w:r>
      <w:r w:rsidR="009F6A1B">
        <w:t xml:space="preserve"> </w:t>
      </w:r>
      <w:r w:rsidR="009F6A1B" w:rsidRPr="009F6A1B">
        <w:t>(continuación)</w:t>
      </w:r>
    </w:p>
    <w:p w:rsidR="00922A9B" w:rsidRPr="00E670E7" w:rsidRDefault="00922A9B" w:rsidP="0083034D">
      <w:r w:rsidRPr="00E670E7">
        <w:t>1.1</w:t>
      </w:r>
      <w:r w:rsidRPr="00E670E7">
        <w:tab/>
        <w:t xml:space="preserve">El consejero de Brasil informa sobre las discusiones informales destinadas a tratar de llegar a un acuerdo sobre dos temas para las consultas abiertas en la próxima reunión del GTC-Internet, declara que no se ha llegado a un consenso, a pesar de la actitud flexible que ha prevalecido a lo largo de las discusiones. </w:t>
      </w:r>
    </w:p>
    <w:p w:rsidR="00922A9B" w:rsidRPr="00E670E7" w:rsidRDefault="00922A9B" w:rsidP="00922A9B">
      <w:r w:rsidRPr="00E670E7">
        <w:t xml:space="preserve">1.2 </w:t>
      </w:r>
      <w:r w:rsidRPr="00E670E7">
        <w:tab/>
        <w:t xml:space="preserve">Los consejeros elogian los esfuerzos desplegados para lograr el consenso y se lamentan de que no haya sido posible llegar a un acuerdo. </w:t>
      </w:r>
    </w:p>
    <w:p w:rsidR="00922A9B" w:rsidRPr="00E670E7" w:rsidRDefault="00922A9B" w:rsidP="00922A9B">
      <w:r w:rsidRPr="00E670E7">
        <w:t xml:space="preserve">1.2 </w:t>
      </w:r>
      <w:r w:rsidRPr="00E670E7">
        <w:tab/>
        <w:t>El Presidente en funciones considera que el Consejo debería aplazar la decisión de elegir un tema para consultas abiertas hasta la reunión del GTC-Internet de septiembre de 2019.</w:t>
      </w:r>
    </w:p>
    <w:p w:rsidR="00922A9B" w:rsidRPr="00E670E7" w:rsidRDefault="00922A9B" w:rsidP="00922A9B">
      <w:r w:rsidRPr="00E670E7">
        <w:t>1.3</w:t>
      </w:r>
      <w:r w:rsidRPr="00E670E7">
        <w:tab/>
        <w:t xml:space="preserve">Así se </w:t>
      </w:r>
      <w:r w:rsidRPr="00E670E7">
        <w:rPr>
          <w:b/>
          <w:bCs/>
        </w:rPr>
        <w:t>acuerda</w:t>
      </w:r>
      <w:r w:rsidRPr="00E670E7">
        <w:t>.</w:t>
      </w:r>
    </w:p>
    <w:p w:rsidR="00922A9B" w:rsidRPr="00E670E7" w:rsidRDefault="00922A9B" w:rsidP="00922A9B">
      <w:pPr>
        <w:pStyle w:val="Heading1"/>
      </w:pPr>
      <w:r w:rsidRPr="00E670E7">
        <w:t>2</w:t>
      </w:r>
      <w:r w:rsidRPr="00E670E7">
        <w:tab/>
        <w:t xml:space="preserve">Fechas propuestas y duración de las reuniones de 2020, 2021 y 2022 del Consejo (Documento </w:t>
      </w:r>
      <w:hyperlink r:id="rId9" w:history="1">
        <w:r w:rsidRPr="00E670E7">
          <w:rPr>
            <w:rStyle w:val="Hyperlink"/>
            <w:bCs/>
            <w:sz w:val="26"/>
            <w:szCs w:val="26"/>
          </w:rPr>
          <w:t>C19/2(Rev.1)</w:t>
        </w:r>
      </w:hyperlink>
      <w:r w:rsidRPr="00E670E7">
        <w:rPr>
          <w:bCs/>
          <w:sz w:val="26"/>
          <w:szCs w:val="26"/>
        </w:rPr>
        <w:t>)</w:t>
      </w:r>
    </w:p>
    <w:p w:rsidR="00922A9B" w:rsidRPr="00E670E7" w:rsidRDefault="00922A9B" w:rsidP="00DB5D43">
      <w:r w:rsidRPr="00E670E7">
        <w:t>2.1</w:t>
      </w:r>
      <w:r w:rsidRPr="00E670E7">
        <w:tab/>
        <w:t xml:space="preserve">El Consejo reconsidera y </w:t>
      </w:r>
      <w:r w:rsidRPr="00E670E7">
        <w:rPr>
          <w:b/>
          <w:bCs/>
        </w:rPr>
        <w:t>aprueba</w:t>
      </w:r>
      <w:r w:rsidRPr="00E670E7">
        <w:t xml:space="preserve"> las fechas propuestas para sus reuniones de 2020 y 2021 (del 9 al 19 de junio y del 8 al 18 de junio, respectivamente), </w:t>
      </w:r>
      <w:r w:rsidRPr="00E670E7">
        <w:rPr>
          <w:b/>
          <w:bCs/>
        </w:rPr>
        <w:t>aprueba</w:t>
      </w:r>
      <w:r w:rsidRPr="00E670E7">
        <w:t xml:space="preserve"> las fechas propuestas para su reunión de 2022 (del 22 de marzo al 1 de abril), tras haber confirmado que no coincidían con ningún día o per</w:t>
      </w:r>
      <w:r w:rsidR="00DB5D43">
        <w:t>i</w:t>
      </w:r>
      <w:r w:rsidRPr="00E670E7">
        <w:t xml:space="preserve">odo religioso importante, y </w:t>
      </w:r>
      <w:r w:rsidRPr="00E670E7">
        <w:rPr>
          <w:b/>
          <w:bCs/>
        </w:rPr>
        <w:t>adopta</w:t>
      </w:r>
      <w:r w:rsidRPr="00E670E7">
        <w:t xml:space="preserve"> el proyecto de Acuerdo contenido en el Anexo al Documento C19/2(Rev.1), en el que se indican todas esas fechas.</w:t>
      </w:r>
    </w:p>
    <w:p w:rsidR="00922A9B" w:rsidRPr="00E670E7" w:rsidRDefault="00922A9B" w:rsidP="00922A9B">
      <w:pPr>
        <w:pStyle w:val="Heading1"/>
        <w:rPr>
          <w:bCs/>
          <w:sz w:val="26"/>
          <w:szCs w:val="26"/>
        </w:rPr>
      </w:pPr>
      <w:r w:rsidRPr="00E670E7">
        <w:t>3</w:t>
      </w:r>
      <w:r w:rsidRPr="00E670E7">
        <w:tab/>
        <w:t xml:space="preserve">Resoluciones y Acuerdos obsoletos del Consejo (Documento </w:t>
      </w:r>
      <w:hyperlink r:id="rId10" w:history="1">
        <w:r w:rsidRPr="00E670E7">
          <w:rPr>
            <w:rStyle w:val="Hyperlink"/>
            <w:bCs/>
            <w:sz w:val="26"/>
            <w:szCs w:val="26"/>
          </w:rPr>
          <w:t>C19/3</w:t>
        </w:r>
      </w:hyperlink>
      <w:r w:rsidRPr="00E670E7">
        <w:rPr>
          <w:bCs/>
          <w:sz w:val="26"/>
          <w:szCs w:val="26"/>
        </w:rPr>
        <w:t>)</w:t>
      </w:r>
    </w:p>
    <w:p w:rsidR="00922A9B" w:rsidRPr="00E670E7" w:rsidRDefault="00922A9B" w:rsidP="00922A9B">
      <w:r w:rsidRPr="00E670E7">
        <w:t xml:space="preserve">3.1 </w:t>
      </w:r>
      <w:r w:rsidRPr="00E670E7">
        <w:tab/>
        <w:t xml:space="preserve">Tras confirmarse que la Resolución 1344 se añadirá a la lista de Resoluciones y Acuerdos obsoletos del Consejo y que se suprimirá la Resolución 1379, el Consejo </w:t>
      </w:r>
      <w:r w:rsidRPr="00E670E7">
        <w:rPr>
          <w:b/>
          <w:bCs/>
        </w:rPr>
        <w:t>aprueba</w:t>
      </w:r>
      <w:r w:rsidRPr="00E670E7">
        <w:t xml:space="preserve"> la lista, que figura en el Documento C19/3.</w:t>
      </w:r>
    </w:p>
    <w:p w:rsidR="00922A9B" w:rsidRPr="00E670E7" w:rsidRDefault="00922A9B" w:rsidP="00637FA8">
      <w:pPr>
        <w:tabs>
          <w:tab w:val="clear" w:pos="1134"/>
          <w:tab w:val="clear" w:pos="1701"/>
          <w:tab w:val="clear" w:pos="2268"/>
          <w:tab w:val="clear" w:pos="2835"/>
          <w:tab w:val="left" w:pos="6521"/>
        </w:tabs>
        <w:spacing w:before="840"/>
      </w:pPr>
      <w:r w:rsidRPr="00E670E7">
        <w:t>El Secretario General:</w:t>
      </w:r>
      <w:r w:rsidRPr="00E670E7">
        <w:tab/>
        <w:t>El Presidente</w:t>
      </w:r>
      <w:r w:rsidR="00637FA8">
        <w:t xml:space="preserve"> en funciones</w:t>
      </w:r>
      <w:r w:rsidRPr="00E670E7">
        <w:t>:</w:t>
      </w:r>
      <w:r w:rsidRPr="00E670E7">
        <w:br/>
        <w:t>H. ZHAO</w:t>
      </w:r>
      <w:r w:rsidRPr="00E670E7">
        <w:tab/>
      </w:r>
      <w:r w:rsidR="00637FA8">
        <w:t>F. BIGI</w:t>
      </w:r>
    </w:p>
    <w:p w:rsidR="00922A9B" w:rsidRPr="00E670E7" w:rsidRDefault="00922A9B" w:rsidP="000B0D00"/>
    <w:sectPr w:rsidR="00922A9B" w:rsidRPr="00E670E7" w:rsidSect="006710F6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785" w:rsidRDefault="00862785">
      <w:r>
        <w:separator/>
      </w:r>
    </w:p>
  </w:endnote>
  <w:endnote w:type="continuationSeparator" w:id="0">
    <w:p w:rsidR="00862785" w:rsidRDefault="0086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Pr="00922A9B" w:rsidRDefault="00922A9B" w:rsidP="00922A9B">
    <w:pPr>
      <w:pStyle w:val="Footer"/>
      <w:rPr>
        <w:lang w:val="fr-CH"/>
      </w:rPr>
    </w:pPr>
    <w:r w:rsidRPr="00922A9B">
      <w:rPr>
        <w:lang w:val="en-US"/>
      </w:rPr>
      <w:fldChar w:fldCharType="begin"/>
    </w:r>
    <w:r w:rsidRPr="00922A9B">
      <w:rPr>
        <w:lang w:val="fr-CH"/>
      </w:rPr>
      <w:instrText xml:space="preserve"> FILENAME \p  \* MERGEFORMAT </w:instrText>
    </w:r>
    <w:r w:rsidRPr="00922A9B">
      <w:rPr>
        <w:lang w:val="en-US"/>
      </w:rPr>
      <w:fldChar w:fldCharType="separate"/>
    </w:r>
    <w:r w:rsidR="009F6A1B">
      <w:rPr>
        <w:lang w:val="fr-CH"/>
      </w:rPr>
      <w:t>P:\ESP\SG\CONSEIL\C19\100\118S.docx</w:t>
    </w:r>
    <w:r w:rsidRPr="00922A9B">
      <w:rPr>
        <w:lang w:val="en-US"/>
      </w:rPr>
      <w:fldChar w:fldCharType="end"/>
    </w:r>
    <w:r w:rsidRPr="00922A9B">
      <w:rPr>
        <w:lang w:val="fr-CH"/>
      </w:rPr>
      <w:t xml:space="preserve"> (</w:t>
    </w:r>
    <w:r>
      <w:rPr>
        <w:lang w:val="fr-CH"/>
      </w:rPr>
      <w:t>457511</w:t>
    </w:r>
    <w:r w:rsidRPr="00922A9B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785" w:rsidRDefault="00862785">
      <w:r>
        <w:t>____________________</w:t>
      </w:r>
    </w:p>
  </w:footnote>
  <w:footnote w:type="continuationSeparator" w:id="0">
    <w:p w:rsidR="00862785" w:rsidRDefault="00862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E318A4">
      <w:rPr>
        <w:noProof/>
      </w:rPr>
      <w:t>2</w:t>
    </w:r>
    <w:r>
      <w:rPr>
        <w:noProof/>
      </w:rPr>
      <w:fldChar w:fldCharType="end"/>
    </w:r>
  </w:p>
  <w:p w:rsidR="00760F1C" w:rsidRDefault="00760F1C" w:rsidP="00BC5FDE">
    <w:pPr>
      <w:pStyle w:val="Header"/>
    </w:pPr>
    <w:r>
      <w:t>C</w:t>
    </w:r>
    <w:r w:rsidR="007F350B">
      <w:t>1</w:t>
    </w:r>
    <w:r w:rsidR="00C2727F">
      <w:t>9</w:t>
    </w:r>
    <w:r w:rsidR="00922A9B">
      <w:t>/11</w:t>
    </w:r>
    <w:r w:rsidR="00BC5FDE">
      <w:t>8</w:t>
    </w:r>
    <w:r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85"/>
    <w:rsid w:val="00093EEB"/>
    <w:rsid w:val="000B0D00"/>
    <w:rsid w:val="000B7C15"/>
    <w:rsid w:val="000D1D0F"/>
    <w:rsid w:val="000F5290"/>
    <w:rsid w:val="0010165C"/>
    <w:rsid w:val="00146BFB"/>
    <w:rsid w:val="001F14A2"/>
    <w:rsid w:val="00235A74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37FA8"/>
    <w:rsid w:val="006447EA"/>
    <w:rsid w:val="0064731F"/>
    <w:rsid w:val="006710F6"/>
    <w:rsid w:val="006C1B56"/>
    <w:rsid w:val="006D4761"/>
    <w:rsid w:val="00726872"/>
    <w:rsid w:val="00760F1C"/>
    <w:rsid w:val="007657F0"/>
    <w:rsid w:val="0077252D"/>
    <w:rsid w:val="007E5DD3"/>
    <w:rsid w:val="007F350B"/>
    <w:rsid w:val="00820BE4"/>
    <w:rsid w:val="0083034D"/>
    <w:rsid w:val="008451E8"/>
    <w:rsid w:val="00862785"/>
    <w:rsid w:val="00913B9C"/>
    <w:rsid w:val="00922A9B"/>
    <w:rsid w:val="00956E77"/>
    <w:rsid w:val="009F4811"/>
    <w:rsid w:val="009F6A1B"/>
    <w:rsid w:val="00AA390C"/>
    <w:rsid w:val="00B0200A"/>
    <w:rsid w:val="00B574DB"/>
    <w:rsid w:val="00B814C6"/>
    <w:rsid w:val="00B826C2"/>
    <w:rsid w:val="00B8298E"/>
    <w:rsid w:val="00BC5FDE"/>
    <w:rsid w:val="00BD0723"/>
    <w:rsid w:val="00BD2518"/>
    <w:rsid w:val="00BF1D1C"/>
    <w:rsid w:val="00C20C59"/>
    <w:rsid w:val="00C2727F"/>
    <w:rsid w:val="00C55B1F"/>
    <w:rsid w:val="00CD742C"/>
    <w:rsid w:val="00CF1A67"/>
    <w:rsid w:val="00D2750E"/>
    <w:rsid w:val="00D62446"/>
    <w:rsid w:val="00DA4EA2"/>
    <w:rsid w:val="00DB5D43"/>
    <w:rsid w:val="00DC3D3E"/>
    <w:rsid w:val="00DE2C90"/>
    <w:rsid w:val="00DE3B24"/>
    <w:rsid w:val="00E06947"/>
    <w:rsid w:val="00E318A4"/>
    <w:rsid w:val="00E3592D"/>
    <w:rsid w:val="00E670E7"/>
    <w:rsid w:val="00E92DE8"/>
    <w:rsid w:val="00EB1212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D821221-ACA7-43CE-8E47-B78D82C3E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9-CL-C-0003/es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itu.int/md/S19-CL-C-0002/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19-CL-C-0003/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itu.int/md/S19-CL-C-0002/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PS_C19</Template>
  <TotalTime>3</TotalTime>
  <Pages>2</Pages>
  <Words>384</Words>
  <Characters>2192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2571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Spanish1</dc:creator>
  <cp:keywords>C2018, C18</cp:keywords>
  <dc:description/>
  <cp:lastModifiedBy>Janin, Patricia</cp:lastModifiedBy>
  <cp:revision>2</cp:revision>
  <cp:lastPrinted>2019-07-22T13:41:00Z</cp:lastPrinted>
  <dcterms:created xsi:type="dcterms:W3CDTF">2019-07-23T14:24:00Z</dcterms:created>
  <dcterms:modified xsi:type="dcterms:W3CDTF">2019-07-23T14:24:00Z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