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45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093EEB" w:rsidRPr="002D5924">
        <w:trPr>
          <w:cantSplit/>
        </w:trPr>
        <w:tc>
          <w:tcPr>
            <w:tcW w:w="6912" w:type="dxa"/>
          </w:tcPr>
          <w:p w:rsidR="00093EEB" w:rsidRPr="002D5924" w:rsidRDefault="00093EEB" w:rsidP="00E87CB7">
            <w:pPr>
              <w:spacing w:before="360"/>
              <w:rPr>
                <w:szCs w:val="24"/>
              </w:rPr>
            </w:pPr>
            <w:bookmarkStart w:id="0" w:name="dc06"/>
            <w:bookmarkStart w:id="1" w:name="dbluepink" w:colFirst="0" w:colLast="0"/>
            <w:bookmarkEnd w:id="0"/>
            <w:r w:rsidRPr="002D5924">
              <w:rPr>
                <w:b/>
                <w:bCs/>
                <w:sz w:val="30"/>
                <w:szCs w:val="30"/>
              </w:rPr>
              <w:t>Consejo 201</w:t>
            </w:r>
            <w:r w:rsidR="00C2727F" w:rsidRPr="002D5924">
              <w:rPr>
                <w:b/>
                <w:bCs/>
                <w:sz w:val="30"/>
                <w:szCs w:val="30"/>
              </w:rPr>
              <w:t>9</w:t>
            </w:r>
            <w:r w:rsidRPr="002D5924">
              <w:rPr>
                <w:b/>
                <w:bCs/>
                <w:sz w:val="26"/>
                <w:szCs w:val="26"/>
              </w:rPr>
              <w:br/>
            </w:r>
            <w:r w:rsidRPr="002D5924">
              <w:rPr>
                <w:b/>
                <w:bCs/>
                <w:szCs w:val="24"/>
              </w:rPr>
              <w:t>Ginebra, 1</w:t>
            </w:r>
            <w:r w:rsidR="00C2727F" w:rsidRPr="002D5924">
              <w:rPr>
                <w:b/>
                <w:bCs/>
                <w:szCs w:val="24"/>
              </w:rPr>
              <w:t>0</w:t>
            </w:r>
            <w:r w:rsidRPr="002D5924">
              <w:rPr>
                <w:b/>
                <w:bCs/>
                <w:szCs w:val="24"/>
              </w:rPr>
              <w:t>-2</w:t>
            </w:r>
            <w:r w:rsidR="00C2727F" w:rsidRPr="002D5924">
              <w:rPr>
                <w:b/>
                <w:bCs/>
                <w:szCs w:val="24"/>
              </w:rPr>
              <w:t>0</w:t>
            </w:r>
            <w:r w:rsidRPr="002D5924">
              <w:rPr>
                <w:b/>
                <w:bCs/>
                <w:szCs w:val="24"/>
              </w:rPr>
              <w:t xml:space="preserve"> de </w:t>
            </w:r>
            <w:r w:rsidR="00C2727F" w:rsidRPr="002D5924">
              <w:rPr>
                <w:b/>
                <w:bCs/>
                <w:szCs w:val="24"/>
              </w:rPr>
              <w:t>junio</w:t>
            </w:r>
            <w:r w:rsidRPr="002D5924">
              <w:rPr>
                <w:b/>
                <w:bCs/>
                <w:szCs w:val="24"/>
              </w:rPr>
              <w:t xml:space="preserve"> de 201</w:t>
            </w:r>
            <w:r w:rsidR="00C2727F" w:rsidRPr="002D5924">
              <w:rPr>
                <w:b/>
                <w:bCs/>
                <w:szCs w:val="24"/>
              </w:rPr>
              <w:t>9</w:t>
            </w:r>
          </w:p>
        </w:tc>
        <w:tc>
          <w:tcPr>
            <w:tcW w:w="3261" w:type="dxa"/>
          </w:tcPr>
          <w:p w:rsidR="00093EEB" w:rsidRPr="002D5924" w:rsidRDefault="00093EEB" w:rsidP="00E87CB7">
            <w:pPr>
              <w:spacing w:before="0"/>
              <w:jc w:val="right"/>
              <w:rPr>
                <w:szCs w:val="24"/>
              </w:rPr>
            </w:pPr>
            <w:bookmarkStart w:id="2" w:name="ditulogo"/>
            <w:bookmarkEnd w:id="2"/>
            <w:r w:rsidRPr="002D5924">
              <w:rPr>
                <w:rFonts w:cstheme="minorHAnsi"/>
                <w:b/>
                <w:bCs/>
                <w:noProof/>
                <w:szCs w:val="24"/>
                <w:lang w:val="en-US" w:eastAsia="zh-CN"/>
              </w:rPr>
              <w:drawing>
                <wp:inline distT="0" distB="0" distL="0" distR="0" wp14:anchorId="20716D67" wp14:editId="3A7EBAD8">
                  <wp:extent cx="1771650" cy="695325"/>
                  <wp:effectExtent l="0" t="0" r="0" b="9525"/>
                  <wp:docPr id="2" name="Picture 2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EEB" w:rsidRPr="002D5924">
        <w:trPr>
          <w:cantSplit/>
          <w:trHeight w:val="20"/>
        </w:trPr>
        <w:tc>
          <w:tcPr>
            <w:tcW w:w="10173" w:type="dxa"/>
            <w:gridSpan w:val="2"/>
            <w:tcBorders>
              <w:bottom w:val="single" w:sz="12" w:space="0" w:color="auto"/>
            </w:tcBorders>
          </w:tcPr>
          <w:p w:rsidR="00093EEB" w:rsidRPr="002D5924" w:rsidRDefault="00093EEB" w:rsidP="00E87CB7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2D5924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093EEB" w:rsidRPr="002D5924" w:rsidRDefault="00093EEB" w:rsidP="00E87CB7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/>
              <w:rPr>
                <w:b/>
                <w:smallCaps/>
                <w:szCs w:val="24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093EEB" w:rsidRPr="002D5924" w:rsidRDefault="00093EEB" w:rsidP="00E87CB7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2D5924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2D5924" w:rsidRDefault="00093EEB" w:rsidP="00E87CB7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/>
              <w:rPr>
                <w:rFonts w:cs="Times"/>
                <w:b/>
                <w:szCs w:val="24"/>
              </w:rPr>
            </w:pPr>
            <w:bookmarkStart w:id="3" w:name="dnum" w:colFirst="1" w:colLast="1"/>
            <w:bookmarkStart w:id="4" w:name="dmeeting" w:colFirst="0" w:colLast="0"/>
          </w:p>
        </w:tc>
        <w:tc>
          <w:tcPr>
            <w:tcW w:w="3261" w:type="dxa"/>
          </w:tcPr>
          <w:p w:rsidR="00093EEB" w:rsidRPr="002D5924" w:rsidRDefault="00093EEB" w:rsidP="00E87CB7">
            <w:pPr>
              <w:spacing w:before="0"/>
              <w:rPr>
                <w:b/>
                <w:bCs/>
                <w:szCs w:val="24"/>
              </w:rPr>
            </w:pPr>
            <w:r w:rsidRPr="002D5924">
              <w:rPr>
                <w:b/>
                <w:bCs/>
                <w:szCs w:val="24"/>
              </w:rPr>
              <w:t>Documento C1</w:t>
            </w:r>
            <w:r w:rsidR="00C2727F" w:rsidRPr="002D5924">
              <w:rPr>
                <w:b/>
                <w:bCs/>
                <w:szCs w:val="24"/>
              </w:rPr>
              <w:t>9</w:t>
            </w:r>
            <w:r w:rsidRPr="002D5924">
              <w:rPr>
                <w:b/>
                <w:bCs/>
                <w:szCs w:val="24"/>
              </w:rPr>
              <w:t>/</w:t>
            </w:r>
            <w:r w:rsidR="000C1694" w:rsidRPr="002D5924">
              <w:rPr>
                <w:b/>
                <w:bCs/>
                <w:szCs w:val="24"/>
              </w:rPr>
              <w:t>117</w:t>
            </w:r>
            <w:r w:rsidRPr="002D5924">
              <w:rPr>
                <w:b/>
                <w:bCs/>
                <w:szCs w:val="24"/>
              </w:rPr>
              <w:t>-S</w:t>
            </w:r>
          </w:p>
        </w:tc>
      </w:tr>
      <w:tr w:rsidR="00093EEB" w:rsidRPr="002D5924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2D5924" w:rsidRDefault="00093EEB" w:rsidP="00E87CB7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5" w:name="ddate" w:colFirst="1" w:colLast="1"/>
            <w:bookmarkEnd w:id="3"/>
            <w:bookmarkEnd w:id="4"/>
          </w:p>
        </w:tc>
        <w:tc>
          <w:tcPr>
            <w:tcW w:w="3261" w:type="dxa"/>
          </w:tcPr>
          <w:p w:rsidR="00093EEB" w:rsidRPr="002D5924" w:rsidRDefault="008C09FB" w:rsidP="00E87CB7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19 de julio</w:t>
            </w:r>
            <w:r w:rsidR="000C1694" w:rsidRPr="002D5924">
              <w:rPr>
                <w:b/>
                <w:bCs/>
                <w:szCs w:val="24"/>
              </w:rPr>
              <w:t xml:space="preserve"> </w:t>
            </w:r>
            <w:r w:rsidR="00093EEB" w:rsidRPr="002D5924">
              <w:rPr>
                <w:b/>
                <w:bCs/>
                <w:szCs w:val="24"/>
              </w:rPr>
              <w:t>de 201</w:t>
            </w:r>
            <w:r w:rsidR="00C2727F" w:rsidRPr="002D5924">
              <w:rPr>
                <w:b/>
                <w:bCs/>
                <w:szCs w:val="24"/>
              </w:rPr>
              <w:t>9</w:t>
            </w:r>
          </w:p>
        </w:tc>
      </w:tr>
      <w:tr w:rsidR="00093EEB" w:rsidRPr="002D5924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2D5924" w:rsidRDefault="00093EEB" w:rsidP="00E87CB7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6" w:name="dorlang" w:colFirst="1" w:colLast="1"/>
            <w:bookmarkEnd w:id="5"/>
          </w:p>
        </w:tc>
        <w:tc>
          <w:tcPr>
            <w:tcW w:w="3261" w:type="dxa"/>
          </w:tcPr>
          <w:p w:rsidR="00093EEB" w:rsidRPr="002D5924" w:rsidRDefault="00093EEB" w:rsidP="00E87CB7">
            <w:pPr>
              <w:spacing w:before="0"/>
              <w:rPr>
                <w:b/>
                <w:bCs/>
                <w:szCs w:val="24"/>
              </w:rPr>
            </w:pPr>
            <w:r w:rsidRPr="002D5924">
              <w:rPr>
                <w:b/>
                <w:bCs/>
                <w:szCs w:val="24"/>
              </w:rPr>
              <w:t>Original: inglés</w:t>
            </w:r>
          </w:p>
        </w:tc>
      </w:tr>
      <w:tr w:rsidR="00093EEB" w:rsidRPr="002D5924">
        <w:trPr>
          <w:cantSplit/>
        </w:trPr>
        <w:tc>
          <w:tcPr>
            <w:tcW w:w="10173" w:type="dxa"/>
            <w:gridSpan w:val="2"/>
          </w:tcPr>
          <w:p w:rsidR="000C1694" w:rsidRPr="002D5924" w:rsidRDefault="000C1694" w:rsidP="00E87CB7">
            <w:pPr>
              <w:pStyle w:val="Title1"/>
            </w:pPr>
            <w:bookmarkStart w:id="7" w:name="dsource" w:colFirst="0" w:colLast="0"/>
            <w:bookmarkEnd w:id="1"/>
            <w:bookmarkEnd w:id="6"/>
            <w:r w:rsidRPr="002D5924">
              <w:t>Resumen de los debates</w:t>
            </w:r>
          </w:p>
          <w:p w:rsidR="000C1694" w:rsidRPr="002D5924" w:rsidRDefault="000C1694" w:rsidP="00E87CB7">
            <w:pPr>
              <w:pStyle w:val="Title1"/>
            </w:pPr>
            <w:r w:rsidRPr="002D5924">
              <w:t>de la</w:t>
            </w:r>
          </w:p>
          <w:p w:rsidR="00093EEB" w:rsidRPr="002D5924" w:rsidRDefault="000C1694" w:rsidP="00E87CB7">
            <w:pPr>
              <w:pStyle w:val="Title1"/>
            </w:pPr>
            <w:r w:rsidRPr="002D5924">
              <w:t>SEXTA Sesión Plenaria</w:t>
            </w:r>
          </w:p>
        </w:tc>
      </w:tr>
      <w:tr w:rsidR="00093EEB" w:rsidRPr="002D5924">
        <w:trPr>
          <w:cantSplit/>
        </w:trPr>
        <w:tc>
          <w:tcPr>
            <w:tcW w:w="10173" w:type="dxa"/>
            <w:gridSpan w:val="2"/>
          </w:tcPr>
          <w:p w:rsidR="00093EEB" w:rsidRPr="002D5924" w:rsidRDefault="000C1694" w:rsidP="00357D50">
            <w:pPr>
              <w:spacing w:before="240"/>
              <w:jc w:val="center"/>
            </w:pPr>
            <w:bookmarkStart w:id="8" w:name="lt_pId012"/>
            <w:bookmarkStart w:id="9" w:name="dtitle1" w:colFirst="0" w:colLast="0"/>
            <w:bookmarkEnd w:id="7"/>
            <w:r w:rsidRPr="002D5924">
              <w:t>Miércoles 19 de junio de 2019, de las 09.40 a las 10.45 horas</w:t>
            </w:r>
            <w:bookmarkEnd w:id="8"/>
          </w:p>
        </w:tc>
      </w:tr>
      <w:tr w:rsidR="000C1694" w:rsidRPr="002D5924">
        <w:trPr>
          <w:cantSplit/>
        </w:trPr>
        <w:tc>
          <w:tcPr>
            <w:tcW w:w="10173" w:type="dxa"/>
            <w:gridSpan w:val="2"/>
          </w:tcPr>
          <w:p w:rsidR="000C1694" w:rsidRPr="00357D50" w:rsidRDefault="000C1694" w:rsidP="00357D50">
            <w:pPr>
              <w:spacing w:before="240"/>
              <w:jc w:val="center"/>
            </w:pPr>
            <w:bookmarkStart w:id="10" w:name="lt_pId013"/>
            <w:r w:rsidRPr="00357D50">
              <w:rPr>
                <w:b/>
                <w:bCs/>
              </w:rPr>
              <w:t>Presidente</w:t>
            </w:r>
            <w:r w:rsidR="00913FAB" w:rsidRPr="00357D50">
              <w:rPr>
                <w:b/>
                <w:bCs/>
              </w:rPr>
              <w:t xml:space="preserve"> en funciones</w:t>
            </w:r>
            <w:r w:rsidRPr="00357D50">
              <w:t xml:space="preserve">: Sr. F. </w:t>
            </w:r>
            <w:r w:rsidR="002D5924" w:rsidRPr="00357D50">
              <w:t xml:space="preserve">BIGI </w:t>
            </w:r>
            <w:r w:rsidRPr="00357D50">
              <w:t>(Italia)</w:t>
            </w:r>
            <w:bookmarkEnd w:id="10"/>
          </w:p>
        </w:tc>
      </w:tr>
      <w:bookmarkEnd w:id="9"/>
    </w:tbl>
    <w:p w:rsidR="00C2727F" w:rsidRPr="002D5924" w:rsidRDefault="00C2727F" w:rsidP="00E87CB7"/>
    <w:tbl>
      <w:tblPr>
        <w:tblW w:w="5221" w:type="pct"/>
        <w:tblLook w:val="0000" w:firstRow="0" w:lastRow="0" w:firstColumn="0" w:lastColumn="0" w:noHBand="0" w:noVBand="0"/>
      </w:tblPr>
      <w:tblGrid>
        <w:gridCol w:w="505"/>
        <w:gridCol w:w="7575"/>
        <w:gridCol w:w="1985"/>
      </w:tblGrid>
      <w:tr w:rsidR="000C1694" w:rsidRPr="002D5924" w:rsidTr="009530AD">
        <w:tc>
          <w:tcPr>
            <w:tcW w:w="251" w:type="pct"/>
          </w:tcPr>
          <w:p w:rsidR="000C1694" w:rsidRPr="00357D50" w:rsidRDefault="000C1694" w:rsidP="00357D50">
            <w:pPr>
              <w:spacing w:after="120"/>
              <w:rPr>
                <w:b/>
                <w:bCs/>
              </w:rPr>
            </w:pPr>
            <w:r w:rsidRPr="00357D50">
              <w:rPr>
                <w:b/>
                <w:bCs/>
              </w:rPr>
              <w:br w:type="page"/>
            </w:r>
            <w:r w:rsidRPr="00357D50">
              <w:rPr>
                <w:b/>
                <w:bCs/>
              </w:rPr>
              <w:br w:type="page"/>
            </w:r>
          </w:p>
        </w:tc>
        <w:tc>
          <w:tcPr>
            <w:tcW w:w="3763" w:type="pct"/>
          </w:tcPr>
          <w:p w:rsidR="000C1694" w:rsidRPr="00357D50" w:rsidRDefault="000C1694" w:rsidP="00357D50">
            <w:pPr>
              <w:rPr>
                <w:b/>
                <w:bCs/>
              </w:rPr>
            </w:pPr>
            <w:r w:rsidRPr="00357D50">
              <w:rPr>
                <w:b/>
                <w:bCs/>
              </w:rPr>
              <w:t>Asuntos tratados</w:t>
            </w:r>
          </w:p>
        </w:tc>
        <w:tc>
          <w:tcPr>
            <w:tcW w:w="986" w:type="pct"/>
          </w:tcPr>
          <w:p w:rsidR="000C1694" w:rsidRPr="00357D50" w:rsidRDefault="000C1694" w:rsidP="00357D50">
            <w:pPr>
              <w:jc w:val="center"/>
              <w:rPr>
                <w:b/>
                <w:bCs/>
              </w:rPr>
            </w:pPr>
            <w:r w:rsidRPr="00357D50">
              <w:rPr>
                <w:b/>
                <w:bCs/>
              </w:rPr>
              <w:t>Documentos</w:t>
            </w:r>
          </w:p>
        </w:tc>
      </w:tr>
      <w:tr w:rsidR="000C1694" w:rsidRPr="002D5924" w:rsidTr="009530AD">
        <w:tc>
          <w:tcPr>
            <w:tcW w:w="251" w:type="pct"/>
          </w:tcPr>
          <w:p w:rsidR="000C1694" w:rsidRPr="002D5924" w:rsidRDefault="000C1694" w:rsidP="00E87CB7">
            <w:pPr>
              <w:pStyle w:val="toc0"/>
              <w:spacing w:after="120"/>
              <w:rPr>
                <w:b w:val="0"/>
              </w:rPr>
            </w:pPr>
            <w:r w:rsidRPr="002D5924">
              <w:rPr>
                <w:b w:val="0"/>
              </w:rPr>
              <w:t>1</w:t>
            </w:r>
          </w:p>
        </w:tc>
        <w:tc>
          <w:tcPr>
            <w:tcW w:w="3763" w:type="pct"/>
          </w:tcPr>
          <w:p w:rsidR="000C1694" w:rsidRPr="002D5924" w:rsidRDefault="000C1694" w:rsidP="00357D50">
            <w:pPr>
              <w:spacing w:after="120"/>
              <w:rPr>
                <w:rFonts w:cs="Calibri"/>
                <w:b/>
                <w:sz w:val="22"/>
                <w:highlight w:val="green"/>
              </w:rPr>
            </w:pPr>
            <w:r w:rsidRPr="002D5924">
              <w:t>Preparativos para la Conferencia de Plenipotenciarios de 2022 (continuación)</w:t>
            </w:r>
          </w:p>
        </w:tc>
        <w:tc>
          <w:tcPr>
            <w:tcW w:w="986" w:type="pct"/>
          </w:tcPr>
          <w:p w:rsidR="000C1694" w:rsidRPr="002D5924" w:rsidRDefault="003F1640" w:rsidP="00357D50">
            <w:pPr>
              <w:jc w:val="center"/>
              <w:rPr>
                <w:b/>
              </w:rPr>
            </w:pPr>
            <w:hyperlink r:id="rId8" w:history="1">
              <w:r w:rsidR="000C1694" w:rsidRPr="002D5924">
                <w:rPr>
                  <w:rStyle w:val="Hyperlink"/>
                  <w:bCs/>
                </w:rPr>
                <w:t>C19/55(</w:t>
              </w:r>
              <w:r w:rsidR="000C1694" w:rsidRPr="002D5924">
                <w:rPr>
                  <w:rStyle w:val="Hyperlink"/>
                  <w:bCs/>
                </w:rPr>
                <w:t>R</w:t>
              </w:r>
              <w:r w:rsidR="000C1694" w:rsidRPr="002D5924">
                <w:rPr>
                  <w:rStyle w:val="Hyperlink"/>
                  <w:bCs/>
                </w:rPr>
                <w:t>ev.1)</w:t>
              </w:r>
            </w:hyperlink>
          </w:p>
        </w:tc>
      </w:tr>
      <w:tr w:rsidR="000C1694" w:rsidRPr="002D5924" w:rsidTr="009530AD">
        <w:tc>
          <w:tcPr>
            <w:tcW w:w="251" w:type="pct"/>
          </w:tcPr>
          <w:p w:rsidR="000C1694" w:rsidRPr="002D5924" w:rsidRDefault="000C1694" w:rsidP="00357D50">
            <w:r w:rsidRPr="002D5924">
              <w:t>2</w:t>
            </w:r>
          </w:p>
        </w:tc>
        <w:tc>
          <w:tcPr>
            <w:tcW w:w="3763" w:type="pct"/>
          </w:tcPr>
          <w:p w:rsidR="000C1694" w:rsidRPr="00357D50" w:rsidRDefault="000C1694" w:rsidP="00357D50">
            <w:pPr>
              <w:spacing w:after="120"/>
            </w:pPr>
            <w:bookmarkStart w:id="11" w:name="lt_pId036"/>
            <w:r w:rsidRPr="00357D50">
              <w:t>Actividades de la UIT relacionadas con Internet (continuación)</w:t>
            </w:r>
            <w:bookmarkEnd w:id="11"/>
          </w:p>
        </w:tc>
        <w:tc>
          <w:tcPr>
            <w:tcW w:w="986" w:type="pct"/>
          </w:tcPr>
          <w:p w:rsidR="000C1694" w:rsidRPr="002D5924" w:rsidRDefault="003F1640" w:rsidP="00357D50">
            <w:pPr>
              <w:jc w:val="center"/>
              <w:rPr>
                <w:b/>
              </w:rPr>
            </w:pPr>
            <w:hyperlink r:id="rId9" w:history="1">
              <w:r w:rsidR="000C1694" w:rsidRPr="002D5924">
                <w:rPr>
                  <w:rStyle w:val="Hyperlink"/>
                  <w:bCs/>
                </w:rPr>
                <w:t>C1</w:t>
              </w:r>
              <w:r w:rsidR="000C1694" w:rsidRPr="002D5924">
                <w:rPr>
                  <w:rStyle w:val="Hyperlink"/>
                  <w:bCs/>
                </w:rPr>
                <w:t>9</w:t>
              </w:r>
              <w:r w:rsidR="000C1694" w:rsidRPr="002D5924">
                <w:rPr>
                  <w:rStyle w:val="Hyperlink"/>
                  <w:bCs/>
                </w:rPr>
                <w:t>/DT/10</w:t>
              </w:r>
            </w:hyperlink>
          </w:p>
        </w:tc>
      </w:tr>
      <w:tr w:rsidR="000C1694" w:rsidRPr="002D5924" w:rsidTr="009530AD">
        <w:tc>
          <w:tcPr>
            <w:tcW w:w="251" w:type="pct"/>
          </w:tcPr>
          <w:p w:rsidR="000C1694" w:rsidRPr="002D5924" w:rsidRDefault="000C1694" w:rsidP="00357D50">
            <w:r w:rsidRPr="002D5924">
              <w:t>3</w:t>
            </w:r>
          </w:p>
        </w:tc>
        <w:tc>
          <w:tcPr>
            <w:tcW w:w="3763" w:type="pct"/>
          </w:tcPr>
          <w:p w:rsidR="000C1694" w:rsidRPr="002D5924" w:rsidRDefault="000C1694" w:rsidP="00357D50">
            <w:pPr>
              <w:spacing w:after="120"/>
            </w:pPr>
            <w:r w:rsidRPr="002D5924">
              <w:t>Actividades de la UIT para el fortalecimiento del papel de la UIT en la creación de confianza y seguridad en la utilización de las TIC (continuación)</w:t>
            </w:r>
          </w:p>
        </w:tc>
        <w:tc>
          <w:tcPr>
            <w:tcW w:w="986" w:type="pct"/>
          </w:tcPr>
          <w:p w:rsidR="000C1694" w:rsidRPr="002D5924" w:rsidRDefault="003F1640" w:rsidP="00357D50">
            <w:pPr>
              <w:jc w:val="center"/>
              <w:rPr>
                <w:b/>
              </w:rPr>
            </w:pPr>
            <w:hyperlink r:id="rId10" w:history="1">
              <w:r w:rsidR="000C1694" w:rsidRPr="002D5924">
                <w:rPr>
                  <w:rStyle w:val="Hyperlink"/>
                  <w:bCs/>
                </w:rPr>
                <w:t>C1</w:t>
              </w:r>
              <w:r w:rsidR="000C1694" w:rsidRPr="002D5924">
                <w:rPr>
                  <w:rStyle w:val="Hyperlink"/>
                  <w:bCs/>
                </w:rPr>
                <w:t>9</w:t>
              </w:r>
              <w:r w:rsidR="000C1694" w:rsidRPr="002D5924">
                <w:rPr>
                  <w:rStyle w:val="Hyperlink"/>
                  <w:bCs/>
                </w:rPr>
                <w:t>/58</w:t>
              </w:r>
            </w:hyperlink>
            <w:r w:rsidR="000C1694" w:rsidRPr="002D5924">
              <w:t xml:space="preserve">, </w:t>
            </w:r>
            <w:hyperlink r:id="rId11" w:history="1">
              <w:r w:rsidR="000C1694" w:rsidRPr="002D5924">
                <w:rPr>
                  <w:rStyle w:val="Hyperlink"/>
                  <w:bCs/>
                </w:rPr>
                <w:t>C19/</w:t>
              </w:r>
              <w:r w:rsidR="000C1694" w:rsidRPr="002D5924">
                <w:rPr>
                  <w:rStyle w:val="Hyperlink"/>
                  <w:bCs/>
                </w:rPr>
                <w:t>D</w:t>
              </w:r>
              <w:r w:rsidR="000C1694" w:rsidRPr="002D5924">
                <w:rPr>
                  <w:rStyle w:val="Hyperlink"/>
                  <w:bCs/>
                </w:rPr>
                <w:t>L/8</w:t>
              </w:r>
            </w:hyperlink>
          </w:p>
        </w:tc>
      </w:tr>
      <w:tr w:rsidR="000C1694" w:rsidRPr="002D5924" w:rsidTr="009530AD">
        <w:tc>
          <w:tcPr>
            <w:tcW w:w="251" w:type="pct"/>
          </w:tcPr>
          <w:p w:rsidR="000C1694" w:rsidRPr="002D5924" w:rsidRDefault="000C1694" w:rsidP="00357D50">
            <w:r w:rsidRPr="002D5924">
              <w:t>4</w:t>
            </w:r>
          </w:p>
        </w:tc>
        <w:tc>
          <w:tcPr>
            <w:tcW w:w="3763" w:type="pct"/>
          </w:tcPr>
          <w:p w:rsidR="000C1694" w:rsidRPr="00357D50" w:rsidRDefault="00470266" w:rsidP="00357D50">
            <w:pPr>
              <w:spacing w:after="120"/>
            </w:pPr>
            <w:r w:rsidRPr="00357D50">
              <w:t>Preparativos para el Foro Mundial de Política de las Telecomunicaciones/TIC de 2021 (FMPT-21) (continuación)</w:t>
            </w:r>
          </w:p>
        </w:tc>
        <w:tc>
          <w:tcPr>
            <w:tcW w:w="986" w:type="pct"/>
          </w:tcPr>
          <w:p w:rsidR="000C1694" w:rsidRPr="002D5924" w:rsidRDefault="003F1640" w:rsidP="00357D50">
            <w:pPr>
              <w:jc w:val="center"/>
              <w:rPr>
                <w:b/>
              </w:rPr>
            </w:pPr>
            <w:hyperlink r:id="rId12" w:history="1">
              <w:r w:rsidR="000C1694" w:rsidRPr="002D5924">
                <w:rPr>
                  <w:rStyle w:val="Hyperlink"/>
                  <w:bCs/>
                </w:rPr>
                <w:t>C19</w:t>
              </w:r>
              <w:r w:rsidR="000C1694" w:rsidRPr="002D5924">
                <w:rPr>
                  <w:rStyle w:val="Hyperlink"/>
                  <w:bCs/>
                </w:rPr>
                <w:t>/</w:t>
              </w:r>
              <w:r w:rsidR="000C1694" w:rsidRPr="002D5924">
                <w:rPr>
                  <w:rStyle w:val="Hyperlink"/>
                  <w:bCs/>
                </w:rPr>
                <w:t>DT/15</w:t>
              </w:r>
            </w:hyperlink>
          </w:p>
        </w:tc>
      </w:tr>
      <w:tr w:rsidR="000C1694" w:rsidRPr="002D5924" w:rsidTr="009530AD">
        <w:tc>
          <w:tcPr>
            <w:tcW w:w="251" w:type="pct"/>
          </w:tcPr>
          <w:p w:rsidR="000C1694" w:rsidRPr="002D5924" w:rsidRDefault="000C1694" w:rsidP="00357D50">
            <w:r w:rsidRPr="002D5924">
              <w:t>5</w:t>
            </w:r>
          </w:p>
        </w:tc>
        <w:tc>
          <w:tcPr>
            <w:tcW w:w="3763" w:type="pct"/>
          </w:tcPr>
          <w:p w:rsidR="000C1694" w:rsidRPr="00357D50" w:rsidRDefault="00470266" w:rsidP="00357D50">
            <w:pPr>
              <w:spacing w:after="120"/>
            </w:pPr>
            <w:r w:rsidRPr="00357D50">
              <w:t>Seguimiento de la Resolución 146 (Rev. Dubái, 2018): Examen periódico y revisión del Reglamento de las Telecomunicaciones Internacionales (continuación)</w:t>
            </w:r>
          </w:p>
        </w:tc>
        <w:tc>
          <w:tcPr>
            <w:tcW w:w="986" w:type="pct"/>
          </w:tcPr>
          <w:p w:rsidR="000C1694" w:rsidRPr="002D5924" w:rsidRDefault="003F1640" w:rsidP="00357D50">
            <w:pPr>
              <w:jc w:val="center"/>
              <w:rPr>
                <w:b/>
              </w:rPr>
            </w:pPr>
            <w:hyperlink r:id="rId13" w:history="1">
              <w:r w:rsidR="000C1694" w:rsidRPr="002D5924">
                <w:rPr>
                  <w:rStyle w:val="Hyperlink"/>
                  <w:bCs/>
                </w:rPr>
                <w:t>C19/D</w:t>
              </w:r>
              <w:r w:rsidR="000C1694" w:rsidRPr="002D5924">
                <w:rPr>
                  <w:rStyle w:val="Hyperlink"/>
                  <w:bCs/>
                </w:rPr>
                <w:t>T</w:t>
              </w:r>
              <w:r w:rsidR="000C1694" w:rsidRPr="002D5924">
                <w:rPr>
                  <w:rStyle w:val="Hyperlink"/>
                  <w:bCs/>
                </w:rPr>
                <w:t>/11</w:t>
              </w:r>
            </w:hyperlink>
          </w:p>
        </w:tc>
      </w:tr>
      <w:tr w:rsidR="000C1694" w:rsidRPr="002D5924" w:rsidTr="009530AD">
        <w:tc>
          <w:tcPr>
            <w:tcW w:w="251" w:type="pct"/>
          </w:tcPr>
          <w:p w:rsidR="000C1694" w:rsidRPr="002D5924" w:rsidRDefault="000C1694" w:rsidP="00357D50">
            <w:r w:rsidRPr="002D5924">
              <w:t>6</w:t>
            </w:r>
          </w:p>
        </w:tc>
        <w:tc>
          <w:tcPr>
            <w:tcW w:w="3763" w:type="pct"/>
          </w:tcPr>
          <w:p w:rsidR="000C1694" w:rsidRPr="00357D50" w:rsidRDefault="00470266" w:rsidP="00357D50">
            <w:pPr>
              <w:spacing w:after="120"/>
            </w:pPr>
            <w:r w:rsidRPr="00357D50">
              <w:t>Informe del Presidente del Grupo de Trabajo del Consejo sobre cuestiones de política pública internacional relacionadas con Internet (GTC-Internet)</w:t>
            </w:r>
            <w:r w:rsidR="00913FAB" w:rsidRPr="00357D50">
              <w:t xml:space="preserve"> (continuación)</w:t>
            </w:r>
          </w:p>
        </w:tc>
        <w:tc>
          <w:tcPr>
            <w:tcW w:w="986" w:type="pct"/>
          </w:tcPr>
          <w:p w:rsidR="000C1694" w:rsidRPr="002D5924" w:rsidRDefault="003F1640" w:rsidP="00357D50">
            <w:pPr>
              <w:jc w:val="center"/>
              <w:rPr>
                <w:b/>
              </w:rPr>
            </w:pPr>
            <w:hyperlink r:id="rId14" w:history="1">
              <w:r w:rsidR="000C1694" w:rsidRPr="002D5924">
                <w:rPr>
                  <w:rStyle w:val="Hyperlink"/>
                  <w:bCs/>
                </w:rPr>
                <w:t>C19/D</w:t>
              </w:r>
              <w:r w:rsidR="000C1694" w:rsidRPr="002D5924">
                <w:rPr>
                  <w:rStyle w:val="Hyperlink"/>
                  <w:bCs/>
                </w:rPr>
                <w:t>T</w:t>
              </w:r>
              <w:r w:rsidR="000C1694" w:rsidRPr="002D5924">
                <w:rPr>
                  <w:rStyle w:val="Hyperlink"/>
                  <w:bCs/>
                </w:rPr>
                <w:t>/16</w:t>
              </w:r>
            </w:hyperlink>
          </w:p>
        </w:tc>
      </w:tr>
    </w:tbl>
    <w:p w:rsidR="000C1694" w:rsidRPr="002D5924" w:rsidRDefault="000C1694" w:rsidP="00357D50">
      <w:r w:rsidRPr="002D5924">
        <w:br w:type="page"/>
      </w:r>
    </w:p>
    <w:p w:rsidR="000C1694" w:rsidRPr="00357D50" w:rsidRDefault="000C1694" w:rsidP="00357D50">
      <w:pPr>
        <w:pStyle w:val="Heading1"/>
      </w:pPr>
      <w:r w:rsidRPr="00357D50">
        <w:lastRenderedPageBreak/>
        <w:t>1</w:t>
      </w:r>
      <w:r w:rsidRPr="00357D50">
        <w:tab/>
        <w:t xml:space="preserve">Preparativos para la Conferencia de Plenipotenciarios de 2022 (continuación) (Documento </w:t>
      </w:r>
      <w:hyperlink r:id="rId15" w:history="1">
        <w:r w:rsidRPr="00357D50">
          <w:rPr>
            <w:rStyle w:val="Hyperlink"/>
          </w:rPr>
          <w:t>C19/55(Rev.1)</w:t>
        </w:r>
      </w:hyperlink>
      <w:r w:rsidRPr="00357D50">
        <w:t>)</w:t>
      </w:r>
    </w:p>
    <w:p w:rsidR="000C1694" w:rsidRPr="002D5924" w:rsidRDefault="000C1694" w:rsidP="00115261">
      <w:r w:rsidRPr="002D5924">
        <w:t>1.1</w:t>
      </w:r>
      <w:r w:rsidRPr="002D5924">
        <w:tab/>
      </w:r>
      <w:r w:rsidR="00913FAB" w:rsidRPr="002D5924">
        <w:t>La consejera de Rumania expres</w:t>
      </w:r>
      <w:r w:rsidR="000278B6" w:rsidRPr="002D5924">
        <w:t>a</w:t>
      </w:r>
      <w:r w:rsidR="00913FAB" w:rsidRPr="002D5924">
        <w:t xml:space="preserve"> su gratitud al Consejo por haber </w:t>
      </w:r>
      <w:r w:rsidR="00276E7C" w:rsidRPr="002D5924">
        <w:t>acordado</w:t>
      </w:r>
      <w:r w:rsidR="00913FAB" w:rsidRPr="002D5924">
        <w:t xml:space="preserve"> celebrar la PP</w:t>
      </w:r>
      <w:r w:rsidR="00115261">
        <w:noBreakHyphen/>
      </w:r>
      <w:r w:rsidR="00913FAB" w:rsidRPr="002D5924">
        <w:t xml:space="preserve">22 en Bucarest. </w:t>
      </w:r>
      <w:r w:rsidR="002453F3" w:rsidRPr="002D5924">
        <w:t xml:space="preserve">Las fechas </w:t>
      </w:r>
      <w:r w:rsidR="00B003DF" w:rsidRPr="002D5924">
        <w:t>convenidas</w:t>
      </w:r>
      <w:r w:rsidR="00913FAB" w:rsidRPr="002D5924">
        <w:t xml:space="preserve"> </w:t>
      </w:r>
      <w:r w:rsidR="000278B6" w:rsidRPr="002D5924">
        <w:t>en el marco</w:t>
      </w:r>
      <w:r w:rsidR="00913FAB" w:rsidRPr="002D5924">
        <w:t xml:space="preserve"> </w:t>
      </w:r>
      <w:r w:rsidR="000278B6" w:rsidRPr="002D5924">
        <w:t xml:space="preserve">de </w:t>
      </w:r>
      <w:r w:rsidR="00913FAB" w:rsidRPr="002D5924">
        <w:t>las consultas</w:t>
      </w:r>
      <w:r w:rsidR="000278B6" w:rsidRPr="002D5924">
        <w:t xml:space="preserve"> oficiosas</w:t>
      </w:r>
      <w:r w:rsidR="002453F3" w:rsidRPr="002D5924">
        <w:t xml:space="preserve"> se extienden</w:t>
      </w:r>
      <w:r w:rsidR="00913FAB" w:rsidRPr="002D5924">
        <w:t xml:space="preserve"> del 26 de septiembre al 14 de octubre de 2022.</w:t>
      </w:r>
    </w:p>
    <w:p w:rsidR="000C1694" w:rsidRPr="002D5924" w:rsidRDefault="000C1694" w:rsidP="000339F2">
      <w:r w:rsidRPr="002D5924">
        <w:t>1.2</w:t>
      </w:r>
      <w:r w:rsidRPr="002D5924">
        <w:tab/>
      </w:r>
      <w:r w:rsidR="00913FAB" w:rsidRPr="002D5924">
        <w:t xml:space="preserve">El Consejo </w:t>
      </w:r>
      <w:r w:rsidR="00913FAB" w:rsidRPr="002D5924">
        <w:rPr>
          <w:b/>
          <w:bCs/>
        </w:rPr>
        <w:t>decid</w:t>
      </w:r>
      <w:r w:rsidR="000278B6" w:rsidRPr="002D5924">
        <w:rPr>
          <w:b/>
          <w:bCs/>
        </w:rPr>
        <w:t>e</w:t>
      </w:r>
      <w:r w:rsidR="00913FAB" w:rsidRPr="002D5924">
        <w:t xml:space="preserve"> celebrar la PP-22 en Bucarest (Rumania) del 26 de septiembre al 14 de octubre de 2022 y </w:t>
      </w:r>
      <w:r w:rsidR="000278B6" w:rsidRPr="002D5924">
        <w:rPr>
          <w:b/>
          <w:bCs/>
        </w:rPr>
        <w:t>adopta</w:t>
      </w:r>
      <w:r w:rsidR="00913FAB" w:rsidRPr="002D5924">
        <w:t xml:space="preserve"> el proyecto de </w:t>
      </w:r>
      <w:r w:rsidR="00A27CF0" w:rsidRPr="002D5924">
        <w:t>Acuerdo</w:t>
      </w:r>
      <w:r w:rsidR="00913FAB" w:rsidRPr="002D5924">
        <w:t xml:space="preserve"> que figura en el Anexo C </w:t>
      </w:r>
      <w:r w:rsidR="000278B6" w:rsidRPr="002D5924">
        <w:t>a</w:t>
      </w:r>
      <w:r w:rsidR="00913FAB" w:rsidRPr="002D5924">
        <w:t xml:space="preserve">l </w:t>
      </w:r>
      <w:r w:rsidR="000339F2" w:rsidRPr="002D5924">
        <w:t>Documento</w:t>
      </w:r>
      <w:r w:rsidR="000339F2">
        <w:t> </w:t>
      </w:r>
      <w:r w:rsidR="00913FAB" w:rsidRPr="002D5924">
        <w:t xml:space="preserve">C19/55(Rev.1), con las </w:t>
      </w:r>
      <w:r w:rsidR="000278B6" w:rsidRPr="002D5924">
        <w:t xml:space="preserve">consiguientes </w:t>
      </w:r>
      <w:r w:rsidR="00913FAB" w:rsidRPr="002D5924">
        <w:t>modificaciones necesarias.</w:t>
      </w:r>
    </w:p>
    <w:p w:rsidR="000C1694" w:rsidRPr="00357D50" w:rsidRDefault="000C1694" w:rsidP="00357D50">
      <w:pPr>
        <w:pStyle w:val="Heading1"/>
      </w:pPr>
      <w:r w:rsidRPr="00357D50">
        <w:t>2</w:t>
      </w:r>
      <w:r w:rsidRPr="00357D50">
        <w:tab/>
        <w:t>Actividades de la UIT relacionadas con Internet (continuación)</w:t>
      </w:r>
      <w:r w:rsidR="003B5418" w:rsidRPr="00357D50">
        <w:br/>
      </w:r>
      <w:r w:rsidRPr="00357D50">
        <w:t xml:space="preserve">(Documento </w:t>
      </w:r>
      <w:hyperlink r:id="rId16" w:history="1">
        <w:r w:rsidRPr="00357D50">
          <w:rPr>
            <w:rStyle w:val="Hyperlink"/>
          </w:rPr>
          <w:t>C19/DT/10</w:t>
        </w:r>
      </w:hyperlink>
      <w:r w:rsidRPr="00357D50">
        <w:t>)</w:t>
      </w:r>
    </w:p>
    <w:p w:rsidR="000C1694" w:rsidRPr="002D5924" w:rsidRDefault="000C1694" w:rsidP="00357D50">
      <w:r w:rsidRPr="002D5924">
        <w:t>2.1</w:t>
      </w:r>
      <w:r w:rsidRPr="002D5924">
        <w:tab/>
      </w:r>
      <w:r w:rsidR="00913FAB" w:rsidRPr="002D5924">
        <w:t xml:space="preserve">El Presidente </w:t>
      </w:r>
      <w:r w:rsidR="000278B6" w:rsidRPr="002D5924">
        <w:t>en funciones recuerda</w:t>
      </w:r>
      <w:r w:rsidR="00913FAB" w:rsidRPr="002D5924">
        <w:t xml:space="preserve"> que, en su segunda </w:t>
      </w:r>
      <w:r w:rsidR="00115261" w:rsidRPr="002D5924">
        <w:t>Sesión Plenaria</w:t>
      </w:r>
      <w:r w:rsidR="00913FAB" w:rsidRPr="002D5924">
        <w:t xml:space="preserve">, el Consejo </w:t>
      </w:r>
      <w:r w:rsidR="000278B6" w:rsidRPr="002D5924">
        <w:t>tomó</w:t>
      </w:r>
      <w:r w:rsidR="00913FAB" w:rsidRPr="002D5924">
        <w:t xml:space="preserve"> nota del </w:t>
      </w:r>
      <w:r w:rsidR="000278B6" w:rsidRPr="002D5924">
        <w:t xml:space="preserve">Informe sobre las actividades de la UIT relacionadas con Internet </w:t>
      </w:r>
      <w:r w:rsidR="00913FAB" w:rsidRPr="002D5924">
        <w:t>(</w:t>
      </w:r>
      <w:r w:rsidR="000278B6" w:rsidRPr="002D5924">
        <w:t xml:space="preserve">véase el </w:t>
      </w:r>
      <w:r w:rsidR="00913FAB" w:rsidRPr="002D5924">
        <w:t>Documento</w:t>
      </w:r>
      <w:r w:rsidR="00357D50">
        <w:t> </w:t>
      </w:r>
      <w:r w:rsidR="00913FAB" w:rsidRPr="002D5924">
        <w:t xml:space="preserve">C19/33). Se </w:t>
      </w:r>
      <w:r w:rsidR="000278B6" w:rsidRPr="002D5924">
        <w:t>solicita</w:t>
      </w:r>
      <w:r w:rsidR="00913FAB" w:rsidRPr="002D5924">
        <w:t xml:space="preserve"> al Secretario General de la UIT que transmita </w:t>
      </w:r>
      <w:r w:rsidR="000278B6" w:rsidRPr="002D5924">
        <w:t>dicho</w:t>
      </w:r>
      <w:r w:rsidR="00913FAB" w:rsidRPr="002D5924">
        <w:t xml:space="preserve"> </w:t>
      </w:r>
      <w:r w:rsidR="00644DD3" w:rsidRPr="002D5924">
        <w:t xml:space="preserve">Informe </w:t>
      </w:r>
      <w:r w:rsidR="00913FAB" w:rsidRPr="002D5924">
        <w:t>al Secretario General de las Naciones Unidas</w:t>
      </w:r>
      <w:r w:rsidR="000278B6" w:rsidRPr="002D5924">
        <w:t>,</w:t>
      </w:r>
      <w:r w:rsidR="00913FAB" w:rsidRPr="002D5924">
        <w:t xml:space="preserve"> junto con una recopilación de las opiniones </w:t>
      </w:r>
      <w:r w:rsidR="002453F3" w:rsidRPr="002D5924">
        <w:t>presentadas por</w:t>
      </w:r>
      <w:r w:rsidR="00913FAB" w:rsidRPr="002D5924">
        <w:t xml:space="preserve"> los Estados Miembros del Consejo, </w:t>
      </w:r>
      <w:r w:rsidR="000278B6" w:rsidRPr="002D5924">
        <w:t>el resumen oficial de l</w:t>
      </w:r>
      <w:r w:rsidR="002453F3" w:rsidRPr="002D5924">
        <w:t>o</w:t>
      </w:r>
      <w:r w:rsidR="000278B6" w:rsidRPr="002D5924">
        <w:t xml:space="preserve">s </w:t>
      </w:r>
      <w:r w:rsidR="002453F3" w:rsidRPr="002D5924">
        <w:t>debates</w:t>
      </w:r>
      <w:r w:rsidR="000278B6" w:rsidRPr="002D5924">
        <w:t xml:space="preserve"> del Consejo</w:t>
      </w:r>
      <w:r w:rsidR="002453F3" w:rsidRPr="002D5924">
        <w:t xml:space="preserve"> a</w:t>
      </w:r>
      <w:r w:rsidR="00B003DF" w:rsidRPr="002D5924">
        <w:t xml:space="preserve"> ese</w:t>
      </w:r>
      <w:r w:rsidR="002453F3" w:rsidRPr="002D5924">
        <w:t xml:space="preserve"> respecto</w:t>
      </w:r>
      <w:r w:rsidR="000278B6" w:rsidRPr="002D5924">
        <w:t xml:space="preserve"> y una nota de presentación.</w:t>
      </w:r>
      <w:r w:rsidR="00913FAB" w:rsidRPr="002D5924">
        <w:t xml:space="preserve"> Por consiguiente, se invit</w:t>
      </w:r>
      <w:r w:rsidR="000278B6" w:rsidRPr="002D5924">
        <w:t>a</w:t>
      </w:r>
      <w:r w:rsidR="00913FAB" w:rsidRPr="002D5924">
        <w:t xml:space="preserve"> al Consejo </w:t>
      </w:r>
      <w:r w:rsidR="000278B6" w:rsidRPr="002D5924">
        <w:t>a refrendar</w:t>
      </w:r>
      <w:r w:rsidR="00913FAB" w:rsidRPr="002D5924">
        <w:t xml:space="preserve"> la transmisión del </w:t>
      </w:r>
      <w:r w:rsidR="00644DD3" w:rsidRPr="002D5924">
        <w:t xml:space="preserve">Informe </w:t>
      </w:r>
      <w:r w:rsidRPr="002D5924">
        <w:t>y los referidos documentos conexos, recogidos en el Documento</w:t>
      </w:r>
      <w:r w:rsidR="00357D50">
        <w:t> </w:t>
      </w:r>
      <w:r w:rsidRPr="002D5924">
        <w:t>C1</w:t>
      </w:r>
      <w:r w:rsidR="00644DD3">
        <w:t>9</w:t>
      </w:r>
      <w:r w:rsidRPr="002D5924">
        <w:t>/DT/</w:t>
      </w:r>
      <w:r w:rsidR="002453F3" w:rsidRPr="002D5924">
        <w:t>10</w:t>
      </w:r>
      <w:r w:rsidRPr="002D5924">
        <w:t>.</w:t>
      </w:r>
    </w:p>
    <w:p w:rsidR="000C1694" w:rsidRPr="002D5924" w:rsidRDefault="000C1694" w:rsidP="009049E2">
      <w:r w:rsidRPr="002D5924">
        <w:t>2.2</w:t>
      </w:r>
      <w:r w:rsidRPr="002D5924">
        <w:tab/>
      </w:r>
      <w:r w:rsidR="00913FAB" w:rsidRPr="002D5924">
        <w:t xml:space="preserve">Así se </w:t>
      </w:r>
      <w:r w:rsidR="00913FAB" w:rsidRPr="002D5924">
        <w:rPr>
          <w:b/>
          <w:bCs/>
        </w:rPr>
        <w:t>acuerda</w:t>
      </w:r>
      <w:r w:rsidRPr="002D5924">
        <w:t>.</w:t>
      </w:r>
    </w:p>
    <w:p w:rsidR="000C1694" w:rsidRPr="002D5924" w:rsidRDefault="000C1694" w:rsidP="009049E2">
      <w:r w:rsidRPr="002D5924">
        <w:t>2.3</w:t>
      </w:r>
      <w:r w:rsidRPr="002D5924">
        <w:tab/>
      </w:r>
      <w:r w:rsidR="00913FAB" w:rsidRPr="002D5924">
        <w:t xml:space="preserve">Un consejero </w:t>
      </w:r>
      <w:r w:rsidR="00D6717F" w:rsidRPr="002D5924">
        <w:t>considera</w:t>
      </w:r>
      <w:r w:rsidR="000278B6" w:rsidRPr="002D5924">
        <w:t xml:space="preserve"> que</w:t>
      </w:r>
      <w:r w:rsidR="00913FAB" w:rsidRPr="002D5924">
        <w:t xml:space="preserve"> las opiniones de Argelia, que se habían incluido en el conjunto de documentos, indican claramente que la UIT est</w:t>
      </w:r>
      <w:r w:rsidR="003F1601" w:rsidRPr="002D5924">
        <w:t>á</w:t>
      </w:r>
      <w:r w:rsidR="00913FAB" w:rsidRPr="002D5924">
        <w:t xml:space="preserve"> llevando a cabo actividades </w:t>
      </w:r>
      <w:r w:rsidR="003F1601" w:rsidRPr="002D5924">
        <w:t>relativas a</w:t>
      </w:r>
      <w:r w:rsidR="00913FAB" w:rsidRPr="002D5924">
        <w:t xml:space="preserve"> la inteligencia artificial</w:t>
      </w:r>
      <w:r w:rsidR="003F1601" w:rsidRPr="002D5924">
        <w:t xml:space="preserve"> </w:t>
      </w:r>
      <w:r w:rsidR="00B003DF" w:rsidRPr="002D5924">
        <w:t>en virtud de</w:t>
      </w:r>
      <w:r w:rsidR="003F1601" w:rsidRPr="002D5924">
        <w:t xml:space="preserve"> s</w:t>
      </w:r>
      <w:r w:rsidR="00913FAB" w:rsidRPr="002D5924">
        <w:t>u mandato. Es</w:t>
      </w:r>
      <w:r w:rsidR="00D6717F" w:rsidRPr="002D5924">
        <w:t>t</w:t>
      </w:r>
      <w:r w:rsidR="00913FAB" w:rsidRPr="002D5924">
        <w:t>a observación podría ayudar al Consejo a determinar temas</w:t>
      </w:r>
      <w:r w:rsidR="003F1601" w:rsidRPr="002D5924">
        <w:t xml:space="preserve"> </w:t>
      </w:r>
      <w:r w:rsidR="00D6717F" w:rsidRPr="002D5924">
        <w:t>para las consultas abiertas d</w:t>
      </w:r>
      <w:r w:rsidR="00913FAB" w:rsidRPr="002D5924">
        <w:t>el GTC-Internet</w:t>
      </w:r>
      <w:r w:rsidR="003F1601" w:rsidRPr="002D5924">
        <w:t>.</w:t>
      </w:r>
    </w:p>
    <w:p w:rsidR="000C1694" w:rsidRPr="00357D50" w:rsidRDefault="000C1694" w:rsidP="00357D50">
      <w:pPr>
        <w:pStyle w:val="Heading1"/>
      </w:pPr>
      <w:r w:rsidRPr="00357D50">
        <w:t>3</w:t>
      </w:r>
      <w:r w:rsidRPr="00357D50">
        <w:tab/>
        <w:t>Actividades de la UIT para el fortalecimiento del papel de la UIT en la creación de confianza y seguridad en la utilización de las TIC (continuación) (Documentos</w:t>
      </w:r>
      <w:r w:rsidR="00810938" w:rsidRPr="00357D50">
        <w:t> </w:t>
      </w:r>
      <w:hyperlink r:id="rId17" w:history="1">
        <w:r w:rsidRPr="00357D50">
          <w:rPr>
            <w:rStyle w:val="Hyperlink"/>
          </w:rPr>
          <w:t>C19</w:t>
        </w:r>
        <w:r w:rsidRPr="00357D50">
          <w:rPr>
            <w:rStyle w:val="Hyperlink"/>
          </w:rPr>
          <w:t>/</w:t>
        </w:r>
        <w:r w:rsidRPr="00357D50">
          <w:rPr>
            <w:rStyle w:val="Hyperlink"/>
          </w:rPr>
          <w:t>58</w:t>
        </w:r>
      </w:hyperlink>
      <w:r w:rsidRPr="00357D50">
        <w:t xml:space="preserve"> y </w:t>
      </w:r>
      <w:hyperlink r:id="rId18" w:history="1">
        <w:r w:rsidRPr="00357D50">
          <w:rPr>
            <w:rStyle w:val="Hyperlink"/>
          </w:rPr>
          <w:t>C19/DL/8</w:t>
        </w:r>
      </w:hyperlink>
      <w:r w:rsidRPr="00357D50">
        <w:t>)</w:t>
      </w:r>
    </w:p>
    <w:p w:rsidR="000C1694" w:rsidRPr="002D5924" w:rsidRDefault="000C1694" w:rsidP="003405CA">
      <w:r w:rsidRPr="002D5924">
        <w:t>3.1</w:t>
      </w:r>
      <w:r w:rsidRPr="002D5924">
        <w:tab/>
      </w:r>
      <w:r w:rsidR="000D0204" w:rsidRPr="002D5924">
        <w:t>El Vicepresidente</w:t>
      </w:r>
      <w:r w:rsidR="00CF062E" w:rsidRPr="002D5924">
        <w:t xml:space="preserve"> facilita información</w:t>
      </w:r>
      <w:r w:rsidR="000D0204" w:rsidRPr="002D5924">
        <w:t xml:space="preserve"> sobre las consultas celebradas tras la cuarta </w:t>
      </w:r>
      <w:r w:rsidR="00115261" w:rsidRPr="002D5924">
        <w:t xml:space="preserve">Sesión Plenaria </w:t>
      </w:r>
      <w:r w:rsidR="00CF062E" w:rsidRPr="002D5924">
        <w:t>y</w:t>
      </w:r>
      <w:r w:rsidR="000D0204" w:rsidRPr="002D5924">
        <w:t xml:space="preserve"> d</w:t>
      </w:r>
      <w:r w:rsidR="00CF062E" w:rsidRPr="002D5924">
        <w:t>eclara</w:t>
      </w:r>
      <w:r w:rsidR="000D0204" w:rsidRPr="002D5924">
        <w:t xml:space="preserve"> que el grupo informal</w:t>
      </w:r>
      <w:r w:rsidR="00CF062E" w:rsidRPr="002D5924">
        <w:t xml:space="preserve"> encargado de la Agenda sobre Ciberseguridad Global (ACG)</w:t>
      </w:r>
      <w:r w:rsidR="000D0204" w:rsidRPr="002D5924">
        <w:t xml:space="preserve"> ha alcanzado el consenso </w:t>
      </w:r>
      <w:r w:rsidR="00CF062E" w:rsidRPr="002D5924">
        <w:t>enunciado</w:t>
      </w:r>
      <w:r w:rsidR="000D0204" w:rsidRPr="002D5924">
        <w:t xml:space="preserve"> en el </w:t>
      </w:r>
      <w:r w:rsidR="003405CA" w:rsidRPr="002D5924">
        <w:t xml:space="preserve">Documento </w:t>
      </w:r>
      <w:r w:rsidR="000D0204" w:rsidRPr="002D5924">
        <w:t xml:space="preserve">C19/DL/8, </w:t>
      </w:r>
      <w:r w:rsidR="00CF062E" w:rsidRPr="002D5924">
        <w:t xml:space="preserve">el cual consiste en </w:t>
      </w:r>
      <w:r w:rsidR="000D0204" w:rsidRPr="002D5924">
        <w:t xml:space="preserve">que </w:t>
      </w:r>
      <w:r w:rsidR="00CF062E" w:rsidRPr="002D5924">
        <w:t>el Consejo encargue</w:t>
      </w:r>
      <w:r w:rsidR="000D0204" w:rsidRPr="002D5924">
        <w:t xml:space="preserve"> al Secretario General que, </w:t>
      </w:r>
      <w:r w:rsidR="00CF062E" w:rsidRPr="002D5924">
        <w:t>en paralelo</w:t>
      </w:r>
      <w:r w:rsidR="000D0204" w:rsidRPr="002D5924">
        <w:t xml:space="preserve">, presente a la próxima </w:t>
      </w:r>
      <w:r w:rsidR="00CF062E" w:rsidRPr="002D5924">
        <w:t>reunión</w:t>
      </w:r>
      <w:r w:rsidR="000D0204" w:rsidRPr="002D5924">
        <w:t xml:space="preserve"> del Consejo un informe en que se explique cómo utiliza actualmente la UIT el marco de</w:t>
      </w:r>
      <w:r w:rsidR="001B67C8" w:rsidRPr="002D5924">
        <w:t xml:space="preserve"> </w:t>
      </w:r>
      <w:r w:rsidR="000D0204" w:rsidRPr="002D5924">
        <w:t>l</w:t>
      </w:r>
      <w:r w:rsidR="001B67C8" w:rsidRPr="002D5924">
        <w:t>a</w:t>
      </w:r>
      <w:r w:rsidR="000D0204" w:rsidRPr="002D5924">
        <w:t xml:space="preserve"> </w:t>
      </w:r>
      <w:r w:rsidR="003405CA" w:rsidRPr="002D5924">
        <w:t>ACG</w:t>
      </w:r>
      <w:r w:rsidR="001B67C8" w:rsidRPr="002D5924">
        <w:t xml:space="preserve"> y,</w:t>
      </w:r>
      <w:r w:rsidR="000D0204" w:rsidRPr="002D5924">
        <w:t xml:space="preserve"> con la participación de los Estados Miembros, unas directrices adecuadas </w:t>
      </w:r>
      <w:r w:rsidR="00A26834" w:rsidRPr="002D5924">
        <w:t>en materia</w:t>
      </w:r>
      <w:r w:rsidR="001B67C8" w:rsidRPr="002D5924">
        <w:t xml:space="preserve"> de la </w:t>
      </w:r>
      <w:r w:rsidR="000D0204" w:rsidRPr="002D5924">
        <w:t>utilización de</w:t>
      </w:r>
      <w:r w:rsidR="001B67C8" w:rsidRPr="002D5924">
        <w:t xml:space="preserve"> </w:t>
      </w:r>
      <w:r w:rsidR="000D0204" w:rsidRPr="002D5924">
        <w:t>l</w:t>
      </w:r>
      <w:r w:rsidR="001B67C8" w:rsidRPr="002D5924">
        <w:t>a</w:t>
      </w:r>
      <w:r w:rsidR="000D0204" w:rsidRPr="002D5924">
        <w:t xml:space="preserve"> </w:t>
      </w:r>
      <w:r w:rsidR="003405CA" w:rsidRPr="002D5924">
        <w:t>ACG</w:t>
      </w:r>
      <w:r w:rsidR="000D0204" w:rsidRPr="002D5924">
        <w:t xml:space="preserve"> por la UIT, para que el Consejo las examine y apruebe.</w:t>
      </w:r>
    </w:p>
    <w:p w:rsidR="000C1694" w:rsidRPr="002D5924" w:rsidRDefault="000C1694" w:rsidP="00357D50">
      <w:r w:rsidRPr="002D5924">
        <w:t>3.2</w:t>
      </w:r>
      <w:r w:rsidRPr="002D5924">
        <w:tab/>
      </w:r>
      <w:r w:rsidR="000D0204" w:rsidRPr="002D5924">
        <w:t xml:space="preserve">El Consejo </w:t>
      </w:r>
      <w:r w:rsidR="000D0204" w:rsidRPr="002D5924">
        <w:rPr>
          <w:b/>
          <w:bCs/>
        </w:rPr>
        <w:t>tom</w:t>
      </w:r>
      <w:r w:rsidR="001B67C8" w:rsidRPr="002D5924">
        <w:rPr>
          <w:b/>
          <w:bCs/>
        </w:rPr>
        <w:t>a</w:t>
      </w:r>
      <w:r w:rsidR="000D0204" w:rsidRPr="002D5924">
        <w:rPr>
          <w:b/>
          <w:bCs/>
        </w:rPr>
        <w:t xml:space="preserve"> nota</w:t>
      </w:r>
      <w:r w:rsidR="000D0204" w:rsidRPr="002D5924">
        <w:t xml:space="preserve"> del </w:t>
      </w:r>
      <w:r w:rsidR="003405CA" w:rsidRPr="002D5924">
        <w:t xml:space="preserve">Documento </w:t>
      </w:r>
      <w:r w:rsidR="000D0204" w:rsidRPr="002D5924">
        <w:t xml:space="preserve">C19/58 y </w:t>
      </w:r>
      <w:r w:rsidR="001B67C8" w:rsidRPr="002D5924">
        <w:rPr>
          <w:b/>
          <w:bCs/>
        </w:rPr>
        <w:t>aprueba</w:t>
      </w:r>
      <w:r w:rsidR="000D0204" w:rsidRPr="002D5924">
        <w:t xml:space="preserve"> las conclusiones del </w:t>
      </w:r>
      <w:r w:rsidR="003405CA" w:rsidRPr="002D5924">
        <w:t>Documento</w:t>
      </w:r>
      <w:r w:rsidR="00357D50">
        <w:t> </w:t>
      </w:r>
      <w:r w:rsidR="000D0204" w:rsidRPr="002D5924">
        <w:t>C19/DL/8.</w:t>
      </w:r>
    </w:p>
    <w:p w:rsidR="000C1694" w:rsidRPr="002D5924" w:rsidRDefault="000C1694" w:rsidP="00357D50">
      <w:pPr>
        <w:pStyle w:val="Heading1"/>
        <w:rPr>
          <w:b w:val="0"/>
          <w:bCs/>
        </w:rPr>
      </w:pPr>
      <w:r w:rsidRPr="002D5924">
        <w:lastRenderedPageBreak/>
        <w:t>4</w:t>
      </w:r>
      <w:r w:rsidRPr="002D5924">
        <w:tab/>
      </w:r>
      <w:r w:rsidR="00470266" w:rsidRPr="002D5924">
        <w:t xml:space="preserve">Preparativos para el Foro Mundial de Política de las Telecomunicaciones/TIC de 2021 (FMPT-21) (continuación) </w:t>
      </w:r>
      <w:r w:rsidRPr="002D5924">
        <w:t>(Document</w:t>
      </w:r>
      <w:r w:rsidR="00470266" w:rsidRPr="002D5924">
        <w:t>o</w:t>
      </w:r>
      <w:r w:rsidRPr="002D5924">
        <w:rPr>
          <w:bCs/>
        </w:rPr>
        <w:t xml:space="preserve"> </w:t>
      </w:r>
      <w:hyperlink r:id="rId19" w:history="1">
        <w:r w:rsidRPr="002D5924">
          <w:rPr>
            <w:rStyle w:val="Hyperlink"/>
            <w:bCs/>
            <w:szCs w:val="28"/>
          </w:rPr>
          <w:t>C19/DT/15</w:t>
        </w:r>
      </w:hyperlink>
      <w:r w:rsidRPr="002D5924">
        <w:rPr>
          <w:bCs/>
        </w:rPr>
        <w:t>)</w:t>
      </w:r>
    </w:p>
    <w:p w:rsidR="001B67C8" w:rsidRPr="002D5924" w:rsidRDefault="000C1694" w:rsidP="009049E2">
      <w:pPr>
        <w:rPr>
          <w:bCs/>
        </w:rPr>
      </w:pPr>
      <w:r w:rsidRPr="002D5924">
        <w:t>4.1</w:t>
      </w:r>
      <w:r w:rsidRPr="002D5924">
        <w:tab/>
      </w:r>
      <w:r w:rsidR="000D0204" w:rsidRPr="002D5924">
        <w:t xml:space="preserve">El consejero de las Bahamas </w:t>
      </w:r>
      <w:r w:rsidR="001B67C8" w:rsidRPr="002D5924">
        <w:t>declara</w:t>
      </w:r>
      <w:r w:rsidR="000D0204" w:rsidRPr="002D5924">
        <w:t xml:space="preserve"> que el grupo que </w:t>
      </w:r>
      <w:r w:rsidR="001B67C8" w:rsidRPr="002D5924">
        <w:t>presidió</w:t>
      </w:r>
      <w:r w:rsidR="000D0204" w:rsidRPr="002D5924">
        <w:t xml:space="preserve"> tras la segunda </w:t>
      </w:r>
      <w:r w:rsidR="00115261" w:rsidRPr="002D5924">
        <w:t xml:space="preserve">Sesión Plenaria </w:t>
      </w:r>
      <w:r w:rsidR="001B67C8" w:rsidRPr="002D5924">
        <w:t>ha alcanzado</w:t>
      </w:r>
      <w:r w:rsidR="000D0204" w:rsidRPr="002D5924">
        <w:t xml:space="preserve"> un consenso </w:t>
      </w:r>
      <w:r w:rsidR="001B67C8" w:rsidRPr="002D5924">
        <w:t>en torno a</w:t>
      </w:r>
      <w:r w:rsidR="000D0204" w:rsidRPr="002D5924">
        <w:t xml:space="preserve">l proyecto de </w:t>
      </w:r>
      <w:r w:rsidR="001B67C8" w:rsidRPr="002D5924">
        <w:t>Acuerdo</w:t>
      </w:r>
      <w:r w:rsidR="000D0204" w:rsidRPr="002D5924">
        <w:t xml:space="preserve"> </w:t>
      </w:r>
      <w:r w:rsidR="001B67C8" w:rsidRPr="002D5924">
        <w:t>relativo al sexto FMPT</w:t>
      </w:r>
      <w:r w:rsidR="00A26834" w:rsidRPr="002D5924">
        <w:t>,</w:t>
      </w:r>
      <w:r w:rsidR="001B67C8" w:rsidRPr="002D5924">
        <w:t xml:space="preserve"> </w:t>
      </w:r>
      <w:r w:rsidR="000D0204" w:rsidRPr="002D5924">
        <w:t xml:space="preserve">que figura en el </w:t>
      </w:r>
      <w:r w:rsidR="00357D50" w:rsidRPr="002D5924">
        <w:t xml:space="preserve">Documento </w:t>
      </w:r>
      <w:r w:rsidR="000D0204" w:rsidRPr="002D5924">
        <w:t xml:space="preserve">C19/DT/15. </w:t>
      </w:r>
      <w:r w:rsidR="001B67C8" w:rsidRPr="002D5924">
        <w:t>Asimismo, indica</w:t>
      </w:r>
      <w:r w:rsidR="000D0204" w:rsidRPr="002D5924">
        <w:t xml:space="preserve"> que el tema del FMPT-21 ser</w:t>
      </w:r>
      <w:r w:rsidR="001B67C8" w:rsidRPr="002D5924">
        <w:t>á</w:t>
      </w:r>
      <w:r w:rsidR="000D0204" w:rsidRPr="002D5924">
        <w:t xml:space="preserve"> </w:t>
      </w:r>
      <w:r w:rsidR="001B67C8" w:rsidRPr="002D5924">
        <w:t xml:space="preserve">el siguiente: </w:t>
      </w:r>
      <w:bookmarkStart w:id="12" w:name="lt_pId025"/>
      <w:r w:rsidR="001B67C8" w:rsidRPr="002D5924">
        <w:t>"</w:t>
      </w:r>
      <w:r w:rsidR="001B67C8" w:rsidRPr="002D5924">
        <w:rPr>
          <w:bCs/>
          <w:i/>
        </w:rPr>
        <w:t>Políticas para movilizar las telecomunicaciones/TIC nuevas y emergentes al servicio del desarrollo sostenible</w:t>
      </w:r>
      <w:r w:rsidR="001B67C8" w:rsidRPr="002D5924">
        <w:rPr>
          <w:bCs/>
        </w:rPr>
        <w:t>:</w:t>
      </w:r>
      <w:bookmarkEnd w:id="12"/>
    </w:p>
    <w:p w:rsidR="000C1694" w:rsidRPr="002D5924" w:rsidRDefault="00470266" w:rsidP="009049E2">
      <w:r w:rsidRPr="002D5924">
        <w:t>En el marco del FMPT se examinaría la forma en que las tecnologías y tendencias digitales nuevas y emergentes pueden propiciar la transición a la economía digital a escala mundial. Entre los temas objeto de debate cabe destacar la IA, IoT, 5G, macrodatos y los OTT. A tal efecto, el FMPT hará hincapié en las oportunidades, los retos y las políticas que permitan fomentar el desarrollo sostenible".</w:t>
      </w:r>
    </w:p>
    <w:p w:rsidR="000C1694" w:rsidRPr="002D5924" w:rsidRDefault="000C1694" w:rsidP="009049E2">
      <w:r w:rsidRPr="002D5924">
        <w:t>4.2</w:t>
      </w:r>
      <w:r w:rsidRPr="002D5924">
        <w:tab/>
      </w:r>
      <w:r w:rsidR="001B67C8" w:rsidRPr="002D5924">
        <w:t xml:space="preserve">Se </w:t>
      </w:r>
      <w:r w:rsidR="001B67C8" w:rsidRPr="002D5924">
        <w:rPr>
          <w:b/>
          <w:bCs/>
        </w:rPr>
        <w:t>adopta</w:t>
      </w:r>
      <w:r w:rsidR="001B67C8" w:rsidRPr="002D5924">
        <w:t xml:space="preserve"> el proyecto de Acuerdo que figura en el</w:t>
      </w:r>
      <w:r w:rsidRPr="002D5924">
        <w:t xml:space="preserve"> Document</w:t>
      </w:r>
      <w:r w:rsidR="001B67C8" w:rsidRPr="002D5924">
        <w:t>o</w:t>
      </w:r>
      <w:r w:rsidRPr="002D5924">
        <w:t xml:space="preserve"> C19/DT/15.</w:t>
      </w:r>
    </w:p>
    <w:p w:rsidR="000C1694" w:rsidRPr="002D5924" w:rsidRDefault="000C1694" w:rsidP="009049E2">
      <w:pPr>
        <w:rPr>
          <w:strike/>
        </w:rPr>
      </w:pPr>
      <w:r w:rsidRPr="002D5924">
        <w:t>4.3</w:t>
      </w:r>
      <w:r w:rsidRPr="002D5924">
        <w:tab/>
      </w:r>
      <w:r w:rsidR="007C44F4" w:rsidRPr="002D5924">
        <w:t>El Presidente en funciones señala que las fechas exactas del sexto FMPT se especificarán una vez que confirmadas las fechas del Foro de la CMSI de 2021.</w:t>
      </w:r>
    </w:p>
    <w:p w:rsidR="000C1694" w:rsidRPr="002D5924" w:rsidRDefault="000C1694" w:rsidP="00357D50">
      <w:pPr>
        <w:pStyle w:val="Heading1"/>
        <w:rPr>
          <w:b w:val="0"/>
        </w:rPr>
      </w:pPr>
      <w:r w:rsidRPr="002D5924">
        <w:t>5</w:t>
      </w:r>
      <w:r w:rsidRPr="002D5924">
        <w:tab/>
      </w:r>
      <w:r w:rsidR="00470266" w:rsidRPr="002D5924">
        <w:t xml:space="preserve">Seguimiento de la Resolución 146 (Rev. Dubái, 2018): Examen periódico y revisión del Reglamento de las Telecomunicaciones Internacionales (continuación) </w:t>
      </w:r>
      <w:r w:rsidRPr="002D5924">
        <w:t>(Document</w:t>
      </w:r>
      <w:r w:rsidR="00470266" w:rsidRPr="002D5924">
        <w:t>o</w:t>
      </w:r>
      <w:r w:rsidRPr="002D5924">
        <w:t xml:space="preserve"> </w:t>
      </w:r>
      <w:hyperlink r:id="rId20" w:history="1">
        <w:r w:rsidRPr="002D5924">
          <w:rPr>
            <w:rStyle w:val="Hyperlink"/>
            <w:bCs/>
            <w:szCs w:val="28"/>
          </w:rPr>
          <w:t>C19/DT/11</w:t>
        </w:r>
      </w:hyperlink>
      <w:r w:rsidRPr="002D5924">
        <w:t>)</w:t>
      </w:r>
    </w:p>
    <w:p w:rsidR="000C1694" w:rsidRPr="002D5924" w:rsidRDefault="000C1694" w:rsidP="009049E2">
      <w:r w:rsidRPr="002D5924">
        <w:t>5.1</w:t>
      </w:r>
      <w:r w:rsidRPr="002D5924">
        <w:tab/>
      </w:r>
      <w:r w:rsidR="007C44F4" w:rsidRPr="002D5924">
        <w:t xml:space="preserve">El consejero de Ghana, que ha presidido el </w:t>
      </w:r>
      <w:r w:rsidR="003405CA" w:rsidRPr="002D5924">
        <w:t xml:space="preserve">Grupo </w:t>
      </w:r>
      <w:r w:rsidR="007C44F4" w:rsidRPr="002D5924">
        <w:t xml:space="preserve">de </w:t>
      </w:r>
      <w:r w:rsidR="003405CA" w:rsidRPr="002D5924">
        <w:t xml:space="preserve">Trabajo </w:t>
      </w:r>
      <w:r w:rsidR="003F60D0" w:rsidRPr="002D5924">
        <w:t>creado</w:t>
      </w:r>
      <w:r w:rsidR="007C44F4" w:rsidRPr="002D5924">
        <w:t xml:space="preserve"> en la segunda </w:t>
      </w:r>
      <w:r w:rsidR="00115261" w:rsidRPr="002D5924">
        <w:t>Sesión Plenaria</w:t>
      </w:r>
      <w:r w:rsidR="007C44F4" w:rsidRPr="002D5924">
        <w:t>, present</w:t>
      </w:r>
      <w:r w:rsidR="003F60D0" w:rsidRPr="002D5924">
        <w:t>a</w:t>
      </w:r>
      <w:r w:rsidR="007C44F4" w:rsidRPr="002D5924">
        <w:t xml:space="preserve"> el </w:t>
      </w:r>
      <w:r w:rsidR="003405CA" w:rsidRPr="002D5924">
        <w:t xml:space="preserve">Documento </w:t>
      </w:r>
      <w:r w:rsidR="007C44F4" w:rsidRPr="002D5924">
        <w:t xml:space="preserve">C19/DT/11, que </w:t>
      </w:r>
      <w:r w:rsidR="003F60D0" w:rsidRPr="002D5924">
        <w:t>contiene</w:t>
      </w:r>
      <w:r w:rsidR="007C44F4" w:rsidRPr="002D5924">
        <w:t xml:space="preserve"> la propuesta de revisión de la Resolución 1379 del Consejo</w:t>
      </w:r>
      <w:r w:rsidR="00A26834" w:rsidRPr="002D5924">
        <w:t>, relativa a</w:t>
      </w:r>
      <w:r w:rsidR="00F35D52" w:rsidRPr="002D5924">
        <w:t xml:space="preserve">l Grupo de </w:t>
      </w:r>
      <w:r w:rsidR="003405CA" w:rsidRPr="002D5924">
        <w:t xml:space="preserve">Expertos </w:t>
      </w:r>
      <w:r w:rsidR="00F35D52" w:rsidRPr="002D5924">
        <w:t>sobre el Reglamento de las Telecomunicaciones Internacionales</w:t>
      </w:r>
      <w:r w:rsidR="007C44F4" w:rsidRPr="002D5924">
        <w:t xml:space="preserve"> (GE</w:t>
      </w:r>
      <w:r w:rsidR="00F35D52" w:rsidRPr="002D5924">
        <w:t>-</w:t>
      </w:r>
      <w:r w:rsidR="007C44F4" w:rsidRPr="002D5924">
        <w:t>R</w:t>
      </w:r>
      <w:r w:rsidR="00F35D52" w:rsidRPr="002D5924">
        <w:t>TI</w:t>
      </w:r>
      <w:r w:rsidR="007C44F4" w:rsidRPr="002D5924">
        <w:t xml:space="preserve">). </w:t>
      </w:r>
      <w:r w:rsidR="00F35D52" w:rsidRPr="002D5924">
        <w:t>El mandato</w:t>
      </w:r>
      <w:r w:rsidR="007C44F4" w:rsidRPr="002D5924">
        <w:t xml:space="preserve"> propuesto para</w:t>
      </w:r>
      <w:r w:rsidR="00F35D52" w:rsidRPr="002D5924">
        <w:t xml:space="preserve"> el GE-RTI</w:t>
      </w:r>
      <w:r w:rsidR="007C44F4" w:rsidRPr="002D5924">
        <w:t xml:space="preserve"> figura en el Anexo 1. </w:t>
      </w:r>
      <w:r w:rsidR="00F35D52" w:rsidRPr="002D5924">
        <w:t>Si se aprueba la propuesta de revisión de la Resolución 1379, e</w:t>
      </w:r>
      <w:r w:rsidR="007C44F4" w:rsidRPr="002D5924">
        <w:t xml:space="preserve">l </w:t>
      </w:r>
      <w:r w:rsidR="003405CA" w:rsidRPr="002D5924">
        <w:t xml:space="preserve">Documento </w:t>
      </w:r>
      <w:r w:rsidR="007C44F4" w:rsidRPr="002D5924">
        <w:t xml:space="preserve">C19/3 sobre </w:t>
      </w:r>
      <w:r w:rsidR="00F35D52" w:rsidRPr="002D5924">
        <w:t xml:space="preserve">Resoluciones y Acuerdos obsoletos del Consejo </w:t>
      </w:r>
      <w:r w:rsidR="007C44F4" w:rsidRPr="002D5924">
        <w:t>se modificar</w:t>
      </w:r>
      <w:r w:rsidR="00F35D52" w:rsidRPr="002D5924">
        <w:t>á en consecuencia</w:t>
      </w:r>
      <w:r w:rsidR="007C44F4" w:rsidRPr="002D5924">
        <w:t>.</w:t>
      </w:r>
    </w:p>
    <w:p w:rsidR="007C44F4" w:rsidRPr="002D5924" w:rsidRDefault="000C1694" w:rsidP="009049E2">
      <w:r w:rsidRPr="002D5924">
        <w:t>5.2</w:t>
      </w:r>
      <w:r w:rsidRPr="002D5924">
        <w:tab/>
      </w:r>
      <w:r w:rsidR="007C44F4" w:rsidRPr="002D5924">
        <w:t xml:space="preserve">Numerosos consejeros apoyan la propuesta de revisión de la Resolución 1379 del Consejo y elogian los esfuerzos del consejero de Ghana por </w:t>
      </w:r>
      <w:r w:rsidR="00A26834" w:rsidRPr="002D5924">
        <w:t>llegar a</w:t>
      </w:r>
      <w:r w:rsidR="00F35D52" w:rsidRPr="002D5924">
        <w:t xml:space="preserve"> una solución de avenencia</w:t>
      </w:r>
      <w:r w:rsidR="003F1640">
        <w:t>.</w:t>
      </w:r>
      <w:bookmarkStart w:id="13" w:name="_GoBack"/>
      <w:bookmarkEnd w:id="13"/>
    </w:p>
    <w:p w:rsidR="000C1694" w:rsidRPr="002D5924" w:rsidRDefault="000C1694" w:rsidP="009049E2">
      <w:r w:rsidRPr="002D5924">
        <w:t>5.3</w:t>
      </w:r>
      <w:r w:rsidRPr="002D5924">
        <w:tab/>
      </w:r>
      <w:r w:rsidR="007C44F4" w:rsidRPr="002D5924">
        <w:t xml:space="preserve">Un consejero, tras señalar que </w:t>
      </w:r>
      <w:r w:rsidR="00F35D52" w:rsidRPr="002D5924">
        <w:t xml:space="preserve">el GE-RTI </w:t>
      </w:r>
      <w:r w:rsidR="007C44F4" w:rsidRPr="002D5924">
        <w:t>se reunir</w:t>
      </w:r>
      <w:r w:rsidR="00F35D52" w:rsidRPr="002D5924">
        <w:t>á</w:t>
      </w:r>
      <w:r w:rsidR="007C44F4" w:rsidRPr="002D5924">
        <w:t xml:space="preserve"> </w:t>
      </w:r>
      <w:r w:rsidR="00F35D52" w:rsidRPr="002D5924">
        <w:t>con ocasión de la serie de reuniones de los GTC</w:t>
      </w:r>
      <w:r w:rsidR="007C44F4" w:rsidRPr="002D5924">
        <w:t xml:space="preserve">, incluso en septiembre de 2019, </w:t>
      </w:r>
      <w:r w:rsidR="00F35D52" w:rsidRPr="002D5924">
        <w:t xml:space="preserve">considera importante </w:t>
      </w:r>
      <w:r w:rsidR="000C2649" w:rsidRPr="002D5924">
        <w:t>que</w:t>
      </w:r>
      <w:r w:rsidR="00F35D52" w:rsidRPr="002D5924">
        <w:t xml:space="preserve"> </w:t>
      </w:r>
      <w:r w:rsidR="00B003DF" w:rsidRPr="002D5924">
        <w:t xml:space="preserve">se tenga en cuenta </w:t>
      </w:r>
      <w:r w:rsidR="00F35D52" w:rsidRPr="002D5924">
        <w:t xml:space="preserve">el </w:t>
      </w:r>
      <w:r w:rsidR="007C44F4" w:rsidRPr="002D5924">
        <w:t>calendario de reunion</w:t>
      </w:r>
      <w:r w:rsidR="00F35D52" w:rsidRPr="002D5924">
        <w:t>es de otros grupos de experto</w:t>
      </w:r>
      <w:r w:rsidR="000C2649" w:rsidRPr="002D5924">
        <w:t>s</w:t>
      </w:r>
      <w:r w:rsidR="00F35D52" w:rsidRPr="002D5924">
        <w:t>.</w:t>
      </w:r>
    </w:p>
    <w:p w:rsidR="000C1694" w:rsidRPr="002D5924" w:rsidRDefault="000C1694" w:rsidP="009049E2">
      <w:r w:rsidRPr="002D5924">
        <w:t>5.4</w:t>
      </w:r>
      <w:r w:rsidRPr="002D5924">
        <w:tab/>
      </w:r>
      <w:r w:rsidR="007C44F4" w:rsidRPr="002D5924">
        <w:t xml:space="preserve">El Presidente </w:t>
      </w:r>
      <w:r w:rsidR="00F35D52" w:rsidRPr="002D5924">
        <w:t>en funciones</w:t>
      </w:r>
      <w:r w:rsidR="007C44F4" w:rsidRPr="002D5924">
        <w:t xml:space="preserve"> expres</w:t>
      </w:r>
      <w:r w:rsidR="00F35D52" w:rsidRPr="002D5924">
        <w:t>a</w:t>
      </w:r>
      <w:r w:rsidR="007C44F4" w:rsidRPr="002D5924">
        <w:t xml:space="preserve"> su reconocimiento personal al </w:t>
      </w:r>
      <w:r w:rsidR="00B003DF" w:rsidRPr="002D5924">
        <w:t>c</w:t>
      </w:r>
      <w:r w:rsidR="007C44F4" w:rsidRPr="002D5924">
        <w:t xml:space="preserve">onsejero de Ghana y </w:t>
      </w:r>
      <w:r w:rsidR="00F35D52" w:rsidRPr="002D5924">
        <w:t>entiende</w:t>
      </w:r>
      <w:r w:rsidR="007C44F4" w:rsidRPr="002D5924">
        <w:t xml:space="preserve"> que el Consejo p</w:t>
      </w:r>
      <w:r w:rsidR="00F35D52" w:rsidRPr="002D5924">
        <w:t>uede</w:t>
      </w:r>
      <w:r w:rsidR="007C44F4" w:rsidRPr="002D5924">
        <w:t xml:space="preserve"> aprobar la propuesta</w:t>
      </w:r>
      <w:r w:rsidR="00F35D52" w:rsidRPr="002D5924">
        <w:t xml:space="preserve"> de revisión</w:t>
      </w:r>
      <w:r w:rsidR="007C44F4" w:rsidRPr="002D5924">
        <w:t xml:space="preserve"> de la Resolución 1379 que figura en el </w:t>
      </w:r>
      <w:r w:rsidR="003405CA" w:rsidRPr="002D5924">
        <w:t xml:space="preserve">Documento </w:t>
      </w:r>
      <w:r w:rsidR="007C44F4" w:rsidRPr="002D5924">
        <w:t>C19/DT/11.</w:t>
      </w:r>
    </w:p>
    <w:p w:rsidR="000C1694" w:rsidRPr="002D5924" w:rsidRDefault="000C1694" w:rsidP="009049E2">
      <w:r w:rsidRPr="002D5924">
        <w:t>5.5</w:t>
      </w:r>
      <w:r w:rsidRPr="002D5924">
        <w:tab/>
      </w:r>
      <w:r w:rsidR="007C44F4" w:rsidRPr="002D5924">
        <w:t xml:space="preserve">Así se </w:t>
      </w:r>
      <w:r w:rsidR="007C44F4" w:rsidRPr="002D5924">
        <w:rPr>
          <w:b/>
          <w:bCs/>
        </w:rPr>
        <w:t>acuerda</w:t>
      </w:r>
      <w:r w:rsidR="007C44F4" w:rsidRPr="002D5924">
        <w:t>.</w:t>
      </w:r>
    </w:p>
    <w:p w:rsidR="000C1694" w:rsidRPr="002D5924" w:rsidRDefault="000C1694" w:rsidP="00357D50">
      <w:pPr>
        <w:pStyle w:val="Heading1"/>
        <w:rPr>
          <w:b w:val="0"/>
        </w:rPr>
      </w:pPr>
      <w:r w:rsidRPr="002D5924">
        <w:t>6</w:t>
      </w:r>
      <w:r w:rsidRPr="002D5924">
        <w:tab/>
      </w:r>
      <w:r w:rsidR="00470266" w:rsidRPr="002D5924">
        <w:t xml:space="preserve">Informe del Presidente del Grupo de Trabajo del Consejo sobre cuestiones de política pública internacional relacionadas con Internet (GTC-Internet) </w:t>
      </w:r>
      <w:r w:rsidR="000C2649" w:rsidRPr="002D5924">
        <w:t xml:space="preserve">(continuación) </w:t>
      </w:r>
      <w:r w:rsidRPr="002D5924">
        <w:t>(Document</w:t>
      </w:r>
      <w:r w:rsidR="00470266" w:rsidRPr="002D5924">
        <w:t>o</w:t>
      </w:r>
      <w:r w:rsidR="00C607B2" w:rsidRPr="002D5924">
        <w:t> </w:t>
      </w:r>
      <w:hyperlink r:id="rId21" w:history="1">
        <w:r w:rsidRPr="002D5924">
          <w:rPr>
            <w:rStyle w:val="Hyperlink"/>
            <w:bCs/>
            <w:szCs w:val="28"/>
          </w:rPr>
          <w:t>C19/DT/16</w:t>
        </w:r>
      </w:hyperlink>
      <w:r w:rsidRPr="002D5924">
        <w:t>)</w:t>
      </w:r>
    </w:p>
    <w:p w:rsidR="000C1694" w:rsidRPr="002D5924" w:rsidRDefault="000C1694" w:rsidP="009049E2">
      <w:r w:rsidRPr="002D5924">
        <w:t>6.1</w:t>
      </w:r>
      <w:r w:rsidRPr="002D5924">
        <w:tab/>
      </w:r>
      <w:r w:rsidR="00D52014" w:rsidRPr="002D5924">
        <w:t xml:space="preserve">El consejero de Brasil, que </w:t>
      </w:r>
      <w:r w:rsidR="008A4462" w:rsidRPr="002D5924">
        <w:t xml:space="preserve">preside </w:t>
      </w:r>
      <w:r w:rsidR="00D52014" w:rsidRPr="002D5924">
        <w:t xml:space="preserve">actualmente el grupo informal </w:t>
      </w:r>
      <w:r w:rsidR="008A4462" w:rsidRPr="002D5924">
        <w:t>creado</w:t>
      </w:r>
      <w:r w:rsidR="00D52014" w:rsidRPr="002D5924">
        <w:t xml:space="preserve"> en la tercera </w:t>
      </w:r>
      <w:r w:rsidR="00115261" w:rsidRPr="002D5924">
        <w:t xml:space="preserve">Sesión Plenaria </w:t>
      </w:r>
      <w:r w:rsidR="000C2649" w:rsidRPr="002D5924">
        <w:t>con miras a determinar</w:t>
      </w:r>
      <w:r w:rsidR="00D52014" w:rsidRPr="002D5924">
        <w:t xml:space="preserve"> temas </w:t>
      </w:r>
      <w:r w:rsidR="000C2649" w:rsidRPr="002D5924">
        <w:t>para las consultas abiertas</w:t>
      </w:r>
      <w:r w:rsidR="00D52014" w:rsidRPr="002D5924">
        <w:t xml:space="preserve"> </w:t>
      </w:r>
      <w:r w:rsidR="000C2649" w:rsidRPr="002D5924">
        <w:t>d</w:t>
      </w:r>
      <w:r w:rsidR="00D52014" w:rsidRPr="002D5924">
        <w:t xml:space="preserve">el </w:t>
      </w:r>
      <w:r w:rsidR="008A4462" w:rsidRPr="002D5924">
        <w:t>GTC</w:t>
      </w:r>
      <w:r w:rsidR="00D52014" w:rsidRPr="002D5924">
        <w:t xml:space="preserve">-Internet, </w:t>
      </w:r>
      <w:r w:rsidR="008A4462" w:rsidRPr="002D5924">
        <w:t>afirma</w:t>
      </w:r>
      <w:r w:rsidR="00D52014" w:rsidRPr="002D5924">
        <w:t xml:space="preserve"> que</w:t>
      </w:r>
      <w:r w:rsidR="008A4462" w:rsidRPr="002D5924">
        <w:t>,</w:t>
      </w:r>
      <w:r w:rsidR="00D52014" w:rsidRPr="002D5924">
        <w:t xml:space="preserve"> a pesar de </w:t>
      </w:r>
      <w:r w:rsidR="008A4462" w:rsidRPr="002D5924">
        <w:t>haber</w:t>
      </w:r>
      <w:r w:rsidR="00D52014" w:rsidRPr="002D5924">
        <w:t xml:space="preserve"> celebrad</w:t>
      </w:r>
      <w:r w:rsidR="008A4462" w:rsidRPr="002D5924">
        <w:t>o</w:t>
      </w:r>
      <w:r w:rsidR="00D52014" w:rsidRPr="002D5924">
        <w:t xml:space="preserve"> tres reuniones y </w:t>
      </w:r>
      <w:r w:rsidR="008A4462" w:rsidRPr="002D5924">
        <w:t>haber reducido el número</w:t>
      </w:r>
      <w:r w:rsidR="00D52014" w:rsidRPr="002D5924">
        <w:t xml:space="preserve"> de temas </w:t>
      </w:r>
      <w:r w:rsidR="008A4462" w:rsidRPr="002D5924">
        <w:t xml:space="preserve">posibles </w:t>
      </w:r>
      <w:r w:rsidR="00D52014" w:rsidRPr="002D5924">
        <w:t xml:space="preserve">a tres, el </w:t>
      </w:r>
      <w:r w:rsidR="00D52014" w:rsidRPr="002D5924">
        <w:lastRenderedPageBreak/>
        <w:t xml:space="preserve">grupo no ha </w:t>
      </w:r>
      <w:r w:rsidR="008A4462" w:rsidRPr="002D5924">
        <w:t>logrado</w:t>
      </w:r>
      <w:r w:rsidR="00D52014" w:rsidRPr="002D5924">
        <w:t xml:space="preserve"> a</w:t>
      </w:r>
      <w:r w:rsidR="008A4462" w:rsidRPr="002D5924">
        <w:t>lcanzar</w:t>
      </w:r>
      <w:r w:rsidR="00D52014" w:rsidRPr="002D5924">
        <w:t xml:space="preserve"> un consenso</w:t>
      </w:r>
      <w:r w:rsidR="008A4462" w:rsidRPr="002D5924">
        <w:t xml:space="preserve"> al respecto</w:t>
      </w:r>
      <w:r w:rsidR="00D52014" w:rsidRPr="002D5924">
        <w:t>. El orador</w:t>
      </w:r>
      <w:r w:rsidR="008A4462" w:rsidRPr="002D5924">
        <w:t xml:space="preserve"> solicita </w:t>
      </w:r>
      <w:r w:rsidR="00D52014" w:rsidRPr="002D5924">
        <w:t xml:space="preserve">al Consejo </w:t>
      </w:r>
      <w:r w:rsidR="008A4462" w:rsidRPr="002D5924">
        <w:t xml:space="preserve">orientaciones </w:t>
      </w:r>
      <w:r w:rsidR="00D52014" w:rsidRPr="002D5924">
        <w:t>sobre la forma de proceder.</w:t>
      </w:r>
    </w:p>
    <w:p w:rsidR="000C1694" w:rsidRPr="002D5924" w:rsidRDefault="000C1694" w:rsidP="008C09FB">
      <w:r w:rsidRPr="002D5924">
        <w:t>6.2</w:t>
      </w:r>
      <w:r w:rsidRPr="002D5924">
        <w:tab/>
      </w:r>
      <w:r w:rsidR="00D52014" w:rsidRPr="002D5924">
        <w:t xml:space="preserve">Varios consejeros </w:t>
      </w:r>
      <w:r w:rsidR="008A4462" w:rsidRPr="002D5924">
        <w:t>encomian</w:t>
      </w:r>
      <w:r w:rsidR="00D52014" w:rsidRPr="002D5924">
        <w:t xml:space="preserve"> los esfuerzos de los presidentes del grupo </w:t>
      </w:r>
      <w:r w:rsidR="008A4462" w:rsidRPr="002D5924">
        <w:t>informa</w:t>
      </w:r>
      <w:r w:rsidR="000C2649" w:rsidRPr="002D5924">
        <w:t>l</w:t>
      </w:r>
      <w:r w:rsidR="008A4462" w:rsidRPr="002D5924">
        <w:t xml:space="preserve"> por </w:t>
      </w:r>
      <w:r w:rsidR="000C2649" w:rsidRPr="002D5924">
        <w:t>llegar a</w:t>
      </w:r>
      <w:r w:rsidR="008A4462" w:rsidRPr="002D5924">
        <w:t xml:space="preserve"> una solución de avenencia.</w:t>
      </w:r>
      <w:r w:rsidR="00D52014" w:rsidRPr="002D5924">
        <w:t xml:space="preserve"> Algunos consejeros </w:t>
      </w:r>
      <w:r w:rsidR="008A4462" w:rsidRPr="002D5924">
        <w:t xml:space="preserve">señalan que los </w:t>
      </w:r>
      <w:r w:rsidR="00D52014" w:rsidRPr="002D5924">
        <w:t xml:space="preserve">dos temas </w:t>
      </w:r>
      <w:r w:rsidR="008A4462" w:rsidRPr="002D5924">
        <w:t xml:space="preserve">posibles que </w:t>
      </w:r>
      <w:r w:rsidR="00D52014" w:rsidRPr="002D5924">
        <w:t>han obtenido mayor apoyo podría</w:t>
      </w:r>
      <w:r w:rsidR="008A4462" w:rsidRPr="002D5924">
        <w:t>n someterse a debate</w:t>
      </w:r>
      <w:r w:rsidR="00D52014" w:rsidRPr="002D5924">
        <w:t xml:space="preserve"> por separado en</w:t>
      </w:r>
      <w:r w:rsidR="000C2649" w:rsidRPr="002D5924">
        <w:t xml:space="preserve"> una de</w:t>
      </w:r>
      <w:r w:rsidR="00D52014" w:rsidRPr="002D5924">
        <w:t xml:space="preserve"> las dos reuniones </w:t>
      </w:r>
      <w:r w:rsidR="008A4462" w:rsidRPr="002D5924">
        <w:t xml:space="preserve">que </w:t>
      </w:r>
      <w:r w:rsidR="00D52014" w:rsidRPr="002D5924">
        <w:t>el GTC-Internet celebrará</w:t>
      </w:r>
      <w:r w:rsidR="008A4462" w:rsidRPr="002D5924">
        <w:t xml:space="preserve"> antes de la reunión de 2020</w:t>
      </w:r>
      <w:r w:rsidR="00D52014" w:rsidRPr="002D5924">
        <w:t xml:space="preserve"> del Consejo. </w:t>
      </w:r>
      <w:r w:rsidR="008A4462" w:rsidRPr="002D5924">
        <w:t>Otros</w:t>
      </w:r>
      <w:r w:rsidR="00D52014" w:rsidRPr="002D5924">
        <w:t xml:space="preserve"> consideran que </w:t>
      </w:r>
      <w:r w:rsidR="008A4462" w:rsidRPr="002D5924">
        <w:t>la labor del GTC</w:t>
      </w:r>
      <w:r w:rsidR="00D52014" w:rsidRPr="002D5924">
        <w:t xml:space="preserve">-Internet debería limitarse a </w:t>
      </w:r>
      <w:r w:rsidR="008A4462" w:rsidRPr="002D5924">
        <w:t xml:space="preserve">las </w:t>
      </w:r>
      <w:r w:rsidR="00D52014" w:rsidRPr="002D5924">
        <w:t>cuestiones de política pública relacionadas con Internet</w:t>
      </w:r>
      <w:r w:rsidR="000C2649" w:rsidRPr="002D5924">
        <w:t xml:space="preserve"> y no extenderse </w:t>
      </w:r>
      <w:r w:rsidR="00D52014" w:rsidRPr="002D5924">
        <w:t>a</w:t>
      </w:r>
      <w:r w:rsidR="008A4462" w:rsidRPr="002D5924">
        <w:t xml:space="preserve"> temas relativos </w:t>
      </w:r>
      <w:r w:rsidR="00541ED4" w:rsidRPr="002D5924">
        <w:t xml:space="preserve">a </w:t>
      </w:r>
      <w:r w:rsidR="00D52014" w:rsidRPr="002D5924">
        <w:t>tecnologías nuevas y emergentes. Se</w:t>
      </w:r>
      <w:r w:rsidR="0074407A" w:rsidRPr="002D5924">
        <w:t xml:space="preserve"> sugiere la posibilidad de volver</w:t>
      </w:r>
      <w:r w:rsidR="00D52014" w:rsidRPr="002D5924">
        <w:t xml:space="preserve"> a examinar algun</w:t>
      </w:r>
      <w:r w:rsidR="00B003DF" w:rsidRPr="002D5924">
        <w:t>a</w:t>
      </w:r>
      <w:r w:rsidR="00D52014" w:rsidRPr="002D5924">
        <w:t>s de l</w:t>
      </w:r>
      <w:r w:rsidR="00B003DF" w:rsidRPr="002D5924">
        <w:t>a</w:t>
      </w:r>
      <w:r w:rsidR="00D52014" w:rsidRPr="002D5924">
        <w:t xml:space="preserve">s demás </w:t>
      </w:r>
      <w:r w:rsidR="00B003DF" w:rsidRPr="002D5924">
        <w:t xml:space="preserve">propuestas de </w:t>
      </w:r>
      <w:r w:rsidR="00D52014" w:rsidRPr="002D5924">
        <w:t xml:space="preserve">temas importantes. </w:t>
      </w:r>
      <w:r w:rsidR="008C09FB">
        <w:t>Algunos</w:t>
      </w:r>
      <w:r w:rsidR="008C09FB" w:rsidRPr="002D5924">
        <w:t xml:space="preserve"> </w:t>
      </w:r>
      <w:r w:rsidR="00D52014" w:rsidRPr="002D5924">
        <w:t xml:space="preserve">consejeros </w:t>
      </w:r>
      <w:r w:rsidR="000C2649" w:rsidRPr="002D5924">
        <w:t>están en contra de</w:t>
      </w:r>
      <w:r w:rsidR="00D52014" w:rsidRPr="002D5924">
        <w:t xml:space="preserve"> que la decisión </w:t>
      </w:r>
      <w:r w:rsidR="000C2649" w:rsidRPr="002D5924">
        <w:t>se</w:t>
      </w:r>
      <w:r w:rsidR="00D52014" w:rsidRPr="002D5924">
        <w:t xml:space="preserve"> apla</w:t>
      </w:r>
      <w:r w:rsidR="000C2649" w:rsidRPr="002D5924">
        <w:t>c</w:t>
      </w:r>
      <w:r w:rsidR="00D52014" w:rsidRPr="002D5924">
        <w:t>e hasta la reunión</w:t>
      </w:r>
      <w:r w:rsidR="0074407A" w:rsidRPr="002D5924">
        <w:t xml:space="preserve"> que el </w:t>
      </w:r>
      <w:r w:rsidR="00D52014" w:rsidRPr="002D5924">
        <w:t>G</w:t>
      </w:r>
      <w:r w:rsidR="0074407A" w:rsidRPr="002D5924">
        <w:t>TC</w:t>
      </w:r>
      <w:r w:rsidR="00D52014" w:rsidRPr="002D5924">
        <w:t>-Internet</w:t>
      </w:r>
      <w:r w:rsidR="0074407A" w:rsidRPr="002D5924">
        <w:t xml:space="preserve"> celebrará</w:t>
      </w:r>
      <w:r w:rsidR="00D52014" w:rsidRPr="002D5924">
        <w:t xml:space="preserve"> en septiembre,</w:t>
      </w:r>
      <w:r w:rsidR="000C2649" w:rsidRPr="002D5924">
        <w:t xml:space="preserve"> y </w:t>
      </w:r>
      <w:r w:rsidR="008C09FB">
        <w:t>otros</w:t>
      </w:r>
      <w:r w:rsidR="008C09FB" w:rsidRPr="002D5924">
        <w:t xml:space="preserve"> </w:t>
      </w:r>
      <w:r w:rsidR="000C2649" w:rsidRPr="002D5924">
        <w:t>a favor</w:t>
      </w:r>
      <w:r w:rsidR="00357D50">
        <w:t>.</w:t>
      </w:r>
    </w:p>
    <w:p w:rsidR="000C1694" w:rsidRPr="002D5924" w:rsidRDefault="000C1694" w:rsidP="00AE6062">
      <w:r w:rsidRPr="002D5924">
        <w:t>6.3</w:t>
      </w:r>
      <w:r w:rsidRPr="002D5924">
        <w:tab/>
      </w:r>
      <w:r w:rsidR="00D52014" w:rsidRPr="002D5924">
        <w:t>El Director de la TSB observ</w:t>
      </w:r>
      <w:r w:rsidR="0074407A" w:rsidRPr="002D5924">
        <w:t>a</w:t>
      </w:r>
      <w:r w:rsidR="00D52014" w:rsidRPr="002D5924">
        <w:t xml:space="preserve"> que el término Internet se utiliza</w:t>
      </w:r>
      <w:r w:rsidR="0074407A" w:rsidRPr="002D5924">
        <w:t xml:space="preserve"> </w:t>
      </w:r>
      <w:r w:rsidR="00AE6062">
        <w:t>e</w:t>
      </w:r>
      <w:r w:rsidR="0074407A" w:rsidRPr="002D5924">
        <w:t>n sentido muy amplio</w:t>
      </w:r>
      <w:r w:rsidR="00D256DE" w:rsidRPr="002D5924">
        <w:t>,</w:t>
      </w:r>
      <w:r w:rsidR="00D52014" w:rsidRPr="002D5924">
        <w:t xml:space="preserve"> </w:t>
      </w:r>
      <w:r w:rsidR="00D256DE" w:rsidRPr="002D5924">
        <w:t>con frecuencia, para</w:t>
      </w:r>
      <w:r w:rsidR="0074407A" w:rsidRPr="002D5924">
        <w:t xml:space="preserve"> hace</w:t>
      </w:r>
      <w:r w:rsidR="00D256DE" w:rsidRPr="002D5924">
        <w:t>r</w:t>
      </w:r>
      <w:r w:rsidR="0074407A" w:rsidRPr="002D5924">
        <w:t xml:space="preserve"> referencia</w:t>
      </w:r>
      <w:r w:rsidR="00D52014" w:rsidRPr="002D5924">
        <w:t xml:space="preserve"> a algo más que a redes basadas en IP y abarca</w:t>
      </w:r>
      <w:r w:rsidR="00D256DE" w:rsidRPr="002D5924">
        <w:t>r</w:t>
      </w:r>
      <w:r w:rsidR="00D52014" w:rsidRPr="002D5924">
        <w:t xml:space="preserve"> </w:t>
      </w:r>
      <w:r w:rsidR="0074407A" w:rsidRPr="002D5924">
        <w:t xml:space="preserve">temas relacionados con la </w:t>
      </w:r>
      <w:r w:rsidR="00D52014" w:rsidRPr="002D5924">
        <w:t>infraestructura</w:t>
      </w:r>
      <w:r w:rsidR="0074407A" w:rsidRPr="002D5924">
        <w:t>,</w:t>
      </w:r>
      <w:r w:rsidR="00D52014" w:rsidRPr="002D5924">
        <w:t xml:space="preserve"> como la red mundial, los marcos ópticos y la conectividad. </w:t>
      </w:r>
      <w:r w:rsidR="0074407A" w:rsidRPr="002D5924">
        <w:t xml:space="preserve">Habida cuenta de que los consejeros no comparten una noción común </w:t>
      </w:r>
      <w:r w:rsidR="00D52014" w:rsidRPr="002D5924">
        <w:t>del término</w:t>
      </w:r>
      <w:r w:rsidR="0074407A" w:rsidRPr="002D5924">
        <w:t>,</w:t>
      </w:r>
      <w:r w:rsidR="00D52014" w:rsidRPr="002D5924">
        <w:t xml:space="preserve"> es importante </w:t>
      </w:r>
      <w:r w:rsidR="0074407A" w:rsidRPr="002D5924">
        <w:t>definirlo con precisión</w:t>
      </w:r>
      <w:r w:rsidR="00D52014" w:rsidRPr="002D5924">
        <w:t xml:space="preserve">. </w:t>
      </w:r>
      <w:r w:rsidR="00D256DE" w:rsidRPr="002D5924">
        <w:t>Cabría elegir l</w:t>
      </w:r>
      <w:r w:rsidR="00E27B50" w:rsidRPr="002D5924">
        <w:t xml:space="preserve">os </w:t>
      </w:r>
      <w:r w:rsidR="00D52014" w:rsidRPr="002D5924">
        <w:t>temas</w:t>
      </w:r>
      <w:r w:rsidR="00D256DE" w:rsidRPr="002D5924">
        <w:t xml:space="preserve"> que susciten mayor interés, de forma </w:t>
      </w:r>
      <w:r w:rsidR="00E27B50" w:rsidRPr="002D5924">
        <w:t xml:space="preserve">que el </w:t>
      </w:r>
      <w:r w:rsidR="00D52014" w:rsidRPr="002D5924">
        <w:t>G</w:t>
      </w:r>
      <w:r w:rsidR="00E27B50" w:rsidRPr="002D5924">
        <w:t>TC</w:t>
      </w:r>
      <w:r w:rsidR="00AE6062">
        <w:noBreakHyphen/>
      </w:r>
      <w:r w:rsidR="00D52014" w:rsidRPr="002D5924">
        <w:t>Internet</w:t>
      </w:r>
      <w:r w:rsidR="00E27B50" w:rsidRPr="002D5924">
        <w:t xml:space="preserve"> </w:t>
      </w:r>
      <w:r w:rsidR="00D256DE" w:rsidRPr="002D5924">
        <w:t xml:space="preserve">pueda </w:t>
      </w:r>
      <w:r w:rsidR="00E27B50" w:rsidRPr="002D5924">
        <w:t>proporcion</w:t>
      </w:r>
      <w:r w:rsidR="00D256DE" w:rsidRPr="002D5924">
        <w:t>ar</w:t>
      </w:r>
      <w:r w:rsidR="00E27B50" w:rsidRPr="002D5924">
        <w:t xml:space="preserve"> orientaciones</w:t>
      </w:r>
      <w:r w:rsidR="00D52014" w:rsidRPr="002D5924">
        <w:t xml:space="preserve"> </w:t>
      </w:r>
      <w:r w:rsidR="00E27B50" w:rsidRPr="002D5924">
        <w:t>a quienes más lo necesitan.</w:t>
      </w:r>
    </w:p>
    <w:p w:rsidR="000C1694" w:rsidRPr="002D5924" w:rsidRDefault="000C1694" w:rsidP="009049E2">
      <w:r w:rsidRPr="002D5924">
        <w:t>6.4</w:t>
      </w:r>
      <w:r w:rsidRPr="002D5924">
        <w:tab/>
      </w:r>
      <w:r w:rsidR="00D52014" w:rsidRPr="002D5924">
        <w:t xml:space="preserve">El Presidente </w:t>
      </w:r>
      <w:r w:rsidR="00E27B50" w:rsidRPr="002D5924">
        <w:t>en funciones solicita</w:t>
      </w:r>
      <w:r w:rsidR="00D52014" w:rsidRPr="002D5924">
        <w:t xml:space="preserve"> al presidente del grupo </w:t>
      </w:r>
      <w:r w:rsidR="00E27B50" w:rsidRPr="002D5924">
        <w:t>informal</w:t>
      </w:r>
      <w:r w:rsidR="00D52014" w:rsidRPr="002D5924">
        <w:t xml:space="preserve"> que celebr</w:t>
      </w:r>
      <w:r w:rsidR="00E27B50" w:rsidRPr="002D5924">
        <w:t>e</w:t>
      </w:r>
      <w:r w:rsidR="00D52014" w:rsidRPr="002D5924">
        <w:t xml:space="preserve"> nuevas consultas </w:t>
      </w:r>
      <w:r w:rsidR="00E27B50" w:rsidRPr="002D5924">
        <w:t>en la materia.</w:t>
      </w:r>
    </w:p>
    <w:p w:rsidR="000C1694" w:rsidRPr="002D5924" w:rsidRDefault="000C1694" w:rsidP="009049E2">
      <w:r w:rsidRPr="002D5924">
        <w:t>6.5</w:t>
      </w:r>
      <w:r w:rsidRPr="002D5924">
        <w:tab/>
      </w:r>
      <w:r w:rsidR="00D52014" w:rsidRPr="002D5924">
        <w:t>El consejero de la Federación de Rusia</w:t>
      </w:r>
      <w:r w:rsidR="00E27B50" w:rsidRPr="002D5924">
        <w:t xml:space="preserve"> facilita información </w:t>
      </w:r>
      <w:r w:rsidR="00D52014" w:rsidRPr="002D5924">
        <w:t>sobre las consultas</w:t>
      </w:r>
      <w:r w:rsidR="00E27B50" w:rsidRPr="002D5924">
        <w:t xml:space="preserve"> oficiosas</w:t>
      </w:r>
      <w:r w:rsidR="00D52014" w:rsidRPr="002D5924">
        <w:t xml:space="preserve"> celebradas tras los debates de la tercera </w:t>
      </w:r>
      <w:r w:rsidR="00115261" w:rsidRPr="002D5924">
        <w:t xml:space="preserve">Sesión Plenaria </w:t>
      </w:r>
      <w:r w:rsidR="00D52014" w:rsidRPr="002D5924">
        <w:t xml:space="preserve">sobre la racionalización de las Resoluciones 1336 y 1344 del Consejo, </w:t>
      </w:r>
      <w:r w:rsidR="00E27B50" w:rsidRPr="002D5924">
        <w:t xml:space="preserve">y </w:t>
      </w:r>
      <w:r w:rsidR="000C2649" w:rsidRPr="002D5924">
        <w:t>señala</w:t>
      </w:r>
      <w:r w:rsidR="00D52014" w:rsidRPr="002D5924">
        <w:t xml:space="preserve"> </w:t>
      </w:r>
      <w:r w:rsidR="00E27B50" w:rsidRPr="002D5924">
        <w:t xml:space="preserve">que el </w:t>
      </w:r>
      <w:r w:rsidR="00AE6062" w:rsidRPr="002D5924">
        <w:t xml:space="preserve">Documento </w:t>
      </w:r>
      <w:r w:rsidR="00E27B50" w:rsidRPr="002D5924">
        <w:t>C19/DT/16 contiene</w:t>
      </w:r>
      <w:r w:rsidR="00D52014" w:rsidRPr="002D5924">
        <w:t xml:space="preserve"> una propuesta de revisión de la Resolución 1336, que</w:t>
      </w:r>
      <w:r w:rsidR="00E27B50" w:rsidRPr="002D5924">
        <w:t xml:space="preserve"> </w:t>
      </w:r>
      <w:r w:rsidR="00D52014" w:rsidRPr="002D5924">
        <w:t>ha</w:t>
      </w:r>
      <w:r w:rsidR="000C2649" w:rsidRPr="002D5924">
        <w:t xml:space="preserve"> sido</w:t>
      </w:r>
      <w:r w:rsidR="00D52014" w:rsidRPr="002D5924">
        <w:t xml:space="preserve"> modificad</w:t>
      </w:r>
      <w:r w:rsidR="000C2649" w:rsidRPr="002D5924">
        <w:t>a</w:t>
      </w:r>
      <w:r w:rsidR="00E27B50" w:rsidRPr="002D5924">
        <w:t xml:space="preserve"> con objeto de integrar</w:t>
      </w:r>
      <w:r w:rsidR="00D52014" w:rsidRPr="002D5924">
        <w:t xml:space="preserve"> la Resolución 1344. </w:t>
      </w:r>
      <w:r w:rsidR="00E27B50" w:rsidRPr="002D5924">
        <w:t xml:space="preserve">Habida cuenta de que no se </w:t>
      </w:r>
      <w:r w:rsidR="00D52014" w:rsidRPr="002D5924">
        <w:t>ha añadido texto nuevo, se propo</w:t>
      </w:r>
      <w:r w:rsidR="00E27B50" w:rsidRPr="002D5924">
        <w:t>ne</w:t>
      </w:r>
      <w:r w:rsidR="00D52014" w:rsidRPr="002D5924">
        <w:t xml:space="preserve">, como solución de </w:t>
      </w:r>
      <w:r w:rsidR="00E27B50" w:rsidRPr="002D5924">
        <w:t>avenencia</w:t>
      </w:r>
      <w:r w:rsidR="00D52014" w:rsidRPr="002D5924">
        <w:t>, incluir un extracto relativo a</w:t>
      </w:r>
      <w:r w:rsidR="00E27B50" w:rsidRPr="002D5924">
        <w:t>l</w:t>
      </w:r>
      <w:r w:rsidR="00D52014" w:rsidRPr="002D5924">
        <w:t xml:space="preserve"> G</w:t>
      </w:r>
      <w:r w:rsidR="00E27B50" w:rsidRPr="002D5924">
        <w:t>TC</w:t>
      </w:r>
      <w:r w:rsidR="00D52014" w:rsidRPr="002D5924">
        <w:t>-Internet de</w:t>
      </w:r>
      <w:r w:rsidR="00E27B50" w:rsidRPr="002D5924">
        <w:t>l resumen de los debates</w:t>
      </w:r>
      <w:r w:rsidR="00D52014" w:rsidRPr="002D5924">
        <w:t xml:space="preserve"> de la novena </w:t>
      </w:r>
      <w:r w:rsidR="00115261" w:rsidRPr="002D5924">
        <w:t xml:space="preserve">Sesión Plenaria </w:t>
      </w:r>
      <w:r w:rsidR="00D52014" w:rsidRPr="002D5924">
        <w:t>de</w:t>
      </w:r>
      <w:r w:rsidR="00E27B50" w:rsidRPr="002D5924">
        <w:t xml:space="preserve"> </w:t>
      </w:r>
      <w:r w:rsidR="00D52014" w:rsidRPr="002D5924">
        <w:t>l</w:t>
      </w:r>
      <w:r w:rsidR="00E27B50" w:rsidRPr="002D5924">
        <w:t>a reunión de 2016 del</w:t>
      </w:r>
      <w:r w:rsidR="00D52014" w:rsidRPr="002D5924">
        <w:t xml:space="preserve"> Consej</w:t>
      </w:r>
      <w:r w:rsidR="00E27B50" w:rsidRPr="002D5924">
        <w:t>o</w:t>
      </w:r>
      <w:r w:rsidR="00D52014" w:rsidRPr="002D5924">
        <w:t xml:space="preserve"> (</w:t>
      </w:r>
      <w:r w:rsidR="00E27B50" w:rsidRPr="002D5924">
        <w:t xml:space="preserve">véase el </w:t>
      </w:r>
      <w:r w:rsidR="00D52014" w:rsidRPr="002D5924">
        <w:t>Documento C16/120) en el sitio web de</w:t>
      </w:r>
      <w:r w:rsidR="00E27B50" w:rsidRPr="002D5924">
        <w:t>l</w:t>
      </w:r>
      <w:r w:rsidR="00D52014" w:rsidRPr="002D5924">
        <w:t xml:space="preserve"> G</w:t>
      </w:r>
      <w:r w:rsidR="00E27B50" w:rsidRPr="002D5924">
        <w:t>TC</w:t>
      </w:r>
      <w:r w:rsidR="00D52014" w:rsidRPr="002D5924">
        <w:t>-Internet.</w:t>
      </w:r>
    </w:p>
    <w:p w:rsidR="000C1694" w:rsidRPr="002D5924" w:rsidRDefault="000C1694" w:rsidP="009049E2">
      <w:r w:rsidRPr="002D5924">
        <w:t>6.6</w:t>
      </w:r>
      <w:r w:rsidRPr="002D5924">
        <w:tab/>
      </w:r>
      <w:r w:rsidR="00D52014" w:rsidRPr="002D5924">
        <w:t xml:space="preserve">El consejero de la República Islámica del Irán </w:t>
      </w:r>
      <w:r w:rsidR="00E27B50" w:rsidRPr="002D5924">
        <w:t>encomia</w:t>
      </w:r>
      <w:r w:rsidR="00D52014" w:rsidRPr="002D5924">
        <w:t xml:space="preserve"> los esfuerzos y el espíritu de </w:t>
      </w:r>
      <w:r w:rsidR="00E27B50" w:rsidRPr="002D5924">
        <w:t xml:space="preserve">avenencia </w:t>
      </w:r>
      <w:r w:rsidR="00D52014" w:rsidRPr="002D5924">
        <w:t>de la Federación de Rusia.</w:t>
      </w:r>
    </w:p>
    <w:p w:rsidR="000C1694" w:rsidRPr="002D5924" w:rsidRDefault="000C1694" w:rsidP="009049E2">
      <w:r w:rsidRPr="002D5924">
        <w:t>6.7</w:t>
      </w:r>
      <w:r w:rsidRPr="002D5924">
        <w:tab/>
      </w:r>
      <w:r w:rsidR="00D52014" w:rsidRPr="002D5924">
        <w:t xml:space="preserve">El Consejo </w:t>
      </w:r>
      <w:r w:rsidR="00D52014" w:rsidRPr="002D5924">
        <w:rPr>
          <w:b/>
          <w:bCs/>
        </w:rPr>
        <w:t>adopt</w:t>
      </w:r>
      <w:r w:rsidR="00E27B50" w:rsidRPr="002D5924">
        <w:rPr>
          <w:b/>
          <w:bCs/>
        </w:rPr>
        <w:t>a</w:t>
      </w:r>
      <w:r w:rsidR="00D52014" w:rsidRPr="002D5924">
        <w:t xml:space="preserve"> la </w:t>
      </w:r>
      <w:r w:rsidR="00E27B50" w:rsidRPr="002D5924">
        <w:t xml:space="preserve">versión revisada de la </w:t>
      </w:r>
      <w:r w:rsidR="00D52014" w:rsidRPr="002D5924">
        <w:t xml:space="preserve">Resolución 1336 (Documento C19/DT/16) y </w:t>
      </w:r>
      <w:r w:rsidR="00D52014" w:rsidRPr="002D5924">
        <w:rPr>
          <w:b/>
          <w:bCs/>
        </w:rPr>
        <w:t>derog</w:t>
      </w:r>
      <w:r w:rsidR="00E27B50" w:rsidRPr="002D5924">
        <w:rPr>
          <w:b/>
          <w:bCs/>
        </w:rPr>
        <w:t>a</w:t>
      </w:r>
      <w:r w:rsidR="00D52014" w:rsidRPr="002D5924">
        <w:t xml:space="preserve"> la Resolución 1344.</w:t>
      </w:r>
    </w:p>
    <w:p w:rsidR="000C1694" w:rsidRPr="002D5924" w:rsidRDefault="000C1694" w:rsidP="009049E2">
      <w:r w:rsidRPr="002D5924">
        <w:t>6.8</w:t>
      </w:r>
      <w:r w:rsidRPr="002D5924">
        <w:tab/>
      </w:r>
      <w:r w:rsidR="00D52014" w:rsidRPr="002D5924">
        <w:t xml:space="preserve">El Presidente </w:t>
      </w:r>
      <w:r w:rsidR="00E27B50" w:rsidRPr="002D5924">
        <w:t>en funciones</w:t>
      </w:r>
      <w:r w:rsidR="00D52014" w:rsidRPr="002D5924">
        <w:t xml:space="preserve"> invit</w:t>
      </w:r>
      <w:r w:rsidR="00E27B50" w:rsidRPr="002D5924">
        <w:t>a</w:t>
      </w:r>
      <w:r w:rsidR="00D52014" w:rsidRPr="002D5924">
        <w:t xml:space="preserve"> al Consejo a encar</w:t>
      </w:r>
      <w:r w:rsidR="00E27B50" w:rsidRPr="002D5924">
        <w:t xml:space="preserve">gar a la Secretaría que </w:t>
      </w:r>
      <w:r w:rsidR="00CB157F" w:rsidRPr="002D5924">
        <w:t>incluya</w:t>
      </w:r>
      <w:r w:rsidR="00E27B50" w:rsidRPr="002D5924">
        <w:t xml:space="preserve"> </w:t>
      </w:r>
      <w:r w:rsidR="00D52014" w:rsidRPr="002D5924">
        <w:t>en el sitio web de</w:t>
      </w:r>
      <w:r w:rsidR="00CB157F" w:rsidRPr="002D5924">
        <w:t>l</w:t>
      </w:r>
      <w:r w:rsidR="00D52014" w:rsidRPr="002D5924">
        <w:t xml:space="preserve"> G</w:t>
      </w:r>
      <w:r w:rsidR="00CB157F" w:rsidRPr="002D5924">
        <w:t>TC</w:t>
      </w:r>
      <w:r w:rsidR="00D52014" w:rsidRPr="002D5924">
        <w:t>-Internet el</w:t>
      </w:r>
      <w:r w:rsidR="00CB157F" w:rsidRPr="002D5924">
        <w:t xml:space="preserve"> correspondiente extracto sobre dicho Grupo </w:t>
      </w:r>
      <w:r w:rsidR="00D52014" w:rsidRPr="002D5924">
        <w:t>del Documento C16/120.</w:t>
      </w:r>
    </w:p>
    <w:p w:rsidR="000C1694" w:rsidRPr="002D5924" w:rsidRDefault="000C1694" w:rsidP="009049E2">
      <w:r w:rsidRPr="002D5924">
        <w:t>6.9</w:t>
      </w:r>
      <w:r w:rsidRPr="002D5924">
        <w:tab/>
      </w:r>
      <w:bookmarkStart w:id="14" w:name="lt_pId119"/>
      <w:r w:rsidR="007D7FBB" w:rsidRPr="002D5924">
        <w:t xml:space="preserve">Así se </w:t>
      </w:r>
      <w:r w:rsidR="007D7FBB" w:rsidRPr="002D5924">
        <w:rPr>
          <w:b/>
        </w:rPr>
        <w:t>acuerda</w:t>
      </w:r>
      <w:r w:rsidR="007D7FBB" w:rsidRPr="002D5924">
        <w:t>.</w:t>
      </w:r>
      <w:bookmarkEnd w:id="14"/>
    </w:p>
    <w:p w:rsidR="007F25E4" w:rsidRPr="002D5924" w:rsidRDefault="007F25E4" w:rsidP="00357D50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6521"/>
        </w:tabs>
        <w:snapToGrid w:val="0"/>
        <w:spacing w:before="600"/>
        <w:rPr>
          <w:szCs w:val="24"/>
        </w:rPr>
      </w:pPr>
      <w:r w:rsidRPr="002D5924">
        <w:t>El Secretario General:</w:t>
      </w:r>
      <w:r w:rsidRPr="002D5924">
        <w:tab/>
        <w:t>El Presidente en funciones:</w:t>
      </w:r>
    </w:p>
    <w:p w:rsidR="007F25E4" w:rsidRPr="002D5924" w:rsidRDefault="007F25E4" w:rsidP="00357D50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6521"/>
        </w:tabs>
        <w:snapToGrid w:val="0"/>
        <w:spacing w:before="0" w:after="120"/>
        <w:rPr>
          <w:szCs w:val="24"/>
        </w:rPr>
      </w:pPr>
      <w:r w:rsidRPr="002D5924">
        <w:t>H. ZHAO</w:t>
      </w:r>
      <w:r w:rsidRPr="002D5924">
        <w:tab/>
        <w:t>F. BIGI</w:t>
      </w:r>
    </w:p>
    <w:sectPr w:rsidR="007F25E4" w:rsidRPr="002D5924" w:rsidSect="006710F6">
      <w:headerReference w:type="default" r:id="rId22"/>
      <w:footerReference w:type="default" r:id="rId23"/>
      <w:footerReference w:type="first" r:id="rId24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BD8" w:rsidRDefault="00023BD8">
      <w:r>
        <w:separator/>
      </w:r>
    </w:p>
  </w:endnote>
  <w:endnote w:type="continuationSeparator" w:id="0">
    <w:p w:rsidR="00023BD8" w:rsidRDefault="0002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CB7" w:rsidRPr="00357D50" w:rsidRDefault="00357D50" w:rsidP="00357D50">
    <w:pPr>
      <w:pStyle w:val="Footer"/>
      <w:rPr>
        <w:lang w:val="fr-CH"/>
      </w:rPr>
    </w:pPr>
    <w:r w:rsidRPr="00357D50">
      <w:rPr>
        <w:lang w:val="en-US"/>
      </w:rPr>
      <w:fldChar w:fldCharType="begin"/>
    </w:r>
    <w:r w:rsidRPr="00357D50">
      <w:rPr>
        <w:lang w:val="fr-CH"/>
      </w:rPr>
      <w:instrText xml:space="preserve"> FILENAME \p  \* MERGEFORMAT </w:instrText>
    </w:r>
    <w:r w:rsidRPr="00357D50">
      <w:rPr>
        <w:lang w:val="en-US"/>
      </w:rPr>
      <w:fldChar w:fldCharType="separate"/>
    </w:r>
    <w:r w:rsidRPr="00357D50">
      <w:rPr>
        <w:lang w:val="fr-CH"/>
      </w:rPr>
      <w:t>P:\ESP\SG\CONSEIL\C19\100\117V2S.docx</w:t>
    </w:r>
    <w:r w:rsidRPr="00357D50">
      <w:rPr>
        <w:lang w:val="en-US"/>
      </w:rPr>
      <w:fldChar w:fldCharType="end"/>
    </w:r>
    <w:r w:rsidRPr="00357D50">
      <w:rPr>
        <w:lang w:val="fr-CH"/>
      </w:rPr>
      <w:t xml:space="preserve"> (</w:t>
    </w:r>
    <w:r>
      <w:rPr>
        <w:lang w:val="fr-CH"/>
      </w:rPr>
      <w:t>457510</w:t>
    </w:r>
    <w:r w:rsidRPr="00357D50">
      <w:rPr>
        <w:lang w:val="fr-CH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F1C" w:rsidRDefault="00760F1C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BD8" w:rsidRDefault="00023BD8">
      <w:r>
        <w:t>____________________</w:t>
      </w:r>
    </w:p>
  </w:footnote>
  <w:footnote w:type="continuationSeparator" w:id="0">
    <w:p w:rsidR="00023BD8" w:rsidRDefault="00023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F1C" w:rsidRDefault="000B7C15" w:rsidP="007657F0">
    <w:pPr>
      <w:pStyle w:val="Header"/>
    </w:pPr>
    <w:r>
      <w:fldChar w:fldCharType="begin"/>
    </w:r>
    <w:r>
      <w:instrText>PAGE</w:instrText>
    </w:r>
    <w:r>
      <w:fldChar w:fldCharType="separate"/>
    </w:r>
    <w:r w:rsidR="003F1640">
      <w:rPr>
        <w:noProof/>
      </w:rPr>
      <w:t>4</w:t>
    </w:r>
    <w:r>
      <w:rPr>
        <w:noProof/>
      </w:rPr>
      <w:fldChar w:fldCharType="end"/>
    </w:r>
  </w:p>
  <w:p w:rsidR="00760F1C" w:rsidRDefault="00760F1C" w:rsidP="00C30251">
    <w:pPr>
      <w:pStyle w:val="Header"/>
    </w:pPr>
    <w:r>
      <w:t>C</w:t>
    </w:r>
    <w:r w:rsidR="007F350B">
      <w:t>1</w:t>
    </w:r>
    <w:r w:rsidR="00C2727F">
      <w:t>9</w:t>
    </w:r>
    <w:r>
      <w:t>/</w:t>
    </w:r>
    <w:r w:rsidR="00C30251">
      <w:t>117</w:t>
    </w:r>
    <w:r>
      <w:t>-S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BD8"/>
    <w:rsid w:val="00023BD8"/>
    <w:rsid w:val="000278B6"/>
    <w:rsid w:val="000339F2"/>
    <w:rsid w:val="00056E0A"/>
    <w:rsid w:val="00093EEB"/>
    <w:rsid w:val="000B0D00"/>
    <w:rsid w:val="000B7C15"/>
    <w:rsid w:val="000C1694"/>
    <w:rsid w:val="000C2649"/>
    <w:rsid w:val="000D0204"/>
    <w:rsid w:val="000D1D0F"/>
    <w:rsid w:val="000F5290"/>
    <w:rsid w:val="0010165C"/>
    <w:rsid w:val="00115261"/>
    <w:rsid w:val="00146BFB"/>
    <w:rsid w:val="001B67C8"/>
    <w:rsid w:val="001F14A2"/>
    <w:rsid w:val="002453F3"/>
    <w:rsid w:val="00276E7C"/>
    <w:rsid w:val="002801AA"/>
    <w:rsid w:val="002C4676"/>
    <w:rsid w:val="002C70B0"/>
    <w:rsid w:val="002D5924"/>
    <w:rsid w:val="002F3CC4"/>
    <w:rsid w:val="003405CA"/>
    <w:rsid w:val="00357D50"/>
    <w:rsid w:val="003B5418"/>
    <w:rsid w:val="003F1601"/>
    <w:rsid w:val="003F1640"/>
    <w:rsid w:val="003F60D0"/>
    <w:rsid w:val="004130F6"/>
    <w:rsid w:val="00437B9D"/>
    <w:rsid w:val="00470266"/>
    <w:rsid w:val="00513630"/>
    <w:rsid w:val="00541ED4"/>
    <w:rsid w:val="00560125"/>
    <w:rsid w:val="00585553"/>
    <w:rsid w:val="005B34D9"/>
    <w:rsid w:val="005D0CCF"/>
    <w:rsid w:val="005F3BCB"/>
    <w:rsid w:val="005F410F"/>
    <w:rsid w:val="0060149A"/>
    <w:rsid w:val="00601924"/>
    <w:rsid w:val="006447EA"/>
    <w:rsid w:val="00644DD3"/>
    <w:rsid w:val="0064731F"/>
    <w:rsid w:val="006710F6"/>
    <w:rsid w:val="006A0D70"/>
    <w:rsid w:val="006B301C"/>
    <w:rsid w:val="006C1B56"/>
    <w:rsid w:val="006D4761"/>
    <w:rsid w:val="00726872"/>
    <w:rsid w:val="0074407A"/>
    <w:rsid w:val="00760F1C"/>
    <w:rsid w:val="007657F0"/>
    <w:rsid w:val="0077252D"/>
    <w:rsid w:val="007C44F4"/>
    <w:rsid w:val="007D7FBB"/>
    <w:rsid w:val="007E5DD3"/>
    <w:rsid w:val="007F0D90"/>
    <w:rsid w:val="007F25E4"/>
    <w:rsid w:val="007F350B"/>
    <w:rsid w:val="00810938"/>
    <w:rsid w:val="00820BE4"/>
    <w:rsid w:val="008451E8"/>
    <w:rsid w:val="00871EC0"/>
    <w:rsid w:val="0087500E"/>
    <w:rsid w:val="00885022"/>
    <w:rsid w:val="008A4462"/>
    <w:rsid w:val="008C09FB"/>
    <w:rsid w:val="009049E2"/>
    <w:rsid w:val="00913B9C"/>
    <w:rsid w:val="00913FAB"/>
    <w:rsid w:val="00956E77"/>
    <w:rsid w:val="009F4811"/>
    <w:rsid w:val="00A26834"/>
    <w:rsid w:val="00A27CF0"/>
    <w:rsid w:val="00AA390C"/>
    <w:rsid w:val="00AE6062"/>
    <w:rsid w:val="00B003DF"/>
    <w:rsid w:val="00B0200A"/>
    <w:rsid w:val="00B30B23"/>
    <w:rsid w:val="00B574DB"/>
    <w:rsid w:val="00B81713"/>
    <w:rsid w:val="00B826C2"/>
    <w:rsid w:val="00B8298E"/>
    <w:rsid w:val="00BD0723"/>
    <w:rsid w:val="00BD2518"/>
    <w:rsid w:val="00BE5B27"/>
    <w:rsid w:val="00BF1D1C"/>
    <w:rsid w:val="00C20C59"/>
    <w:rsid w:val="00C2727F"/>
    <w:rsid w:val="00C30251"/>
    <w:rsid w:val="00C55B1F"/>
    <w:rsid w:val="00C607B2"/>
    <w:rsid w:val="00CB157F"/>
    <w:rsid w:val="00CF062E"/>
    <w:rsid w:val="00CF1A67"/>
    <w:rsid w:val="00CF2AC6"/>
    <w:rsid w:val="00D256DE"/>
    <w:rsid w:val="00D2750E"/>
    <w:rsid w:val="00D52014"/>
    <w:rsid w:val="00D62446"/>
    <w:rsid w:val="00D6717F"/>
    <w:rsid w:val="00DA4EA2"/>
    <w:rsid w:val="00DC3D3E"/>
    <w:rsid w:val="00DE2C90"/>
    <w:rsid w:val="00DE3B24"/>
    <w:rsid w:val="00E06947"/>
    <w:rsid w:val="00E27B50"/>
    <w:rsid w:val="00E3592D"/>
    <w:rsid w:val="00E87CB7"/>
    <w:rsid w:val="00E92DE8"/>
    <w:rsid w:val="00EB1212"/>
    <w:rsid w:val="00ED65AB"/>
    <w:rsid w:val="00F12850"/>
    <w:rsid w:val="00F33BF4"/>
    <w:rsid w:val="00F35D52"/>
    <w:rsid w:val="00F7105E"/>
    <w:rsid w:val="00F75F57"/>
    <w:rsid w:val="00F82FEE"/>
    <w:rsid w:val="00FD57D3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A539C315-7CC2-4850-ACE4-8A657339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D0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styleId="ListParagraph">
    <w:name w:val="List Paragraph"/>
    <w:basedOn w:val="Normal"/>
    <w:uiPriority w:val="34"/>
    <w:qFormat/>
    <w:rsid w:val="000C169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asciiTheme="minorHAnsi" w:eastAsiaTheme="minorHAnsi" w:hAnsiTheme="minorHAnsi" w:cstheme="minorBidi"/>
      <w:szCs w:val="24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A27CF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27CF0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19-CL-C-0055/es" TargetMode="External"/><Relationship Id="rId13" Type="http://schemas.openxmlformats.org/officeDocument/2006/relationships/hyperlink" Target="https://www.itu.int/md/S19-CL-190610-TD-GEN-0011/es" TargetMode="External"/><Relationship Id="rId18" Type="http://schemas.openxmlformats.org/officeDocument/2006/relationships/hyperlink" Target="https://www.itu.int/md/S19-CL-190610-DL-0008/e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itu.int/md/S19-CL-190610-TD-GEN-0016/es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itu.int/md/S19-CL-190610-TD-GEN-0015/es" TargetMode="External"/><Relationship Id="rId17" Type="http://schemas.openxmlformats.org/officeDocument/2006/relationships/hyperlink" Target="https://www.itu.int/md/S19-CL-C-0058/es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tu.int/md/S19-CL-190610-TD-GEN-0010/es" TargetMode="External"/><Relationship Id="rId20" Type="http://schemas.openxmlformats.org/officeDocument/2006/relationships/hyperlink" Target="https://www.itu.int/md/S19-CL-190610-TD-GEN-0011/es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19-CL-190610-DL-0008/es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itu.int/md/S19-CL-C-0055/es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itu.int/md/S19-CL-C-0058/es" TargetMode="External"/><Relationship Id="rId19" Type="http://schemas.openxmlformats.org/officeDocument/2006/relationships/hyperlink" Target="https://www.itu.int/md/S19-CL-190610-TD-GEN-0015/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19-CL-190610-TD-GEN-0010/es" TargetMode="External"/><Relationship Id="rId14" Type="http://schemas.openxmlformats.org/officeDocument/2006/relationships/hyperlink" Target="https://www.itu.int/md/S19-CL-190610-TD-GEN-0016/es" TargetMode="External"/><Relationship Id="rId2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iano\AppData\Roaming\Microsoft\Templates\POOL%20S%20-%20ITU\PS_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63165-9BBD-4A2A-BC37-6CBF8D871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PS_C19.dotx</Template>
  <TotalTime>8</TotalTime>
  <Pages>4</Pages>
  <Words>1483</Words>
  <Characters>8861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Unión Internacional de Telecomunicaciones (UIT)</Company>
  <LinksUpToDate>false</LinksUpToDate>
  <CharactersWithSpaces>10324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Consejo 2018</dc:subject>
  <dc:creator>Spanish1</dc:creator>
  <cp:keywords>C2018, C18</cp:keywords>
  <dc:description/>
  <cp:lastModifiedBy>Spanish83</cp:lastModifiedBy>
  <cp:revision>4</cp:revision>
  <cp:lastPrinted>2019-07-22T12:07:00Z</cp:lastPrinted>
  <dcterms:created xsi:type="dcterms:W3CDTF">2019-07-22T14:57:00Z</dcterms:created>
  <dcterms:modified xsi:type="dcterms:W3CDTF">2019-07-22T15:06:00Z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</Properties>
</file>