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967D3A" w14:paraId="6DD0BCA9" w14:textId="77777777">
        <w:trPr>
          <w:cantSplit/>
        </w:trPr>
        <w:tc>
          <w:tcPr>
            <w:tcW w:w="6912" w:type="dxa"/>
          </w:tcPr>
          <w:p w14:paraId="25D34F9A" w14:textId="77777777" w:rsidR="00093EEB" w:rsidRPr="00967D3A" w:rsidRDefault="00093EEB" w:rsidP="00C2727F">
            <w:pPr>
              <w:spacing w:before="360"/>
              <w:rPr>
                <w:szCs w:val="24"/>
              </w:rPr>
            </w:pPr>
            <w:bookmarkStart w:id="0" w:name="dc06"/>
            <w:bookmarkStart w:id="1" w:name="dbluepink" w:colFirst="0" w:colLast="0"/>
            <w:bookmarkEnd w:id="0"/>
            <w:r w:rsidRPr="00967D3A">
              <w:rPr>
                <w:b/>
                <w:bCs/>
                <w:sz w:val="30"/>
                <w:szCs w:val="30"/>
              </w:rPr>
              <w:t>Consejo 201</w:t>
            </w:r>
            <w:r w:rsidR="00C2727F" w:rsidRPr="00967D3A">
              <w:rPr>
                <w:b/>
                <w:bCs/>
                <w:sz w:val="30"/>
                <w:szCs w:val="30"/>
              </w:rPr>
              <w:t>9</w:t>
            </w:r>
            <w:r w:rsidRPr="00967D3A">
              <w:rPr>
                <w:b/>
                <w:bCs/>
                <w:sz w:val="26"/>
                <w:szCs w:val="26"/>
              </w:rPr>
              <w:br/>
            </w:r>
            <w:r w:rsidRPr="00967D3A">
              <w:rPr>
                <w:b/>
                <w:bCs/>
                <w:szCs w:val="24"/>
              </w:rPr>
              <w:t>Ginebra, 1</w:t>
            </w:r>
            <w:r w:rsidR="00C2727F" w:rsidRPr="00967D3A">
              <w:rPr>
                <w:b/>
                <w:bCs/>
                <w:szCs w:val="24"/>
              </w:rPr>
              <w:t>0</w:t>
            </w:r>
            <w:r w:rsidRPr="00967D3A">
              <w:rPr>
                <w:b/>
                <w:bCs/>
                <w:szCs w:val="24"/>
              </w:rPr>
              <w:t>-2</w:t>
            </w:r>
            <w:r w:rsidR="00C2727F" w:rsidRPr="00967D3A">
              <w:rPr>
                <w:b/>
                <w:bCs/>
                <w:szCs w:val="24"/>
              </w:rPr>
              <w:t>0</w:t>
            </w:r>
            <w:r w:rsidRPr="00967D3A">
              <w:rPr>
                <w:b/>
                <w:bCs/>
                <w:szCs w:val="24"/>
              </w:rPr>
              <w:t xml:space="preserve"> de </w:t>
            </w:r>
            <w:r w:rsidR="00C2727F" w:rsidRPr="00967D3A">
              <w:rPr>
                <w:b/>
                <w:bCs/>
                <w:szCs w:val="24"/>
              </w:rPr>
              <w:t>junio</w:t>
            </w:r>
            <w:r w:rsidRPr="00967D3A">
              <w:rPr>
                <w:b/>
                <w:bCs/>
                <w:szCs w:val="24"/>
              </w:rPr>
              <w:t xml:space="preserve"> de 201</w:t>
            </w:r>
            <w:r w:rsidR="00C2727F" w:rsidRPr="00967D3A">
              <w:rPr>
                <w:b/>
                <w:bCs/>
                <w:szCs w:val="24"/>
              </w:rPr>
              <w:t>9</w:t>
            </w:r>
          </w:p>
        </w:tc>
        <w:tc>
          <w:tcPr>
            <w:tcW w:w="3261" w:type="dxa"/>
          </w:tcPr>
          <w:p w14:paraId="36A1874F" w14:textId="77777777" w:rsidR="00093EEB" w:rsidRPr="00967D3A" w:rsidRDefault="00093EEB" w:rsidP="00093EEB">
            <w:pPr>
              <w:spacing w:before="0"/>
              <w:jc w:val="right"/>
              <w:rPr>
                <w:szCs w:val="24"/>
              </w:rPr>
            </w:pPr>
            <w:bookmarkStart w:id="2" w:name="ditulogo"/>
            <w:bookmarkEnd w:id="2"/>
            <w:r w:rsidRPr="00967D3A">
              <w:rPr>
                <w:rFonts w:cstheme="minorHAnsi"/>
                <w:b/>
                <w:bCs/>
                <w:noProof/>
                <w:szCs w:val="24"/>
                <w:lang w:val="en-GB" w:eastAsia="zh-CN"/>
              </w:rPr>
              <w:drawing>
                <wp:inline distT="0" distB="0" distL="0" distR="0" wp14:anchorId="476E8A13" wp14:editId="76B3D710">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967D3A" w14:paraId="3D42E2A9" w14:textId="77777777">
        <w:trPr>
          <w:cantSplit/>
          <w:trHeight w:val="20"/>
        </w:trPr>
        <w:tc>
          <w:tcPr>
            <w:tcW w:w="10173" w:type="dxa"/>
            <w:gridSpan w:val="2"/>
            <w:tcBorders>
              <w:bottom w:val="single" w:sz="12" w:space="0" w:color="auto"/>
            </w:tcBorders>
          </w:tcPr>
          <w:p w14:paraId="7BE28CDD" w14:textId="77777777" w:rsidR="00093EEB" w:rsidRPr="00967D3A" w:rsidRDefault="00093EEB">
            <w:pPr>
              <w:spacing w:before="0"/>
              <w:rPr>
                <w:b/>
                <w:bCs/>
                <w:szCs w:val="24"/>
              </w:rPr>
            </w:pPr>
          </w:p>
        </w:tc>
      </w:tr>
      <w:tr w:rsidR="00093EEB" w:rsidRPr="00967D3A" w14:paraId="02AF9175" w14:textId="77777777">
        <w:trPr>
          <w:cantSplit/>
          <w:trHeight w:val="20"/>
        </w:trPr>
        <w:tc>
          <w:tcPr>
            <w:tcW w:w="6912" w:type="dxa"/>
            <w:tcBorders>
              <w:top w:val="single" w:sz="12" w:space="0" w:color="auto"/>
            </w:tcBorders>
          </w:tcPr>
          <w:p w14:paraId="49FE4848" w14:textId="77777777" w:rsidR="00093EEB" w:rsidRPr="00967D3A"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3B27D8A9" w14:textId="77777777" w:rsidR="00093EEB" w:rsidRPr="00967D3A" w:rsidRDefault="00093EEB">
            <w:pPr>
              <w:spacing w:before="0"/>
              <w:rPr>
                <w:b/>
                <w:bCs/>
                <w:szCs w:val="24"/>
              </w:rPr>
            </w:pPr>
          </w:p>
        </w:tc>
      </w:tr>
      <w:tr w:rsidR="00093EEB" w:rsidRPr="00967D3A" w14:paraId="3673B73F" w14:textId="77777777">
        <w:trPr>
          <w:cantSplit/>
          <w:trHeight w:val="20"/>
        </w:trPr>
        <w:tc>
          <w:tcPr>
            <w:tcW w:w="6912" w:type="dxa"/>
            <w:shd w:val="clear" w:color="auto" w:fill="auto"/>
          </w:tcPr>
          <w:p w14:paraId="246BE29D" w14:textId="77777777" w:rsidR="00093EEB" w:rsidRPr="00967D3A"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14:paraId="59E161D9" w14:textId="77777777" w:rsidR="00093EEB" w:rsidRPr="00967D3A" w:rsidRDefault="00093EEB" w:rsidP="00CC4617">
            <w:pPr>
              <w:spacing w:before="0"/>
              <w:rPr>
                <w:b/>
                <w:bCs/>
                <w:szCs w:val="24"/>
              </w:rPr>
            </w:pPr>
            <w:r w:rsidRPr="00967D3A">
              <w:rPr>
                <w:b/>
                <w:bCs/>
                <w:szCs w:val="24"/>
              </w:rPr>
              <w:t>Documento C1</w:t>
            </w:r>
            <w:r w:rsidR="00C2727F" w:rsidRPr="00967D3A">
              <w:rPr>
                <w:b/>
                <w:bCs/>
                <w:szCs w:val="24"/>
              </w:rPr>
              <w:t>9</w:t>
            </w:r>
            <w:r w:rsidRPr="00967D3A">
              <w:rPr>
                <w:b/>
                <w:bCs/>
                <w:szCs w:val="24"/>
              </w:rPr>
              <w:t>/</w:t>
            </w:r>
            <w:r w:rsidR="00CC4617" w:rsidRPr="00967D3A">
              <w:rPr>
                <w:b/>
                <w:bCs/>
                <w:szCs w:val="24"/>
              </w:rPr>
              <w:t>114</w:t>
            </w:r>
            <w:r w:rsidRPr="00967D3A">
              <w:rPr>
                <w:b/>
                <w:bCs/>
                <w:szCs w:val="24"/>
              </w:rPr>
              <w:t>-S</w:t>
            </w:r>
          </w:p>
        </w:tc>
      </w:tr>
      <w:tr w:rsidR="00093EEB" w:rsidRPr="00967D3A" w14:paraId="5484F094" w14:textId="77777777">
        <w:trPr>
          <w:cantSplit/>
          <w:trHeight w:val="20"/>
        </w:trPr>
        <w:tc>
          <w:tcPr>
            <w:tcW w:w="6912" w:type="dxa"/>
            <w:shd w:val="clear" w:color="auto" w:fill="auto"/>
          </w:tcPr>
          <w:p w14:paraId="1049B791" w14:textId="77777777" w:rsidR="00093EEB" w:rsidRPr="00967D3A" w:rsidRDefault="00093EEB">
            <w:pPr>
              <w:shd w:val="solid" w:color="FFFFFF" w:fill="FFFFFF"/>
              <w:spacing w:before="0"/>
              <w:rPr>
                <w:smallCaps/>
                <w:szCs w:val="24"/>
              </w:rPr>
            </w:pPr>
            <w:bookmarkStart w:id="5" w:name="ddate" w:colFirst="1" w:colLast="1"/>
            <w:bookmarkEnd w:id="3"/>
            <w:bookmarkEnd w:id="4"/>
          </w:p>
        </w:tc>
        <w:tc>
          <w:tcPr>
            <w:tcW w:w="3261" w:type="dxa"/>
          </w:tcPr>
          <w:p w14:paraId="7713FAAF" w14:textId="77777777" w:rsidR="00093EEB" w:rsidRPr="00967D3A" w:rsidRDefault="00CC4617" w:rsidP="00C2727F">
            <w:pPr>
              <w:spacing w:before="0"/>
              <w:rPr>
                <w:b/>
                <w:bCs/>
                <w:szCs w:val="24"/>
              </w:rPr>
            </w:pPr>
            <w:r w:rsidRPr="00967D3A">
              <w:rPr>
                <w:b/>
                <w:bCs/>
                <w:szCs w:val="24"/>
              </w:rPr>
              <w:t>14 de junio</w:t>
            </w:r>
            <w:r w:rsidR="00093EEB" w:rsidRPr="00967D3A">
              <w:rPr>
                <w:b/>
                <w:bCs/>
                <w:szCs w:val="24"/>
              </w:rPr>
              <w:t xml:space="preserve"> de 201</w:t>
            </w:r>
            <w:r w:rsidR="00C2727F" w:rsidRPr="00967D3A">
              <w:rPr>
                <w:b/>
                <w:bCs/>
                <w:szCs w:val="24"/>
              </w:rPr>
              <w:t>9</w:t>
            </w:r>
          </w:p>
        </w:tc>
      </w:tr>
      <w:tr w:rsidR="00093EEB" w:rsidRPr="00967D3A" w14:paraId="49C934E2" w14:textId="77777777">
        <w:trPr>
          <w:cantSplit/>
          <w:trHeight w:val="20"/>
        </w:trPr>
        <w:tc>
          <w:tcPr>
            <w:tcW w:w="6912" w:type="dxa"/>
            <w:shd w:val="clear" w:color="auto" w:fill="auto"/>
          </w:tcPr>
          <w:p w14:paraId="0B0E31EA" w14:textId="77777777" w:rsidR="00093EEB" w:rsidRPr="00967D3A" w:rsidRDefault="00093EEB">
            <w:pPr>
              <w:shd w:val="solid" w:color="FFFFFF" w:fill="FFFFFF"/>
              <w:spacing w:before="0"/>
              <w:rPr>
                <w:smallCaps/>
                <w:szCs w:val="24"/>
              </w:rPr>
            </w:pPr>
            <w:bookmarkStart w:id="6" w:name="dorlang" w:colFirst="1" w:colLast="1"/>
            <w:bookmarkEnd w:id="5"/>
          </w:p>
        </w:tc>
        <w:tc>
          <w:tcPr>
            <w:tcW w:w="3261" w:type="dxa"/>
          </w:tcPr>
          <w:p w14:paraId="3A9D90CF" w14:textId="77777777" w:rsidR="00093EEB" w:rsidRPr="00967D3A" w:rsidRDefault="00093EEB" w:rsidP="00093EEB">
            <w:pPr>
              <w:spacing w:before="0"/>
              <w:rPr>
                <w:b/>
                <w:bCs/>
                <w:szCs w:val="24"/>
              </w:rPr>
            </w:pPr>
            <w:r w:rsidRPr="00967D3A">
              <w:rPr>
                <w:b/>
                <w:bCs/>
                <w:szCs w:val="24"/>
              </w:rPr>
              <w:t>Original: inglés</w:t>
            </w:r>
          </w:p>
        </w:tc>
      </w:tr>
      <w:tr w:rsidR="00093EEB" w:rsidRPr="00967D3A" w14:paraId="306F2133" w14:textId="77777777">
        <w:trPr>
          <w:cantSplit/>
        </w:trPr>
        <w:tc>
          <w:tcPr>
            <w:tcW w:w="10173" w:type="dxa"/>
            <w:gridSpan w:val="2"/>
          </w:tcPr>
          <w:p w14:paraId="46FE9A38" w14:textId="77777777" w:rsidR="00093EEB" w:rsidRPr="00967D3A" w:rsidRDefault="00093EEB">
            <w:pPr>
              <w:pStyle w:val="Source"/>
            </w:pPr>
            <w:bookmarkStart w:id="7" w:name="dsource" w:colFirst="0" w:colLast="0"/>
            <w:bookmarkEnd w:id="1"/>
            <w:bookmarkEnd w:id="6"/>
          </w:p>
        </w:tc>
      </w:tr>
      <w:tr w:rsidR="00093EEB" w:rsidRPr="00967D3A" w14:paraId="3F354C45" w14:textId="77777777">
        <w:trPr>
          <w:cantSplit/>
        </w:trPr>
        <w:tc>
          <w:tcPr>
            <w:tcW w:w="10173" w:type="dxa"/>
            <w:gridSpan w:val="2"/>
          </w:tcPr>
          <w:p w14:paraId="3259669D" w14:textId="77777777" w:rsidR="00093EEB" w:rsidRPr="00967D3A" w:rsidRDefault="00CC4617">
            <w:pPr>
              <w:pStyle w:val="Title1"/>
            </w:pPr>
            <w:bookmarkStart w:id="8" w:name="dtitle1" w:colFirst="0" w:colLast="0"/>
            <w:bookmarkEnd w:id="7"/>
            <w:r w:rsidRPr="00967D3A">
              <w:t>RESUMEN DE LOS DEBATES</w:t>
            </w:r>
          </w:p>
          <w:p w14:paraId="2AC25AA5" w14:textId="77777777" w:rsidR="00CC4617" w:rsidRPr="00967D3A" w:rsidRDefault="00CC4617" w:rsidP="00CC4617">
            <w:pPr>
              <w:pStyle w:val="Title2"/>
            </w:pPr>
            <w:r w:rsidRPr="00967D3A">
              <w:t>de la</w:t>
            </w:r>
          </w:p>
          <w:p w14:paraId="7D1C3BF6" w14:textId="77777777" w:rsidR="00CC4617" w:rsidRPr="00967D3A" w:rsidRDefault="00CC4617" w:rsidP="00CC4617">
            <w:pPr>
              <w:pStyle w:val="Title3"/>
            </w:pPr>
            <w:r w:rsidRPr="00967D3A">
              <w:t>TERCERA SESIÓN PLENARIA</w:t>
            </w:r>
          </w:p>
        </w:tc>
      </w:tr>
      <w:tr w:rsidR="00CC4617" w:rsidRPr="00967D3A" w14:paraId="120CADD1" w14:textId="77777777">
        <w:trPr>
          <w:cantSplit/>
        </w:trPr>
        <w:tc>
          <w:tcPr>
            <w:tcW w:w="10173" w:type="dxa"/>
            <w:gridSpan w:val="2"/>
          </w:tcPr>
          <w:p w14:paraId="7ABBCF4D" w14:textId="77777777" w:rsidR="00CC4617" w:rsidRPr="00967D3A" w:rsidRDefault="001204DC" w:rsidP="001204DC">
            <w:pPr>
              <w:pStyle w:val="Title1"/>
              <w:rPr>
                <w:sz w:val="24"/>
                <w:szCs w:val="24"/>
              </w:rPr>
            </w:pPr>
            <w:r w:rsidRPr="00967D3A">
              <w:rPr>
                <w:caps w:val="0"/>
                <w:sz w:val="24"/>
                <w:szCs w:val="24"/>
              </w:rPr>
              <w:t xml:space="preserve">Miércoles 12 de junio de </w:t>
            </w:r>
            <w:r w:rsidR="00CC4617" w:rsidRPr="00967D3A">
              <w:rPr>
                <w:caps w:val="0"/>
                <w:sz w:val="24"/>
                <w:szCs w:val="24"/>
              </w:rPr>
              <w:t xml:space="preserve">2019, </w:t>
            </w:r>
            <w:r w:rsidRPr="00967D3A">
              <w:rPr>
                <w:caps w:val="0"/>
                <w:sz w:val="24"/>
                <w:szCs w:val="24"/>
              </w:rPr>
              <w:t>de</w:t>
            </w:r>
            <w:r w:rsidR="00CC4617" w:rsidRPr="00967D3A">
              <w:rPr>
                <w:caps w:val="0"/>
                <w:sz w:val="24"/>
                <w:szCs w:val="24"/>
              </w:rPr>
              <w:t xml:space="preserve"> </w:t>
            </w:r>
            <w:r w:rsidRPr="00967D3A">
              <w:rPr>
                <w:caps w:val="0"/>
                <w:sz w:val="24"/>
                <w:szCs w:val="24"/>
              </w:rPr>
              <w:t xml:space="preserve">las </w:t>
            </w:r>
            <w:r w:rsidR="00CC4617" w:rsidRPr="00967D3A">
              <w:rPr>
                <w:caps w:val="0"/>
                <w:sz w:val="24"/>
                <w:szCs w:val="24"/>
              </w:rPr>
              <w:t>09</w:t>
            </w:r>
            <w:r w:rsidRPr="00967D3A">
              <w:rPr>
                <w:caps w:val="0"/>
                <w:sz w:val="24"/>
                <w:szCs w:val="24"/>
              </w:rPr>
              <w:t>.</w:t>
            </w:r>
            <w:r w:rsidR="00CC4617" w:rsidRPr="00967D3A">
              <w:rPr>
                <w:caps w:val="0"/>
                <w:sz w:val="24"/>
                <w:szCs w:val="24"/>
              </w:rPr>
              <w:t xml:space="preserve">45 </w:t>
            </w:r>
            <w:r w:rsidRPr="00967D3A">
              <w:rPr>
                <w:caps w:val="0"/>
                <w:sz w:val="24"/>
                <w:szCs w:val="24"/>
              </w:rPr>
              <w:t>a</w:t>
            </w:r>
            <w:r w:rsidR="00CC4617" w:rsidRPr="00967D3A">
              <w:rPr>
                <w:caps w:val="0"/>
                <w:sz w:val="24"/>
                <w:szCs w:val="24"/>
              </w:rPr>
              <w:t xml:space="preserve"> </w:t>
            </w:r>
            <w:r w:rsidRPr="00967D3A">
              <w:rPr>
                <w:caps w:val="0"/>
                <w:sz w:val="24"/>
                <w:szCs w:val="24"/>
              </w:rPr>
              <w:t xml:space="preserve">las </w:t>
            </w:r>
            <w:r w:rsidR="00CC4617" w:rsidRPr="00967D3A">
              <w:rPr>
                <w:caps w:val="0"/>
                <w:sz w:val="24"/>
                <w:szCs w:val="24"/>
              </w:rPr>
              <w:t>12</w:t>
            </w:r>
            <w:r w:rsidRPr="00967D3A">
              <w:rPr>
                <w:caps w:val="0"/>
                <w:sz w:val="24"/>
                <w:szCs w:val="24"/>
              </w:rPr>
              <w:t>.</w:t>
            </w:r>
            <w:r w:rsidR="00CC4617" w:rsidRPr="00967D3A">
              <w:rPr>
                <w:caps w:val="0"/>
                <w:sz w:val="24"/>
                <w:szCs w:val="24"/>
              </w:rPr>
              <w:t xml:space="preserve">30 </w:t>
            </w:r>
            <w:r w:rsidRPr="00967D3A">
              <w:rPr>
                <w:caps w:val="0"/>
                <w:sz w:val="24"/>
                <w:szCs w:val="24"/>
              </w:rPr>
              <w:t>horas</w:t>
            </w:r>
          </w:p>
        </w:tc>
      </w:tr>
      <w:tr w:rsidR="00CC4617" w:rsidRPr="00967D3A" w14:paraId="20B5425D" w14:textId="77777777">
        <w:trPr>
          <w:cantSplit/>
        </w:trPr>
        <w:tc>
          <w:tcPr>
            <w:tcW w:w="10173" w:type="dxa"/>
            <w:gridSpan w:val="2"/>
          </w:tcPr>
          <w:p w14:paraId="0B74F3AF" w14:textId="0C669A90" w:rsidR="00CC4617" w:rsidRPr="00967D3A" w:rsidRDefault="002C6CBE" w:rsidP="006037F3">
            <w:pPr>
              <w:jc w:val="center"/>
              <w:rPr>
                <w:rFonts w:asciiTheme="minorHAnsi" w:hAnsiTheme="minorHAnsi"/>
                <w:szCs w:val="24"/>
              </w:rPr>
            </w:pPr>
            <w:r>
              <w:rPr>
                <w:b/>
                <w:bCs/>
              </w:rPr>
              <w:t>Presidente</w:t>
            </w:r>
            <w:r w:rsidR="006037F3">
              <w:rPr>
                <w:b/>
                <w:bCs/>
              </w:rPr>
              <w:t xml:space="preserve"> en funciones</w:t>
            </w:r>
            <w:r w:rsidR="00CC4617" w:rsidRPr="00967D3A">
              <w:rPr>
                <w:b/>
                <w:bCs/>
              </w:rPr>
              <w:t>:</w:t>
            </w:r>
            <w:r w:rsidR="00967D3A">
              <w:rPr>
                <w:b/>
                <w:bCs/>
              </w:rPr>
              <w:t xml:space="preserve"> </w:t>
            </w:r>
            <w:r w:rsidR="00093A0E" w:rsidRPr="00967D3A">
              <w:rPr>
                <w:rFonts w:asciiTheme="minorHAnsi" w:hAnsiTheme="minorHAnsi"/>
                <w:szCs w:val="24"/>
              </w:rPr>
              <w:t>Sr.</w:t>
            </w:r>
            <w:r w:rsidR="00CC4617" w:rsidRPr="00967D3A">
              <w:rPr>
                <w:rFonts w:asciiTheme="minorHAnsi" w:hAnsiTheme="minorHAnsi"/>
                <w:szCs w:val="24"/>
              </w:rPr>
              <w:t xml:space="preserve"> F. BIGI (</w:t>
            </w:r>
            <w:r w:rsidR="00093A0E" w:rsidRPr="00967D3A">
              <w:rPr>
                <w:rFonts w:asciiTheme="minorHAnsi" w:hAnsiTheme="minorHAnsi"/>
                <w:szCs w:val="24"/>
              </w:rPr>
              <w:t>Italia</w:t>
            </w:r>
            <w:r w:rsidR="00CC4617" w:rsidRPr="00967D3A">
              <w:rPr>
                <w:rFonts w:asciiTheme="minorHAnsi" w:hAnsiTheme="minorHAnsi"/>
                <w:szCs w:val="24"/>
              </w:rPr>
              <w:t>)</w:t>
            </w:r>
          </w:p>
        </w:tc>
      </w:tr>
      <w:bookmarkEnd w:id="8"/>
    </w:tbl>
    <w:p w14:paraId="64BFAFB1" w14:textId="77777777" w:rsidR="00093EEB" w:rsidRPr="00967D3A" w:rsidRDefault="00093EEB"/>
    <w:tbl>
      <w:tblPr>
        <w:tblW w:w="5221" w:type="pct"/>
        <w:tblLook w:val="0000" w:firstRow="0" w:lastRow="0" w:firstColumn="0" w:lastColumn="0" w:noHBand="0" w:noVBand="0"/>
      </w:tblPr>
      <w:tblGrid>
        <w:gridCol w:w="505"/>
        <w:gridCol w:w="7575"/>
        <w:gridCol w:w="1985"/>
      </w:tblGrid>
      <w:tr w:rsidR="00CC4617" w:rsidRPr="00967D3A" w14:paraId="69789C2C" w14:textId="77777777" w:rsidTr="004B3209">
        <w:tc>
          <w:tcPr>
            <w:tcW w:w="251" w:type="pct"/>
          </w:tcPr>
          <w:p w14:paraId="28C40533" w14:textId="77777777" w:rsidR="00CC4617" w:rsidRPr="00967D3A" w:rsidRDefault="00CC4617" w:rsidP="004B3209">
            <w:pPr>
              <w:pStyle w:val="toc0"/>
              <w:spacing w:after="120"/>
            </w:pPr>
            <w:r w:rsidRPr="00967D3A">
              <w:rPr>
                <w:b w:val="0"/>
              </w:rPr>
              <w:br w:type="page"/>
            </w:r>
            <w:r w:rsidRPr="00967D3A">
              <w:rPr>
                <w:b w:val="0"/>
              </w:rPr>
              <w:br w:type="page"/>
            </w:r>
          </w:p>
        </w:tc>
        <w:tc>
          <w:tcPr>
            <w:tcW w:w="3763" w:type="pct"/>
          </w:tcPr>
          <w:p w14:paraId="03083E96" w14:textId="77777777" w:rsidR="00CC4617" w:rsidRPr="00967D3A" w:rsidRDefault="00CC4617" w:rsidP="004B3209">
            <w:pPr>
              <w:pStyle w:val="toc0"/>
              <w:spacing w:after="120"/>
              <w:rPr>
                <w:highlight w:val="yellow"/>
              </w:rPr>
            </w:pPr>
            <w:r w:rsidRPr="00967D3A">
              <w:t>Asuntos tratados</w:t>
            </w:r>
          </w:p>
        </w:tc>
        <w:tc>
          <w:tcPr>
            <w:tcW w:w="986" w:type="pct"/>
          </w:tcPr>
          <w:p w14:paraId="6E55B7C9" w14:textId="77777777" w:rsidR="00CC4617" w:rsidRPr="00967D3A" w:rsidRDefault="00CC4617" w:rsidP="004B3209">
            <w:pPr>
              <w:pStyle w:val="toc0"/>
              <w:spacing w:after="120"/>
              <w:jc w:val="center"/>
            </w:pPr>
            <w:r w:rsidRPr="00967D3A">
              <w:t>Documentos</w:t>
            </w:r>
          </w:p>
        </w:tc>
      </w:tr>
      <w:tr w:rsidR="00CC4617" w:rsidRPr="00967D3A" w14:paraId="1E513414" w14:textId="77777777" w:rsidTr="004B3209">
        <w:tc>
          <w:tcPr>
            <w:tcW w:w="251" w:type="pct"/>
          </w:tcPr>
          <w:p w14:paraId="530C2205" w14:textId="77777777" w:rsidR="00CC4617" w:rsidRPr="00967D3A" w:rsidRDefault="00CC4617" w:rsidP="004B3209">
            <w:pPr>
              <w:pStyle w:val="toc0"/>
              <w:spacing w:after="120"/>
              <w:rPr>
                <w:b w:val="0"/>
              </w:rPr>
            </w:pPr>
            <w:r w:rsidRPr="00967D3A">
              <w:rPr>
                <w:b w:val="0"/>
              </w:rPr>
              <w:t>1</w:t>
            </w:r>
          </w:p>
        </w:tc>
        <w:tc>
          <w:tcPr>
            <w:tcW w:w="3763" w:type="pct"/>
          </w:tcPr>
          <w:p w14:paraId="1381F216" w14:textId="77777777" w:rsidR="00CC4617" w:rsidRPr="00967D3A" w:rsidRDefault="00CC4617" w:rsidP="004B3209">
            <w:pPr>
              <w:pStyle w:val="toc0"/>
              <w:spacing w:after="120"/>
              <w:rPr>
                <w:rFonts w:cs="Calibri"/>
                <w:b w:val="0"/>
                <w:color w:val="800000"/>
                <w:sz w:val="22"/>
              </w:rPr>
            </w:pPr>
            <w:r w:rsidRPr="00967D3A">
              <w:rPr>
                <w:rFonts w:asciiTheme="minorHAnsi" w:hAnsiTheme="minorHAnsi" w:cstheme="minorHAnsi"/>
                <w:b w:val="0"/>
                <w:szCs w:val="24"/>
              </w:rPr>
              <w:t>Informe del Presidente del Grupo de Trabajo del Consejo sobre cuestiones de política pública internacional relacionadas con Internet (GTC-Internet)</w:t>
            </w:r>
          </w:p>
        </w:tc>
        <w:tc>
          <w:tcPr>
            <w:tcW w:w="986" w:type="pct"/>
          </w:tcPr>
          <w:p w14:paraId="7B30E86A" w14:textId="77777777" w:rsidR="00CC4617" w:rsidRPr="00967D3A" w:rsidRDefault="00515785" w:rsidP="004B3209">
            <w:pPr>
              <w:pStyle w:val="toc0"/>
              <w:spacing w:after="120"/>
              <w:jc w:val="center"/>
              <w:rPr>
                <w:b w:val="0"/>
                <w:bCs/>
              </w:rPr>
            </w:pPr>
            <w:hyperlink r:id="rId7" w:history="1">
              <w:r w:rsidR="00CC4617" w:rsidRPr="00967D3A">
                <w:rPr>
                  <w:rStyle w:val="Hyperlink"/>
                  <w:b w:val="0"/>
                  <w:bCs/>
                </w:rPr>
                <w:t>C19/51</w:t>
              </w:r>
            </w:hyperlink>
            <w:r w:rsidR="00CC4617" w:rsidRPr="00967D3A">
              <w:rPr>
                <w:b w:val="0"/>
                <w:bCs/>
              </w:rPr>
              <w:t xml:space="preserve">, </w:t>
            </w:r>
            <w:hyperlink r:id="rId8" w:history="1">
              <w:r w:rsidR="00CC4617" w:rsidRPr="00967D3A">
                <w:rPr>
                  <w:rStyle w:val="Hyperlink"/>
                  <w:b w:val="0"/>
                  <w:bCs/>
                </w:rPr>
                <w:t>C19/61 +</w:t>
              </w:r>
              <w:r w:rsidR="00967D3A">
                <w:rPr>
                  <w:rStyle w:val="Hyperlink"/>
                  <w:b w:val="0"/>
                  <w:bCs/>
                </w:rPr>
                <w:t xml:space="preserve"> </w:t>
              </w:r>
              <w:r w:rsidR="00CC4617" w:rsidRPr="00967D3A">
                <w:rPr>
                  <w:rStyle w:val="Hyperlink"/>
                  <w:b w:val="0"/>
                  <w:bCs/>
                </w:rPr>
                <w:t>Corr.1</w:t>
              </w:r>
            </w:hyperlink>
            <w:r w:rsidR="00CC4617" w:rsidRPr="00967D3A">
              <w:rPr>
                <w:b w:val="0"/>
                <w:bCs/>
              </w:rPr>
              <w:t xml:space="preserve">, </w:t>
            </w:r>
            <w:hyperlink r:id="rId9" w:history="1">
              <w:r w:rsidR="00CC4617" w:rsidRPr="00967D3A">
                <w:rPr>
                  <w:rStyle w:val="Hyperlink"/>
                  <w:b w:val="0"/>
                  <w:bCs/>
                </w:rPr>
                <w:t>C19/62</w:t>
              </w:r>
            </w:hyperlink>
            <w:r w:rsidR="00CC4617" w:rsidRPr="00967D3A">
              <w:rPr>
                <w:b w:val="0"/>
                <w:bCs/>
              </w:rPr>
              <w:t xml:space="preserve">, </w:t>
            </w:r>
            <w:hyperlink r:id="rId10" w:history="1">
              <w:r w:rsidR="00CC4617" w:rsidRPr="00967D3A">
                <w:rPr>
                  <w:rStyle w:val="Hyperlink"/>
                  <w:b w:val="0"/>
                  <w:bCs/>
                </w:rPr>
                <w:t>C19/66</w:t>
              </w:r>
            </w:hyperlink>
            <w:r w:rsidR="00CC4617" w:rsidRPr="00967D3A">
              <w:rPr>
                <w:b w:val="0"/>
                <w:bCs/>
              </w:rPr>
              <w:t xml:space="preserve">, </w:t>
            </w:r>
            <w:hyperlink r:id="rId11" w:history="1">
              <w:r w:rsidR="00CC4617" w:rsidRPr="00967D3A">
                <w:rPr>
                  <w:rStyle w:val="Hyperlink"/>
                  <w:b w:val="0"/>
                  <w:bCs/>
                </w:rPr>
                <w:t>C19/71</w:t>
              </w:r>
            </w:hyperlink>
            <w:r w:rsidR="00CC4617" w:rsidRPr="00967D3A">
              <w:rPr>
                <w:b w:val="0"/>
                <w:bCs/>
              </w:rPr>
              <w:t xml:space="preserve">, </w:t>
            </w:r>
            <w:hyperlink r:id="rId12" w:history="1">
              <w:r w:rsidR="00CC4617" w:rsidRPr="00967D3A">
                <w:rPr>
                  <w:rStyle w:val="Hyperlink"/>
                  <w:b w:val="0"/>
                  <w:bCs/>
                </w:rPr>
                <w:t>C19/84</w:t>
              </w:r>
            </w:hyperlink>
            <w:r w:rsidR="00CC4617" w:rsidRPr="00967D3A">
              <w:rPr>
                <w:b w:val="0"/>
                <w:bCs/>
              </w:rPr>
              <w:t xml:space="preserve">, </w:t>
            </w:r>
            <w:hyperlink r:id="rId13" w:history="1">
              <w:r w:rsidR="00CC4617" w:rsidRPr="00967D3A">
                <w:rPr>
                  <w:rStyle w:val="Hyperlink"/>
                  <w:b w:val="0"/>
                  <w:bCs/>
                </w:rPr>
                <w:t>C19/92</w:t>
              </w:r>
            </w:hyperlink>
            <w:r w:rsidR="00CC4617" w:rsidRPr="00967D3A">
              <w:rPr>
                <w:b w:val="0"/>
                <w:bCs/>
              </w:rPr>
              <w:t xml:space="preserve">, </w:t>
            </w:r>
            <w:hyperlink r:id="rId14" w:history="1">
              <w:r w:rsidR="00CC4617" w:rsidRPr="00967D3A">
                <w:rPr>
                  <w:rStyle w:val="Hyperlink"/>
                  <w:b w:val="0"/>
                  <w:bCs/>
                </w:rPr>
                <w:t>C19/97</w:t>
              </w:r>
            </w:hyperlink>
          </w:p>
        </w:tc>
      </w:tr>
      <w:tr w:rsidR="00CC4617" w:rsidRPr="00967D3A" w14:paraId="07109069" w14:textId="77777777" w:rsidTr="004B3209">
        <w:tc>
          <w:tcPr>
            <w:tcW w:w="251" w:type="pct"/>
          </w:tcPr>
          <w:p w14:paraId="2C47A9A0" w14:textId="77777777" w:rsidR="00CC4617" w:rsidRPr="00967D3A" w:rsidRDefault="00CC4617" w:rsidP="004B3209">
            <w:pPr>
              <w:pStyle w:val="toc0"/>
              <w:spacing w:after="120"/>
              <w:rPr>
                <w:b w:val="0"/>
              </w:rPr>
            </w:pPr>
            <w:r w:rsidRPr="00967D3A">
              <w:rPr>
                <w:b w:val="0"/>
              </w:rPr>
              <w:t>2</w:t>
            </w:r>
          </w:p>
        </w:tc>
        <w:tc>
          <w:tcPr>
            <w:tcW w:w="3763" w:type="pct"/>
          </w:tcPr>
          <w:p w14:paraId="5443281B" w14:textId="77777777" w:rsidR="00CC4617" w:rsidRPr="00967D3A" w:rsidRDefault="00CC4617" w:rsidP="002C6CBE">
            <w:pPr>
              <w:pStyle w:val="toc0"/>
              <w:spacing w:after="120"/>
              <w:rPr>
                <w:rFonts w:asciiTheme="minorHAnsi" w:hAnsiTheme="minorHAnsi" w:cstheme="minorHAnsi"/>
                <w:b w:val="0"/>
                <w:szCs w:val="24"/>
              </w:rPr>
            </w:pPr>
            <w:r w:rsidRPr="00967D3A">
              <w:rPr>
                <w:rFonts w:asciiTheme="minorHAnsi" w:hAnsiTheme="minorHAnsi" w:cstheme="minorHAnsi"/>
                <w:b w:val="0"/>
                <w:szCs w:val="24"/>
              </w:rPr>
              <w:t>Preparativos para el Foro Mundial de Política de las</w:t>
            </w:r>
            <w:r w:rsidR="00093A0E" w:rsidRPr="00967D3A">
              <w:rPr>
                <w:rFonts w:asciiTheme="minorHAnsi" w:hAnsiTheme="minorHAnsi" w:cstheme="minorHAnsi"/>
                <w:b w:val="0"/>
                <w:szCs w:val="24"/>
              </w:rPr>
              <w:t xml:space="preserve"> </w:t>
            </w:r>
            <w:r w:rsidRPr="00967D3A">
              <w:rPr>
                <w:rFonts w:asciiTheme="minorHAnsi" w:hAnsiTheme="minorHAnsi" w:cstheme="minorHAnsi"/>
                <w:b w:val="0"/>
                <w:szCs w:val="24"/>
              </w:rPr>
              <w:t>Telecomunicaciones</w:t>
            </w:r>
            <w:r w:rsidR="00093A0E" w:rsidRPr="00967D3A">
              <w:rPr>
                <w:rFonts w:asciiTheme="minorHAnsi" w:hAnsiTheme="minorHAnsi" w:cstheme="minorHAnsi"/>
                <w:b w:val="0"/>
                <w:szCs w:val="24"/>
              </w:rPr>
              <w:t>/TIC</w:t>
            </w:r>
            <w:r w:rsidRPr="00967D3A">
              <w:rPr>
                <w:rFonts w:asciiTheme="minorHAnsi" w:hAnsiTheme="minorHAnsi" w:cstheme="minorHAnsi"/>
                <w:b w:val="0"/>
                <w:szCs w:val="24"/>
              </w:rPr>
              <w:t xml:space="preserve"> de 2021 (FMPT-21) (</w:t>
            </w:r>
            <w:r w:rsidR="00093A0E" w:rsidRPr="00967D3A">
              <w:rPr>
                <w:rFonts w:asciiTheme="minorHAnsi" w:hAnsiTheme="minorHAnsi" w:cstheme="minorHAnsi"/>
                <w:b w:val="0"/>
                <w:szCs w:val="24"/>
              </w:rPr>
              <w:t>continuación</w:t>
            </w:r>
            <w:r w:rsidRPr="00967D3A">
              <w:rPr>
                <w:rFonts w:asciiTheme="minorHAnsi" w:hAnsiTheme="minorHAnsi" w:cstheme="minorHAnsi"/>
                <w:b w:val="0"/>
                <w:szCs w:val="24"/>
              </w:rPr>
              <w:t>)</w:t>
            </w:r>
          </w:p>
        </w:tc>
        <w:tc>
          <w:tcPr>
            <w:tcW w:w="986" w:type="pct"/>
          </w:tcPr>
          <w:p w14:paraId="2F666A81" w14:textId="77777777" w:rsidR="00CC4617" w:rsidRPr="00967D3A" w:rsidRDefault="00515785" w:rsidP="004B3209">
            <w:pPr>
              <w:pStyle w:val="toc0"/>
              <w:spacing w:after="120"/>
              <w:jc w:val="center"/>
              <w:rPr>
                <w:b w:val="0"/>
                <w:bCs/>
              </w:rPr>
            </w:pPr>
            <w:hyperlink r:id="rId15" w:history="1">
              <w:r w:rsidR="00CC4617" w:rsidRPr="00967D3A">
                <w:rPr>
                  <w:rStyle w:val="Hyperlink"/>
                  <w:b w:val="0"/>
                  <w:bCs/>
                </w:rPr>
                <w:t>C19/DL/2</w:t>
              </w:r>
            </w:hyperlink>
          </w:p>
        </w:tc>
      </w:tr>
      <w:tr w:rsidR="00CC4617" w:rsidRPr="00967D3A" w14:paraId="43C2659D" w14:textId="77777777" w:rsidTr="004B3209">
        <w:tc>
          <w:tcPr>
            <w:tcW w:w="251" w:type="pct"/>
          </w:tcPr>
          <w:p w14:paraId="2180D2CE" w14:textId="77777777" w:rsidR="00CC4617" w:rsidRPr="00967D3A" w:rsidRDefault="00CC4617" w:rsidP="004B3209">
            <w:pPr>
              <w:pStyle w:val="toc0"/>
              <w:spacing w:after="120"/>
              <w:rPr>
                <w:b w:val="0"/>
              </w:rPr>
            </w:pPr>
            <w:r w:rsidRPr="00967D3A">
              <w:rPr>
                <w:b w:val="0"/>
              </w:rPr>
              <w:t>3</w:t>
            </w:r>
          </w:p>
        </w:tc>
        <w:tc>
          <w:tcPr>
            <w:tcW w:w="3763" w:type="pct"/>
          </w:tcPr>
          <w:p w14:paraId="6623E753" w14:textId="77777777" w:rsidR="00CC4617" w:rsidRPr="00967D3A" w:rsidRDefault="00CC4617" w:rsidP="002C6CBE">
            <w:pPr>
              <w:rPr>
                <w:bCs/>
                <w:highlight w:val="cyan"/>
              </w:rPr>
            </w:pPr>
            <w:r w:rsidRPr="00967D3A">
              <w:rPr>
                <w:rFonts w:asciiTheme="minorHAnsi" w:hAnsiTheme="minorHAnsi" w:cstheme="minorHAnsi"/>
                <w:szCs w:val="22"/>
              </w:rPr>
              <w:t>Seguimiento de la Resolución 146 (Rev. Dubái, 2018): Examen periódico y revisión del Reglamento de las Telecomunicaciones Internacionales</w:t>
            </w:r>
            <w:r w:rsidR="00093A0E" w:rsidRPr="00967D3A">
              <w:rPr>
                <w:rFonts w:asciiTheme="minorHAnsi" w:hAnsiTheme="minorHAnsi" w:cstheme="minorHAnsi"/>
                <w:szCs w:val="22"/>
              </w:rPr>
              <w:t xml:space="preserve"> (continuación)</w:t>
            </w:r>
          </w:p>
        </w:tc>
        <w:tc>
          <w:tcPr>
            <w:tcW w:w="986" w:type="pct"/>
          </w:tcPr>
          <w:p w14:paraId="0A6E47BA" w14:textId="77777777" w:rsidR="00CC4617" w:rsidRPr="00967D3A" w:rsidRDefault="00515785" w:rsidP="004B3209">
            <w:pPr>
              <w:pStyle w:val="toc0"/>
              <w:spacing w:after="120"/>
              <w:jc w:val="center"/>
              <w:rPr>
                <w:b w:val="0"/>
                <w:bCs/>
              </w:rPr>
            </w:pPr>
            <w:hyperlink r:id="rId16" w:history="1">
              <w:r w:rsidR="00CC4617" w:rsidRPr="00967D3A">
                <w:rPr>
                  <w:rStyle w:val="Hyperlink"/>
                  <w:b w:val="0"/>
                  <w:bCs/>
                </w:rPr>
                <w:t>C19/DL/3</w:t>
              </w:r>
            </w:hyperlink>
          </w:p>
        </w:tc>
      </w:tr>
      <w:tr w:rsidR="00CC4617" w:rsidRPr="00967D3A" w14:paraId="2ACEE2D7" w14:textId="77777777" w:rsidTr="004B3209">
        <w:tc>
          <w:tcPr>
            <w:tcW w:w="251" w:type="pct"/>
          </w:tcPr>
          <w:p w14:paraId="13C116F9" w14:textId="77777777" w:rsidR="00CC4617" w:rsidRPr="00967D3A" w:rsidRDefault="00CC4617" w:rsidP="004B3209">
            <w:pPr>
              <w:pStyle w:val="toc0"/>
              <w:spacing w:after="120"/>
              <w:rPr>
                <w:b w:val="0"/>
              </w:rPr>
            </w:pPr>
            <w:r w:rsidRPr="00967D3A">
              <w:rPr>
                <w:b w:val="0"/>
              </w:rPr>
              <w:t>4</w:t>
            </w:r>
          </w:p>
        </w:tc>
        <w:tc>
          <w:tcPr>
            <w:tcW w:w="3763" w:type="pct"/>
          </w:tcPr>
          <w:p w14:paraId="719B0740" w14:textId="77777777" w:rsidR="00CC4617" w:rsidRPr="00967D3A" w:rsidRDefault="00CC4617" w:rsidP="00093A0E">
            <w:pPr>
              <w:pStyle w:val="toc0"/>
              <w:spacing w:after="120"/>
              <w:rPr>
                <w:rFonts w:asciiTheme="minorHAnsi" w:hAnsiTheme="minorHAnsi" w:cstheme="minorHAnsi"/>
                <w:b w:val="0"/>
                <w:szCs w:val="22"/>
              </w:rPr>
            </w:pPr>
            <w:r w:rsidRPr="00967D3A">
              <w:rPr>
                <w:rFonts w:asciiTheme="minorHAnsi" w:hAnsiTheme="minorHAnsi" w:cstheme="minorHAnsi"/>
                <w:b w:val="0"/>
                <w:szCs w:val="22"/>
              </w:rPr>
              <w:t xml:space="preserve">Informe sobre los resultados de las actividades del </w:t>
            </w:r>
            <w:r w:rsidR="00093A0E" w:rsidRPr="00967D3A">
              <w:rPr>
                <w:rFonts w:asciiTheme="minorHAnsi" w:hAnsiTheme="minorHAnsi" w:cstheme="minorHAnsi"/>
                <w:b w:val="0"/>
                <w:szCs w:val="22"/>
              </w:rPr>
              <w:t>GTC-CMSI+ODS</w:t>
            </w:r>
            <w:r w:rsidRPr="00967D3A">
              <w:rPr>
                <w:rFonts w:asciiTheme="minorHAnsi" w:hAnsiTheme="minorHAnsi" w:cstheme="minorHAnsi"/>
                <w:b w:val="0"/>
                <w:szCs w:val="22"/>
              </w:rPr>
              <w:t xml:space="preserve"> desde la reunión de 2018 del Consejo</w:t>
            </w:r>
          </w:p>
        </w:tc>
        <w:tc>
          <w:tcPr>
            <w:tcW w:w="986" w:type="pct"/>
          </w:tcPr>
          <w:p w14:paraId="63721650" w14:textId="77777777" w:rsidR="00CC4617" w:rsidRPr="00967D3A" w:rsidRDefault="00515785" w:rsidP="004B3209">
            <w:pPr>
              <w:pStyle w:val="toc0"/>
              <w:spacing w:after="120"/>
              <w:jc w:val="center"/>
              <w:rPr>
                <w:b w:val="0"/>
                <w:bCs/>
              </w:rPr>
            </w:pPr>
            <w:hyperlink r:id="rId17" w:history="1">
              <w:r w:rsidR="00CC4617" w:rsidRPr="00967D3A">
                <w:rPr>
                  <w:rStyle w:val="Hyperlink"/>
                  <w:b w:val="0"/>
                  <w:bCs/>
                </w:rPr>
                <w:t>C19/8</w:t>
              </w:r>
            </w:hyperlink>
            <w:r w:rsidR="00CC4617" w:rsidRPr="00967D3A">
              <w:rPr>
                <w:b w:val="0"/>
                <w:bCs/>
              </w:rPr>
              <w:t xml:space="preserve">, </w:t>
            </w:r>
            <w:hyperlink r:id="rId18" w:history="1">
              <w:r w:rsidR="00CC4617" w:rsidRPr="00967D3A">
                <w:rPr>
                  <w:rStyle w:val="Hyperlink"/>
                  <w:b w:val="0"/>
                  <w:bCs/>
                </w:rPr>
                <w:t>C19/70</w:t>
              </w:r>
            </w:hyperlink>
            <w:r w:rsidR="00CC4617" w:rsidRPr="00967D3A">
              <w:rPr>
                <w:b w:val="0"/>
                <w:bCs/>
              </w:rPr>
              <w:t xml:space="preserve">, </w:t>
            </w:r>
            <w:hyperlink r:id="rId19" w:history="1">
              <w:r w:rsidR="00CC4617" w:rsidRPr="00967D3A">
                <w:rPr>
                  <w:rStyle w:val="Hyperlink"/>
                  <w:b w:val="0"/>
                  <w:bCs/>
                </w:rPr>
                <w:t>C19/INF/13 (Rev.1)</w:t>
              </w:r>
            </w:hyperlink>
          </w:p>
        </w:tc>
      </w:tr>
      <w:tr w:rsidR="00CC4617" w:rsidRPr="00967D3A" w14:paraId="54158AEC" w14:textId="77777777" w:rsidTr="004B3209">
        <w:tc>
          <w:tcPr>
            <w:tcW w:w="251" w:type="pct"/>
          </w:tcPr>
          <w:p w14:paraId="5DE11B89" w14:textId="77777777" w:rsidR="00CC4617" w:rsidRPr="00967D3A" w:rsidRDefault="00CC4617" w:rsidP="004B3209">
            <w:pPr>
              <w:pStyle w:val="toc0"/>
              <w:spacing w:after="120"/>
              <w:rPr>
                <w:b w:val="0"/>
              </w:rPr>
            </w:pPr>
            <w:r w:rsidRPr="00967D3A">
              <w:rPr>
                <w:b w:val="0"/>
              </w:rPr>
              <w:t>5</w:t>
            </w:r>
          </w:p>
        </w:tc>
        <w:tc>
          <w:tcPr>
            <w:tcW w:w="3763" w:type="pct"/>
          </w:tcPr>
          <w:p w14:paraId="1FEA30E9" w14:textId="77777777" w:rsidR="00CC4617" w:rsidRPr="00967D3A" w:rsidRDefault="00CC4617" w:rsidP="004B3209">
            <w:pPr>
              <w:pStyle w:val="toc0"/>
              <w:spacing w:after="120"/>
              <w:rPr>
                <w:rFonts w:asciiTheme="minorHAnsi" w:hAnsiTheme="minorHAnsi" w:cstheme="minorHAnsi"/>
                <w:b w:val="0"/>
                <w:szCs w:val="22"/>
              </w:rPr>
            </w:pPr>
            <w:r w:rsidRPr="00967D3A">
              <w:rPr>
                <w:rFonts w:asciiTheme="minorHAnsi" w:hAnsiTheme="minorHAnsi" w:cstheme="minorHAnsi"/>
                <w:b w:val="0"/>
                <w:szCs w:val="22"/>
              </w:rPr>
              <w:t>Declaración del consejero de Kuwait</w:t>
            </w:r>
          </w:p>
        </w:tc>
        <w:tc>
          <w:tcPr>
            <w:tcW w:w="986" w:type="pct"/>
          </w:tcPr>
          <w:p w14:paraId="766321D3" w14:textId="77777777" w:rsidR="00CC4617" w:rsidRPr="00967D3A" w:rsidRDefault="00CC4617" w:rsidP="004B3209">
            <w:pPr>
              <w:pStyle w:val="toc0"/>
              <w:spacing w:after="120"/>
              <w:jc w:val="center"/>
              <w:rPr>
                <w:b w:val="0"/>
                <w:bCs/>
              </w:rPr>
            </w:pPr>
            <w:r w:rsidRPr="00967D3A">
              <w:rPr>
                <w:b w:val="0"/>
                <w:bCs/>
              </w:rPr>
              <w:t>-</w:t>
            </w:r>
          </w:p>
        </w:tc>
      </w:tr>
    </w:tbl>
    <w:p w14:paraId="597F4F88" w14:textId="77777777" w:rsidR="00E13312" w:rsidRPr="00967D3A" w:rsidRDefault="00E13312">
      <w:pPr>
        <w:tabs>
          <w:tab w:val="clear" w:pos="567"/>
          <w:tab w:val="clear" w:pos="1134"/>
          <w:tab w:val="clear" w:pos="1701"/>
          <w:tab w:val="clear" w:pos="2268"/>
          <w:tab w:val="clear" w:pos="2835"/>
        </w:tabs>
        <w:overflowPunct/>
        <w:autoSpaceDE/>
        <w:autoSpaceDN/>
        <w:adjustRightInd/>
        <w:spacing w:before="0"/>
        <w:textAlignment w:val="auto"/>
      </w:pPr>
      <w:r w:rsidRPr="00967D3A">
        <w:br w:type="page"/>
      </w:r>
      <w:bookmarkStart w:id="9" w:name="_GoBack"/>
      <w:bookmarkEnd w:id="9"/>
    </w:p>
    <w:p w14:paraId="041AFF68" w14:textId="77777777" w:rsidR="00967D3A" w:rsidRPr="00967D3A" w:rsidRDefault="00967D3A" w:rsidP="009A418B">
      <w:pPr>
        <w:pStyle w:val="Heading1"/>
      </w:pPr>
      <w:r w:rsidRPr="00967D3A">
        <w:lastRenderedPageBreak/>
        <w:t>1</w:t>
      </w:r>
      <w:r w:rsidRPr="00967D3A">
        <w:tab/>
      </w:r>
      <w:r w:rsidRPr="009A418B">
        <w:t>Informe</w:t>
      </w:r>
      <w:r w:rsidRPr="00967D3A">
        <w:t xml:space="preserve"> del Presidente del Grupo de Trabajo del Consejo sobre cuestiones de política pública internacional relacionadas con Internet (GTC-Internet) (Documentos </w:t>
      </w:r>
      <w:hyperlink r:id="rId20" w:history="1">
        <w:r w:rsidRPr="00967D3A">
          <w:rPr>
            <w:rStyle w:val="Hyperlink"/>
            <w:sz w:val="26"/>
            <w:szCs w:val="26"/>
          </w:rPr>
          <w:t>C19/51</w:t>
        </w:r>
      </w:hyperlink>
      <w:r w:rsidRPr="00967D3A">
        <w:t xml:space="preserve">, </w:t>
      </w:r>
      <w:hyperlink r:id="rId21" w:history="1">
        <w:r w:rsidRPr="00967D3A">
          <w:rPr>
            <w:rStyle w:val="Hyperlink"/>
            <w:sz w:val="26"/>
            <w:szCs w:val="26"/>
          </w:rPr>
          <w:t>C19/61 y Corrigéndum 1,</w:t>
        </w:r>
      </w:hyperlink>
      <w:r w:rsidRPr="00967D3A">
        <w:t xml:space="preserve"> </w:t>
      </w:r>
      <w:hyperlink r:id="rId22" w:history="1">
        <w:r w:rsidRPr="00967D3A">
          <w:rPr>
            <w:rStyle w:val="Hyperlink"/>
            <w:sz w:val="26"/>
            <w:szCs w:val="26"/>
          </w:rPr>
          <w:t>C19/62</w:t>
        </w:r>
      </w:hyperlink>
      <w:r w:rsidRPr="00967D3A">
        <w:t xml:space="preserve">, </w:t>
      </w:r>
      <w:hyperlink r:id="rId23" w:history="1">
        <w:r w:rsidRPr="00967D3A">
          <w:rPr>
            <w:rStyle w:val="Hyperlink"/>
            <w:sz w:val="26"/>
            <w:szCs w:val="26"/>
          </w:rPr>
          <w:t>C19/66</w:t>
        </w:r>
      </w:hyperlink>
      <w:r w:rsidRPr="00967D3A">
        <w:t xml:space="preserve">, </w:t>
      </w:r>
      <w:hyperlink r:id="rId24" w:history="1">
        <w:r w:rsidRPr="00967D3A">
          <w:rPr>
            <w:rStyle w:val="Hyperlink"/>
            <w:sz w:val="26"/>
            <w:szCs w:val="26"/>
          </w:rPr>
          <w:t>C19/71</w:t>
        </w:r>
      </w:hyperlink>
      <w:r w:rsidRPr="00967D3A">
        <w:t xml:space="preserve">, </w:t>
      </w:r>
      <w:hyperlink r:id="rId25" w:history="1">
        <w:r w:rsidRPr="00967D3A">
          <w:rPr>
            <w:rStyle w:val="Hyperlink"/>
            <w:sz w:val="26"/>
            <w:szCs w:val="26"/>
          </w:rPr>
          <w:t>C19/84</w:t>
        </w:r>
      </w:hyperlink>
      <w:r w:rsidRPr="00967D3A">
        <w:t xml:space="preserve">, </w:t>
      </w:r>
      <w:hyperlink r:id="rId26" w:history="1">
        <w:r w:rsidRPr="00967D3A">
          <w:rPr>
            <w:rStyle w:val="Hyperlink"/>
            <w:sz w:val="26"/>
            <w:szCs w:val="26"/>
          </w:rPr>
          <w:t>C19/92</w:t>
        </w:r>
      </w:hyperlink>
      <w:r w:rsidRPr="00967D3A">
        <w:t xml:space="preserve"> y </w:t>
      </w:r>
      <w:hyperlink r:id="rId27" w:history="1">
        <w:r w:rsidRPr="00967D3A">
          <w:rPr>
            <w:rStyle w:val="Hyperlink"/>
            <w:sz w:val="26"/>
            <w:szCs w:val="26"/>
          </w:rPr>
          <w:t>C19/97</w:t>
        </w:r>
      </w:hyperlink>
      <w:r w:rsidRPr="00967D3A">
        <w:t>)</w:t>
      </w:r>
    </w:p>
    <w:p w14:paraId="1AC4FAF2" w14:textId="77777777" w:rsidR="00967D3A" w:rsidRPr="00967D3A" w:rsidRDefault="00967D3A" w:rsidP="006037F3">
      <w:r w:rsidRPr="00967D3A">
        <w:t>1.1</w:t>
      </w:r>
      <w:r w:rsidRPr="00967D3A">
        <w:tab/>
        <w:t>El Presidente del GTC-Internet, que participa en la sesión por videoconferencia, presenta el informe contenido en el Documento C19/51, en el que se resumen los principales resultados de la duodécima reunión de este Grupo de Trabajo. Si bien el GTC examinó diversos asuntos importantes a pesar de las limitaciones de tiempo, resultó imposible llegar a un consenso sobre el tema de la siguiente consulta abierta con todas las partes interesadas que se organizaría conforme a su mandato especificado en la Resolución 1336 del Consejo (Mod. 2015). Por consiguiente, el GTC acordó pedir al Consejo que lo orientase al respecto.</w:t>
      </w:r>
    </w:p>
    <w:p w14:paraId="11DBD84E" w14:textId="65B22577" w:rsidR="00967D3A" w:rsidRPr="00967D3A" w:rsidRDefault="00967D3A" w:rsidP="006037F3">
      <w:r w:rsidRPr="00967D3A">
        <w:t>1.2</w:t>
      </w:r>
      <w:r w:rsidRPr="00967D3A">
        <w:tab/>
        <w:t>Los consejeros de Rumania, en nombre de las Administraciones de lo</w:t>
      </w:r>
      <w:r w:rsidR="00B5441C">
        <w:t>s Estados Miembros de la CEPT, Estados Unidos de América,</w:t>
      </w:r>
      <w:r w:rsidRPr="00967D3A">
        <w:t xml:space="preserve"> Brasil,</w:t>
      </w:r>
      <w:r w:rsidR="00B5441C">
        <w:t xml:space="preserve"> Argelia, Côte d’Ivoire y </w:t>
      </w:r>
      <w:r w:rsidRPr="00967D3A">
        <w:t>Arabia Saudita presentan los Documentos C19/61 y su Corrigéndum 1, C19/62, C19/66, C19/84, C19/92 y C19/97, respectivamente, en los que se recogen diversos temas propuestos para la consulta abierta.</w:t>
      </w:r>
    </w:p>
    <w:p w14:paraId="3A05D944" w14:textId="77777777" w:rsidR="00967D3A" w:rsidRDefault="00967D3A" w:rsidP="006037F3">
      <w:r w:rsidRPr="00967D3A">
        <w:t>1.3</w:t>
      </w:r>
      <w:r w:rsidRPr="00967D3A">
        <w:tab/>
        <w:t xml:space="preserve">Varios consejeros se muestran partidarios de seleccionar como tema la política pública internacional relacionada con la creación de capacidades para la gobernanza de Internet en los países en desarrollo, y recuerdan que en el CGT se llegó prácticamente a un consenso a tal efecto; un consejero señala que, si bien reconoce la importancia de esta cuestión, sería más fructífero examinar otros temas. Los diferentes temas sugeridos en relación con la inteligencia artificial suscitan diversos puntos de vista. Algunos consejeros sugieren que se dé prioridad a temas como la implantación del protocolo IPv6, el papel de las redes comunitarias en la promoción de la conectividad en comunidades remotas, carentes de servicios o con servicios precarios o los costes de la </w:t>
      </w:r>
      <w:r w:rsidRPr="00967D3A">
        <w:lastRenderedPageBreak/>
        <w:t>conectividad; por lo general, se reconoce la gran importancia que reviste la cuestión de conectar a los que no lo están.</w:t>
      </w:r>
    </w:p>
    <w:p w14:paraId="0D6CD0A3" w14:textId="2F50D57B" w:rsidR="00967D3A" w:rsidRPr="00967D3A" w:rsidRDefault="00967D3A" w:rsidP="006037F3">
      <w:r w:rsidRPr="00967D3A">
        <w:t>1.4</w:t>
      </w:r>
      <w:r w:rsidRPr="00967D3A">
        <w:tab/>
        <w:t>Se formulan diversas opiniones acerca del número de temas que cabría seleccionar. Algunos consejeros sugieren que en esta sesión tal vez se puedan seleccionar temas para las dos próximas consultas</w:t>
      </w:r>
      <w:r w:rsidR="00A372D2">
        <w:t xml:space="preserve"> y también se destaca </w:t>
      </w:r>
      <w:r w:rsidRPr="00967D3A">
        <w:t xml:space="preserve">la necesidad de que en cada consulta solo se examine un único tema. </w:t>
      </w:r>
      <w:r w:rsidR="00A372D2">
        <w:t>Mientras que d</w:t>
      </w:r>
      <w:r w:rsidRPr="00967D3A">
        <w:t>os consejeros afirman que la decisión acerca de los temas no es compet</w:t>
      </w:r>
      <w:r w:rsidR="00A372D2">
        <w:t>encia del Consejo sino del GTC, o</w:t>
      </w:r>
      <w:r w:rsidRPr="00967D3A">
        <w:t xml:space="preserve">tro señala que si el </w:t>
      </w:r>
      <w:r w:rsidR="00A372D2">
        <w:t>primero</w:t>
      </w:r>
      <w:r w:rsidRPr="00967D3A">
        <w:t xml:space="preserve"> seleccionase el tema de debate, el </w:t>
      </w:r>
      <w:r w:rsidR="00A372D2">
        <w:t>segundo</w:t>
      </w:r>
      <w:r w:rsidRPr="00967D3A">
        <w:t xml:space="preserve"> podría dedicar el poco tiempo del que dispone en su reunión a examinar las cuestiones de fondo de dicho tema. Un consejero subraya que al organizar las reuniones del GTC-Internet, ha de evitarse que estas coincidan con otras reuniones de la UIT.</w:t>
      </w:r>
    </w:p>
    <w:p w14:paraId="228CA2E8" w14:textId="1FE7C789" w:rsidR="00967D3A" w:rsidRPr="00967D3A" w:rsidRDefault="00967D3A" w:rsidP="006037F3">
      <w:r w:rsidRPr="00967D3A">
        <w:t>1.5</w:t>
      </w:r>
      <w:r w:rsidRPr="00967D3A">
        <w:tab/>
        <w:t>El Presidente del GTC-Internet manifiesta su agradecimiento por las contribuciones presentadas y las observaciones realizadas y hace hincapié en la importancia de que en esta reunión del Consejo se llegue a un acuerdo sobre el tema de la próxima consulta abierta</w:t>
      </w:r>
      <w:r w:rsidR="00A372D2">
        <w:t>,</w:t>
      </w:r>
      <w:r w:rsidRPr="00967D3A">
        <w:t xml:space="preserve"> de modo que el </w:t>
      </w:r>
      <w:r w:rsidR="00A372D2">
        <w:t>Grupo de Trabajo</w:t>
      </w:r>
      <w:r w:rsidRPr="00967D3A">
        <w:t xml:space="preserve"> disponga de tiempo suficiente para examinar el fondo del tema en su próxima reunión. Propone que se celebre un debate oficioso y que tras él se considere la posibilidad de crear un grupo de trabajo encargado de seguir analizando la cuestión. Asimismo, pide al Consejo que asigne más tiempo a las reuniones del GTC-Internet, dado que las reuniones de un solo día no bastan para llevar debidamente a cabo el debate.</w:t>
      </w:r>
    </w:p>
    <w:p w14:paraId="08525FC6" w14:textId="77777777" w:rsidR="00967D3A" w:rsidRPr="00967D3A" w:rsidRDefault="00967D3A" w:rsidP="006037F3">
      <w:r w:rsidRPr="00967D3A">
        <w:t>1.6</w:t>
      </w:r>
      <w:r w:rsidRPr="00967D3A">
        <w:tab/>
        <w:t xml:space="preserve">El Consejo </w:t>
      </w:r>
      <w:r w:rsidRPr="00967D3A">
        <w:rPr>
          <w:b/>
        </w:rPr>
        <w:t>toma nota</w:t>
      </w:r>
      <w:r w:rsidRPr="00967D3A">
        <w:t xml:space="preserve"> del informe de la duodécima reunión del GTC-Internet.</w:t>
      </w:r>
    </w:p>
    <w:p w14:paraId="5B30D8F7" w14:textId="17B25AAE" w:rsidR="00967D3A" w:rsidRDefault="00967D3A" w:rsidP="008254DA">
      <w:r w:rsidRPr="00967D3A">
        <w:t>1.7</w:t>
      </w:r>
      <w:r w:rsidRPr="00967D3A">
        <w:tab/>
        <w:t xml:space="preserve">El Presidente </w:t>
      </w:r>
      <w:r w:rsidR="008254DA">
        <w:t>en funciones</w:t>
      </w:r>
      <w:r w:rsidRPr="00967D3A">
        <w:t xml:space="preserve"> propone que, como el Presidente del GTC-Internet no </w:t>
      </w:r>
      <w:r w:rsidR="00DE084E">
        <w:t>ha podido</w:t>
      </w:r>
      <w:r w:rsidRPr="00967D3A">
        <w:t xml:space="preserve"> asistir a la reunión en Ginebra, el consejero de la India y Vicepresidente primero de este Grupo de Trabajo se encargue de coordinar las consultas oficiosas sobre el tema y el texto de las </w:t>
      </w:r>
      <w:r w:rsidR="00DE084E">
        <w:t>c</w:t>
      </w:r>
      <w:r w:rsidRPr="00967D3A">
        <w:t xml:space="preserve">uestiones de la próxima consulta. Habida cuenta de la diversidad de temas posibles, se podría considerar la posibilidad de seleccionar dos temas de consulta: uno para el periodo comprendido hasta la </w:t>
      </w:r>
      <w:r w:rsidRPr="00967D3A">
        <w:lastRenderedPageBreak/>
        <w:t>reunión de septiembre de 2019 del GTC-Internet y otro para el periodo comprendido entre octubre y la reunión de este Grupo de Trabajo prevista a principios de 2020.</w:t>
      </w:r>
    </w:p>
    <w:p w14:paraId="7C0051BF" w14:textId="7D5BECF5" w:rsidR="00967D3A" w:rsidRPr="00967D3A" w:rsidRDefault="00967D3A" w:rsidP="006037F3">
      <w:r w:rsidRPr="00967D3A">
        <w:t>1.9</w:t>
      </w:r>
      <w:r w:rsidRPr="00967D3A">
        <w:tab/>
        <w:t xml:space="preserve">Así </w:t>
      </w:r>
      <w:r w:rsidR="00DE084E">
        <w:t>se</w:t>
      </w:r>
      <w:r w:rsidRPr="00967D3A">
        <w:t xml:space="preserve"> </w:t>
      </w:r>
      <w:r w:rsidRPr="00967D3A">
        <w:rPr>
          <w:b/>
        </w:rPr>
        <w:t>ac</w:t>
      </w:r>
      <w:r w:rsidR="00DE084E">
        <w:rPr>
          <w:b/>
        </w:rPr>
        <w:t>uerda</w:t>
      </w:r>
      <w:r w:rsidRPr="00967D3A">
        <w:t>.</w:t>
      </w:r>
    </w:p>
    <w:p w14:paraId="334CFA4F" w14:textId="77777777" w:rsidR="00967D3A" w:rsidRDefault="00967D3A" w:rsidP="006037F3">
      <w:r w:rsidRPr="00967D3A">
        <w:t>1.10</w:t>
      </w:r>
      <w:r w:rsidRPr="00967D3A">
        <w:tab/>
        <w:t>El consejero de la Federación de Rusia, pronunciándose también en nombre de Armenia, Kirguistán y Uzbekistán, presenta una propuesta recogida en el Documento C19/71 relativa a la revisión y la fusión de las Resoluciones 1336 y 1344 del Consejo, ambas relacionadas con las actividades del GTC-Internet.</w:t>
      </w:r>
    </w:p>
    <w:p w14:paraId="2B2B6E29" w14:textId="1A5FFCC3" w:rsidR="00967D3A" w:rsidRDefault="00967D3A" w:rsidP="006037F3">
      <w:r w:rsidRPr="00967D3A">
        <w:t>1.11</w:t>
      </w:r>
      <w:r w:rsidRPr="00967D3A">
        <w:tab/>
        <w:t xml:space="preserve">Los consejeros observan que aunque ambas resoluciones estén relacionadas, sus </w:t>
      </w:r>
      <w:r w:rsidR="00DE084E">
        <w:t>objetivos</w:t>
      </w:r>
      <w:r w:rsidRPr="00967D3A">
        <w:t xml:space="preserve"> son distintos. Algunos opinan que, dadas esas diferencias y el riesgo de que la fusión de las </w:t>
      </w:r>
      <w:r w:rsidR="00DE084E">
        <w:t>R</w:t>
      </w:r>
      <w:r w:rsidRPr="00967D3A">
        <w:t xml:space="preserve">esoluciones acarree una pérdida de contenido, y al no haber necesidad apremiante alguna de proceder con dicha fusión, ambas resoluciones han de permanecer separadas. Otros manifiestan su apoyo a la propuesta, </w:t>
      </w:r>
      <w:r w:rsidR="00A372D2">
        <w:t>en el entendimiento de</w:t>
      </w:r>
      <w:r w:rsidRPr="00967D3A">
        <w:t xml:space="preserve"> que esta contribuiría a la agilización de la gestión del GTC-Internet y, con ello, a la mejora de la eficiencia.</w:t>
      </w:r>
    </w:p>
    <w:p w14:paraId="3C2DDCFB" w14:textId="60BAFD7B" w:rsidR="00967D3A" w:rsidRDefault="00967D3A" w:rsidP="008254DA">
      <w:r w:rsidRPr="00967D3A">
        <w:t>1.12</w:t>
      </w:r>
      <w:r w:rsidRPr="00967D3A">
        <w:tab/>
        <w:t xml:space="preserve">El Presidente </w:t>
      </w:r>
      <w:r w:rsidR="008254DA">
        <w:t>en funciones</w:t>
      </w:r>
      <w:r w:rsidRPr="00967D3A">
        <w:t xml:space="preserve"> propone que el consejero de la Federación de Rusia celebre con las partes interesadas un debate oficioso sobre la propuesta de su país e informe de ello a la Plenaria.</w:t>
      </w:r>
    </w:p>
    <w:p w14:paraId="46836AF7" w14:textId="0CC672A8" w:rsidR="00967D3A" w:rsidRPr="00967D3A" w:rsidRDefault="00967D3A" w:rsidP="006037F3">
      <w:r w:rsidRPr="00967D3A">
        <w:t>1.13</w:t>
      </w:r>
      <w:r w:rsidRPr="00967D3A">
        <w:tab/>
        <w:t xml:space="preserve">Así </w:t>
      </w:r>
      <w:r w:rsidR="00DE084E">
        <w:t>se</w:t>
      </w:r>
      <w:r w:rsidRPr="00967D3A">
        <w:t xml:space="preserve"> </w:t>
      </w:r>
      <w:r w:rsidRPr="00967D3A">
        <w:rPr>
          <w:b/>
        </w:rPr>
        <w:t>ac</w:t>
      </w:r>
      <w:r w:rsidR="00DE084E">
        <w:rPr>
          <w:b/>
        </w:rPr>
        <w:t>uerda</w:t>
      </w:r>
      <w:r w:rsidRPr="00967D3A">
        <w:t>.</w:t>
      </w:r>
    </w:p>
    <w:p w14:paraId="3AAB6125" w14:textId="77777777" w:rsidR="00967D3A" w:rsidRPr="00967D3A" w:rsidRDefault="00967D3A" w:rsidP="009A418B">
      <w:pPr>
        <w:pStyle w:val="Heading1"/>
      </w:pPr>
      <w:r w:rsidRPr="00967D3A">
        <w:t>2</w:t>
      </w:r>
      <w:r w:rsidRPr="00967D3A">
        <w:tab/>
      </w:r>
      <w:r w:rsidRPr="009A418B">
        <w:t>Preparativos</w:t>
      </w:r>
      <w:r w:rsidRPr="00967D3A">
        <w:t xml:space="preserve"> para el Foro Mundial de Política de las Telecomunicaciones/TIC de 2021 (FMPT-21) (continuación) (Documento </w:t>
      </w:r>
      <w:hyperlink r:id="rId28" w:history="1">
        <w:r w:rsidRPr="00967D3A">
          <w:rPr>
            <w:rStyle w:val="Hyperlink"/>
            <w:sz w:val="26"/>
            <w:szCs w:val="26"/>
          </w:rPr>
          <w:t>C19/DL/2</w:t>
        </w:r>
      </w:hyperlink>
      <w:r w:rsidRPr="00967D3A">
        <w:t>)</w:t>
      </w:r>
    </w:p>
    <w:p w14:paraId="5BBA92FE" w14:textId="290EB77F" w:rsidR="00967D3A" w:rsidRDefault="00967D3A" w:rsidP="006037F3">
      <w:r w:rsidRPr="00967D3A">
        <w:t>2.1</w:t>
      </w:r>
      <w:r w:rsidRPr="00967D3A">
        <w:tab/>
        <w:t xml:space="preserve">El consejero de Bahamas, que ha presidido el </w:t>
      </w:r>
      <w:r w:rsidR="00DE084E">
        <w:t>G</w:t>
      </w:r>
      <w:r w:rsidRPr="00967D3A">
        <w:t xml:space="preserve">rupo de </w:t>
      </w:r>
      <w:r w:rsidR="00DE084E">
        <w:t>T</w:t>
      </w:r>
      <w:r w:rsidRPr="00967D3A">
        <w:t xml:space="preserve">rabajo que se constituyó para preparar un proyecto de </w:t>
      </w:r>
      <w:r w:rsidR="00DE084E">
        <w:t>Acuerdo</w:t>
      </w:r>
      <w:r w:rsidRPr="00967D3A">
        <w:t xml:space="preserve"> sobre la duración, la fecha, el lugar de celebración y los temas del FMPT-21, comunica al Consejo que los resultados de la primera reunión de ese </w:t>
      </w:r>
      <w:r w:rsidR="00DE084E">
        <w:t>G</w:t>
      </w:r>
      <w:r w:rsidRPr="00967D3A">
        <w:t>rupo constan en el Documento C19/DL/2 y señala que</w:t>
      </w:r>
      <w:r w:rsidR="00DE084E">
        <w:t>,</w:t>
      </w:r>
      <w:r w:rsidRPr="00967D3A">
        <w:t xml:space="preserve"> aunque ya se haya </w:t>
      </w:r>
      <w:r w:rsidRPr="00967D3A">
        <w:lastRenderedPageBreak/>
        <w:t>decidido el tema general del Foro, aún deben celebrarse nuevas consultas para seleccionar las temáticas específicas.</w:t>
      </w:r>
    </w:p>
    <w:p w14:paraId="1FA61036" w14:textId="5D09BB07" w:rsidR="00967D3A" w:rsidRPr="00967D3A" w:rsidRDefault="00967D3A" w:rsidP="009A418B">
      <w:pPr>
        <w:pStyle w:val="Heading1"/>
      </w:pPr>
      <w:r w:rsidRPr="00967D3A">
        <w:t>3</w:t>
      </w:r>
      <w:r w:rsidRPr="00967D3A">
        <w:tab/>
      </w:r>
      <w:r w:rsidRPr="009A418B">
        <w:t>Seguimiento</w:t>
      </w:r>
      <w:r w:rsidRPr="00967D3A">
        <w:t xml:space="preserve"> de la Resolución 146 (Rev. Dubái, 2018):</w:t>
      </w:r>
      <w:r w:rsidR="002C6CBE">
        <w:t xml:space="preserve"> </w:t>
      </w:r>
      <w:r w:rsidRPr="00967D3A">
        <w:t xml:space="preserve">Examen periódico y revisión del Reglamento de las Telecomunicaciones Internacionales (continuación) (Documento </w:t>
      </w:r>
      <w:hyperlink r:id="rId29" w:history="1">
        <w:r w:rsidRPr="00967D3A">
          <w:rPr>
            <w:rStyle w:val="Hyperlink"/>
            <w:sz w:val="26"/>
            <w:szCs w:val="26"/>
          </w:rPr>
          <w:t>C19/DL/3</w:t>
        </w:r>
      </w:hyperlink>
      <w:r w:rsidRPr="00967D3A">
        <w:t>)</w:t>
      </w:r>
    </w:p>
    <w:p w14:paraId="40C8BDB6" w14:textId="2545131C" w:rsidR="00967D3A" w:rsidRDefault="00967D3A" w:rsidP="006037F3">
      <w:r w:rsidRPr="00967D3A">
        <w:t>3.1</w:t>
      </w:r>
      <w:r w:rsidRPr="00967D3A">
        <w:tab/>
        <w:t>El consejero de Ghana, que ha presidido una reunión oficiosa preliminar para examinar el mandato y los métodos de trabajo del Grupo de Expertos sobre el Reglamento de las Telecomunicaciones Internacionales (GE-RTI), hace referencia al Documento C19/DL/3 en el que se exponen los resultados de esa reunión.</w:t>
      </w:r>
    </w:p>
    <w:p w14:paraId="7022BDA4" w14:textId="30333D4B" w:rsidR="00967D3A" w:rsidRPr="00967D3A" w:rsidRDefault="00967D3A" w:rsidP="009A418B">
      <w:pPr>
        <w:pStyle w:val="Heading1"/>
      </w:pPr>
      <w:r w:rsidRPr="00967D3A">
        <w:t>4</w:t>
      </w:r>
      <w:r w:rsidRPr="00967D3A">
        <w:tab/>
        <w:t xml:space="preserve">Informe </w:t>
      </w:r>
      <w:r w:rsidRPr="009A418B">
        <w:t>sobre</w:t>
      </w:r>
      <w:r w:rsidRPr="00967D3A">
        <w:t xml:space="preserve"> los resultados de las actividades del GTC-CMSI+ODS desde la reunión de 2018 del Consejo (Documentos </w:t>
      </w:r>
      <w:hyperlink r:id="rId30" w:history="1">
        <w:r w:rsidRPr="00967D3A">
          <w:rPr>
            <w:rStyle w:val="Hyperlink"/>
            <w:sz w:val="26"/>
            <w:szCs w:val="26"/>
          </w:rPr>
          <w:t>C19/8</w:t>
        </w:r>
      </w:hyperlink>
      <w:r w:rsidRPr="00967D3A">
        <w:t xml:space="preserve">, </w:t>
      </w:r>
      <w:hyperlink r:id="rId31" w:history="1">
        <w:r w:rsidRPr="00967D3A">
          <w:rPr>
            <w:rStyle w:val="Hyperlink"/>
            <w:sz w:val="26"/>
            <w:szCs w:val="26"/>
          </w:rPr>
          <w:t>C19/70</w:t>
        </w:r>
      </w:hyperlink>
      <w:r w:rsidRPr="00967D3A">
        <w:t xml:space="preserve"> y </w:t>
      </w:r>
      <w:hyperlink r:id="rId32" w:history="1">
        <w:r w:rsidRPr="00967D3A">
          <w:rPr>
            <w:rStyle w:val="Hyperlink"/>
            <w:sz w:val="26"/>
            <w:szCs w:val="26"/>
          </w:rPr>
          <w:t>C19/INF/13 (Rev.</w:t>
        </w:r>
        <w:r w:rsidR="002C6CBE">
          <w:rPr>
            <w:rStyle w:val="Hyperlink"/>
            <w:sz w:val="26"/>
            <w:szCs w:val="26"/>
          </w:rPr>
          <w:t xml:space="preserve"> </w:t>
        </w:r>
        <w:r w:rsidRPr="00967D3A">
          <w:rPr>
            <w:rStyle w:val="Hyperlink"/>
            <w:sz w:val="26"/>
            <w:szCs w:val="26"/>
          </w:rPr>
          <w:t>1)</w:t>
        </w:r>
      </w:hyperlink>
      <w:r w:rsidRPr="00967D3A">
        <w:t>)</w:t>
      </w:r>
    </w:p>
    <w:p w14:paraId="7FD22433" w14:textId="53123D49" w:rsidR="00967D3A" w:rsidRPr="00967D3A" w:rsidRDefault="00967D3A" w:rsidP="006037F3">
      <w:r w:rsidRPr="00967D3A">
        <w:t>4.1</w:t>
      </w:r>
      <w:r w:rsidRPr="00967D3A">
        <w:tab/>
        <w:t xml:space="preserve">El Presidente del GTC-CMSI+ODS presenta el </w:t>
      </w:r>
      <w:r w:rsidR="00DE084E">
        <w:t>I</w:t>
      </w:r>
      <w:r w:rsidRPr="00967D3A">
        <w:t>nforme sobre los resultados de las actividades realizadas por este Grupo de Trabajo desde la reunión de 2018 del Consejo (Documento C19/8) y remite a las recomendaciones recogidas en el mismo. Asimismo, presenta la recopilación de los informes sobre las contribuciones anuales del Consejo al Foro Político de Alto Nivel de las Naciones Unidas sobre Desarrollo Sostenible, que figura en el Documento C19/INF/13 (Rev. 1).</w:t>
      </w:r>
    </w:p>
    <w:p w14:paraId="3BC3C0D3" w14:textId="2FC50EB2" w:rsidR="00967D3A" w:rsidRPr="00967D3A" w:rsidRDefault="00967D3A" w:rsidP="006037F3">
      <w:r w:rsidRPr="00967D3A">
        <w:t>4.2</w:t>
      </w:r>
      <w:r w:rsidRPr="00967D3A">
        <w:tab/>
        <w:t xml:space="preserve">El Consejo acoge con beneplácito el informe y manifiesta su apoyo al enfoque </w:t>
      </w:r>
      <w:r w:rsidR="00DE084E">
        <w:t xml:space="preserve">multipartito </w:t>
      </w:r>
      <w:r w:rsidRPr="00967D3A">
        <w:t>de la CMSI. Un consejero propone que en el concurso de Premios CMSI se tengan más en cuenta las repercusiones de los proyectos de los candidatos, en lugar de basar puramente sus resultados en el número de votos que reciba cada uno de ellos. Otro consejero pide aclaraciones sobre los foros regionales preparatorios</w:t>
      </w:r>
      <w:r w:rsidR="00061C2D">
        <w:t xml:space="preserve"> y </w:t>
      </w:r>
      <w:r w:rsidR="00061C2D">
        <w:lastRenderedPageBreak/>
        <w:t>e</w:t>
      </w:r>
      <w:r w:rsidRPr="00967D3A">
        <w:t xml:space="preserve">l Presidente del GTC-CMSI+ODS responde </w:t>
      </w:r>
      <w:r w:rsidR="00061C2D">
        <w:t xml:space="preserve">que esos foros </w:t>
      </w:r>
      <w:r w:rsidRPr="00967D3A">
        <w:t>se celebrarán antes del Foro anual de la CMSI a fin de analizar con mayor detenimiento los intereses de cada región.</w:t>
      </w:r>
    </w:p>
    <w:p w14:paraId="5FC921B6" w14:textId="77777777" w:rsidR="00967D3A" w:rsidRPr="00967D3A" w:rsidRDefault="00967D3A" w:rsidP="006037F3">
      <w:r w:rsidRPr="00967D3A">
        <w:t>4.3</w:t>
      </w:r>
      <w:r w:rsidRPr="00967D3A">
        <w:tab/>
        <w:t xml:space="preserve">El Consejo </w:t>
      </w:r>
      <w:r w:rsidRPr="00967D3A">
        <w:rPr>
          <w:b/>
        </w:rPr>
        <w:t>toma nota</w:t>
      </w:r>
      <w:r w:rsidRPr="00967D3A">
        <w:t xml:space="preserve"> del Documento C19/8 y </w:t>
      </w:r>
      <w:r w:rsidRPr="00967D3A">
        <w:rPr>
          <w:b/>
        </w:rPr>
        <w:t>aprueba</w:t>
      </w:r>
      <w:r w:rsidRPr="00967D3A">
        <w:t xml:space="preserve"> las recomendaciones consignadas en él. Del mismo modo, </w:t>
      </w:r>
      <w:r w:rsidRPr="00967D3A">
        <w:rPr>
          <w:b/>
        </w:rPr>
        <w:t xml:space="preserve">aprueba </w:t>
      </w:r>
      <w:r w:rsidRPr="00967D3A">
        <w:t>la recopilación de los informes sobre las contribuciones anuales del Consejo al Foro Político de Alto Nivel que figura en el Documento C19/INF/13 (Rev. 1) y su presentación al Foro en septiembre de 2019.</w:t>
      </w:r>
    </w:p>
    <w:p w14:paraId="421F32C3" w14:textId="38DD7BBD" w:rsidR="00967D3A" w:rsidRPr="00967D3A" w:rsidRDefault="00967D3A" w:rsidP="006037F3">
      <w:r w:rsidRPr="00967D3A">
        <w:t>4.4</w:t>
      </w:r>
      <w:r w:rsidRPr="00967D3A">
        <w:tab/>
        <w:t>El consejero de la Federación de Rusia presenta el Documento C19/70</w:t>
      </w:r>
      <w:r w:rsidR="00C64A38">
        <w:t>,</w:t>
      </w:r>
      <w:r w:rsidRPr="00967D3A">
        <w:t xml:space="preserve"> en el que se recogen las propuestas de revisión de la Resolución 1332 del Consejo (modificada en 2016) a</w:t>
      </w:r>
      <w:r w:rsidR="00DE084E">
        <w:t>rmonizarla con</w:t>
      </w:r>
      <w:r w:rsidRPr="00967D3A">
        <w:t xml:space="preserve"> la Resolución 140 (Rev. Dubái, 2018).</w:t>
      </w:r>
    </w:p>
    <w:p w14:paraId="41EB2F0B" w14:textId="3FD64402" w:rsidR="00967D3A" w:rsidRPr="00967D3A" w:rsidRDefault="00967D3A" w:rsidP="008254DA">
      <w:r w:rsidRPr="00967D3A">
        <w:t>4.5</w:t>
      </w:r>
      <w:r w:rsidRPr="00967D3A">
        <w:tab/>
        <w:t xml:space="preserve">El Presidente </w:t>
      </w:r>
      <w:r w:rsidR="008254DA">
        <w:t>en funciones</w:t>
      </w:r>
      <w:r w:rsidRPr="00967D3A">
        <w:t xml:space="preserve"> sugiere que el consejero de la Federación de Rusia celebre con las partes interesadas consultas oficiosas sobre la propuesta de su país e informe de ello a la Plenaria.</w:t>
      </w:r>
    </w:p>
    <w:p w14:paraId="7678886B" w14:textId="5C8209E4" w:rsidR="00967D3A" w:rsidRPr="00967D3A" w:rsidRDefault="00967D3A" w:rsidP="006037F3">
      <w:r w:rsidRPr="00967D3A">
        <w:t>4.6</w:t>
      </w:r>
      <w:r w:rsidRPr="00967D3A">
        <w:tab/>
        <w:t xml:space="preserve">Así </w:t>
      </w:r>
      <w:r w:rsidR="00DE084E">
        <w:t>se</w:t>
      </w:r>
      <w:r w:rsidRPr="00967D3A">
        <w:t xml:space="preserve"> </w:t>
      </w:r>
      <w:r w:rsidRPr="00967D3A">
        <w:rPr>
          <w:b/>
        </w:rPr>
        <w:t>ac</w:t>
      </w:r>
      <w:r w:rsidR="00DE084E">
        <w:rPr>
          <w:b/>
        </w:rPr>
        <w:t>uerda</w:t>
      </w:r>
      <w:r w:rsidRPr="00967D3A">
        <w:t>.</w:t>
      </w:r>
    </w:p>
    <w:p w14:paraId="09165F65" w14:textId="77777777" w:rsidR="00967D3A" w:rsidRPr="00967D3A" w:rsidRDefault="00967D3A" w:rsidP="009A418B">
      <w:pPr>
        <w:pStyle w:val="Heading1"/>
      </w:pPr>
      <w:r w:rsidRPr="00967D3A">
        <w:t>5</w:t>
      </w:r>
      <w:r w:rsidRPr="00967D3A">
        <w:tab/>
        <w:t>Declaración del consejero de Kuwait</w:t>
      </w:r>
    </w:p>
    <w:p w14:paraId="3A56562C" w14:textId="22D5EBD6" w:rsidR="00967D3A" w:rsidRPr="00967D3A" w:rsidRDefault="00967D3A" w:rsidP="006037F3">
      <w:r w:rsidRPr="00967D3A">
        <w:t>5.1</w:t>
      </w:r>
      <w:r w:rsidRPr="00967D3A">
        <w:tab/>
        <w:t xml:space="preserve">El consejero de Kuwait, tras celebrar el éxito de la PP-18, declara que su Gobierno es plenamente consciente de la importancia de las TIC y está firmemente comprometido a desarrollar el sector para conseguir que </w:t>
      </w:r>
      <w:r w:rsidR="00330F1B">
        <w:t>su país</w:t>
      </w:r>
      <w:r w:rsidRPr="00967D3A">
        <w:t xml:space="preserve"> se convierta en un centro de macrodatos, un pionero de la 5G y un punto central a escala regional y mundial para el desarrollo de las TIC. La Unión ha desempeñado un papel fundamental en el aprovechamiento de las TIC en aras del bien público, en particular por conducto de sus </w:t>
      </w:r>
      <w:r w:rsidR="002B1F55">
        <w:t>O</w:t>
      </w:r>
      <w:r w:rsidRPr="00967D3A">
        <w:t xml:space="preserve">ficinas </w:t>
      </w:r>
      <w:r w:rsidR="002B1F55">
        <w:t>R</w:t>
      </w:r>
      <w:r w:rsidRPr="00967D3A">
        <w:t>egionales que han de recibir todos los recursos humanos y financieros necesarios.</w:t>
      </w:r>
    </w:p>
    <w:p w14:paraId="1D349D78" w14:textId="3C0464B8" w:rsidR="00967D3A" w:rsidRPr="00967D3A" w:rsidRDefault="00967D3A" w:rsidP="006037F3">
      <w:r w:rsidRPr="00967D3A">
        <w:t>5.2</w:t>
      </w:r>
      <w:r w:rsidRPr="00967D3A">
        <w:tab/>
        <w:t>El Secretario General declara que se sintió muy honrado al recibir un premio del Gobierno de Kuwait en reconocimiento de los logros de la Unión y acoge con beneplácito el compromiso constante de</w:t>
      </w:r>
      <w:r w:rsidR="00330F1B">
        <w:t xml:space="preserve"> este</w:t>
      </w:r>
      <w:r w:rsidRPr="00967D3A">
        <w:t xml:space="preserve"> país con el desarrollo de las TIC.</w:t>
      </w:r>
    </w:p>
    <w:p w14:paraId="0689C303" w14:textId="77777777" w:rsidR="00967D3A" w:rsidRPr="00967D3A" w:rsidRDefault="00967D3A" w:rsidP="00967D3A">
      <w:pPr>
        <w:tabs>
          <w:tab w:val="clear" w:pos="567"/>
          <w:tab w:val="clear" w:pos="1134"/>
          <w:tab w:val="clear" w:pos="1701"/>
          <w:tab w:val="clear" w:pos="2268"/>
          <w:tab w:val="clear" w:pos="2835"/>
          <w:tab w:val="left" w:pos="6521"/>
        </w:tabs>
        <w:snapToGrid w:val="0"/>
        <w:spacing w:before="600"/>
        <w:jc w:val="both"/>
        <w:rPr>
          <w:szCs w:val="24"/>
        </w:rPr>
      </w:pPr>
      <w:r w:rsidRPr="00967D3A">
        <w:lastRenderedPageBreak/>
        <w:t>El Secretario General:</w:t>
      </w:r>
      <w:r w:rsidRPr="00967D3A">
        <w:tab/>
        <w:t>El Presidente en funciones:</w:t>
      </w:r>
    </w:p>
    <w:p w14:paraId="6E0B0954" w14:textId="77777777" w:rsidR="00967D3A" w:rsidRPr="00967D3A" w:rsidRDefault="00967D3A" w:rsidP="00967D3A">
      <w:pPr>
        <w:tabs>
          <w:tab w:val="clear" w:pos="567"/>
          <w:tab w:val="clear" w:pos="1134"/>
          <w:tab w:val="clear" w:pos="1701"/>
          <w:tab w:val="clear" w:pos="2268"/>
          <w:tab w:val="clear" w:pos="2835"/>
          <w:tab w:val="left" w:pos="6521"/>
        </w:tabs>
        <w:snapToGrid w:val="0"/>
        <w:spacing w:before="0" w:after="120"/>
        <w:jc w:val="both"/>
        <w:rPr>
          <w:szCs w:val="24"/>
        </w:rPr>
      </w:pPr>
      <w:r w:rsidRPr="00967D3A">
        <w:t>H. ZHAO</w:t>
      </w:r>
      <w:r w:rsidRPr="00967D3A">
        <w:tab/>
        <w:t>F. BIGI</w:t>
      </w:r>
    </w:p>
    <w:p w14:paraId="3871C10B" w14:textId="77777777" w:rsidR="00967D3A" w:rsidRPr="00967D3A" w:rsidRDefault="00967D3A" w:rsidP="00967D3A">
      <w:pPr>
        <w:spacing w:before="840"/>
        <w:jc w:val="center"/>
      </w:pPr>
      <w:r w:rsidRPr="00967D3A">
        <w:t>___________________</w:t>
      </w:r>
    </w:p>
    <w:p w14:paraId="7F07A1A1" w14:textId="77777777" w:rsidR="00967D3A" w:rsidRPr="00967D3A" w:rsidRDefault="00967D3A" w:rsidP="00967D3A"/>
    <w:sectPr w:rsidR="00967D3A" w:rsidRPr="00967D3A" w:rsidSect="006710F6">
      <w:headerReference w:type="default" r:id="rId33"/>
      <w:footerReference w:type="default" r:id="rId34"/>
      <w:footerReference w:type="first" r:id="rId3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A3545" w14:textId="77777777" w:rsidR="00CC4617" w:rsidRDefault="00CC4617">
      <w:r>
        <w:separator/>
      </w:r>
    </w:p>
  </w:endnote>
  <w:endnote w:type="continuationSeparator" w:id="0">
    <w:p w14:paraId="5E22F7CA" w14:textId="77777777" w:rsidR="00CC4617" w:rsidRDefault="00CC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042BA" w14:textId="77777777" w:rsidR="00760F1C" w:rsidRPr="00515785" w:rsidRDefault="00D30277" w:rsidP="00D30277">
    <w:pPr>
      <w:pStyle w:val="Footer"/>
      <w:rPr>
        <w:color w:val="D9D9D9" w:themeColor="background1" w:themeShade="D9"/>
        <w:lang w:val="fr-CH"/>
      </w:rPr>
    </w:pPr>
    <w:r w:rsidRPr="00515785">
      <w:rPr>
        <w:color w:val="D9D9D9" w:themeColor="background1" w:themeShade="D9"/>
        <w:lang w:val="en-US"/>
      </w:rPr>
      <w:fldChar w:fldCharType="begin"/>
    </w:r>
    <w:r w:rsidRPr="00515785">
      <w:rPr>
        <w:color w:val="D9D9D9" w:themeColor="background1" w:themeShade="D9"/>
        <w:lang w:val="fr-CH"/>
      </w:rPr>
      <w:instrText xml:space="preserve"> FILENAME \p \* MERGEFORMAT </w:instrText>
    </w:r>
    <w:r w:rsidRPr="00515785">
      <w:rPr>
        <w:color w:val="D9D9D9" w:themeColor="background1" w:themeShade="D9"/>
        <w:lang w:val="en-US"/>
      </w:rPr>
      <w:fldChar w:fldCharType="separate"/>
    </w:r>
    <w:r w:rsidR="004D5F3C" w:rsidRPr="00515785">
      <w:rPr>
        <w:color w:val="D9D9D9" w:themeColor="background1" w:themeShade="D9"/>
        <w:lang w:val="fr-CH"/>
      </w:rPr>
      <w:t>P:\ESP\SG\CONSEIL\C19\100\114S.docx</w:t>
    </w:r>
    <w:r w:rsidRPr="00515785">
      <w:rPr>
        <w:color w:val="D9D9D9" w:themeColor="background1" w:themeShade="D9"/>
        <w:lang w:val="en-US"/>
      </w:rPr>
      <w:fldChar w:fldCharType="end"/>
    </w:r>
    <w:r w:rsidRPr="00515785">
      <w:rPr>
        <w:color w:val="D9D9D9" w:themeColor="background1" w:themeShade="D9"/>
        <w:lang w:val="fr-CH"/>
      </w:rPr>
      <w:t xml:space="preserve"> (457049)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01FBC" w14:textId="77777777" w:rsidR="00760F1C" w:rsidRDefault="00760F1C">
    <w:pPr>
      <w:spacing w:after="120"/>
      <w:jc w:val="center"/>
    </w:pPr>
    <w:r>
      <w:t xml:space="preserve">• </w:t>
    </w:r>
    <w:hyperlink r:id="rId1" w:history="1">
      <w:r>
        <w:rPr>
          <w:rStyle w:val="Hyperlink"/>
        </w:rPr>
        <w:t>http://www.itu.int/council</w:t>
      </w:r>
    </w:hyperlink>
    <w:r>
      <w:t xml:space="preserve"> •</w:t>
    </w:r>
  </w:p>
  <w:p w14:paraId="56EE5B91" w14:textId="77777777" w:rsidR="00760F1C" w:rsidRPr="00515785" w:rsidRDefault="00D30277" w:rsidP="00E13312">
    <w:pPr>
      <w:pStyle w:val="Footer"/>
      <w:rPr>
        <w:color w:val="D9D9D9" w:themeColor="background1" w:themeShade="D9"/>
        <w:lang w:val="fr-CH"/>
      </w:rPr>
    </w:pPr>
    <w:r w:rsidRPr="00515785">
      <w:rPr>
        <w:color w:val="D9D9D9" w:themeColor="background1" w:themeShade="D9"/>
        <w:lang w:val="en-US"/>
      </w:rPr>
      <w:fldChar w:fldCharType="begin"/>
    </w:r>
    <w:r w:rsidRPr="00515785">
      <w:rPr>
        <w:color w:val="D9D9D9" w:themeColor="background1" w:themeShade="D9"/>
        <w:lang w:val="fr-CH"/>
      </w:rPr>
      <w:instrText xml:space="preserve"> FILENAME \p \* MERGEFORMAT </w:instrText>
    </w:r>
    <w:r w:rsidRPr="00515785">
      <w:rPr>
        <w:color w:val="D9D9D9" w:themeColor="background1" w:themeShade="D9"/>
        <w:lang w:val="en-US"/>
      </w:rPr>
      <w:fldChar w:fldCharType="separate"/>
    </w:r>
    <w:r w:rsidR="004D5F3C" w:rsidRPr="00515785">
      <w:rPr>
        <w:color w:val="D9D9D9" w:themeColor="background1" w:themeShade="D9"/>
        <w:lang w:val="fr-CH"/>
      </w:rPr>
      <w:t>P:\ESP\SG\CONSEIL\C19\100\114S.docx</w:t>
    </w:r>
    <w:r w:rsidRPr="00515785">
      <w:rPr>
        <w:color w:val="D9D9D9" w:themeColor="background1" w:themeShade="D9"/>
        <w:lang w:val="en-US"/>
      </w:rPr>
      <w:fldChar w:fldCharType="end"/>
    </w:r>
    <w:r w:rsidR="00E13312" w:rsidRPr="00515785">
      <w:rPr>
        <w:color w:val="D9D9D9" w:themeColor="background1" w:themeShade="D9"/>
        <w:lang w:val="fr-CH"/>
      </w:rPr>
      <w:t xml:space="preserve"> (457049)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C4518" w14:textId="77777777" w:rsidR="00CC4617" w:rsidRDefault="00CC4617">
      <w:r>
        <w:t>____________________</w:t>
      </w:r>
    </w:p>
  </w:footnote>
  <w:footnote w:type="continuationSeparator" w:id="0">
    <w:p w14:paraId="48444DE2" w14:textId="77777777" w:rsidR="00CC4617" w:rsidRDefault="00CC4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9301D" w14:textId="77777777" w:rsidR="00760F1C" w:rsidRDefault="000B7C15" w:rsidP="007657F0">
    <w:pPr>
      <w:pStyle w:val="Header"/>
    </w:pPr>
    <w:r>
      <w:fldChar w:fldCharType="begin"/>
    </w:r>
    <w:r>
      <w:instrText>PAGE</w:instrText>
    </w:r>
    <w:r>
      <w:fldChar w:fldCharType="separate"/>
    </w:r>
    <w:r w:rsidR="00515785">
      <w:rPr>
        <w:noProof/>
      </w:rPr>
      <w:t>2</w:t>
    </w:r>
    <w:r>
      <w:rPr>
        <w:noProof/>
      </w:rPr>
      <w:fldChar w:fldCharType="end"/>
    </w:r>
  </w:p>
  <w:p w14:paraId="7247C30A" w14:textId="77777777" w:rsidR="00760F1C" w:rsidRDefault="00760F1C" w:rsidP="00E13312">
    <w:pPr>
      <w:pStyle w:val="Header"/>
    </w:pPr>
    <w:r>
      <w:t>C</w:t>
    </w:r>
    <w:r w:rsidR="007F350B">
      <w:t>1</w:t>
    </w:r>
    <w:r w:rsidR="00C2727F">
      <w:t>9</w:t>
    </w:r>
    <w:r>
      <w:t>/</w:t>
    </w:r>
    <w:r w:rsidR="00E13312">
      <w:t>114</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617"/>
    <w:rsid w:val="00061C2D"/>
    <w:rsid w:val="00093A0E"/>
    <w:rsid w:val="00093EEB"/>
    <w:rsid w:val="000B0D00"/>
    <w:rsid w:val="000B7C15"/>
    <w:rsid w:val="000D1D0F"/>
    <w:rsid w:val="000F5290"/>
    <w:rsid w:val="0010165C"/>
    <w:rsid w:val="001204DC"/>
    <w:rsid w:val="00146BFB"/>
    <w:rsid w:val="001A13F9"/>
    <w:rsid w:val="001F14A2"/>
    <w:rsid w:val="002801AA"/>
    <w:rsid w:val="002B1F55"/>
    <w:rsid w:val="002C4676"/>
    <w:rsid w:val="002C6CBE"/>
    <w:rsid w:val="002C70B0"/>
    <w:rsid w:val="002F3CC4"/>
    <w:rsid w:val="00330F1B"/>
    <w:rsid w:val="00395909"/>
    <w:rsid w:val="004D5F3C"/>
    <w:rsid w:val="00513630"/>
    <w:rsid w:val="00515785"/>
    <w:rsid w:val="00560125"/>
    <w:rsid w:val="00585553"/>
    <w:rsid w:val="005B34D9"/>
    <w:rsid w:val="005D0CCF"/>
    <w:rsid w:val="005F3BCB"/>
    <w:rsid w:val="005F410F"/>
    <w:rsid w:val="0060149A"/>
    <w:rsid w:val="00601924"/>
    <w:rsid w:val="006037F3"/>
    <w:rsid w:val="006447EA"/>
    <w:rsid w:val="0064731F"/>
    <w:rsid w:val="006710F6"/>
    <w:rsid w:val="006C1B56"/>
    <w:rsid w:val="006D4761"/>
    <w:rsid w:val="00726872"/>
    <w:rsid w:val="00760F1C"/>
    <w:rsid w:val="007657F0"/>
    <w:rsid w:val="0077252D"/>
    <w:rsid w:val="00784AF4"/>
    <w:rsid w:val="007E5DD3"/>
    <w:rsid w:val="007F350B"/>
    <w:rsid w:val="00820BE4"/>
    <w:rsid w:val="008254DA"/>
    <w:rsid w:val="008451E8"/>
    <w:rsid w:val="00883E1C"/>
    <w:rsid w:val="00913B9C"/>
    <w:rsid w:val="009358C3"/>
    <w:rsid w:val="00956E77"/>
    <w:rsid w:val="00967D3A"/>
    <w:rsid w:val="009A418B"/>
    <w:rsid w:val="009F4811"/>
    <w:rsid w:val="00A372D2"/>
    <w:rsid w:val="00AA390C"/>
    <w:rsid w:val="00B0200A"/>
    <w:rsid w:val="00B32888"/>
    <w:rsid w:val="00B5441C"/>
    <w:rsid w:val="00B574DB"/>
    <w:rsid w:val="00B826C2"/>
    <w:rsid w:val="00B8298E"/>
    <w:rsid w:val="00BD0723"/>
    <w:rsid w:val="00BD2518"/>
    <w:rsid w:val="00BF1D1C"/>
    <w:rsid w:val="00C20C59"/>
    <w:rsid w:val="00C2727F"/>
    <w:rsid w:val="00C55B1F"/>
    <w:rsid w:val="00C64A38"/>
    <w:rsid w:val="00C81C61"/>
    <w:rsid w:val="00CC4617"/>
    <w:rsid w:val="00CF1A67"/>
    <w:rsid w:val="00D2750E"/>
    <w:rsid w:val="00D30277"/>
    <w:rsid w:val="00D62446"/>
    <w:rsid w:val="00DA4EA2"/>
    <w:rsid w:val="00DC3D3E"/>
    <w:rsid w:val="00DE084E"/>
    <w:rsid w:val="00DE2C90"/>
    <w:rsid w:val="00DE3B24"/>
    <w:rsid w:val="00DF0596"/>
    <w:rsid w:val="00E06947"/>
    <w:rsid w:val="00E13312"/>
    <w:rsid w:val="00E3592D"/>
    <w:rsid w:val="00E92DE8"/>
    <w:rsid w:val="00EB1212"/>
    <w:rsid w:val="00ED65AB"/>
    <w:rsid w:val="00EE3B2D"/>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F89E09"/>
  <w15:docId w15:val="{B1F3F6EA-3C1E-471D-A6A1-9B95FB05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CommentText">
    <w:name w:val="annotation text"/>
    <w:basedOn w:val="Normal"/>
    <w:link w:val="CommentTextChar"/>
    <w:uiPriority w:val="99"/>
    <w:semiHidden/>
    <w:unhideWhenUsed/>
    <w:rsid w:val="00967D3A"/>
    <w:rPr>
      <w:sz w:val="20"/>
      <w:lang w:val="es-ES"/>
    </w:rPr>
  </w:style>
  <w:style w:type="character" w:customStyle="1" w:styleId="CommentTextChar">
    <w:name w:val="Comment Text Char"/>
    <w:basedOn w:val="DefaultParagraphFont"/>
    <w:link w:val="CommentText"/>
    <w:uiPriority w:val="99"/>
    <w:semiHidden/>
    <w:rsid w:val="00967D3A"/>
    <w:rPr>
      <w:rFonts w:ascii="Calibri" w:hAnsi="Calibri"/>
      <w:lang w:val="es-ES" w:eastAsia="en-US"/>
    </w:rPr>
  </w:style>
  <w:style w:type="character" w:styleId="CommentReference">
    <w:name w:val="annotation reference"/>
    <w:basedOn w:val="DefaultParagraphFont"/>
    <w:uiPriority w:val="99"/>
    <w:semiHidden/>
    <w:unhideWhenUsed/>
    <w:rsid w:val="00967D3A"/>
    <w:rPr>
      <w:sz w:val="16"/>
      <w:szCs w:val="16"/>
    </w:rPr>
  </w:style>
  <w:style w:type="paragraph" w:styleId="BalloonText">
    <w:name w:val="Balloon Text"/>
    <w:basedOn w:val="Normal"/>
    <w:link w:val="BalloonTextChar"/>
    <w:semiHidden/>
    <w:unhideWhenUsed/>
    <w:rsid w:val="00967D3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67D3A"/>
    <w:rPr>
      <w:rFonts w:ascii="Segoe UI" w:hAnsi="Segoe UI" w:cs="Segoe UI"/>
      <w:sz w:val="18"/>
      <w:szCs w:val="18"/>
      <w:lang w:val="es-ES_tradnl" w:eastAsia="en-US"/>
    </w:rPr>
  </w:style>
  <w:style w:type="paragraph" w:styleId="CommentSubject">
    <w:name w:val="annotation subject"/>
    <w:basedOn w:val="CommentText"/>
    <w:next w:val="CommentText"/>
    <w:link w:val="CommentSubjectChar"/>
    <w:semiHidden/>
    <w:unhideWhenUsed/>
    <w:rsid w:val="00C81C61"/>
    <w:rPr>
      <w:b/>
      <w:bCs/>
      <w:lang w:val="es-ES_tradnl"/>
    </w:rPr>
  </w:style>
  <w:style w:type="character" w:customStyle="1" w:styleId="CommentSubjectChar">
    <w:name w:val="Comment Subject Char"/>
    <w:basedOn w:val="CommentTextChar"/>
    <w:link w:val="CommentSubject"/>
    <w:semiHidden/>
    <w:rsid w:val="00C81C61"/>
    <w:rPr>
      <w:rFonts w:ascii="Calibri" w:hAnsi="Calibr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061/en" TargetMode="External"/><Relationship Id="rId13" Type="http://schemas.openxmlformats.org/officeDocument/2006/relationships/hyperlink" Target="https://www.itu.int/md/S19-CL-C-0092/en" TargetMode="External"/><Relationship Id="rId18" Type="http://schemas.openxmlformats.org/officeDocument/2006/relationships/hyperlink" Target="https://www.itu.int/md/S19-CL-C-0070/en" TargetMode="External"/><Relationship Id="rId26" Type="http://schemas.openxmlformats.org/officeDocument/2006/relationships/hyperlink" Target="https://www.itu.int/md/S19-CL-C-0092/en" TargetMode="External"/><Relationship Id="rId3" Type="http://schemas.openxmlformats.org/officeDocument/2006/relationships/webSettings" Target="webSettings.xml"/><Relationship Id="rId21" Type="http://schemas.openxmlformats.org/officeDocument/2006/relationships/hyperlink" Target="https://www.itu.int/md/S19-CL-C-0061/en" TargetMode="External"/><Relationship Id="rId34" Type="http://schemas.openxmlformats.org/officeDocument/2006/relationships/footer" Target="footer1.xml"/><Relationship Id="rId7" Type="http://schemas.openxmlformats.org/officeDocument/2006/relationships/hyperlink" Target="https://www.itu.int/md/S19-CL-C-0051/en" TargetMode="External"/><Relationship Id="rId12" Type="http://schemas.openxmlformats.org/officeDocument/2006/relationships/hyperlink" Target="https://www.itu.int/md/S19-CL-C-0084/en" TargetMode="External"/><Relationship Id="rId17" Type="http://schemas.openxmlformats.org/officeDocument/2006/relationships/hyperlink" Target="https://www.itu.int/md/S19-CL-C-0008/en" TargetMode="External"/><Relationship Id="rId25" Type="http://schemas.openxmlformats.org/officeDocument/2006/relationships/hyperlink" Target="https://www.itu.int/md/S19-CL-C-0084/en"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itu.int/md/S19-CL-190610-DL-0003/en" TargetMode="External"/><Relationship Id="rId20" Type="http://schemas.openxmlformats.org/officeDocument/2006/relationships/hyperlink" Target="https://www.itu.int/md/S19-CL-C-0051/en" TargetMode="External"/><Relationship Id="rId29" Type="http://schemas.openxmlformats.org/officeDocument/2006/relationships/hyperlink" Target="https://www.itu.int/md/S19-CL-190610-DL-0003/e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9-CL-C-0071/en" TargetMode="External"/><Relationship Id="rId24" Type="http://schemas.openxmlformats.org/officeDocument/2006/relationships/hyperlink" Target="https://www.itu.int/md/S19-CL-C-0071/en" TargetMode="External"/><Relationship Id="rId32" Type="http://schemas.openxmlformats.org/officeDocument/2006/relationships/hyperlink" Target="https://www.itu.int/md/S19-CL-INF-0013/en"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md/S19-CL-190610-DL-0002/en" TargetMode="External"/><Relationship Id="rId23" Type="http://schemas.openxmlformats.org/officeDocument/2006/relationships/hyperlink" Target="https://www.itu.int/md/S19-CL-C-0066/en" TargetMode="External"/><Relationship Id="rId28" Type="http://schemas.openxmlformats.org/officeDocument/2006/relationships/hyperlink" Target="https://www.itu.int/md/S19-CL-190610-DL-0002/en" TargetMode="External"/><Relationship Id="rId36" Type="http://schemas.openxmlformats.org/officeDocument/2006/relationships/fontTable" Target="fontTable.xml"/><Relationship Id="rId10" Type="http://schemas.openxmlformats.org/officeDocument/2006/relationships/hyperlink" Target="https://www.itu.int/md/S19-CL-C-0066/en" TargetMode="External"/><Relationship Id="rId19" Type="http://schemas.openxmlformats.org/officeDocument/2006/relationships/hyperlink" Target="https://www.itu.int/md/S19-CL-INF-0013/en" TargetMode="External"/><Relationship Id="rId31" Type="http://schemas.openxmlformats.org/officeDocument/2006/relationships/hyperlink" Target="https://www.itu.int/md/S19-CL-C-0070/en" TargetMode="External"/><Relationship Id="rId4" Type="http://schemas.openxmlformats.org/officeDocument/2006/relationships/footnotes" Target="footnotes.xml"/><Relationship Id="rId9" Type="http://schemas.openxmlformats.org/officeDocument/2006/relationships/hyperlink" Target="https://www.itu.int/md/S19-CL-C-0062/en" TargetMode="External"/><Relationship Id="rId14" Type="http://schemas.openxmlformats.org/officeDocument/2006/relationships/hyperlink" Target="https://www.itu.int/md/S19-CL-C-0097/en" TargetMode="External"/><Relationship Id="rId22" Type="http://schemas.openxmlformats.org/officeDocument/2006/relationships/hyperlink" Target="https://www.itu.int/md/S19-CL-C-0062/en" TargetMode="External"/><Relationship Id="rId27" Type="http://schemas.openxmlformats.org/officeDocument/2006/relationships/hyperlink" Target="https://www.itu.int/md/S19-CL-C-0097/en" TargetMode="External"/><Relationship Id="rId30" Type="http://schemas.openxmlformats.org/officeDocument/2006/relationships/hyperlink" Target="https://www.itu.int/md/S19-CL-C-0008/en"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0</TotalTime>
  <Pages>4</Pages>
  <Words>1659</Words>
  <Characters>10213</Characters>
  <Application>Microsoft Office Word</Application>
  <DocSecurity>4</DocSecurity>
  <Lines>85</Lines>
  <Paragraphs>23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11849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 de la tercera sesión plenaria</dc:title>
  <dc:subject>Consejo 2019</dc:subject>
  <dc:creator>Spanish</dc:creator>
  <cp:keywords>C2019, C19</cp:keywords>
  <dc:description/>
  <cp:lastModifiedBy>Brouard, Ricarda</cp:lastModifiedBy>
  <cp:revision>2</cp:revision>
  <cp:lastPrinted>2006-03-24T09:51:00Z</cp:lastPrinted>
  <dcterms:created xsi:type="dcterms:W3CDTF">2019-07-11T12:43:00Z</dcterms:created>
  <dcterms:modified xsi:type="dcterms:W3CDTF">2019-07-11T12:43:00Z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