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B0D1A">
        <w:trPr>
          <w:cantSplit/>
        </w:trPr>
        <w:tc>
          <w:tcPr>
            <w:tcW w:w="6912" w:type="dxa"/>
          </w:tcPr>
          <w:p w:rsidR="00520F36" w:rsidRPr="009B0D1A" w:rsidRDefault="00520F36" w:rsidP="00EF4331">
            <w:pPr>
              <w:spacing w:before="360"/>
            </w:pPr>
            <w:bookmarkStart w:id="0" w:name="dc06"/>
            <w:bookmarkEnd w:id="0"/>
            <w:r w:rsidRPr="009B0D1A">
              <w:rPr>
                <w:b/>
                <w:bCs/>
                <w:sz w:val="30"/>
                <w:szCs w:val="30"/>
              </w:rPr>
              <w:t>Conseil 201</w:t>
            </w:r>
            <w:r w:rsidR="00106B19" w:rsidRPr="009B0D1A">
              <w:rPr>
                <w:b/>
                <w:bCs/>
                <w:sz w:val="30"/>
                <w:szCs w:val="30"/>
              </w:rPr>
              <w:t>9</w:t>
            </w:r>
            <w:r w:rsidRPr="009B0D1A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9B0D1A">
              <w:rPr>
                <w:b/>
                <w:bCs/>
                <w:szCs w:val="24"/>
              </w:rPr>
              <w:t xml:space="preserve">Genève, </w:t>
            </w:r>
            <w:r w:rsidR="00106B19" w:rsidRPr="009B0D1A">
              <w:rPr>
                <w:b/>
                <w:bCs/>
                <w:szCs w:val="24"/>
              </w:rPr>
              <w:t>10</w:t>
            </w:r>
            <w:r w:rsidRPr="009B0D1A">
              <w:rPr>
                <w:b/>
                <w:bCs/>
                <w:szCs w:val="24"/>
              </w:rPr>
              <w:t>-</w:t>
            </w:r>
            <w:r w:rsidR="00106B19" w:rsidRPr="009B0D1A">
              <w:rPr>
                <w:b/>
                <w:bCs/>
                <w:szCs w:val="24"/>
              </w:rPr>
              <w:t>20 juin</w:t>
            </w:r>
            <w:r w:rsidRPr="009B0D1A">
              <w:rPr>
                <w:b/>
                <w:bCs/>
                <w:szCs w:val="24"/>
              </w:rPr>
              <w:t xml:space="preserve"> 201</w:t>
            </w:r>
            <w:r w:rsidR="00106B19" w:rsidRPr="009B0D1A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520F36" w:rsidRPr="009B0D1A" w:rsidRDefault="00520F36" w:rsidP="00EF4331">
            <w:pPr>
              <w:spacing w:before="0"/>
              <w:jc w:val="right"/>
            </w:pPr>
            <w:bookmarkStart w:id="1" w:name="ditulogo"/>
            <w:bookmarkEnd w:id="1"/>
            <w:r w:rsidRPr="009B0D1A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B0D1A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B0D1A" w:rsidRDefault="00520F36" w:rsidP="00EF4331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B0D1A" w:rsidRDefault="00520F36" w:rsidP="00EF4331">
            <w:pPr>
              <w:spacing w:before="0"/>
              <w:rPr>
                <w:b/>
                <w:bCs/>
              </w:rPr>
            </w:pPr>
          </w:p>
        </w:tc>
      </w:tr>
      <w:tr w:rsidR="00520F36" w:rsidRPr="009B0D1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B0D1A" w:rsidRDefault="00520F36" w:rsidP="00EF4331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B0D1A" w:rsidRDefault="00520F36" w:rsidP="00EF4331">
            <w:pPr>
              <w:spacing w:before="0"/>
              <w:rPr>
                <w:b/>
                <w:bCs/>
              </w:rPr>
            </w:pPr>
          </w:p>
        </w:tc>
      </w:tr>
      <w:tr w:rsidR="00520F36" w:rsidRPr="009B0D1A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9B0D1A" w:rsidRDefault="00520F36" w:rsidP="00EF4331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9B0D1A" w:rsidRDefault="00520F36" w:rsidP="00EF4331">
            <w:pPr>
              <w:spacing w:before="0"/>
              <w:rPr>
                <w:b/>
                <w:bCs/>
              </w:rPr>
            </w:pPr>
            <w:r w:rsidRPr="009B0D1A">
              <w:rPr>
                <w:b/>
                <w:bCs/>
              </w:rPr>
              <w:t>Document C1</w:t>
            </w:r>
            <w:r w:rsidR="00106B19" w:rsidRPr="009B0D1A">
              <w:rPr>
                <w:b/>
                <w:bCs/>
              </w:rPr>
              <w:t>9</w:t>
            </w:r>
            <w:r w:rsidRPr="009B0D1A">
              <w:rPr>
                <w:b/>
                <w:bCs/>
              </w:rPr>
              <w:t>/</w:t>
            </w:r>
            <w:r w:rsidR="00EA3A1B" w:rsidRPr="009B0D1A">
              <w:rPr>
                <w:b/>
                <w:bCs/>
              </w:rPr>
              <w:t>114</w:t>
            </w:r>
            <w:r w:rsidRPr="009B0D1A">
              <w:rPr>
                <w:b/>
                <w:bCs/>
              </w:rPr>
              <w:t>-F</w:t>
            </w:r>
          </w:p>
        </w:tc>
      </w:tr>
      <w:tr w:rsidR="00520F36" w:rsidRPr="009B0D1A">
        <w:trPr>
          <w:cantSplit/>
          <w:trHeight w:val="20"/>
        </w:trPr>
        <w:tc>
          <w:tcPr>
            <w:tcW w:w="6912" w:type="dxa"/>
            <w:vMerge/>
          </w:tcPr>
          <w:p w:rsidR="00520F36" w:rsidRPr="009B0D1A" w:rsidRDefault="00520F36" w:rsidP="00EF4331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9B0D1A" w:rsidRDefault="00EA3A1B" w:rsidP="00EF4331">
            <w:pPr>
              <w:spacing w:before="0"/>
              <w:rPr>
                <w:b/>
                <w:bCs/>
              </w:rPr>
            </w:pPr>
            <w:r w:rsidRPr="009B0D1A">
              <w:rPr>
                <w:b/>
                <w:bCs/>
              </w:rPr>
              <w:t>14 juin</w:t>
            </w:r>
            <w:r w:rsidR="00520F36" w:rsidRPr="009B0D1A">
              <w:rPr>
                <w:b/>
                <w:bCs/>
              </w:rPr>
              <w:t xml:space="preserve"> 201</w:t>
            </w:r>
            <w:r w:rsidR="00106B19" w:rsidRPr="009B0D1A">
              <w:rPr>
                <w:b/>
                <w:bCs/>
              </w:rPr>
              <w:t>9</w:t>
            </w:r>
          </w:p>
        </w:tc>
      </w:tr>
      <w:tr w:rsidR="00520F36" w:rsidRPr="009B0D1A">
        <w:trPr>
          <w:cantSplit/>
          <w:trHeight w:val="20"/>
        </w:trPr>
        <w:tc>
          <w:tcPr>
            <w:tcW w:w="6912" w:type="dxa"/>
            <w:vMerge/>
          </w:tcPr>
          <w:p w:rsidR="00520F36" w:rsidRPr="009B0D1A" w:rsidRDefault="00520F36" w:rsidP="00EF4331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9B0D1A" w:rsidRDefault="00520F36" w:rsidP="00EF4331">
            <w:pPr>
              <w:spacing w:before="0"/>
              <w:rPr>
                <w:b/>
                <w:bCs/>
              </w:rPr>
            </w:pPr>
            <w:r w:rsidRPr="009B0D1A">
              <w:rPr>
                <w:b/>
                <w:bCs/>
              </w:rPr>
              <w:t>Original: anglais</w:t>
            </w:r>
          </w:p>
        </w:tc>
      </w:tr>
      <w:tr w:rsidR="00520F36" w:rsidRPr="009B0D1A">
        <w:trPr>
          <w:cantSplit/>
        </w:trPr>
        <w:tc>
          <w:tcPr>
            <w:tcW w:w="10173" w:type="dxa"/>
            <w:gridSpan w:val="2"/>
          </w:tcPr>
          <w:p w:rsidR="0022467A" w:rsidRPr="009B0D1A" w:rsidRDefault="0022467A" w:rsidP="00EF4331">
            <w:pPr>
              <w:pStyle w:val="Title1"/>
            </w:pPr>
            <w:bookmarkStart w:id="6" w:name="dtitle1" w:colFirst="0" w:colLast="0"/>
            <w:bookmarkEnd w:id="5"/>
            <w:r w:rsidRPr="009B0D1A">
              <w:t xml:space="preserve">COMPTE RENDU </w:t>
            </w:r>
          </w:p>
          <w:p w:rsidR="0022467A" w:rsidRPr="009B0D1A" w:rsidRDefault="0022467A" w:rsidP="00EF4331">
            <w:pPr>
              <w:pStyle w:val="Title1"/>
            </w:pPr>
            <w:r w:rsidRPr="009B0D1A">
              <w:t xml:space="preserve">DE LA </w:t>
            </w:r>
          </w:p>
          <w:p w:rsidR="00520F36" w:rsidRPr="009B0D1A" w:rsidRDefault="0022467A" w:rsidP="00EF4331">
            <w:pPr>
              <w:pStyle w:val="Title1"/>
            </w:pPr>
            <w:r w:rsidRPr="009B0D1A">
              <w:t>TROISIÈME SÉANCE PLENIÈRE</w:t>
            </w:r>
          </w:p>
        </w:tc>
      </w:tr>
      <w:tr w:rsidR="0022467A" w:rsidRPr="009B0D1A">
        <w:trPr>
          <w:cantSplit/>
        </w:trPr>
        <w:tc>
          <w:tcPr>
            <w:tcW w:w="10173" w:type="dxa"/>
            <w:gridSpan w:val="2"/>
          </w:tcPr>
          <w:p w:rsidR="0022467A" w:rsidRPr="009B0D1A" w:rsidRDefault="008B35B6" w:rsidP="00EF4331">
            <w:pPr>
              <w:pStyle w:val="Title1"/>
              <w:rPr>
                <w:caps w:val="0"/>
                <w:sz w:val="24"/>
                <w:szCs w:val="24"/>
              </w:rPr>
            </w:pPr>
            <w:r w:rsidRPr="009B0D1A">
              <w:rPr>
                <w:caps w:val="0"/>
                <w:sz w:val="24"/>
                <w:szCs w:val="24"/>
              </w:rPr>
              <w:t>Mercredi</w:t>
            </w:r>
            <w:r w:rsidR="0022467A" w:rsidRPr="009B0D1A">
              <w:rPr>
                <w:caps w:val="0"/>
                <w:sz w:val="24"/>
                <w:szCs w:val="24"/>
              </w:rPr>
              <w:t xml:space="preserve"> 1</w:t>
            </w:r>
            <w:r w:rsidRPr="009B0D1A">
              <w:rPr>
                <w:caps w:val="0"/>
                <w:sz w:val="24"/>
                <w:szCs w:val="24"/>
              </w:rPr>
              <w:t>2</w:t>
            </w:r>
            <w:r w:rsidR="0022467A" w:rsidRPr="009B0D1A">
              <w:rPr>
                <w:caps w:val="0"/>
                <w:sz w:val="24"/>
                <w:szCs w:val="24"/>
              </w:rPr>
              <w:t xml:space="preserve"> </w:t>
            </w:r>
            <w:r w:rsidRPr="009B0D1A">
              <w:rPr>
                <w:caps w:val="0"/>
                <w:sz w:val="24"/>
                <w:szCs w:val="24"/>
              </w:rPr>
              <w:t xml:space="preserve">juin </w:t>
            </w:r>
            <w:r w:rsidR="0022467A" w:rsidRPr="009B0D1A">
              <w:rPr>
                <w:caps w:val="0"/>
                <w:sz w:val="24"/>
                <w:szCs w:val="24"/>
              </w:rPr>
              <w:t>201</w:t>
            </w:r>
            <w:r w:rsidRPr="009B0D1A">
              <w:rPr>
                <w:caps w:val="0"/>
                <w:sz w:val="24"/>
                <w:szCs w:val="24"/>
              </w:rPr>
              <w:t>9</w:t>
            </w:r>
            <w:r w:rsidR="0022467A" w:rsidRPr="009B0D1A">
              <w:rPr>
                <w:caps w:val="0"/>
                <w:sz w:val="24"/>
                <w:szCs w:val="24"/>
              </w:rPr>
              <w:t xml:space="preserve">, de 9 h </w:t>
            </w:r>
            <w:r w:rsidRPr="009B0D1A">
              <w:rPr>
                <w:caps w:val="0"/>
                <w:sz w:val="24"/>
                <w:szCs w:val="24"/>
              </w:rPr>
              <w:t>45</w:t>
            </w:r>
            <w:r w:rsidR="0022467A" w:rsidRPr="009B0D1A">
              <w:rPr>
                <w:caps w:val="0"/>
                <w:sz w:val="24"/>
                <w:szCs w:val="24"/>
              </w:rPr>
              <w:t xml:space="preserve"> à 12 h </w:t>
            </w:r>
            <w:r w:rsidRPr="009B0D1A">
              <w:rPr>
                <w:caps w:val="0"/>
                <w:sz w:val="24"/>
                <w:szCs w:val="24"/>
              </w:rPr>
              <w:t>30</w:t>
            </w:r>
          </w:p>
        </w:tc>
      </w:tr>
      <w:tr w:rsidR="0022467A" w:rsidRPr="009B0D1A">
        <w:trPr>
          <w:cantSplit/>
        </w:trPr>
        <w:tc>
          <w:tcPr>
            <w:tcW w:w="10173" w:type="dxa"/>
            <w:gridSpan w:val="2"/>
          </w:tcPr>
          <w:p w:rsidR="0022467A" w:rsidRPr="009B0D1A" w:rsidRDefault="0022467A" w:rsidP="00EF4331">
            <w:pPr>
              <w:pStyle w:val="Title1"/>
            </w:pPr>
            <w:r w:rsidRPr="009B0D1A">
              <w:rPr>
                <w:b/>
                <w:bCs/>
                <w:sz w:val="24"/>
                <w:szCs w:val="24"/>
              </w:rPr>
              <w:t>P</w:t>
            </w:r>
            <w:r w:rsidRPr="009B0D1A">
              <w:rPr>
                <w:b/>
                <w:bCs/>
                <w:caps w:val="0"/>
                <w:sz w:val="24"/>
                <w:szCs w:val="24"/>
              </w:rPr>
              <w:t>résident</w:t>
            </w:r>
            <w:r w:rsidR="009A3BCF" w:rsidRPr="009B0D1A">
              <w:rPr>
                <w:b/>
                <w:bCs/>
                <w:caps w:val="0"/>
                <w:sz w:val="24"/>
                <w:szCs w:val="24"/>
              </w:rPr>
              <w:t xml:space="preserve"> faisant fonction</w:t>
            </w:r>
            <w:r w:rsidRPr="009B0D1A">
              <w:rPr>
                <w:sz w:val="24"/>
                <w:szCs w:val="24"/>
              </w:rPr>
              <w:t xml:space="preserve">: M. </w:t>
            </w:r>
            <w:r w:rsidR="008B35B6" w:rsidRPr="009B0D1A">
              <w:rPr>
                <w:sz w:val="24"/>
                <w:szCs w:val="24"/>
              </w:rPr>
              <w:t>F. BIGI</w:t>
            </w:r>
            <w:r w:rsidRPr="009B0D1A">
              <w:rPr>
                <w:sz w:val="24"/>
                <w:szCs w:val="24"/>
              </w:rPr>
              <w:t xml:space="preserve"> (</w:t>
            </w:r>
            <w:r w:rsidR="008B35B6" w:rsidRPr="009B0D1A">
              <w:rPr>
                <w:caps w:val="0"/>
                <w:sz w:val="24"/>
                <w:szCs w:val="24"/>
              </w:rPr>
              <w:t>Italie</w:t>
            </w:r>
            <w:r w:rsidRPr="009B0D1A">
              <w:rPr>
                <w:sz w:val="24"/>
                <w:szCs w:val="24"/>
              </w:rPr>
              <w:t>)</w:t>
            </w:r>
          </w:p>
        </w:tc>
      </w:tr>
      <w:bookmarkEnd w:id="6"/>
    </w:tbl>
    <w:p w:rsidR="00520F36" w:rsidRPr="009B0D1A" w:rsidRDefault="00520F36" w:rsidP="00EF4331"/>
    <w:tbl>
      <w:tblPr>
        <w:tblW w:w="5221" w:type="pct"/>
        <w:tblLook w:val="04A0" w:firstRow="1" w:lastRow="0" w:firstColumn="1" w:lastColumn="0" w:noHBand="0" w:noVBand="1"/>
      </w:tblPr>
      <w:tblGrid>
        <w:gridCol w:w="505"/>
        <w:gridCol w:w="7575"/>
        <w:gridCol w:w="1985"/>
      </w:tblGrid>
      <w:tr w:rsidR="0022467A" w:rsidRPr="009B0D1A" w:rsidTr="00474A4F">
        <w:tc>
          <w:tcPr>
            <w:tcW w:w="251" w:type="pct"/>
          </w:tcPr>
          <w:p w:rsidR="0022467A" w:rsidRPr="009B0D1A" w:rsidRDefault="0022467A" w:rsidP="00EF43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textAlignment w:val="auto"/>
              <w:rPr>
                <w:b/>
              </w:rPr>
            </w:pPr>
            <w:r w:rsidRPr="009B0D1A">
              <w:rPr>
                <w:b/>
              </w:rPr>
              <w:br w:type="page"/>
            </w:r>
            <w:r w:rsidRPr="009B0D1A">
              <w:rPr>
                <w:b/>
              </w:rPr>
              <w:br w:type="page"/>
            </w:r>
          </w:p>
        </w:tc>
        <w:tc>
          <w:tcPr>
            <w:tcW w:w="3763" w:type="pct"/>
            <w:hideMark/>
          </w:tcPr>
          <w:p w:rsidR="0022467A" w:rsidRPr="009B0D1A" w:rsidRDefault="0022467A" w:rsidP="00EF43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textAlignment w:val="auto"/>
              <w:rPr>
                <w:b/>
              </w:rPr>
            </w:pPr>
            <w:r w:rsidRPr="009B0D1A">
              <w:rPr>
                <w:b/>
              </w:rPr>
              <w:t>Sujets traités</w:t>
            </w:r>
          </w:p>
        </w:tc>
        <w:tc>
          <w:tcPr>
            <w:tcW w:w="986" w:type="pct"/>
            <w:hideMark/>
          </w:tcPr>
          <w:p w:rsidR="0022467A" w:rsidRPr="009B0D1A" w:rsidRDefault="0022467A" w:rsidP="00EF433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after="120"/>
              <w:jc w:val="center"/>
              <w:textAlignment w:val="auto"/>
              <w:rPr>
                <w:b/>
              </w:rPr>
            </w:pPr>
            <w:r w:rsidRPr="009B0D1A">
              <w:rPr>
                <w:b/>
              </w:rPr>
              <w:t>Documents</w:t>
            </w:r>
          </w:p>
        </w:tc>
      </w:tr>
      <w:tr w:rsidR="0022467A" w:rsidRPr="004D3F00" w:rsidTr="00474A4F">
        <w:tc>
          <w:tcPr>
            <w:tcW w:w="251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t>1</w:t>
            </w:r>
          </w:p>
        </w:tc>
        <w:tc>
          <w:tcPr>
            <w:tcW w:w="3763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rPr>
                <w:rFonts w:cs="Calibri"/>
                <w:bCs/>
                <w:szCs w:val="24"/>
              </w:rPr>
              <w:t>Rapport du Président du Groupe de travail du Conseil sur les questions de politiques publiques internationales relatives à l</w:t>
            </w:r>
            <w:r w:rsidR="00C04D89">
              <w:rPr>
                <w:rFonts w:cs="Calibri"/>
                <w:bCs/>
                <w:szCs w:val="24"/>
              </w:rPr>
              <w:t>'</w:t>
            </w:r>
            <w:r w:rsidRPr="009B0D1A">
              <w:rPr>
                <w:rFonts w:cs="Calibri"/>
                <w:bCs/>
                <w:szCs w:val="24"/>
              </w:rPr>
              <w:t>Internet (GTC-Internet)</w:t>
            </w:r>
          </w:p>
        </w:tc>
        <w:tc>
          <w:tcPr>
            <w:tcW w:w="986" w:type="pct"/>
            <w:hideMark/>
          </w:tcPr>
          <w:p w:rsidR="0022467A" w:rsidRPr="00F86629" w:rsidRDefault="004D3F00" w:rsidP="00EF4331">
            <w:pPr>
              <w:pStyle w:val="toc0"/>
              <w:spacing w:after="120"/>
              <w:jc w:val="center"/>
              <w:rPr>
                <w:b w:val="0"/>
                <w:bCs/>
                <w:lang w:val="es-ES"/>
              </w:rPr>
            </w:pPr>
            <w:hyperlink r:id="rId7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C19/51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8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C19/61 +</w:t>
              </w:r>
              <w:r w:rsidR="00C04D89">
                <w:rPr>
                  <w:rStyle w:val="Hyperlink"/>
                  <w:b w:val="0"/>
                  <w:bCs/>
                  <w:lang w:val="es-ES"/>
                </w:rPr>
                <w:t xml:space="preserve"> </w:t>
              </w:r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Corr.1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9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C19/62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10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C19/66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11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C19/71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12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C19/84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13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C19/92</w:t>
              </w:r>
            </w:hyperlink>
            <w:r w:rsidR="0022467A" w:rsidRPr="00F86629">
              <w:rPr>
                <w:b w:val="0"/>
                <w:bCs/>
                <w:lang w:val="es-ES"/>
              </w:rPr>
              <w:t xml:space="preserve">, </w:t>
            </w:r>
            <w:hyperlink r:id="rId14" w:history="1">
              <w:r w:rsidR="0022467A" w:rsidRPr="00F86629">
                <w:rPr>
                  <w:rStyle w:val="Hyperlink"/>
                  <w:b w:val="0"/>
                  <w:bCs/>
                  <w:lang w:val="es-ES"/>
                </w:rPr>
                <w:t>C19/97</w:t>
              </w:r>
            </w:hyperlink>
          </w:p>
        </w:tc>
      </w:tr>
      <w:tr w:rsidR="0022467A" w:rsidRPr="009B0D1A" w:rsidTr="0022467A">
        <w:tc>
          <w:tcPr>
            <w:tcW w:w="251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t>2</w:t>
            </w:r>
          </w:p>
        </w:tc>
        <w:tc>
          <w:tcPr>
            <w:tcW w:w="3763" w:type="pct"/>
          </w:tcPr>
          <w:p w:rsidR="0022467A" w:rsidRPr="00EF4331" w:rsidRDefault="0022467A" w:rsidP="00EF4331">
            <w:pPr>
              <w:textAlignment w:val="auto"/>
            </w:pPr>
            <w:r w:rsidRPr="00EF4331">
              <w:t>Travaux préparatoires en vue du Forum mondial des politiques de télécommunication</w:t>
            </w:r>
            <w:r w:rsidR="00C058A9" w:rsidRPr="00EF4331">
              <w:t>/TIC</w:t>
            </w:r>
            <w:r w:rsidRPr="00EF4331">
              <w:t xml:space="preserve"> de 2021 (FMPT-21) (suite)</w:t>
            </w:r>
          </w:p>
        </w:tc>
        <w:tc>
          <w:tcPr>
            <w:tcW w:w="986" w:type="pct"/>
            <w:hideMark/>
          </w:tcPr>
          <w:p w:rsidR="0022467A" w:rsidRPr="009B0D1A" w:rsidRDefault="004D3F00" w:rsidP="00EF4331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5" w:history="1">
              <w:r w:rsidR="0022467A" w:rsidRPr="009B0D1A">
                <w:rPr>
                  <w:rStyle w:val="Hyperlink"/>
                  <w:b w:val="0"/>
                  <w:bCs/>
                </w:rPr>
                <w:t>C19/DL/2</w:t>
              </w:r>
            </w:hyperlink>
          </w:p>
        </w:tc>
      </w:tr>
      <w:tr w:rsidR="0022467A" w:rsidRPr="009B0D1A" w:rsidTr="0022467A">
        <w:tc>
          <w:tcPr>
            <w:tcW w:w="251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t>3</w:t>
            </w:r>
          </w:p>
        </w:tc>
        <w:tc>
          <w:tcPr>
            <w:tcW w:w="3763" w:type="pct"/>
          </w:tcPr>
          <w:p w:rsidR="0022467A" w:rsidRPr="00EF4331" w:rsidRDefault="0022467A" w:rsidP="00EF4331">
            <w:pPr>
              <w:textAlignment w:val="auto"/>
            </w:pPr>
            <w:bookmarkStart w:id="7" w:name="_Toc165351536"/>
            <w:bookmarkStart w:id="8" w:name="_Toc407016243"/>
            <w:bookmarkStart w:id="9" w:name="_Toc536017974"/>
            <w:r w:rsidRPr="00EF4331">
              <w:t>Suivi de la Résolution 146 (Rév. Dubaï, 2018)</w:t>
            </w:r>
            <w:r w:rsidR="00EF4331">
              <w:t xml:space="preserve"> de la Conférence de plénipotentiaires</w:t>
            </w:r>
            <w:r w:rsidRPr="00EF4331">
              <w:t>: Examen et révision périodiques du Règlement des télécommunications internationales</w:t>
            </w:r>
            <w:bookmarkEnd w:id="7"/>
            <w:bookmarkEnd w:id="8"/>
            <w:bookmarkEnd w:id="9"/>
            <w:r w:rsidRPr="00EF4331">
              <w:t xml:space="preserve"> (suite)</w:t>
            </w:r>
          </w:p>
        </w:tc>
        <w:tc>
          <w:tcPr>
            <w:tcW w:w="986" w:type="pct"/>
            <w:hideMark/>
          </w:tcPr>
          <w:p w:rsidR="0022467A" w:rsidRPr="009B0D1A" w:rsidRDefault="004D3F00" w:rsidP="00EF4331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6" w:history="1">
              <w:r w:rsidR="0022467A" w:rsidRPr="009B0D1A">
                <w:rPr>
                  <w:rStyle w:val="Hyperlink"/>
                  <w:b w:val="0"/>
                  <w:bCs/>
                </w:rPr>
                <w:t>C19/DL/3</w:t>
              </w:r>
            </w:hyperlink>
          </w:p>
        </w:tc>
      </w:tr>
      <w:tr w:rsidR="0022467A" w:rsidRPr="009B0D1A" w:rsidTr="0022467A">
        <w:tc>
          <w:tcPr>
            <w:tcW w:w="251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t>4</w:t>
            </w:r>
          </w:p>
        </w:tc>
        <w:tc>
          <w:tcPr>
            <w:tcW w:w="3763" w:type="pct"/>
          </w:tcPr>
          <w:p w:rsidR="0022467A" w:rsidRPr="009B0D1A" w:rsidRDefault="0022467A" w:rsidP="00EF4331">
            <w:pPr>
              <w:textAlignment w:val="auto"/>
              <w:rPr>
                <w:rFonts w:cs="Calibri"/>
                <w:bCs/>
                <w:szCs w:val="24"/>
              </w:rPr>
            </w:pPr>
            <w:r w:rsidRPr="009B0D1A">
              <w:t>Rapport sur les résultats des activités du GTC-SMSI/ODD depuis la session de 2018 du Conseil</w:t>
            </w:r>
          </w:p>
        </w:tc>
        <w:tc>
          <w:tcPr>
            <w:tcW w:w="986" w:type="pct"/>
            <w:hideMark/>
          </w:tcPr>
          <w:p w:rsidR="0022467A" w:rsidRPr="009B0D1A" w:rsidRDefault="004D3F00" w:rsidP="00EF4331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7" w:history="1">
              <w:r w:rsidR="0022467A" w:rsidRPr="009B0D1A">
                <w:rPr>
                  <w:rStyle w:val="Hyperlink"/>
                  <w:b w:val="0"/>
                  <w:bCs/>
                </w:rPr>
                <w:t>C19/8</w:t>
              </w:r>
            </w:hyperlink>
            <w:r w:rsidR="0022467A" w:rsidRPr="009B0D1A">
              <w:rPr>
                <w:b w:val="0"/>
                <w:bCs/>
              </w:rPr>
              <w:t xml:space="preserve">, </w:t>
            </w:r>
            <w:hyperlink r:id="rId18" w:history="1">
              <w:r w:rsidR="0022467A" w:rsidRPr="009B0D1A">
                <w:rPr>
                  <w:rStyle w:val="Hyperlink"/>
                  <w:b w:val="0"/>
                  <w:bCs/>
                </w:rPr>
                <w:t>C19/70</w:t>
              </w:r>
            </w:hyperlink>
            <w:r w:rsidR="0022467A" w:rsidRPr="009B0D1A">
              <w:rPr>
                <w:b w:val="0"/>
                <w:bCs/>
              </w:rPr>
              <w:t xml:space="preserve">, </w:t>
            </w:r>
            <w:hyperlink r:id="rId19" w:history="1">
              <w:r w:rsidR="0022467A" w:rsidRPr="009B0D1A">
                <w:rPr>
                  <w:rStyle w:val="Hyperlink"/>
                  <w:b w:val="0"/>
                  <w:bCs/>
                </w:rPr>
                <w:t>C19/INF/13 (R</w:t>
              </w:r>
              <w:r w:rsidR="001D02D9">
                <w:rPr>
                  <w:rStyle w:val="Hyperlink"/>
                  <w:b w:val="0"/>
                  <w:bCs/>
                </w:rPr>
                <w:t>é</w:t>
              </w:r>
              <w:r w:rsidR="0022467A" w:rsidRPr="009B0D1A">
                <w:rPr>
                  <w:rStyle w:val="Hyperlink"/>
                  <w:b w:val="0"/>
                  <w:bCs/>
                </w:rPr>
                <w:t>v.1)</w:t>
              </w:r>
            </w:hyperlink>
          </w:p>
        </w:tc>
      </w:tr>
      <w:tr w:rsidR="0022467A" w:rsidRPr="009B0D1A" w:rsidTr="0022467A">
        <w:tc>
          <w:tcPr>
            <w:tcW w:w="251" w:type="pct"/>
            <w:hideMark/>
          </w:tcPr>
          <w:p w:rsidR="0022467A" w:rsidRPr="009B0D1A" w:rsidRDefault="0022467A" w:rsidP="00EF4331">
            <w:pPr>
              <w:textAlignment w:val="auto"/>
            </w:pPr>
            <w:r w:rsidRPr="009B0D1A">
              <w:t>5</w:t>
            </w:r>
          </w:p>
        </w:tc>
        <w:tc>
          <w:tcPr>
            <w:tcW w:w="3763" w:type="pct"/>
          </w:tcPr>
          <w:p w:rsidR="0022467A" w:rsidRPr="009B0D1A" w:rsidRDefault="00EF4331" w:rsidP="00EF4331">
            <w:pPr>
              <w:textAlignment w:val="auto"/>
              <w:rPr>
                <w:rFonts w:cs="Calibri"/>
                <w:bCs/>
                <w:szCs w:val="24"/>
              </w:rPr>
            </w:pPr>
            <w:r>
              <w:t>Déclaration du c</w:t>
            </w:r>
            <w:r w:rsidR="0022467A" w:rsidRPr="009B0D1A">
              <w:t>onseiller du Koweït</w:t>
            </w:r>
          </w:p>
        </w:tc>
        <w:tc>
          <w:tcPr>
            <w:tcW w:w="986" w:type="pct"/>
            <w:hideMark/>
          </w:tcPr>
          <w:p w:rsidR="0022467A" w:rsidRPr="009B0D1A" w:rsidRDefault="0022467A" w:rsidP="00EF4331">
            <w:pPr>
              <w:pStyle w:val="toc0"/>
              <w:spacing w:after="120"/>
              <w:jc w:val="center"/>
              <w:rPr>
                <w:b w:val="0"/>
                <w:bCs/>
              </w:rPr>
            </w:pPr>
            <w:r w:rsidRPr="009B0D1A">
              <w:rPr>
                <w:b w:val="0"/>
                <w:bCs/>
              </w:rPr>
              <w:t>–</w:t>
            </w:r>
          </w:p>
        </w:tc>
      </w:tr>
    </w:tbl>
    <w:p w:rsidR="0022467A" w:rsidRPr="009B0D1A" w:rsidRDefault="0022467A" w:rsidP="00EF4331"/>
    <w:p w:rsidR="0022467A" w:rsidRPr="009B0D1A" w:rsidRDefault="0022467A" w:rsidP="00EF43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22467A" w:rsidRPr="009B0D1A" w:rsidRDefault="0022467A" w:rsidP="00EF43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B0D1A">
        <w:br w:type="page"/>
      </w:r>
    </w:p>
    <w:p w:rsidR="0022467A" w:rsidRPr="009B0D1A" w:rsidRDefault="0022467A" w:rsidP="00EF4331">
      <w:pPr>
        <w:pStyle w:val="Heading1"/>
      </w:pPr>
      <w:r w:rsidRPr="009B0D1A">
        <w:lastRenderedPageBreak/>
        <w:t>1</w:t>
      </w:r>
      <w:r w:rsidRPr="009B0D1A">
        <w:tab/>
        <w:t>Rapport du Président du Groupe de travail du Conseil sur les questions de politiques publiques internationales relatives à l</w:t>
      </w:r>
      <w:r w:rsidR="00C04D89">
        <w:t>'</w:t>
      </w:r>
      <w:r w:rsidRPr="009B0D1A">
        <w:t xml:space="preserve">Internet (GTC-Internet) </w:t>
      </w:r>
      <w:r w:rsidRPr="009B0D1A">
        <w:rPr>
          <w:sz w:val="26"/>
          <w:szCs w:val="26"/>
        </w:rPr>
        <w:t xml:space="preserve">(Documents </w:t>
      </w:r>
      <w:hyperlink r:id="rId20" w:history="1">
        <w:r w:rsidRPr="009B0D1A">
          <w:rPr>
            <w:rStyle w:val="Hyperlink"/>
            <w:sz w:val="26"/>
            <w:szCs w:val="26"/>
          </w:rPr>
          <w:t>C19/51</w:t>
        </w:r>
      </w:hyperlink>
      <w:r w:rsidRPr="009B0D1A">
        <w:rPr>
          <w:sz w:val="26"/>
          <w:szCs w:val="26"/>
        </w:rPr>
        <w:t xml:space="preserve">, </w:t>
      </w:r>
      <w:hyperlink r:id="rId21" w:history="1">
        <w:r w:rsidRPr="009B0D1A">
          <w:rPr>
            <w:rStyle w:val="Hyperlink"/>
            <w:sz w:val="26"/>
            <w:szCs w:val="26"/>
          </w:rPr>
          <w:t xml:space="preserve">C19/61 </w:t>
        </w:r>
        <w:r w:rsidRPr="009B0D1A">
          <w:rPr>
            <w:rStyle w:val="Hyperlink"/>
            <w:bCs/>
            <w:sz w:val="26"/>
            <w:szCs w:val="26"/>
          </w:rPr>
          <w:t>et</w:t>
        </w:r>
        <w:r w:rsidRPr="009B0D1A">
          <w:rPr>
            <w:rStyle w:val="Hyperlink"/>
            <w:sz w:val="26"/>
            <w:szCs w:val="26"/>
          </w:rPr>
          <w:t xml:space="preserve"> Corrigendum 1,</w:t>
        </w:r>
      </w:hyperlink>
      <w:r w:rsidRPr="009B0D1A">
        <w:rPr>
          <w:sz w:val="26"/>
          <w:szCs w:val="26"/>
        </w:rPr>
        <w:t xml:space="preserve"> </w:t>
      </w:r>
      <w:hyperlink r:id="rId22" w:history="1">
        <w:r w:rsidRPr="009B0D1A">
          <w:rPr>
            <w:rStyle w:val="Hyperlink"/>
            <w:sz w:val="26"/>
            <w:szCs w:val="26"/>
          </w:rPr>
          <w:t>C19/62</w:t>
        </w:r>
      </w:hyperlink>
      <w:r w:rsidRPr="009B0D1A">
        <w:rPr>
          <w:sz w:val="26"/>
          <w:szCs w:val="26"/>
        </w:rPr>
        <w:t xml:space="preserve">, </w:t>
      </w:r>
      <w:hyperlink r:id="rId23" w:history="1">
        <w:r w:rsidRPr="009B0D1A">
          <w:rPr>
            <w:rStyle w:val="Hyperlink"/>
            <w:sz w:val="26"/>
            <w:szCs w:val="26"/>
          </w:rPr>
          <w:t>C19/66</w:t>
        </w:r>
      </w:hyperlink>
      <w:r w:rsidRPr="009B0D1A">
        <w:rPr>
          <w:sz w:val="26"/>
          <w:szCs w:val="26"/>
        </w:rPr>
        <w:t xml:space="preserve">, </w:t>
      </w:r>
      <w:hyperlink r:id="rId24" w:history="1">
        <w:r w:rsidRPr="009B0D1A">
          <w:rPr>
            <w:rStyle w:val="Hyperlink"/>
            <w:sz w:val="26"/>
            <w:szCs w:val="26"/>
          </w:rPr>
          <w:t>C19/71</w:t>
        </w:r>
      </w:hyperlink>
      <w:r w:rsidRPr="009B0D1A">
        <w:rPr>
          <w:sz w:val="26"/>
          <w:szCs w:val="26"/>
        </w:rPr>
        <w:t xml:space="preserve">, </w:t>
      </w:r>
      <w:hyperlink r:id="rId25" w:history="1">
        <w:r w:rsidRPr="009B0D1A">
          <w:rPr>
            <w:rStyle w:val="Hyperlink"/>
            <w:sz w:val="26"/>
            <w:szCs w:val="26"/>
          </w:rPr>
          <w:t>C19/84</w:t>
        </w:r>
      </w:hyperlink>
      <w:r w:rsidRPr="009B0D1A">
        <w:rPr>
          <w:sz w:val="26"/>
          <w:szCs w:val="26"/>
        </w:rPr>
        <w:t xml:space="preserve">, </w:t>
      </w:r>
      <w:hyperlink r:id="rId26" w:history="1">
        <w:r w:rsidRPr="009B0D1A">
          <w:rPr>
            <w:rStyle w:val="Hyperlink"/>
            <w:sz w:val="26"/>
            <w:szCs w:val="26"/>
          </w:rPr>
          <w:t>C19/92</w:t>
        </w:r>
      </w:hyperlink>
      <w:r w:rsidRPr="009B0D1A">
        <w:rPr>
          <w:sz w:val="26"/>
          <w:szCs w:val="26"/>
        </w:rPr>
        <w:t xml:space="preserve"> et </w:t>
      </w:r>
      <w:hyperlink r:id="rId27" w:history="1">
        <w:r w:rsidRPr="009B0D1A">
          <w:rPr>
            <w:rStyle w:val="Hyperlink"/>
            <w:sz w:val="26"/>
            <w:szCs w:val="26"/>
          </w:rPr>
          <w:t>C19/97</w:t>
        </w:r>
      </w:hyperlink>
      <w:r w:rsidRPr="009B0D1A">
        <w:rPr>
          <w:sz w:val="26"/>
          <w:szCs w:val="26"/>
        </w:rPr>
        <w:t>)</w:t>
      </w:r>
    </w:p>
    <w:p w:rsidR="0022467A" w:rsidRPr="009B0D1A" w:rsidRDefault="0022467A" w:rsidP="00EF4331">
      <w:r w:rsidRPr="009B0D1A">
        <w:t>1.1</w:t>
      </w:r>
      <w:r w:rsidRPr="009B0D1A">
        <w:tab/>
      </w:r>
      <w:r w:rsidR="009B0D1A" w:rsidRPr="009B0D1A">
        <w:t xml:space="preserve">Le </w:t>
      </w:r>
      <w:r w:rsidR="009B0D1A">
        <w:t xml:space="preserve">Président du GTC-Internet, </w:t>
      </w:r>
      <w:r w:rsidR="00105277">
        <w:t>participan</w:t>
      </w:r>
      <w:r w:rsidR="009B0D1A">
        <w:t>t par liaison vidéo, présente le ra</w:t>
      </w:r>
      <w:r w:rsidR="00E05D97">
        <w:t xml:space="preserve">pport figurant </w:t>
      </w:r>
      <w:r w:rsidR="009B0D1A">
        <w:t xml:space="preserve">dans le </w:t>
      </w:r>
      <w:r w:rsidRPr="009B0D1A">
        <w:t>Document C19/51</w:t>
      </w:r>
      <w:r w:rsidR="00E05D97">
        <w:t>, qui récapitule les principaux résultat</w:t>
      </w:r>
      <w:r w:rsidR="00C04D89">
        <w:t>s de la douzième réunion du GTC</w:t>
      </w:r>
      <w:r w:rsidR="00C04D89">
        <w:noBreakHyphen/>
      </w:r>
      <w:r w:rsidR="00E05D97">
        <w:t xml:space="preserve">Internet. </w:t>
      </w:r>
      <w:r w:rsidR="006F1C41">
        <w:t>Malgré le peu de temps à</w:t>
      </w:r>
      <w:r w:rsidR="00B7424A">
        <w:t xml:space="preserve"> </w:t>
      </w:r>
      <w:r w:rsidR="006F1C41">
        <w:t xml:space="preserve">disposition, le </w:t>
      </w:r>
      <w:r w:rsidR="00895D35">
        <w:t>groupe</w:t>
      </w:r>
      <w:r w:rsidR="006F1C41">
        <w:t xml:space="preserve"> a examiné un large éventail de questions importantes. Toutefois, il n</w:t>
      </w:r>
      <w:r w:rsidR="00C04D89">
        <w:t>'</w:t>
      </w:r>
      <w:r w:rsidR="006F1C41">
        <w:t>a pas été possible de parvenir à un consensus concernant le thème de la prochaine consultation ouverte avec toutes les parties prenantes, qui sera organisée conformément à son mandat, comme indiqué dans la Résolution 1336 (Mod. 2015) du Conseil.</w:t>
      </w:r>
      <w:r w:rsidR="006F08C7">
        <w:t xml:space="preserve"> Le </w:t>
      </w:r>
      <w:r w:rsidR="00895D35">
        <w:t>groupe</w:t>
      </w:r>
      <w:r w:rsidR="006F08C7">
        <w:t xml:space="preserve"> a donc décidé de demander au Conseil de fournir des orientations sur la question. </w:t>
      </w:r>
    </w:p>
    <w:p w:rsidR="0022467A" w:rsidRPr="009B0D1A" w:rsidRDefault="0022467A" w:rsidP="00EF4331">
      <w:r w:rsidRPr="009B0D1A">
        <w:t>1.2</w:t>
      </w:r>
      <w:r w:rsidRPr="009B0D1A">
        <w:tab/>
      </w:r>
      <w:r w:rsidR="00EF4331">
        <w:t>Les c</w:t>
      </w:r>
      <w:r w:rsidR="006F08C7">
        <w:t>onseillers de la Roumanie, s</w:t>
      </w:r>
      <w:r w:rsidR="00C04D89">
        <w:t>'</w:t>
      </w:r>
      <w:r w:rsidR="006F08C7">
        <w:t>exprimant au nom des Administrations des États Membres de la CEPT, des États-Unis, du Brésil, de l</w:t>
      </w:r>
      <w:r w:rsidR="00C04D89">
        <w:t>'</w:t>
      </w:r>
      <w:r w:rsidR="006F08C7">
        <w:t>A</w:t>
      </w:r>
      <w:r w:rsidR="00EF4331">
        <w:t>lgérie</w:t>
      </w:r>
      <w:r w:rsidR="006F08C7">
        <w:t xml:space="preserve">, de la </w:t>
      </w:r>
      <w:r w:rsidRPr="009B0D1A">
        <w:t>Côte d</w:t>
      </w:r>
      <w:r w:rsidR="00C04D89">
        <w:t>'</w:t>
      </w:r>
      <w:r w:rsidRPr="009B0D1A">
        <w:t xml:space="preserve">Ivoire </w:t>
      </w:r>
      <w:r w:rsidR="006F08C7">
        <w:t>et de l</w:t>
      </w:r>
      <w:r w:rsidR="00C04D89">
        <w:t>'</w:t>
      </w:r>
      <w:r w:rsidR="006F08C7">
        <w:t xml:space="preserve">Arabie saoudite, </w:t>
      </w:r>
      <w:r w:rsidR="00A357AB">
        <w:t>présentent</w:t>
      </w:r>
      <w:r w:rsidR="006F08C7">
        <w:t xml:space="preserve"> le Document</w:t>
      </w:r>
      <w:r w:rsidRPr="009B0D1A">
        <w:t xml:space="preserve"> C19/61 </w:t>
      </w:r>
      <w:r w:rsidR="007A0D78">
        <w:t>et son</w:t>
      </w:r>
      <w:r w:rsidR="00E06AA1">
        <w:t xml:space="preserve"> Corrigendum 1, </w:t>
      </w:r>
      <w:r w:rsidR="004070C1">
        <w:t>ainsi que</w:t>
      </w:r>
      <w:r w:rsidR="00E06AA1">
        <w:t xml:space="preserve"> les Documents</w:t>
      </w:r>
      <w:r w:rsidRPr="009B0D1A">
        <w:t xml:space="preserve"> C19/62, C19/66, C19/84, C19/92 </w:t>
      </w:r>
      <w:r w:rsidR="00DD1300">
        <w:t>et</w:t>
      </w:r>
      <w:r w:rsidRPr="009B0D1A">
        <w:t xml:space="preserve"> C19/97, r</w:t>
      </w:r>
      <w:r w:rsidR="00DD1300">
        <w:t>espectivement</w:t>
      </w:r>
      <w:r w:rsidRPr="009B0D1A">
        <w:t xml:space="preserve">, </w:t>
      </w:r>
      <w:r w:rsidR="00BE7888">
        <w:t>qui contiennent d</w:t>
      </w:r>
      <w:r w:rsidR="00A96C2C">
        <w:t xml:space="preserve">ifférents thèmes </w:t>
      </w:r>
      <w:r w:rsidR="00BE7888">
        <w:t xml:space="preserve">proposés </w:t>
      </w:r>
      <w:r w:rsidR="00A96C2C">
        <w:t>pour la consultation ouverte.</w:t>
      </w:r>
    </w:p>
    <w:p w:rsidR="0022467A" w:rsidRPr="009B0D1A" w:rsidRDefault="0022467A" w:rsidP="00EF4331">
      <w:r w:rsidRPr="009B0D1A">
        <w:t>1.3</w:t>
      </w:r>
      <w:r w:rsidRPr="009B0D1A">
        <w:tab/>
      </w:r>
      <w:r w:rsidR="0017349D">
        <w:t xml:space="preserve">Un certain nombre de </w:t>
      </w:r>
      <w:r w:rsidR="00EF4331">
        <w:t>c</w:t>
      </w:r>
      <w:r w:rsidR="0017349D">
        <w:t xml:space="preserve">onseillers </w:t>
      </w:r>
      <w:r w:rsidR="00A27793">
        <w:t xml:space="preserve">sont </w:t>
      </w:r>
      <w:r w:rsidR="00EF4331">
        <w:t xml:space="preserve">favorables au fait </w:t>
      </w:r>
      <w:r w:rsidR="00A27793">
        <w:t xml:space="preserve">de choisir le </w:t>
      </w:r>
      <w:r w:rsidR="0017349D">
        <w:t xml:space="preserve">thème </w:t>
      </w:r>
      <w:r w:rsidR="00DC7FC6">
        <w:t>qui concerne</w:t>
      </w:r>
      <w:r w:rsidR="0017349D">
        <w:t xml:space="preserve"> les politiques publiques internationales relatives au renforcement des capacités en matière de gouvernance de l</w:t>
      </w:r>
      <w:r w:rsidR="00C04D89">
        <w:t>'</w:t>
      </w:r>
      <w:r w:rsidR="0017349D">
        <w:t>Internet dans les pays en déve</w:t>
      </w:r>
      <w:r w:rsidR="004D69F7">
        <w:t xml:space="preserve">loppement, en rappelant que le groupe </w:t>
      </w:r>
      <w:r w:rsidR="0017349D">
        <w:t xml:space="preserve">était </w:t>
      </w:r>
      <w:r w:rsidR="004D69F7">
        <w:t>presque</w:t>
      </w:r>
      <w:r w:rsidR="0017349D">
        <w:t xml:space="preserve"> </w:t>
      </w:r>
      <w:r w:rsidR="004D69F7">
        <w:t>arrivé à un</w:t>
      </w:r>
      <w:r w:rsidR="0017349D">
        <w:t xml:space="preserve"> consensus en ce sens</w:t>
      </w:r>
      <w:r w:rsidR="0025051A">
        <w:t>.</w:t>
      </w:r>
      <w:r w:rsidRPr="009B0D1A">
        <w:t xml:space="preserve"> </w:t>
      </w:r>
      <w:r w:rsidR="00EF4331">
        <w:t>Un c</w:t>
      </w:r>
      <w:r w:rsidR="0025051A">
        <w:t>onseiller</w:t>
      </w:r>
      <w:r w:rsidRPr="009B0D1A">
        <w:t xml:space="preserve">, </w:t>
      </w:r>
      <w:r w:rsidR="0025051A">
        <w:t xml:space="preserve">tout en reconnaissant </w:t>
      </w:r>
      <w:r w:rsidR="00EF4331">
        <w:t>l</w:t>
      </w:r>
      <w:r w:rsidR="00C04D89">
        <w:t>'</w:t>
      </w:r>
      <w:r w:rsidR="00EF4331">
        <w:t xml:space="preserve">importance </w:t>
      </w:r>
      <w:r w:rsidR="0025051A">
        <w:t xml:space="preserve">de ce thème, </w:t>
      </w:r>
      <w:r w:rsidR="00D95781">
        <w:t>avance</w:t>
      </w:r>
      <w:r w:rsidR="0025051A">
        <w:t xml:space="preserve"> que d</w:t>
      </w:r>
      <w:r w:rsidR="00C04D89">
        <w:t>'</w:t>
      </w:r>
      <w:r w:rsidR="0025051A">
        <w:t xml:space="preserve">autres thèmes </w:t>
      </w:r>
      <w:r w:rsidR="006528C8">
        <w:t>pourraient générer des débats plus fructueux</w:t>
      </w:r>
      <w:r w:rsidR="0025051A">
        <w:t>.</w:t>
      </w:r>
      <w:r w:rsidRPr="009B0D1A">
        <w:t xml:space="preserve"> </w:t>
      </w:r>
      <w:r w:rsidR="0025051A">
        <w:t xml:space="preserve">Les différents thèmes suggérés </w:t>
      </w:r>
      <w:r w:rsidR="0032428C">
        <w:t>afférents à l</w:t>
      </w:r>
      <w:r w:rsidR="00C04D89">
        <w:t>'</w:t>
      </w:r>
      <w:r w:rsidR="0032428C">
        <w:t xml:space="preserve">intelligence artificielle </w:t>
      </w:r>
      <w:r w:rsidR="00E830E5">
        <w:t>suscitent</w:t>
      </w:r>
      <w:r w:rsidR="0032428C">
        <w:t xml:space="preserve"> </w:t>
      </w:r>
      <w:r w:rsidR="00E746AA">
        <w:t>diverses opinions</w:t>
      </w:r>
      <w:r w:rsidRPr="009B0D1A">
        <w:t xml:space="preserve">. </w:t>
      </w:r>
      <w:r w:rsidR="00EF4331">
        <w:t>Certains c</w:t>
      </w:r>
      <w:r w:rsidR="001A29DC">
        <w:t xml:space="preserve">onseillers </w:t>
      </w:r>
      <w:r w:rsidR="00E830E5">
        <w:t>proposent</w:t>
      </w:r>
      <w:r w:rsidR="001A29DC">
        <w:t xml:space="preserve"> de donner la priorité à des thèmes concernant, entre autres, le déploiement du protocole IP</w:t>
      </w:r>
      <w:r w:rsidR="00AE0E8E">
        <w:t>v</w:t>
      </w:r>
      <w:r w:rsidR="001A29DC">
        <w:t>6, le rôle des réseaux communautaires dans l</w:t>
      </w:r>
      <w:r w:rsidR="00C04D89">
        <w:t>'</w:t>
      </w:r>
      <w:r w:rsidR="001A29DC">
        <w:t>amélioration de la connectivité dans les zones isolées, non desservies ou mal desservies</w:t>
      </w:r>
      <w:r w:rsidRPr="009B0D1A">
        <w:t>,</w:t>
      </w:r>
      <w:r w:rsidR="001A29DC">
        <w:t xml:space="preserve"> ou encore les coûts de la connectivité. D</w:t>
      </w:r>
      <w:r w:rsidR="00C04D89">
        <w:t>'</w:t>
      </w:r>
      <w:r w:rsidR="001A29DC">
        <w:t xml:space="preserve">une manière générale, </w:t>
      </w:r>
      <w:r w:rsidR="00DC4C60">
        <w:t>les participants reconnaissent qu</w:t>
      </w:r>
      <w:r w:rsidR="00C04D89">
        <w:t>'</w:t>
      </w:r>
      <w:r w:rsidR="00DC4C60">
        <w:t>il est très important de connecter ceux et celles qui ne le sont pas encore</w:t>
      </w:r>
      <w:r w:rsidR="00EF4331">
        <w:t>.</w:t>
      </w:r>
    </w:p>
    <w:p w:rsidR="0022467A" w:rsidRPr="009B0D1A" w:rsidRDefault="0022467A" w:rsidP="00EF4331">
      <w:r w:rsidRPr="009B0D1A">
        <w:t>1.4</w:t>
      </w:r>
      <w:r w:rsidRPr="009B0D1A">
        <w:tab/>
      </w:r>
      <w:r w:rsidR="001D3A97">
        <w:t xml:space="preserve">Différents points de vue </w:t>
      </w:r>
      <w:r w:rsidR="00DC4F4D">
        <w:t>sont</w:t>
      </w:r>
      <w:r w:rsidR="001D3A97">
        <w:t xml:space="preserve"> exprimés </w:t>
      </w:r>
      <w:r w:rsidR="003B0E8C">
        <w:t>quant au</w:t>
      </w:r>
      <w:r w:rsidR="001D3A97">
        <w:t xml:space="preserve"> nombre de thèmes qui devraient être choisis. </w:t>
      </w:r>
      <w:r w:rsidR="00EF4331">
        <w:t>Des c</w:t>
      </w:r>
      <w:r w:rsidR="00DC4F4D">
        <w:t>onseillers suggère</w:t>
      </w:r>
      <w:r w:rsidR="00EF4331">
        <w:t>nt</w:t>
      </w:r>
      <w:r w:rsidR="00DC4F4D">
        <w:t xml:space="preserve"> qu</w:t>
      </w:r>
      <w:r w:rsidR="00C04D89">
        <w:t>'</w:t>
      </w:r>
      <w:r w:rsidR="00DC4F4D">
        <w:t xml:space="preserve">il serait possible de choisir </w:t>
      </w:r>
      <w:r w:rsidR="003B0E8C">
        <w:t>d</w:t>
      </w:r>
      <w:r w:rsidR="00DC4F4D">
        <w:t xml:space="preserve">es thèmes </w:t>
      </w:r>
      <w:r w:rsidR="003B0E8C">
        <w:t>pour les</w:t>
      </w:r>
      <w:r w:rsidR="00DC4F4D">
        <w:t xml:space="preserve"> deux prochaines consultations à la présente session, tandis que d</w:t>
      </w:r>
      <w:r w:rsidR="00C04D89">
        <w:t>'</w:t>
      </w:r>
      <w:r w:rsidR="00DC4F4D">
        <w:t xml:space="preserve">autres </w:t>
      </w:r>
      <w:r w:rsidR="00DF4292">
        <w:t xml:space="preserve">soulignent que chaque consultation devrait se cantonner à un </w:t>
      </w:r>
      <w:r w:rsidR="00DF4292">
        <w:lastRenderedPageBreak/>
        <w:t xml:space="preserve">seul thème. Deux </w:t>
      </w:r>
      <w:r w:rsidR="00EF4331">
        <w:t>c</w:t>
      </w:r>
      <w:r w:rsidR="00DF4292">
        <w:t xml:space="preserve">onseillers disent que </w:t>
      </w:r>
      <w:r w:rsidR="00CC5019">
        <w:t>c</w:t>
      </w:r>
      <w:r w:rsidR="00C04D89">
        <w:t>'est le GTC</w:t>
      </w:r>
      <w:r w:rsidR="00C04D89">
        <w:noBreakHyphen/>
      </w:r>
      <w:r w:rsidR="00CC5019">
        <w:t>Internet qui doit choisir les thèmes, et non le Conseil</w:t>
      </w:r>
      <w:r w:rsidR="00DF4292">
        <w:t>.</w:t>
      </w:r>
      <w:r w:rsidRPr="009B0D1A">
        <w:t xml:space="preserve"> </w:t>
      </w:r>
      <w:r w:rsidR="00DF4292">
        <w:t xml:space="preserve">Un autre </w:t>
      </w:r>
      <w:r w:rsidR="00EF4331">
        <w:t>c</w:t>
      </w:r>
      <w:r w:rsidR="00DF4292">
        <w:t xml:space="preserve">onseiller fait remarquer que si le Conseil choisit un thème, </w:t>
      </w:r>
      <w:r w:rsidR="00AB3635">
        <w:t>le</w:t>
      </w:r>
      <w:r w:rsidR="00DF4292">
        <w:t xml:space="preserve"> GTC </w:t>
      </w:r>
      <w:r w:rsidR="00AB3635">
        <w:t xml:space="preserve">pourra alors </w:t>
      </w:r>
      <w:r w:rsidR="00DF4292">
        <w:t xml:space="preserve">consacrer le peu de temps </w:t>
      </w:r>
      <w:r w:rsidR="00B90FF2">
        <w:t>dont il dispose</w:t>
      </w:r>
      <w:r w:rsidR="00DF4292">
        <w:t xml:space="preserve"> lors de sa réunion pour examiner le contenu du thème en soi. Un </w:t>
      </w:r>
      <w:r w:rsidR="00EF4331">
        <w:t>c</w:t>
      </w:r>
      <w:r w:rsidR="00DF4292">
        <w:t>onseiller met l</w:t>
      </w:r>
      <w:r w:rsidR="00C04D89">
        <w:t>'</w:t>
      </w:r>
      <w:r w:rsidR="00DF4292">
        <w:t>accent sur la nécessité d</w:t>
      </w:r>
      <w:r w:rsidR="00C04D89">
        <w:t>'</w:t>
      </w:r>
      <w:r w:rsidR="00DF4292">
        <w:t>éviter tout chevauchement avec d</w:t>
      </w:r>
      <w:r w:rsidR="00C04D89">
        <w:t>'</w:t>
      </w:r>
      <w:r w:rsidR="00DF4292">
        <w:t>autres réunions de l</w:t>
      </w:r>
      <w:r w:rsidR="00C04D89">
        <w:t>'</w:t>
      </w:r>
      <w:r w:rsidR="00DF4292">
        <w:t>UIT lors de l</w:t>
      </w:r>
      <w:r w:rsidR="00C04D89">
        <w:t>'</w:t>
      </w:r>
      <w:r w:rsidR="00DF4292">
        <w:t>établissement du calendrier des sessions du GTC-Internet.</w:t>
      </w:r>
    </w:p>
    <w:p w:rsidR="0022467A" w:rsidRPr="009B0D1A" w:rsidRDefault="0022467A" w:rsidP="00EF4331">
      <w:r w:rsidRPr="009B0D1A">
        <w:t>1.5</w:t>
      </w:r>
      <w:r w:rsidRPr="009B0D1A">
        <w:tab/>
      </w:r>
      <w:r w:rsidR="00DF4292">
        <w:t>Le Président du GTC-Internet, se félicitant des contributions soumises et des observations formulées, souligne combien il est important de se mettre d</w:t>
      </w:r>
      <w:r w:rsidR="00C04D89">
        <w:t>'</w:t>
      </w:r>
      <w:r w:rsidR="00DF4292">
        <w:t xml:space="preserve">accord sur le thème de la prochaine consultation ouverte pendant la présente session du Conseil, afin </w:t>
      </w:r>
      <w:r w:rsidR="00B6511E">
        <w:t>que le groupe ait</w:t>
      </w:r>
      <w:r w:rsidR="00DF4292">
        <w:t xml:space="preserve"> suffisamment de temps pour examiner le contenu du thème à sa prochaine réunion. Il suggère de tenir des discussions </w:t>
      </w:r>
      <w:r w:rsidR="00B6511E">
        <w:t>in</w:t>
      </w:r>
      <w:r w:rsidR="00DF4292">
        <w:t>formelles, à la suite desquelles on pourrait envisager de créer un groupe de travail qui sera chargé d</w:t>
      </w:r>
      <w:r w:rsidR="00C04D89">
        <w:t>'</w:t>
      </w:r>
      <w:r w:rsidR="00DF4292">
        <w:t>étudier la question plus avant. L</w:t>
      </w:r>
      <w:r w:rsidR="00C04D89">
        <w:t>'</w:t>
      </w:r>
      <w:r w:rsidR="00DF4292">
        <w:t xml:space="preserve">orateur demande en outre au Conseil de prévoir plus de temps pour les réunions du GTC-Internet, </w:t>
      </w:r>
      <w:r w:rsidR="00081C8C">
        <w:t>puis</w:t>
      </w:r>
      <w:r w:rsidR="00DF4292">
        <w:t>que des réunion</w:t>
      </w:r>
      <w:r w:rsidR="00081C8C">
        <w:t>s organisées sur une journée n</w:t>
      </w:r>
      <w:r w:rsidR="00C04D89">
        <w:t>'</w:t>
      </w:r>
      <w:r w:rsidR="00081C8C">
        <w:t xml:space="preserve">offrent </w:t>
      </w:r>
      <w:r w:rsidR="00DF4292">
        <w:t>pas suffisam</w:t>
      </w:r>
      <w:bookmarkStart w:id="10" w:name="_GoBack"/>
      <w:bookmarkEnd w:id="10"/>
      <w:r w:rsidR="00DF4292">
        <w:t xml:space="preserve">ment de </w:t>
      </w:r>
      <w:r w:rsidR="00081C8C">
        <w:t>possibilités de débattre</w:t>
      </w:r>
      <w:r w:rsidRPr="009B0D1A">
        <w:t>.</w:t>
      </w:r>
    </w:p>
    <w:p w:rsidR="0022467A" w:rsidRPr="009B0D1A" w:rsidRDefault="0022467A" w:rsidP="00EF4331">
      <w:r w:rsidRPr="009B0D1A">
        <w:t>1.6</w:t>
      </w:r>
      <w:r w:rsidRPr="009B0D1A">
        <w:tab/>
      </w:r>
      <w:r w:rsidR="00F467DD">
        <w:t xml:space="preserve">Le Conseil </w:t>
      </w:r>
      <w:r w:rsidR="00F467DD">
        <w:rPr>
          <w:b/>
          <w:bCs/>
        </w:rPr>
        <w:t xml:space="preserve">prend note </w:t>
      </w:r>
      <w:r w:rsidR="00F467DD">
        <w:t>du rapport de la douzième réunion du GTC-Internet.</w:t>
      </w:r>
    </w:p>
    <w:p w:rsidR="0022467A" w:rsidRPr="009B0D1A" w:rsidRDefault="0022467A" w:rsidP="00EF4331">
      <w:r w:rsidRPr="009B0D1A">
        <w:t>1.7</w:t>
      </w:r>
      <w:r w:rsidRPr="009B0D1A">
        <w:tab/>
      </w:r>
      <w:r w:rsidR="00BF41F1">
        <w:t>Le Prés</w:t>
      </w:r>
      <w:r w:rsidR="00C7605D">
        <w:t>ident faisant fonction suggère, en l</w:t>
      </w:r>
      <w:r w:rsidR="00C04D89">
        <w:t>'</w:t>
      </w:r>
      <w:r w:rsidR="00C7605D">
        <w:t>absence du</w:t>
      </w:r>
      <w:r w:rsidR="0085328D">
        <w:t xml:space="preserve"> Président du GTC-Internet à Genève, </w:t>
      </w:r>
      <w:r w:rsidR="00C7605D">
        <w:t xml:space="preserve">de charger </w:t>
      </w:r>
      <w:r w:rsidR="0085328D">
        <w:t xml:space="preserve">le </w:t>
      </w:r>
      <w:r w:rsidR="00EF4331">
        <w:t>c</w:t>
      </w:r>
      <w:r w:rsidR="0085328D">
        <w:t>onseiller de l</w:t>
      </w:r>
      <w:r w:rsidR="00C04D89">
        <w:t>'</w:t>
      </w:r>
      <w:r w:rsidR="0085328D">
        <w:t xml:space="preserve">Inde et Vice-Président principal du GTC-Internet de coordonner des consultations informelles sur le thème et le texte des questions pour la prochaine consultation. </w:t>
      </w:r>
      <w:r w:rsidR="004D0AA3">
        <w:t>Étant donné qu</w:t>
      </w:r>
      <w:r w:rsidR="00C04D89">
        <w:t>'</w:t>
      </w:r>
      <w:r w:rsidR="004D0AA3">
        <w:t>il existe différentes options</w:t>
      </w:r>
      <w:r w:rsidR="0085328D">
        <w:t>,</w:t>
      </w:r>
      <w:r w:rsidR="00F940F6">
        <w:t xml:space="preserve"> on pourrait examiner</w:t>
      </w:r>
      <w:r w:rsidR="0085328D">
        <w:t xml:space="preserve"> deux thèmes pour la consultation: un premier thème d</w:t>
      </w:r>
      <w:r w:rsidR="00C04D89">
        <w:t>'</w:t>
      </w:r>
      <w:r w:rsidR="0085328D">
        <w:t>ici à la réunion du GTC-Internet de septembre 2019 et un second thème d</w:t>
      </w:r>
      <w:r w:rsidR="00C04D89">
        <w:t>'</w:t>
      </w:r>
      <w:r w:rsidR="0085328D">
        <w:t>octobre à la réunion du GTC-Internet prévue début 2020.</w:t>
      </w:r>
      <w:r w:rsidRPr="009B0D1A">
        <w:t xml:space="preserve"> </w:t>
      </w:r>
    </w:p>
    <w:p w:rsidR="0022467A" w:rsidRPr="009B0D1A" w:rsidRDefault="0022467A" w:rsidP="00EF4331">
      <w:r w:rsidRPr="009B0D1A">
        <w:t>1.9</w:t>
      </w:r>
      <w:r w:rsidRPr="009B0D1A">
        <w:tab/>
      </w:r>
      <w:r w:rsidR="00F940F6">
        <w:t xml:space="preserve">Il en est ainsi </w:t>
      </w:r>
      <w:r w:rsidR="00F940F6" w:rsidRPr="00522E10">
        <w:rPr>
          <w:b/>
          <w:bCs/>
        </w:rPr>
        <w:t>décidé</w:t>
      </w:r>
      <w:r w:rsidRPr="009B0D1A">
        <w:t>.</w:t>
      </w:r>
    </w:p>
    <w:p w:rsidR="0022467A" w:rsidRPr="009B0D1A" w:rsidRDefault="0022467A" w:rsidP="00EF4331">
      <w:r w:rsidRPr="009B0D1A">
        <w:t>1.10</w:t>
      </w:r>
      <w:r w:rsidRPr="009B0D1A">
        <w:tab/>
      </w:r>
      <w:r w:rsidR="00522E10">
        <w:t xml:space="preserve">Le </w:t>
      </w:r>
      <w:r w:rsidR="00EF4331">
        <w:t>c</w:t>
      </w:r>
      <w:r w:rsidR="00522E10">
        <w:t>onseiller de la Fédération de Russie, s</w:t>
      </w:r>
      <w:r w:rsidR="00C04D89">
        <w:t>'</w:t>
      </w:r>
      <w:r w:rsidR="00522E10">
        <w:t>exprimant au nom de l</w:t>
      </w:r>
      <w:r w:rsidR="00C04D89">
        <w:t>'</w:t>
      </w:r>
      <w:r w:rsidR="00522E10">
        <w:t>Arménie, du Kirghizistan et de l</w:t>
      </w:r>
      <w:r w:rsidR="00C04D89">
        <w:t>'</w:t>
      </w:r>
      <w:r w:rsidR="00522E10">
        <w:t>Ouzbékistan, présente une proposition (Document C19/71) visant à réviser et à fusionner les Résolutions 1336 et 1344 du Conseil, qui sont toutes deux rattachées</w:t>
      </w:r>
      <w:r w:rsidR="0058356A">
        <w:t xml:space="preserve"> aux activités du GTC</w:t>
      </w:r>
      <w:r w:rsidR="0058356A">
        <w:noBreakHyphen/>
      </w:r>
      <w:r w:rsidR="00EF4331">
        <w:t>Internet.</w:t>
      </w:r>
    </w:p>
    <w:p w:rsidR="0022467A" w:rsidRPr="009B0D1A" w:rsidRDefault="0022467A" w:rsidP="00EF4331">
      <w:r w:rsidRPr="009B0D1A">
        <w:t>1.11</w:t>
      </w:r>
      <w:r w:rsidRPr="009B0D1A">
        <w:tab/>
      </w:r>
      <w:r w:rsidR="00C75AC1">
        <w:t xml:space="preserve">Des </w:t>
      </w:r>
      <w:r w:rsidR="00EF4331">
        <w:t>c</w:t>
      </w:r>
      <w:r w:rsidR="00C75AC1">
        <w:t>onseillers disent que ces deux Résolutions, bien que liées, ne sont pas axées sur le même sujet</w:t>
      </w:r>
      <w:r w:rsidRPr="009B0D1A">
        <w:t xml:space="preserve">. </w:t>
      </w:r>
      <w:r w:rsidR="001E34B5">
        <w:t xml:space="preserve">Pour certains, compte tenu de ces différences et du risque que la fusion des Résolutions puisse </w:t>
      </w:r>
      <w:r w:rsidR="001E34B5">
        <w:lastRenderedPageBreak/>
        <w:t>conduire à une perte de contenu, et dans la mesure où il n</w:t>
      </w:r>
      <w:r w:rsidR="00C04D89">
        <w:t>'</w:t>
      </w:r>
      <w:r w:rsidR="001E34B5">
        <w:t>est pas particulièrement urgent de les combiner, ces deux Résolutions devraient rester distinctes.</w:t>
      </w:r>
      <w:r w:rsidRPr="009B0D1A">
        <w:t xml:space="preserve"> </w:t>
      </w:r>
      <w:r w:rsidR="00633AF7">
        <w:t>D</w:t>
      </w:r>
      <w:r w:rsidR="00C04D89">
        <w:t>'</w:t>
      </w:r>
      <w:r w:rsidR="00633AF7">
        <w:t xml:space="preserve">autres </w:t>
      </w:r>
      <w:r w:rsidR="00305244">
        <w:t>se déclarent</w:t>
      </w:r>
      <w:r w:rsidR="00633AF7">
        <w:t xml:space="preserve"> favorables à la proposition, qui permettrait de simplifier la gestion du GTC-Internet et, partant, </w:t>
      </w:r>
      <w:r w:rsidR="00E14452">
        <w:t>d</w:t>
      </w:r>
      <w:r w:rsidR="00C04D89">
        <w:t>'</w:t>
      </w:r>
      <w:r w:rsidR="00E14452">
        <w:t>améliorer son efficacité</w:t>
      </w:r>
      <w:r w:rsidR="0058356A">
        <w:t>.</w:t>
      </w:r>
    </w:p>
    <w:p w:rsidR="0022467A" w:rsidRPr="009B0D1A" w:rsidRDefault="0022467A" w:rsidP="00EF4331">
      <w:r w:rsidRPr="009B0D1A">
        <w:t>1.12</w:t>
      </w:r>
      <w:r w:rsidRPr="009B0D1A">
        <w:tab/>
      </w:r>
      <w:r w:rsidR="00E45C4E">
        <w:t xml:space="preserve">Le Président faisant fonction propose que le </w:t>
      </w:r>
      <w:r w:rsidR="00EF4331">
        <w:t>c</w:t>
      </w:r>
      <w:r w:rsidR="00E45C4E">
        <w:t xml:space="preserve">onseiller de la Fédération de Russie organise des discussions informelles sur la proposition formulée par son pays avec les parties </w:t>
      </w:r>
      <w:r w:rsidR="00EF4331">
        <w:t xml:space="preserve">intéressées </w:t>
      </w:r>
      <w:r w:rsidR="00E45C4E">
        <w:t>et qu</w:t>
      </w:r>
      <w:r w:rsidR="00C04D89">
        <w:t>'</w:t>
      </w:r>
      <w:r w:rsidR="00E45C4E">
        <w:t>il rende compte des résultats</w:t>
      </w:r>
      <w:r w:rsidR="00BD4763">
        <w:t xml:space="preserve"> obtenus</w:t>
      </w:r>
      <w:r w:rsidR="00E45C4E">
        <w:t xml:space="preserve"> à la plénière.</w:t>
      </w:r>
    </w:p>
    <w:p w:rsidR="0022467A" w:rsidRPr="009B0D1A" w:rsidRDefault="0022467A" w:rsidP="00EF4331">
      <w:r w:rsidRPr="009B0D1A">
        <w:t>1.13</w:t>
      </w:r>
      <w:r w:rsidRPr="009B0D1A">
        <w:tab/>
      </w:r>
      <w:r w:rsidR="00D74113">
        <w:t xml:space="preserve">Il en est ainsi </w:t>
      </w:r>
      <w:r w:rsidR="00D74113" w:rsidRPr="00247BC1">
        <w:rPr>
          <w:b/>
          <w:bCs/>
        </w:rPr>
        <w:t>décidé</w:t>
      </w:r>
      <w:r w:rsidRPr="009B0D1A">
        <w:t>.</w:t>
      </w:r>
    </w:p>
    <w:p w:rsidR="0022467A" w:rsidRPr="009B0D1A" w:rsidRDefault="0022467A" w:rsidP="00EF4331">
      <w:pPr>
        <w:pStyle w:val="Heading1"/>
      </w:pPr>
      <w:r w:rsidRPr="009B0D1A">
        <w:t>2</w:t>
      </w:r>
      <w:r w:rsidRPr="009B0D1A">
        <w:tab/>
        <w:t>Travaux préparatoires en vue du Forum mondial des politiques de télécommunication</w:t>
      </w:r>
      <w:r w:rsidR="00247BC1">
        <w:t>/TIC</w:t>
      </w:r>
      <w:r w:rsidRPr="009B0D1A">
        <w:t xml:space="preserve"> de 2021 (FMPT-21) (suite) (Document </w:t>
      </w:r>
      <w:hyperlink r:id="rId28" w:history="1">
        <w:r w:rsidRPr="009B0D1A">
          <w:rPr>
            <w:rStyle w:val="Hyperlink"/>
          </w:rPr>
          <w:t>C19/DL/2</w:t>
        </w:r>
      </w:hyperlink>
      <w:r w:rsidRPr="009B0D1A">
        <w:t>)</w:t>
      </w:r>
    </w:p>
    <w:p w:rsidR="0022467A" w:rsidRPr="009B0D1A" w:rsidRDefault="0022467A" w:rsidP="00EF4331">
      <w:r w:rsidRPr="009B0D1A">
        <w:t>2.1</w:t>
      </w:r>
      <w:r w:rsidRPr="009B0D1A">
        <w:tab/>
      </w:r>
      <w:r w:rsidR="00EF4331">
        <w:t>Le c</w:t>
      </w:r>
      <w:r w:rsidR="00893511">
        <w:t xml:space="preserve">onseiller des Bahamas, qui </w:t>
      </w:r>
      <w:r w:rsidR="00EF4331">
        <w:t xml:space="preserve">a </w:t>
      </w:r>
      <w:r w:rsidR="00893511">
        <w:t>présidé le groupe de travail créé en vue d</w:t>
      </w:r>
      <w:r w:rsidR="00C04D89">
        <w:t>'</w:t>
      </w:r>
      <w:r w:rsidR="00893511">
        <w:t>élaborer un projet de décision sur la durée, la date, le lieu et les thèmes du FMPT-21, informe le Conseil que les résultats de la première réunion du groupe sont reproduits dans le Document</w:t>
      </w:r>
      <w:r w:rsidRPr="009B0D1A">
        <w:t xml:space="preserve"> C19/DL/2. </w:t>
      </w:r>
      <w:r w:rsidR="00D56F6E">
        <w:t xml:space="preserve">Bien </w:t>
      </w:r>
      <w:r w:rsidR="00FA4F23">
        <w:t>qu</w:t>
      </w:r>
      <w:r w:rsidR="00C04D89">
        <w:t>'</w:t>
      </w:r>
      <w:r w:rsidR="00FA4F23">
        <w:t xml:space="preserve">un thème général ait été arrêté </w:t>
      </w:r>
      <w:r w:rsidR="002D17B2">
        <w:t>pour le FMPT-21, il sera nécessaire d</w:t>
      </w:r>
      <w:r w:rsidR="00C04D89">
        <w:t>'</w:t>
      </w:r>
      <w:r w:rsidR="00893511">
        <w:t>organiser d</w:t>
      </w:r>
      <w:r w:rsidR="00C04D89">
        <w:t>'</w:t>
      </w:r>
      <w:r w:rsidR="00893511">
        <w:t>autres consultations afin de choisir des éléments thématiques précis.</w:t>
      </w:r>
    </w:p>
    <w:p w:rsidR="0022467A" w:rsidRPr="009B0D1A" w:rsidRDefault="0022467A" w:rsidP="00EF4331">
      <w:pPr>
        <w:pStyle w:val="Heading1"/>
      </w:pPr>
      <w:r w:rsidRPr="009B0D1A">
        <w:t>3</w:t>
      </w:r>
      <w:r w:rsidRPr="009B0D1A">
        <w:tab/>
        <w:t>Suivi de la Résolution 146 (Rév. Dubaï, 2018)</w:t>
      </w:r>
      <w:r w:rsidR="00EF4331">
        <w:t xml:space="preserve"> de la Conférence de plénipotentiaires</w:t>
      </w:r>
      <w:r w:rsidRPr="009B0D1A">
        <w:t>: Examen et révision périodiques du Règlement des télécommuni</w:t>
      </w:r>
      <w:r w:rsidR="00EF4331">
        <w:t xml:space="preserve">cations internationales (suite) </w:t>
      </w:r>
      <w:r w:rsidRPr="009B0D1A">
        <w:t>(Document </w:t>
      </w:r>
      <w:hyperlink r:id="rId29" w:history="1">
        <w:r w:rsidRPr="009B0D1A">
          <w:rPr>
            <w:rStyle w:val="Hyperlink"/>
          </w:rPr>
          <w:t>C19/DL/3</w:t>
        </w:r>
      </w:hyperlink>
      <w:r w:rsidRPr="009B0D1A">
        <w:t>)</w:t>
      </w:r>
    </w:p>
    <w:p w:rsidR="0022467A" w:rsidRPr="009B0D1A" w:rsidRDefault="0022467A" w:rsidP="00EF4331">
      <w:r w:rsidRPr="009B0D1A">
        <w:t>3.1</w:t>
      </w:r>
      <w:r w:rsidRPr="009B0D1A">
        <w:tab/>
      </w:r>
      <w:r w:rsidR="00EF4331">
        <w:t>Le c</w:t>
      </w:r>
      <w:r w:rsidR="00893511">
        <w:t>onseiller du Ghana, qui a</w:t>
      </w:r>
      <w:r w:rsidR="00EF4331">
        <w:t xml:space="preserve"> </w:t>
      </w:r>
      <w:r w:rsidR="00893511">
        <w:t>présidé une réunion informelle préliminaire en vue d</w:t>
      </w:r>
      <w:r w:rsidR="00C04D89">
        <w:t>'</w:t>
      </w:r>
      <w:r w:rsidR="00893511">
        <w:t>examiner le mandat et les méthodes de travail du Groupe d</w:t>
      </w:r>
      <w:r w:rsidR="00C04D89">
        <w:t>'</w:t>
      </w:r>
      <w:r w:rsidR="00893511">
        <w:t>experts sur le Règlement des télécommunications (EG-RTI), attire l</w:t>
      </w:r>
      <w:r w:rsidR="00C04D89">
        <w:t>'</w:t>
      </w:r>
      <w:r w:rsidR="00893511">
        <w:t xml:space="preserve">attention sur le Document </w:t>
      </w:r>
      <w:r w:rsidRPr="009B0D1A">
        <w:t xml:space="preserve">C19/DL/3, </w:t>
      </w:r>
      <w:r w:rsidR="00893511">
        <w:t>qui rend compte des résultats de la réunion informelle.</w:t>
      </w:r>
    </w:p>
    <w:p w:rsidR="0022467A" w:rsidRPr="009B0D1A" w:rsidRDefault="0022467A" w:rsidP="00EF4331">
      <w:pPr>
        <w:pStyle w:val="Heading1"/>
      </w:pPr>
      <w:r w:rsidRPr="009B0D1A">
        <w:lastRenderedPageBreak/>
        <w:t>4</w:t>
      </w:r>
      <w:r w:rsidRPr="009B0D1A">
        <w:tab/>
        <w:t>Rapport sur les résultats des activités du GT</w:t>
      </w:r>
      <w:r w:rsidR="00EF4331">
        <w:t>C-SMSI/ODD depuis la session de </w:t>
      </w:r>
      <w:r w:rsidRPr="009B0D1A">
        <w:t xml:space="preserve">2018 du Conseil (Documents </w:t>
      </w:r>
      <w:hyperlink r:id="rId30" w:history="1">
        <w:r w:rsidRPr="009B0D1A">
          <w:rPr>
            <w:rStyle w:val="Hyperlink"/>
          </w:rPr>
          <w:t>C19/8</w:t>
        </w:r>
      </w:hyperlink>
      <w:r w:rsidRPr="009B0D1A">
        <w:t xml:space="preserve">, </w:t>
      </w:r>
      <w:hyperlink r:id="rId31" w:history="1">
        <w:r w:rsidRPr="009B0D1A">
          <w:rPr>
            <w:rStyle w:val="Hyperlink"/>
          </w:rPr>
          <w:t>C19/70</w:t>
        </w:r>
      </w:hyperlink>
      <w:r w:rsidRPr="009B0D1A">
        <w:t xml:space="preserve"> et </w:t>
      </w:r>
      <w:hyperlink r:id="rId32" w:history="1">
        <w:r w:rsidRPr="009B0D1A">
          <w:rPr>
            <w:rStyle w:val="Hyperlink"/>
          </w:rPr>
          <w:t>C19/INF/13(Rév.1)</w:t>
        </w:r>
      </w:hyperlink>
      <w:r w:rsidRPr="009B0D1A">
        <w:t>)</w:t>
      </w:r>
    </w:p>
    <w:p w:rsidR="0022467A" w:rsidRPr="009B0D1A" w:rsidRDefault="0022467A" w:rsidP="00EF4331">
      <w:r w:rsidRPr="009B0D1A">
        <w:t>4.1</w:t>
      </w:r>
      <w:r w:rsidRPr="009B0D1A">
        <w:tab/>
      </w:r>
      <w:r w:rsidR="00951991">
        <w:t>Le Président du GTC-SMSI/ODD présente le rapport sur les</w:t>
      </w:r>
      <w:r w:rsidR="00C04D89">
        <w:t xml:space="preserve"> résultats des activités du GTC</w:t>
      </w:r>
      <w:r w:rsidR="00C04D89">
        <w:noBreakHyphen/>
      </w:r>
      <w:r w:rsidR="00951991">
        <w:t xml:space="preserve">SMSI/ODD depuis la session de 2018 du Conseil </w:t>
      </w:r>
      <w:r w:rsidRPr="009B0D1A">
        <w:t xml:space="preserve">(Document C19/8) </w:t>
      </w:r>
      <w:r w:rsidR="00B85CBE">
        <w:t>et appelle l</w:t>
      </w:r>
      <w:r w:rsidR="00C04D89">
        <w:t>'</w:t>
      </w:r>
      <w:r w:rsidR="00B85CBE">
        <w:t xml:space="preserve">attention sur les recommandations </w:t>
      </w:r>
      <w:r w:rsidR="002A4D32">
        <w:t>qui figurent</w:t>
      </w:r>
      <w:r w:rsidR="00B85CBE">
        <w:t xml:space="preserve"> dans le rapport. Il présente également </w:t>
      </w:r>
      <w:r w:rsidR="00C27A33">
        <w:t xml:space="preserve">la </w:t>
      </w:r>
      <w:r w:rsidR="00B85CBE">
        <w:t>compilation des rapports sur les contributions que le Conseil soumet chaque année au Forum politique de haut niveau des Nations Unies pour le développement durable (</w:t>
      </w:r>
      <w:r w:rsidRPr="009B0D1A">
        <w:t>Document C19/INF/13(Rév.1</w:t>
      </w:r>
      <w:r w:rsidR="00B85CBE">
        <w:t>)</w:t>
      </w:r>
      <w:r w:rsidRPr="009B0D1A">
        <w:t>).</w:t>
      </w:r>
    </w:p>
    <w:p w:rsidR="0022467A" w:rsidRPr="009B0D1A" w:rsidRDefault="0022467A" w:rsidP="0058356A">
      <w:r w:rsidRPr="009B0D1A">
        <w:t>4.2</w:t>
      </w:r>
      <w:r w:rsidRPr="009B0D1A">
        <w:tab/>
      </w:r>
      <w:r w:rsidR="00EF4331">
        <w:t xml:space="preserve">Le </w:t>
      </w:r>
      <w:r w:rsidR="0058356A">
        <w:t xml:space="preserve">Conseil </w:t>
      </w:r>
      <w:r w:rsidR="008A2537">
        <w:t>accueille avec satisfaction le rapport et se déclare favorable à l</w:t>
      </w:r>
      <w:r w:rsidR="00C04D89">
        <w:t>'</w:t>
      </w:r>
      <w:r w:rsidR="00EF4331">
        <w:t>approche multi</w:t>
      </w:r>
      <w:r w:rsidR="00EF4331">
        <w:noBreakHyphen/>
      </w:r>
      <w:r w:rsidR="008A2537">
        <w:t xml:space="preserve">parties prenantes </w:t>
      </w:r>
      <w:r w:rsidR="00CB2E0A">
        <w:t>du</w:t>
      </w:r>
      <w:r w:rsidR="008A2537">
        <w:t xml:space="preserve"> SMSI.</w:t>
      </w:r>
      <w:r w:rsidRPr="009B0D1A">
        <w:t xml:space="preserve"> </w:t>
      </w:r>
      <w:r w:rsidR="00EF4331">
        <w:t>Un c</w:t>
      </w:r>
      <w:r w:rsidR="003C6491">
        <w:t>onseiller suggère</w:t>
      </w:r>
      <w:r w:rsidR="00700B2D">
        <w:t>, dans le cadre du</w:t>
      </w:r>
      <w:r w:rsidR="00911FDB">
        <w:t xml:space="preserve"> concours en vue de l</w:t>
      </w:r>
      <w:r w:rsidR="00C04D89">
        <w:t>'</w:t>
      </w:r>
      <w:r w:rsidR="00911FDB">
        <w:t>attribution des Prix du SMSI</w:t>
      </w:r>
      <w:r w:rsidR="00700B2D">
        <w:t xml:space="preserve">, </w:t>
      </w:r>
      <w:r w:rsidR="00C27A33">
        <w:t>de tenir</w:t>
      </w:r>
      <w:r w:rsidR="00911FDB">
        <w:t xml:space="preserve"> </w:t>
      </w:r>
      <w:r w:rsidR="00700B2D">
        <w:t>davantage compte des</w:t>
      </w:r>
      <w:r w:rsidR="00911FDB">
        <w:t xml:space="preserve"> </w:t>
      </w:r>
      <w:r w:rsidR="00EF4331">
        <w:t>répercussions d</w:t>
      </w:r>
      <w:r w:rsidR="00911FDB">
        <w:t xml:space="preserve">es projets </w:t>
      </w:r>
      <w:r w:rsidR="00C27A33">
        <w:t>présentés au concours</w:t>
      </w:r>
      <w:r w:rsidR="00911FDB">
        <w:t xml:space="preserve">, </w:t>
      </w:r>
      <w:r w:rsidR="00C27A33">
        <w:t>plutôt que</w:t>
      </w:r>
      <w:r w:rsidR="00911FDB">
        <w:t xml:space="preserve"> de tenir compte uniquement du nombre de votes </w:t>
      </w:r>
      <w:r w:rsidR="00DC3755">
        <w:t>obtenus par chaque projet</w:t>
      </w:r>
      <w:r w:rsidR="00911FDB">
        <w:t>.</w:t>
      </w:r>
      <w:r w:rsidR="009A1564">
        <w:t xml:space="preserve"> </w:t>
      </w:r>
      <w:r w:rsidR="00911FDB">
        <w:t xml:space="preserve">Un autre </w:t>
      </w:r>
      <w:r w:rsidR="00EF4331">
        <w:t>c</w:t>
      </w:r>
      <w:r w:rsidR="00911FDB">
        <w:t xml:space="preserve">onseiller demande des clarifications concernant les </w:t>
      </w:r>
      <w:r w:rsidR="00911FDB" w:rsidRPr="00F56CAD">
        <w:t>forums</w:t>
      </w:r>
      <w:r w:rsidR="00911FDB">
        <w:t xml:space="preserve"> préparatoires régionaux. Le Président du GTC-SMS</w:t>
      </w:r>
      <w:r w:rsidR="00F56CAD">
        <w:t>I/ODD répond que ces forums sero</w:t>
      </w:r>
      <w:r w:rsidR="00911FDB">
        <w:t>nt convoqués avant le Forum annuel du SMSI afin de se pencher sur les questions présentant de l</w:t>
      </w:r>
      <w:r w:rsidR="00C04D89">
        <w:t>'</w:t>
      </w:r>
      <w:r w:rsidR="00911FDB">
        <w:t>intérêt pour chaque région de manière plus détaillée.</w:t>
      </w:r>
    </w:p>
    <w:p w:rsidR="0022467A" w:rsidRPr="009B0D1A" w:rsidRDefault="0022467A" w:rsidP="00EF4331">
      <w:r w:rsidRPr="009B0D1A">
        <w:t>4.3</w:t>
      </w:r>
      <w:r w:rsidRPr="009B0D1A">
        <w:tab/>
      </w:r>
      <w:r w:rsidR="00911FDB">
        <w:t xml:space="preserve">Le Conseil </w:t>
      </w:r>
      <w:r w:rsidR="00911FDB">
        <w:rPr>
          <w:b/>
          <w:bCs/>
        </w:rPr>
        <w:t xml:space="preserve">prend note </w:t>
      </w:r>
      <w:r w:rsidR="00911FDB">
        <w:t>du Document</w:t>
      </w:r>
      <w:r w:rsidRPr="009B0D1A">
        <w:t xml:space="preserve"> C19/8 </w:t>
      </w:r>
      <w:r w:rsidR="00911FDB">
        <w:t xml:space="preserve">et </w:t>
      </w:r>
      <w:r w:rsidR="00911FDB">
        <w:rPr>
          <w:b/>
          <w:bCs/>
        </w:rPr>
        <w:t xml:space="preserve">approuve </w:t>
      </w:r>
      <w:r w:rsidR="00911FDB">
        <w:t xml:space="preserve">les recommandations qui y figurent. Il </w:t>
      </w:r>
      <w:r w:rsidR="00911FDB">
        <w:rPr>
          <w:b/>
          <w:bCs/>
        </w:rPr>
        <w:t xml:space="preserve">approuve </w:t>
      </w:r>
      <w:r w:rsidR="00911FDB">
        <w:t>également la compilation des rapports sur les contributions que le Conseil soumet chaque année au Forum politique de haut niveau (Document</w:t>
      </w:r>
      <w:r w:rsidRPr="009B0D1A">
        <w:rPr>
          <w:bCs/>
        </w:rPr>
        <w:t xml:space="preserve"> C19/INF/13 (R</w:t>
      </w:r>
      <w:r w:rsidR="00911FDB">
        <w:rPr>
          <w:bCs/>
        </w:rPr>
        <w:t>é</w:t>
      </w:r>
      <w:r w:rsidRPr="009B0D1A">
        <w:rPr>
          <w:bCs/>
        </w:rPr>
        <w:t>v.1)</w:t>
      </w:r>
      <w:r w:rsidR="00911FDB">
        <w:rPr>
          <w:bCs/>
        </w:rPr>
        <w:t xml:space="preserve">) ainsi que </w:t>
      </w:r>
      <w:r w:rsidR="009D21D0">
        <w:rPr>
          <w:bCs/>
        </w:rPr>
        <w:t>l</w:t>
      </w:r>
      <w:r w:rsidR="00911FDB">
        <w:rPr>
          <w:bCs/>
        </w:rPr>
        <w:t xml:space="preserve">a </w:t>
      </w:r>
      <w:r w:rsidR="009D21D0">
        <w:rPr>
          <w:bCs/>
        </w:rPr>
        <w:t xml:space="preserve">soumission du document </w:t>
      </w:r>
      <w:r w:rsidR="00911FDB">
        <w:rPr>
          <w:bCs/>
        </w:rPr>
        <w:t>au Forum en septembre 2019</w:t>
      </w:r>
      <w:r w:rsidR="00B9639F">
        <w:rPr>
          <w:bCs/>
        </w:rPr>
        <w:t>.</w:t>
      </w:r>
    </w:p>
    <w:p w:rsidR="0022467A" w:rsidRPr="009B0D1A" w:rsidRDefault="0022467A" w:rsidP="00EF4331">
      <w:r w:rsidRPr="009B0D1A">
        <w:t>4.4</w:t>
      </w:r>
      <w:r w:rsidRPr="009B0D1A">
        <w:tab/>
      </w:r>
      <w:r w:rsidR="00EF4331">
        <w:t>Le c</w:t>
      </w:r>
      <w:r w:rsidR="00B9639F">
        <w:t xml:space="preserve">onseiller de la Fédération de Russie présente le </w:t>
      </w:r>
      <w:r w:rsidRPr="009B0D1A">
        <w:t xml:space="preserve">Document C19/70, </w:t>
      </w:r>
      <w:r w:rsidR="00B9639F">
        <w:t>qui contient des propositions visant à réviser la Résolution 1332 (Mod. 2016)</w:t>
      </w:r>
      <w:r w:rsidR="004C532B">
        <w:t xml:space="preserve"> du Conseil</w:t>
      </w:r>
      <w:r w:rsidR="00B9639F">
        <w:t>, afin de l</w:t>
      </w:r>
      <w:r w:rsidR="00C04D89">
        <w:t>'</w:t>
      </w:r>
      <w:r w:rsidR="00B9639F">
        <w:t>aligner sur la Résolution 140 (Rév. Dubaï, 2018)</w:t>
      </w:r>
      <w:r w:rsidR="00FA3A58">
        <w:t xml:space="preserve"> de la PP</w:t>
      </w:r>
      <w:r w:rsidR="00B9639F">
        <w:t xml:space="preserve">. </w:t>
      </w:r>
    </w:p>
    <w:p w:rsidR="0022467A" w:rsidRPr="009B0D1A" w:rsidRDefault="0022467A" w:rsidP="00EF4331">
      <w:r w:rsidRPr="009B0D1A">
        <w:t xml:space="preserve">4.5 </w:t>
      </w:r>
      <w:r w:rsidRPr="009B0D1A">
        <w:tab/>
      </w:r>
      <w:r w:rsidR="0039485B">
        <w:t xml:space="preserve">Le Président faisant fonction suggère que le </w:t>
      </w:r>
      <w:r w:rsidR="00EF4331">
        <w:t>c</w:t>
      </w:r>
      <w:r w:rsidR="0039485B">
        <w:t xml:space="preserve">onseiller de la Fédération de Russie organise des consultations informelles sur la proposition formulée par son pays </w:t>
      </w:r>
      <w:r w:rsidR="00EF4331">
        <w:t xml:space="preserve">avec les parties intéressées </w:t>
      </w:r>
      <w:r w:rsidR="0039485B">
        <w:t>et qu</w:t>
      </w:r>
      <w:r w:rsidR="00C04D89">
        <w:t>'</w:t>
      </w:r>
      <w:r w:rsidR="0039485B">
        <w:t>il rende compte des résultats obtenus à la plénière</w:t>
      </w:r>
      <w:r w:rsidR="00C16979">
        <w:t>.</w:t>
      </w:r>
    </w:p>
    <w:p w:rsidR="0022467A" w:rsidRPr="009B0D1A" w:rsidRDefault="0022467A" w:rsidP="00EF4331">
      <w:r w:rsidRPr="009B0D1A">
        <w:t>4.6</w:t>
      </w:r>
      <w:r w:rsidRPr="009B0D1A">
        <w:tab/>
      </w:r>
      <w:r w:rsidR="00C16979">
        <w:t xml:space="preserve">Il en est ainsi </w:t>
      </w:r>
      <w:r w:rsidR="00C16979" w:rsidRPr="00D85679">
        <w:rPr>
          <w:b/>
          <w:bCs/>
        </w:rPr>
        <w:t>décidé</w:t>
      </w:r>
      <w:r w:rsidRPr="009B0D1A">
        <w:t>.</w:t>
      </w:r>
    </w:p>
    <w:p w:rsidR="0022467A" w:rsidRPr="009B0D1A" w:rsidRDefault="00EF4331" w:rsidP="00EF4331">
      <w:pPr>
        <w:pStyle w:val="Heading1"/>
      </w:pPr>
      <w:r>
        <w:lastRenderedPageBreak/>
        <w:t>5</w:t>
      </w:r>
      <w:r>
        <w:tab/>
        <w:t>Déclaration du c</w:t>
      </w:r>
      <w:r w:rsidR="0022467A" w:rsidRPr="009B0D1A">
        <w:t>onseiller du Koweït</w:t>
      </w:r>
    </w:p>
    <w:p w:rsidR="0022467A" w:rsidRPr="00700B2D" w:rsidRDefault="0022467A" w:rsidP="00EF4331">
      <w:r w:rsidRPr="00700B2D">
        <w:t>5.1</w:t>
      </w:r>
      <w:r w:rsidRPr="00700B2D">
        <w:tab/>
      </w:r>
      <w:r w:rsidR="00EF4331">
        <w:t>Le c</w:t>
      </w:r>
      <w:r w:rsidR="00700B2D">
        <w:t>onseiller du Koweït, se félicitant du succès rencontré par la PP-18, déclare que son gouvernement est pleinement conscient de l</w:t>
      </w:r>
      <w:r w:rsidR="00C04D89">
        <w:t>'</w:t>
      </w:r>
      <w:r w:rsidR="00700B2D">
        <w:t>importance des TIC et qu</w:t>
      </w:r>
      <w:r w:rsidR="00C04D89">
        <w:t>'</w:t>
      </w:r>
      <w:r w:rsidR="00700B2D">
        <w:t>il s</w:t>
      </w:r>
      <w:r w:rsidR="00C04D89">
        <w:t>'</w:t>
      </w:r>
      <w:r w:rsidR="00700B2D">
        <w:t>engage à développer le secteur, l</w:t>
      </w:r>
      <w:r w:rsidR="00C04D89">
        <w:t>'</w:t>
      </w:r>
      <w:r w:rsidR="00700B2D">
        <w:t xml:space="preserve">objectif étant de faire du Koweït un centre pour les mégadonnées, un pionnier de la 5G et un pôle mondial et régional </w:t>
      </w:r>
      <w:r w:rsidR="003C1957">
        <w:t>en faveur du</w:t>
      </w:r>
      <w:r w:rsidR="00700B2D">
        <w:t xml:space="preserve"> développement des TIC. L</w:t>
      </w:r>
      <w:r w:rsidR="00C04D89">
        <w:t>'</w:t>
      </w:r>
      <w:r w:rsidR="00700B2D">
        <w:t>Union a un rôle essentiel à jouer pour mettre les TIC au service du bien</w:t>
      </w:r>
      <w:r w:rsidR="009B329D">
        <w:t xml:space="preserve"> public</w:t>
      </w:r>
      <w:r w:rsidR="00700B2D">
        <w:t>, notamment par l</w:t>
      </w:r>
      <w:r w:rsidR="00C04D89">
        <w:t>'</w:t>
      </w:r>
      <w:r w:rsidR="00700B2D">
        <w:t xml:space="preserve">intermédiaire de ses bureaux régionaux, qui devraient </w:t>
      </w:r>
      <w:r w:rsidR="00FA3A58">
        <w:t>disposer</w:t>
      </w:r>
      <w:r w:rsidR="00700B2D">
        <w:t xml:space="preserve"> de toutes les ressources humaines et</w:t>
      </w:r>
      <w:r w:rsidR="009B329D">
        <w:t xml:space="preserve"> de toutes</w:t>
      </w:r>
      <w:r w:rsidR="00700B2D">
        <w:t xml:space="preserve"> les ress</w:t>
      </w:r>
      <w:r w:rsidR="00EF4331">
        <w:t>ources financières nécessaires.</w:t>
      </w:r>
    </w:p>
    <w:p w:rsidR="0022467A" w:rsidRPr="009B0D1A" w:rsidRDefault="0022467A" w:rsidP="00EF4331">
      <w:r w:rsidRPr="00700B2D">
        <w:t>5.2</w:t>
      </w:r>
      <w:r w:rsidRPr="00700B2D">
        <w:tab/>
      </w:r>
      <w:r w:rsidR="004605CE">
        <w:t>Le Secrétaire général dit qu</w:t>
      </w:r>
      <w:r w:rsidR="00C04D89">
        <w:t>'</w:t>
      </w:r>
      <w:r w:rsidR="004605CE">
        <w:t>il a eu l</w:t>
      </w:r>
      <w:r w:rsidR="00C04D89">
        <w:t>'</w:t>
      </w:r>
      <w:r w:rsidR="004605CE">
        <w:t xml:space="preserve">honneur </w:t>
      </w:r>
      <w:r w:rsidR="00E0101B">
        <w:t>d</w:t>
      </w:r>
      <w:r w:rsidR="00C04D89">
        <w:t>'</w:t>
      </w:r>
      <w:r w:rsidR="00E0101B">
        <w:t>accepter</w:t>
      </w:r>
      <w:r w:rsidR="004605CE">
        <w:t xml:space="preserve"> une récompense </w:t>
      </w:r>
      <w:r w:rsidR="00D33C39">
        <w:t>que le</w:t>
      </w:r>
      <w:r w:rsidR="004605CE">
        <w:t xml:space="preserve"> Gouvernement du Koweït </w:t>
      </w:r>
      <w:r w:rsidR="00E0101B">
        <w:t xml:space="preserve">lui a attribuée </w:t>
      </w:r>
      <w:r w:rsidR="004605CE">
        <w:t>en reconnaissance des réalisations de l</w:t>
      </w:r>
      <w:r w:rsidR="00C04D89">
        <w:t>'</w:t>
      </w:r>
      <w:r w:rsidR="004605CE">
        <w:t xml:space="preserve">Union </w:t>
      </w:r>
      <w:r w:rsidR="00ED7959">
        <w:t>et se félicite de l</w:t>
      </w:r>
      <w:r w:rsidR="00C04D89">
        <w:t>'</w:t>
      </w:r>
      <w:r w:rsidR="00ED7959">
        <w:t>engagement indéfectible du pays en f</w:t>
      </w:r>
      <w:r w:rsidR="00EF4331">
        <w:t>aveur du développement des TIC.</w:t>
      </w:r>
    </w:p>
    <w:p w:rsidR="0022467A" w:rsidRPr="009B0D1A" w:rsidRDefault="0022467A" w:rsidP="0031028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840"/>
        <w:jc w:val="both"/>
        <w:rPr>
          <w:szCs w:val="24"/>
        </w:rPr>
      </w:pPr>
      <w:r w:rsidRPr="009B0D1A">
        <w:rPr>
          <w:szCs w:val="24"/>
        </w:rPr>
        <w:t>Le Secrétaire général:</w:t>
      </w:r>
      <w:r w:rsidRPr="009B0D1A">
        <w:rPr>
          <w:szCs w:val="24"/>
        </w:rPr>
        <w:tab/>
      </w:r>
      <w:r w:rsidR="009A1564">
        <w:rPr>
          <w:szCs w:val="24"/>
        </w:rPr>
        <w:t>Le Président faisant fonction</w:t>
      </w:r>
      <w:r w:rsidRPr="009B0D1A">
        <w:rPr>
          <w:szCs w:val="24"/>
        </w:rPr>
        <w:t>:</w:t>
      </w:r>
    </w:p>
    <w:p w:rsidR="0022467A" w:rsidRPr="00EF4331" w:rsidRDefault="0022467A" w:rsidP="00EF433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521"/>
        </w:tabs>
        <w:snapToGrid w:val="0"/>
        <w:spacing w:before="0" w:after="120"/>
        <w:jc w:val="both"/>
        <w:rPr>
          <w:szCs w:val="24"/>
        </w:rPr>
      </w:pPr>
      <w:r w:rsidRPr="009B0D1A">
        <w:rPr>
          <w:szCs w:val="24"/>
        </w:rPr>
        <w:t>H. ZHAO</w:t>
      </w:r>
      <w:r w:rsidRPr="009B0D1A">
        <w:rPr>
          <w:szCs w:val="24"/>
        </w:rPr>
        <w:tab/>
        <w:t>F. BIGI</w:t>
      </w:r>
    </w:p>
    <w:sectPr w:rsidR="0022467A" w:rsidRPr="00EF4331" w:rsidSect="005C3890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1B" w:rsidRDefault="00EA3A1B">
      <w:r>
        <w:separator/>
      </w:r>
    </w:p>
  </w:endnote>
  <w:endnote w:type="continuationSeparator" w:id="0">
    <w:p w:rsidR="00EA3A1B" w:rsidRDefault="00E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F86629" w:rsidRDefault="0058356A">
    <w:pPr>
      <w:pStyle w:val="Footer"/>
      <w:rPr>
        <w:lang w:val="en-US"/>
      </w:rPr>
    </w:pPr>
    <w:r>
      <w:fldChar w:fldCharType="begin"/>
    </w:r>
    <w:r w:rsidRPr="00F86629">
      <w:rPr>
        <w:lang w:val="en-US"/>
      </w:rPr>
      <w:instrText xml:space="preserve"> FILENAME \p \* MERGEFORMAT </w:instrText>
    </w:r>
    <w:r>
      <w:fldChar w:fldCharType="separate"/>
    </w:r>
    <w:r w:rsidR="00BF7B1B" w:rsidRPr="00F86629">
      <w:rPr>
        <w:lang w:val="en-US"/>
      </w:rPr>
      <w:t>P:\TRAD\F\LING\Dawonauth\457049F.docx</w:t>
    </w:r>
    <w:r>
      <w:fldChar w:fldCharType="end"/>
    </w:r>
    <w:r w:rsidR="00732045" w:rsidRPr="00F86629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D3F00">
      <w:t>03.07.19</w:t>
    </w:r>
    <w:r w:rsidR="002F1B76">
      <w:fldChar w:fldCharType="end"/>
    </w:r>
    <w:r w:rsidR="00732045" w:rsidRPr="00F86629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F7B1B">
      <w:t>27.06.19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D3F00" w:rsidRDefault="0058356A" w:rsidP="0022467A">
    <w:pPr>
      <w:pStyle w:val="Footer"/>
      <w:rPr>
        <w:color w:val="D9D9D9" w:themeColor="background1" w:themeShade="D9"/>
      </w:rPr>
    </w:pPr>
    <w:r w:rsidRPr="004D3F00">
      <w:rPr>
        <w:color w:val="D9D9D9" w:themeColor="background1" w:themeShade="D9"/>
      </w:rPr>
      <w:fldChar w:fldCharType="begin"/>
    </w:r>
    <w:r w:rsidRPr="004D3F00">
      <w:rPr>
        <w:color w:val="D9D9D9" w:themeColor="background1" w:themeShade="D9"/>
      </w:rPr>
      <w:instrText xml:space="preserve"> FILENAME \p \* MERGEFORMAT </w:instrText>
    </w:r>
    <w:r w:rsidRPr="004D3F00">
      <w:rPr>
        <w:color w:val="D9D9D9" w:themeColor="background1" w:themeShade="D9"/>
      </w:rPr>
      <w:fldChar w:fldCharType="separate"/>
    </w:r>
    <w:r w:rsidR="00EF4331" w:rsidRPr="004D3F00">
      <w:rPr>
        <w:color w:val="D9D9D9" w:themeColor="background1" w:themeShade="D9"/>
      </w:rPr>
      <w:t>P:\FRA\SG\CONSEIL\C19\100\114F.docx</w:t>
    </w:r>
    <w:r w:rsidRPr="004D3F00">
      <w:rPr>
        <w:color w:val="D9D9D9" w:themeColor="background1" w:themeShade="D9"/>
      </w:rPr>
      <w:fldChar w:fldCharType="end"/>
    </w:r>
    <w:r w:rsidR="0022467A" w:rsidRPr="004D3F00">
      <w:rPr>
        <w:color w:val="D9D9D9" w:themeColor="background1" w:themeShade="D9"/>
      </w:rPr>
      <w:t xml:space="preserve"> (457049)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1B" w:rsidRDefault="00EA3A1B">
      <w:r>
        <w:t>____________________</w:t>
      </w:r>
    </w:p>
  </w:footnote>
  <w:footnote w:type="continuationSeparator" w:id="0">
    <w:p w:rsidR="00EA3A1B" w:rsidRDefault="00EA3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D3F00">
      <w:rPr>
        <w:noProof/>
      </w:rPr>
      <w:t>2</w:t>
    </w:r>
    <w:r>
      <w:rPr>
        <w:noProof/>
      </w:rPr>
      <w:fldChar w:fldCharType="end"/>
    </w:r>
  </w:p>
  <w:p w:rsidR="00732045" w:rsidRDefault="00732045" w:rsidP="0022467A">
    <w:pPr>
      <w:pStyle w:val="Header"/>
    </w:pPr>
    <w:r>
      <w:t>C1</w:t>
    </w:r>
    <w:r w:rsidR="00106B19">
      <w:t>9</w:t>
    </w:r>
    <w:r>
      <w:t>/</w:t>
    </w:r>
    <w:r w:rsidR="0022467A">
      <w:t>114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1B"/>
    <w:rsid w:val="00081C8C"/>
    <w:rsid w:val="000D0D0A"/>
    <w:rsid w:val="00103163"/>
    <w:rsid w:val="00105277"/>
    <w:rsid w:val="00106B19"/>
    <w:rsid w:val="00115D93"/>
    <w:rsid w:val="001247A8"/>
    <w:rsid w:val="001378C0"/>
    <w:rsid w:val="0017349D"/>
    <w:rsid w:val="0018694A"/>
    <w:rsid w:val="001A29DC"/>
    <w:rsid w:val="001A3287"/>
    <w:rsid w:val="001A6508"/>
    <w:rsid w:val="001D02D9"/>
    <w:rsid w:val="001D3A97"/>
    <w:rsid w:val="001D4C31"/>
    <w:rsid w:val="001E34B5"/>
    <w:rsid w:val="001E4D21"/>
    <w:rsid w:val="001E68A7"/>
    <w:rsid w:val="00207CD1"/>
    <w:rsid w:val="0022467A"/>
    <w:rsid w:val="002477A2"/>
    <w:rsid w:val="00247BC1"/>
    <w:rsid w:val="0025051A"/>
    <w:rsid w:val="00263A51"/>
    <w:rsid w:val="00267E02"/>
    <w:rsid w:val="002A37F9"/>
    <w:rsid w:val="002A4D32"/>
    <w:rsid w:val="002A5D44"/>
    <w:rsid w:val="002D17B2"/>
    <w:rsid w:val="002E0BC4"/>
    <w:rsid w:val="002F1B76"/>
    <w:rsid w:val="00305244"/>
    <w:rsid w:val="00310281"/>
    <w:rsid w:val="0032428C"/>
    <w:rsid w:val="0033568E"/>
    <w:rsid w:val="00355FF5"/>
    <w:rsid w:val="00361350"/>
    <w:rsid w:val="0039485B"/>
    <w:rsid w:val="003B0E8C"/>
    <w:rsid w:val="003C1957"/>
    <w:rsid w:val="003C3FAE"/>
    <w:rsid w:val="003C6491"/>
    <w:rsid w:val="004038CB"/>
    <w:rsid w:val="0040546F"/>
    <w:rsid w:val="004070C1"/>
    <w:rsid w:val="0042404A"/>
    <w:rsid w:val="0044618F"/>
    <w:rsid w:val="004605CE"/>
    <w:rsid w:val="0046769A"/>
    <w:rsid w:val="00475FB3"/>
    <w:rsid w:val="004C37A9"/>
    <w:rsid w:val="004C532B"/>
    <w:rsid w:val="004D0AA3"/>
    <w:rsid w:val="004D3F00"/>
    <w:rsid w:val="004D69F7"/>
    <w:rsid w:val="004F259E"/>
    <w:rsid w:val="00511F1D"/>
    <w:rsid w:val="00520F36"/>
    <w:rsid w:val="00522E10"/>
    <w:rsid w:val="00540615"/>
    <w:rsid w:val="00540A6D"/>
    <w:rsid w:val="00571EEA"/>
    <w:rsid w:val="00575417"/>
    <w:rsid w:val="005768E1"/>
    <w:rsid w:val="0058356A"/>
    <w:rsid w:val="005B1938"/>
    <w:rsid w:val="005C118F"/>
    <w:rsid w:val="005C3890"/>
    <w:rsid w:val="005F7BFE"/>
    <w:rsid w:val="00600017"/>
    <w:rsid w:val="006235CA"/>
    <w:rsid w:val="00633AF7"/>
    <w:rsid w:val="00637665"/>
    <w:rsid w:val="006528C8"/>
    <w:rsid w:val="006643AB"/>
    <w:rsid w:val="0068770C"/>
    <w:rsid w:val="006F08C7"/>
    <w:rsid w:val="006F1C41"/>
    <w:rsid w:val="00700B2D"/>
    <w:rsid w:val="00703F37"/>
    <w:rsid w:val="007210CD"/>
    <w:rsid w:val="00732045"/>
    <w:rsid w:val="007369DB"/>
    <w:rsid w:val="00755790"/>
    <w:rsid w:val="007956C2"/>
    <w:rsid w:val="007A0D78"/>
    <w:rsid w:val="007A187E"/>
    <w:rsid w:val="007C72C2"/>
    <w:rsid w:val="007D4436"/>
    <w:rsid w:val="007F257A"/>
    <w:rsid w:val="007F3665"/>
    <w:rsid w:val="00800037"/>
    <w:rsid w:val="0085328D"/>
    <w:rsid w:val="00861D73"/>
    <w:rsid w:val="00893511"/>
    <w:rsid w:val="00895D35"/>
    <w:rsid w:val="008A2537"/>
    <w:rsid w:val="008A4E87"/>
    <w:rsid w:val="008B35B6"/>
    <w:rsid w:val="008D76E6"/>
    <w:rsid w:val="00911FDB"/>
    <w:rsid w:val="0092392D"/>
    <w:rsid w:val="0093234A"/>
    <w:rsid w:val="00951991"/>
    <w:rsid w:val="009A1564"/>
    <w:rsid w:val="009A3BCF"/>
    <w:rsid w:val="009B0D1A"/>
    <w:rsid w:val="009B329D"/>
    <w:rsid w:val="009C1109"/>
    <w:rsid w:val="009C307F"/>
    <w:rsid w:val="009D21D0"/>
    <w:rsid w:val="009F7A18"/>
    <w:rsid w:val="00A2113E"/>
    <w:rsid w:val="00A23A51"/>
    <w:rsid w:val="00A24607"/>
    <w:rsid w:val="00A25CD3"/>
    <w:rsid w:val="00A27793"/>
    <w:rsid w:val="00A357AB"/>
    <w:rsid w:val="00A70AD0"/>
    <w:rsid w:val="00A82767"/>
    <w:rsid w:val="00A96C2C"/>
    <w:rsid w:val="00AA332F"/>
    <w:rsid w:val="00AA7BBB"/>
    <w:rsid w:val="00AB3635"/>
    <w:rsid w:val="00AB4EE0"/>
    <w:rsid w:val="00AB64A8"/>
    <w:rsid w:val="00AC0266"/>
    <w:rsid w:val="00AD24EC"/>
    <w:rsid w:val="00AE0E8E"/>
    <w:rsid w:val="00B309F9"/>
    <w:rsid w:val="00B32B60"/>
    <w:rsid w:val="00B61619"/>
    <w:rsid w:val="00B6511E"/>
    <w:rsid w:val="00B7424A"/>
    <w:rsid w:val="00B85CBE"/>
    <w:rsid w:val="00B90FF2"/>
    <w:rsid w:val="00B9639F"/>
    <w:rsid w:val="00BB4545"/>
    <w:rsid w:val="00BD4763"/>
    <w:rsid w:val="00BD5873"/>
    <w:rsid w:val="00BE7888"/>
    <w:rsid w:val="00BF14BF"/>
    <w:rsid w:val="00BF41F1"/>
    <w:rsid w:val="00BF7B1B"/>
    <w:rsid w:val="00C04BE3"/>
    <w:rsid w:val="00C04D89"/>
    <w:rsid w:val="00C058A9"/>
    <w:rsid w:val="00C16979"/>
    <w:rsid w:val="00C25D29"/>
    <w:rsid w:val="00C27A33"/>
    <w:rsid w:val="00C27A7C"/>
    <w:rsid w:val="00C75AC1"/>
    <w:rsid w:val="00C7605D"/>
    <w:rsid w:val="00CA08ED"/>
    <w:rsid w:val="00CB2E0A"/>
    <w:rsid w:val="00CB3023"/>
    <w:rsid w:val="00CC5019"/>
    <w:rsid w:val="00CF183B"/>
    <w:rsid w:val="00D33C39"/>
    <w:rsid w:val="00D375CD"/>
    <w:rsid w:val="00D553A2"/>
    <w:rsid w:val="00D56F6E"/>
    <w:rsid w:val="00D74113"/>
    <w:rsid w:val="00D774D3"/>
    <w:rsid w:val="00D85679"/>
    <w:rsid w:val="00D904E8"/>
    <w:rsid w:val="00D95781"/>
    <w:rsid w:val="00DA08C3"/>
    <w:rsid w:val="00DB5A3E"/>
    <w:rsid w:val="00DC22AA"/>
    <w:rsid w:val="00DC3755"/>
    <w:rsid w:val="00DC4C60"/>
    <w:rsid w:val="00DC4F4D"/>
    <w:rsid w:val="00DC7FC6"/>
    <w:rsid w:val="00DD1300"/>
    <w:rsid w:val="00DF4292"/>
    <w:rsid w:val="00DF74DD"/>
    <w:rsid w:val="00E0101B"/>
    <w:rsid w:val="00E05D97"/>
    <w:rsid w:val="00E06AA1"/>
    <w:rsid w:val="00E103DC"/>
    <w:rsid w:val="00E14452"/>
    <w:rsid w:val="00E25AD0"/>
    <w:rsid w:val="00E274DA"/>
    <w:rsid w:val="00E45C4E"/>
    <w:rsid w:val="00E746AA"/>
    <w:rsid w:val="00E830E5"/>
    <w:rsid w:val="00EA3A1B"/>
    <w:rsid w:val="00EB5B0B"/>
    <w:rsid w:val="00EB6350"/>
    <w:rsid w:val="00ED7959"/>
    <w:rsid w:val="00EF4331"/>
    <w:rsid w:val="00F15B57"/>
    <w:rsid w:val="00F41E47"/>
    <w:rsid w:val="00F427DB"/>
    <w:rsid w:val="00F434E6"/>
    <w:rsid w:val="00F467DD"/>
    <w:rsid w:val="00F56CAD"/>
    <w:rsid w:val="00F86629"/>
    <w:rsid w:val="00F940F6"/>
    <w:rsid w:val="00FA3A58"/>
    <w:rsid w:val="00FA4F23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F9924C2-1620-4BC7-8BB9-E0A29F7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61/en" TargetMode="External"/><Relationship Id="rId13" Type="http://schemas.openxmlformats.org/officeDocument/2006/relationships/hyperlink" Target="https://www.itu.int/md/S19-CL-C-0092/en" TargetMode="External"/><Relationship Id="rId18" Type="http://schemas.openxmlformats.org/officeDocument/2006/relationships/hyperlink" Target="https://www.itu.int/md/S19-CL-C-0070/en" TargetMode="External"/><Relationship Id="rId26" Type="http://schemas.openxmlformats.org/officeDocument/2006/relationships/hyperlink" Target="https://www.itu.int/md/S19-CL-C-0092/e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19-CL-C-0061/en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itu.int/md/S19-CL-C-0051/en" TargetMode="External"/><Relationship Id="rId12" Type="http://schemas.openxmlformats.org/officeDocument/2006/relationships/hyperlink" Target="https://www.itu.int/md/S19-CL-C-0084/en" TargetMode="External"/><Relationship Id="rId17" Type="http://schemas.openxmlformats.org/officeDocument/2006/relationships/hyperlink" Target="https://www.itu.int/md/S19-CL-C-0008/en" TargetMode="External"/><Relationship Id="rId25" Type="http://schemas.openxmlformats.org/officeDocument/2006/relationships/hyperlink" Target="https://www.itu.int/md/S19-CL-C-0084/en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9-CL-190610-DL-0003/en" TargetMode="External"/><Relationship Id="rId20" Type="http://schemas.openxmlformats.org/officeDocument/2006/relationships/hyperlink" Target="https://www.itu.int/md/S19-CL-C-0051/en" TargetMode="External"/><Relationship Id="rId29" Type="http://schemas.openxmlformats.org/officeDocument/2006/relationships/hyperlink" Target="https://www.itu.int/md/S19-CL-190610-DL-0003/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-C-0071/en" TargetMode="External"/><Relationship Id="rId24" Type="http://schemas.openxmlformats.org/officeDocument/2006/relationships/hyperlink" Target="https://www.itu.int/md/S19-CL-C-0071/en" TargetMode="External"/><Relationship Id="rId32" Type="http://schemas.openxmlformats.org/officeDocument/2006/relationships/hyperlink" Target="https://www.itu.int/md/S19-CL-INF-0013/en" TargetMode="Externa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9-CL-190610-DL-0002/en" TargetMode="External"/><Relationship Id="rId23" Type="http://schemas.openxmlformats.org/officeDocument/2006/relationships/hyperlink" Target="https://www.itu.int/md/S19-CL-C-0066/en" TargetMode="External"/><Relationship Id="rId28" Type="http://schemas.openxmlformats.org/officeDocument/2006/relationships/hyperlink" Target="https://www.itu.int/md/S19-CL-190610-DL-0002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9-CL-C-0066/en" TargetMode="External"/><Relationship Id="rId19" Type="http://schemas.openxmlformats.org/officeDocument/2006/relationships/hyperlink" Target="https://www.itu.int/md/S19-CL-INF-0013/en" TargetMode="External"/><Relationship Id="rId31" Type="http://schemas.openxmlformats.org/officeDocument/2006/relationships/hyperlink" Target="https://www.itu.int/md/S19-CL-C-0070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62/en" TargetMode="External"/><Relationship Id="rId14" Type="http://schemas.openxmlformats.org/officeDocument/2006/relationships/hyperlink" Target="https://www.itu.int/md/S19-CL-C-0097/en" TargetMode="External"/><Relationship Id="rId22" Type="http://schemas.openxmlformats.org/officeDocument/2006/relationships/hyperlink" Target="https://www.itu.int/md/S19-CL-C-0062/en" TargetMode="External"/><Relationship Id="rId27" Type="http://schemas.openxmlformats.org/officeDocument/2006/relationships/hyperlink" Target="https://www.itu.int/md/S19-CL-C-0097/en" TargetMode="External"/><Relationship Id="rId30" Type="http://schemas.openxmlformats.org/officeDocument/2006/relationships/hyperlink" Target="https://www.itu.int/md/S19-CL-C-0008/en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4</Pages>
  <Words>1631</Words>
  <Characters>10543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12150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troisième séance plénière</dc:title>
  <dc:subject>Conseil 2019</dc:subject>
  <dc:creator>Gozel, Elsa</dc:creator>
  <cp:keywords>C2019, C19</cp:keywords>
  <dc:description/>
  <cp:lastModifiedBy>Brouard, Ricarda</cp:lastModifiedBy>
  <cp:revision>2</cp:revision>
  <cp:lastPrinted>2019-06-27T08:50:00Z</cp:lastPrinted>
  <dcterms:created xsi:type="dcterms:W3CDTF">2019-07-09T08:25:00Z</dcterms:created>
  <dcterms:modified xsi:type="dcterms:W3CDTF">2019-07-09T08:25:00Z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