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C92A00">
        <w:trPr>
          <w:cantSplit/>
        </w:trPr>
        <w:tc>
          <w:tcPr>
            <w:tcW w:w="6912" w:type="dxa"/>
          </w:tcPr>
          <w:p w:rsidR="00093EEB" w:rsidRPr="00C92A00" w:rsidRDefault="00093EEB" w:rsidP="0046187E">
            <w:pPr>
              <w:tabs>
                <w:tab w:val="clear" w:pos="567"/>
                <w:tab w:val="left" w:pos="851"/>
              </w:tabs>
              <w:spacing w:before="360"/>
              <w:rPr>
                <w:szCs w:val="24"/>
              </w:rPr>
            </w:pPr>
            <w:bookmarkStart w:id="0" w:name="dc06"/>
            <w:bookmarkStart w:id="1" w:name="dbluepink" w:colFirst="0" w:colLast="0"/>
            <w:bookmarkEnd w:id="0"/>
            <w:r w:rsidRPr="00C92A00">
              <w:rPr>
                <w:b/>
                <w:bCs/>
                <w:sz w:val="30"/>
                <w:szCs w:val="30"/>
              </w:rPr>
              <w:t>Consejo 201</w:t>
            </w:r>
            <w:r w:rsidR="00C2727F" w:rsidRPr="00C92A00">
              <w:rPr>
                <w:b/>
                <w:bCs/>
                <w:sz w:val="30"/>
                <w:szCs w:val="30"/>
              </w:rPr>
              <w:t>9</w:t>
            </w:r>
            <w:r w:rsidRPr="00C92A00">
              <w:rPr>
                <w:b/>
                <w:bCs/>
                <w:sz w:val="26"/>
                <w:szCs w:val="26"/>
              </w:rPr>
              <w:br/>
            </w:r>
            <w:r w:rsidRPr="00C92A00">
              <w:rPr>
                <w:b/>
                <w:bCs/>
                <w:szCs w:val="24"/>
              </w:rPr>
              <w:t>Ginebra, 1</w:t>
            </w:r>
            <w:r w:rsidR="00C2727F" w:rsidRPr="00C92A00">
              <w:rPr>
                <w:b/>
                <w:bCs/>
                <w:szCs w:val="24"/>
              </w:rPr>
              <w:t>0</w:t>
            </w:r>
            <w:r w:rsidRPr="00C92A00">
              <w:rPr>
                <w:b/>
                <w:bCs/>
                <w:szCs w:val="24"/>
              </w:rPr>
              <w:t>-2</w:t>
            </w:r>
            <w:r w:rsidR="00C2727F" w:rsidRPr="00C92A00">
              <w:rPr>
                <w:b/>
                <w:bCs/>
                <w:szCs w:val="24"/>
              </w:rPr>
              <w:t>0</w:t>
            </w:r>
            <w:r w:rsidRPr="00C92A00">
              <w:rPr>
                <w:b/>
                <w:bCs/>
                <w:szCs w:val="24"/>
              </w:rPr>
              <w:t xml:space="preserve"> de </w:t>
            </w:r>
            <w:r w:rsidR="00C2727F" w:rsidRPr="00C92A00">
              <w:rPr>
                <w:b/>
                <w:bCs/>
                <w:szCs w:val="24"/>
              </w:rPr>
              <w:t>junio</w:t>
            </w:r>
            <w:r w:rsidRPr="00C92A00">
              <w:rPr>
                <w:b/>
                <w:bCs/>
                <w:szCs w:val="24"/>
              </w:rPr>
              <w:t xml:space="preserve"> de 201</w:t>
            </w:r>
            <w:r w:rsidR="00C2727F" w:rsidRPr="00C92A00">
              <w:rPr>
                <w:b/>
                <w:bCs/>
                <w:szCs w:val="24"/>
              </w:rPr>
              <w:t>9</w:t>
            </w:r>
          </w:p>
        </w:tc>
        <w:tc>
          <w:tcPr>
            <w:tcW w:w="3261" w:type="dxa"/>
          </w:tcPr>
          <w:p w:rsidR="00093EEB" w:rsidRPr="00C92A00" w:rsidRDefault="00093EEB" w:rsidP="0046187E">
            <w:pPr>
              <w:tabs>
                <w:tab w:val="clear" w:pos="567"/>
                <w:tab w:val="left" w:pos="851"/>
              </w:tabs>
              <w:spacing w:before="0"/>
              <w:jc w:val="right"/>
              <w:rPr>
                <w:szCs w:val="24"/>
              </w:rPr>
            </w:pPr>
            <w:bookmarkStart w:id="2" w:name="ditulogo"/>
            <w:bookmarkEnd w:id="2"/>
            <w:r w:rsidRPr="00C92A00">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C92A00">
        <w:trPr>
          <w:cantSplit/>
          <w:trHeight w:val="20"/>
        </w:trPr>
        <w:tc>
          <w:tcPr>
            <w:tcW w:w="10173" w:type="dxa"/>
            <w:gridSpan w:val="2"/>
            <w:tcBorders>
              <w:bottom w:val="single" w:sz="12" w:space="0" w:color="auto"/>
            </w:tcBorders>
          </w:tcPr>
          <w:p w:rsidR="00093EEB" w:rsidRPr="00C92A00" w:rsidRDefault="00093EEB" w:rsidP="0046187E">
            <w:pPr>
              <w:tabs>
                <w:tab w:val="clear" w:pos="567"/>
                <w:tab w:val="left" w:pos="851"/>
              </w:tabs>
              <w:spacing w:before="0"/>
              <w:rPr>
                <w:b/>
                <w:bCs/>
                <w:szCs w:val="24"/>
              </w:rPr>
            </w:pPr>
          </w:p>
        </w:tc>
      </w:tr>
      <w:tr w:rsidR="00093EEB" w:rsidRPr="00C92A00">
        <w:trPr>
          <w:cantSplit/>
          <w:trHeight w:val="20"/>
        </w:trPr>
        <w:tc>
          <w:tcPr>
            <w:tcW w:w="6912" w:type="dxa"/>
            <w:tcBorders>
              <w:top w:val="single" w:sz="12" w:space="0" w:color="auto"/>
            </w:tcBorders>
          </w:tcPr>
          <w:p w:rsidR="00093EEB" w:rsidRPr="00C92A00" w:rsidRDefault="00093EEB" w:rsidP="0046187E">
            <w:pPr>
              <w:tabs>
                <w:tab w:val="clear" w:pos="567"/>
                <w:tab w:val="clear" w:pos="2268"/>
                <w:tab w:val="left" w:pos="851"/>
                <w:tab w:val="left" w:pos="1560"/>
                <w:tab w:val="left" w:pos="2269"/>
                <w:tab w:val="left" w:pos="3544"/>
                <w:tab w:val="left" w:pos="3969"/>
              </w:tabs>
              <w:spacing w:before="0"/>
              <w:rPr>
                <w:b/>
                <w:smallCaps/>
                <w:szCs w:val="24"/>
              </w:rPr>
            </w:pPr>
          </w:p>
        </w:tc>
        <w:tc>
          <w:tcPr>
            <w:tcW w:w="3261" w:type="dxa"/>
            <w:tcBorders>
              <w:top w:val="single" w:sz="12" w:space="0" w:color="auto"/>
            </w:tcBorders>
          </w:tcPr>
          <w:p w:rsidR="00093EEB" w:rsidRPr="00C92A00" w:rsidRDefault="00093EEB" w:rsidP="0046187E">
            <w:pPr>
              <w:tabs>
                <w:tab w:val="clear" w:pos="567"/>
                <w:tab w:val="left" w:pos="851"/>
              </w:tabs>
              <w:spacing w:before="0"/>
              <w:rPr>
                <w:b/>
                <w:bCs/>
                <w:szCs w:val="24"/>
              </w:rPr>
            </w:pPr>
          </w:p>
        </w:tc>
      </w:tr>
      <w:tr w:rsidR="00093EEB" w:rsidRPr="00C92A00">
        <w:trPr>
          <w:cantSplit/>
          <w:trHeight w:val="20"/>
        </w:trPr>
        <w:tc>
          <w:tcPr>
            <w:tcW w:w="6912" w:type="dxa"/>
            <w:shd w:val="clear" w:color="auto" w:fill="auto"/>
          </w:tcPr>
          <w:p w:rsidR="00093EEB" w:rsidRPr="00C92A00" w:rsidRDefault="00093EEB" w:rsidP="0046187E">
            <w:pPr>
              <w:tabs>
                <w:tab w:val="clear" w:pos="567"/>
                <w:tab w:val="clear" w:pos="2268"/>
                <w:tab w:val="left" w:pos="851"/>
                <w:tab w:val="left" w:pos="1560"/>
                <w:tab w:val="left" w:pos="2269"/>
                <w:tab w:val="left" w:pos="3544"/>
                <w:tab w:val="left" w:pos="3969"/>
              </w:tabs>
              <w:spacing w:before="0"/>
              <w:rPr>
                <w:rFonts w:cs="Times"/>
                <w:b/>
                <w:szCs w:val="24"/>
              </w:rPr>
            </w:pPr>
            <w:bookmarkStart w:id="3" w:name="dnum" w:colFirst="1" w:colLast="1"/>
            <w:bookmarkStart w:id="4" w:name="dmeeting" w:colFirst="0" w:colLast="0"/>
          </w:p>
        </w:tc>
        <w:tc>
          <w:tcPr>
            <w:tcW w:w="3261" w:type="dxa"/>
          </w:tcPr>
          <w:p w:rsidR="00093EEB" w:rsidRPr="00C92A00" w:rsidRDefault="00093EEB" w:rsidP="0046187E">
            <w:pPr>
              <w:tabs>
                <w:tab w:val="clear" w:pos="567"/>
                <w:tab w:val="left" w:pos="851"/>
              </w:tabs>
              <w:spacing w:before="0"/>
              <w:rPr>
                <w:b/>
                <w:bCs/>
                <w:szCs w:val="24"/>
              </w:rPr>
            </w:pPr>
            <w:r w:rsidRPr="00C92A00">
              <w:rPr>
                <w:b/>
                <w:bCs/>
                <w:szCs w:val="24"/>
              </w:rPr>
              <w:t>Documento C1</w:t>
            </w:r>
            <w:r w:rsidR="00C2727F" w:rsidRPr="00C92A00">
              <w:rPr>
                <w:b/>
                <w:bCs/>
                <w:szCs w:val="24"/>
              </w:rPr>
              <w:t>9</w:t>
            </w:r>
            <w:r w:rsidRPr="00C92A00">
              <w:rPr>
                <w:b/>
                <w:bCs/>
                <w:szCs w:val="24"/>
              </w:rPr>
              <w:t>/</w:t>
            </w:r>
            <w:r w:rsidR="00565F71" w:rsidRPr="00C92A00">
              <w:rPr>
                <w:b/>
                <w:bCs/>
                <w:szCs w:val="24"/>
              </w:rPr>
              <w:t>113</w:t>
            </w:r>
            <w:r w:rsidRPr="00C92A00">
              <w:rPr>
                <w:b/>
                <w:bCs/>
                <w:szCs w:val="24"/>
              </w:rPr>
              <w:t>-S</w:t>
            </w:r>
          </w:p>
        </w:tc>
      </w:tr>
      <w:tr w:rsidR="00093EEB" w:rsidRPr="00C92A00">
        <w:trPr>
          <w:cantSplit/>
          <w:trHeight w:val="20"/>
        </w:trPr>
        <w:tc>
          <w:tcPr>
            <w:tcW w:w="6912" w:type="dxa"/>
            <w:shd w:val="clear" w:color="auto" w:fill="auto"/>
          </w:tcPr>
          <w:p w:rsidR="00093EEB" w:rsidRPr="00C92A00" w:rsidRDefault="00093EEB" w:rsidP="0046187E">
            <w:pPr>
              <w:shd w:val="solid" w:color="FFFFFF" w:fill="FFFFFF"/>
              <w:tabs>
                <w:tab w:val="clear" w:pos="567"/>
                <w:tab w:val="left" w:pos="851"/>
              </w:tabs>
              <w:spacing w:before="0"/>
              <w:rPr>
                <w:smallCaps/>
                <w:szCs w:val="24"/>
              </w:rPr>
            </w:pPr>
            <w:bookmarkStart w:id="5" w:name="ddate" w:colFirst="1" w:colLast="1"/>
            <w:bookmarkEnd w:id="3"/>
            <w:bookmarkEnd w:id="4"/>
          </w:p>
        </w:tc>
        <w:tc>
          <w:tcPr>
            <w:tcW w:w="3261" w:type="dxa"/>
          </w:tcPr>
          <w:p w:rsidR="00093EEB" w:rsidRPr="00C92A00" w:rsidRDefault="00565F71" w:rsidP="0046187E">
            <w:pPr>
              <w:tabs>
                <w:tab w:val="clear" w:pos="567"/>
                <w:tab w:val="left" w:pos="851"/>
              </w:tabs>
              <w:spacing w:before="0"/>
              <w:rPr>
                <w:b/>
                <w:bCs/>
                <w:szCs w:val="24"/>
              </w:rPr>
            </w:pPr>
            <w:r w:rsidRPr="00C92A00">
              <w:rPr>
                <w:b/>
                <w:bCs/>
                <w:szCs w:val="24"/>
              </w:rPr>
              <w:t>13 de junio</w:t>
            </w:r>
            <w:r w:rsidR="00093EEB" w:rsidRPr="00C92A00">
              <w:rPr>
                <w:b/>
                <w:bCs/>
                <w:szCs w:val="24"/>
              </w:rPr>
              <w:t xml:space="preserve"> de 201</w:t>
            </w:r>
            <w:r w:rsidR="00C2727F" w:rsidRPr="00C92A00">
              <w:rPr>
                <w:b/>
                <w:bCs/>
                <w:szCs w:val="24"/>
              </w:rPr>
              <w:t>9</w:t>
            </w:r>
          </w:p>
        </w:tc>
      </w:tr>
      <w:tr w:rsidR="00093EEB" w:rsidRPr="00C92A00">
        <w:trPr>
          <w:cantSplit/>
          <w:trHeight w:val="20"/>
        </w:trPr>
        <w:tc>
          <w:tcPr>
            <w:tcW w:w="6912" w:type="dxa"/>
            <w:shd w:val="clear" w:color="auto" w:fill="auto"/>
          </w:tcPr>
          <w:p w:rsidR="00093EEB" w:rsidRPr="00C92A00" w:rsidRDefault="00093EEB" w:rsidP="0046187E">
            <w:pPr>
              <w:shd w:val="solid" w:color="FFFFFF" w:fill="FFFFFF"/>
              <w:tabs>
                <w:tab w:val="clear" w:pos="567"/>
                <w:tab w:val="left" w:pos="851"/>
              </w:tabs>
              <w:spacing w:before="0"/>
              <w:rPr>
                <w:smallCaps/>
                <w:szCs w:val="24"/>
              </w:rPr>
            </w:pPr>
            <w:bookmarkStart w:id="6" w:name="dorlang" w:colFirst="1" w:colLast="1"/>
            <w:bookmarkEnd w:id="5"/>
          </w:p>
        </w:tc>
        <w:tc>
          <w:tcPr>
            <w:tcW w:w="3261" w:type="dxa"/>
          </w:tcPr>
          <w:p w:rsidR="00093EEB" w:rsidRPr="00C92A00" w:rsidRDefault="00093EEB" w:rsidP="0046187E">
            <w:pPr>
              <w:tabs>
                <w:tab w:val="clear" w:pos="567"/>
                <w:tab w:val="left" w:pos="851"/>
              </w:tabs>
              <w:spacing w:before="0"/>
              <w:rPr>
                <w:b/>
                <w:bCs/>
                <w:szCs w:val="24"/>
              </w:rPr>
            </w:pPr>
            <w:r w:rsidRPr="00C92A00">
              <w:rPr>
                <w:b/>
                <w:bCs/>
                <w:szCs w:val="24"/>
              </w:rPr>
              <w:t>Original: inglés</w:t>
            </w:r>
          </w:p>
        </w:tc>
      </w:tr>
      <w:tr w:rsidR="00093EEB" w:rsidRPr="00C92A00">
        <w:trPr>
          <w:cantSplit/>
        </w:trPr>
        <w:tc>
          <w:tcPr>
            <w:tcW w:w="10173" w:type="dxa"/>
            <w:gridSpan w:val="2"/>
          </w:tcPr>
          <w:p w:rsidR="00AF7BD9" w:rsidRPr="00C92A00" w:rsidRDefault="00AF7BD9" w:rsidP="00AF7BD9">
            <w:pPr>
              <w:pStyle w:val="Title1"/>
              <w:tabs>
                <w:tab w:val="clear" w:pos="567"/>
                <w:tab w:val="left" w:pos="851"/>
              </w:tabs>
            </w:pPr>
            <w:bookmarkStart w:id="7" w:name="dsource" w:colFirst="0" w:colLast="0"/>
            <w:bookmarkEnd w:id="1"/>
            <w:bookmarkEnd w:id="6"/>
            <w:r w:rsidRPr="00C92A00">
              <w:t>RESUMEN DE LOS DEBATES</w:t>
            </w:r>
          </w:p>
          <w:p w:rsidR="00AF7BD9" w:rsidRDefault="00AF7BD9" w:rsidP="00AF7BD9">
            <w:pPr>
              <w:pStyle w:val="Title1"/>
              <w:tabs>
                <w:tab w:val="clear" w:pos="567"/>
                <w:tab w:val="left" w:pos="851"/>
              </w:tabs>
            </w:pPr>
            <w:r w:rsidRPr="00C92A00">
              <w:t>DE LA</w:t>
            </w:r>
          </w:p>
          <w:p w:rsidR="00093EEB" w:rsidRPr="00C92A00" w:rsidRDefault="00AF7BD9" w:rsidP="00AF7BD9">
            <w:pPr>
              <w:pStyle w:val="Title1"/>
              <w:tabs>
                <w:tab w:val="clear" w:pos="567"/>
                <w:tab w:val="left" w:pos="851"/>
              </w:tabs>
            </w:pPr>
            <w:r w:rsidRPr="00C92A00">
              <w:t>SEGUNDA SESIÓN PLENARIA</w:t>
            </w:r>
          </w:p>
        </w:tc>
      </w:tr>
      <w:tr w:rsidR="00565F71" w:rsidRPr="00C92A00">
        <w:trPr>
          <w:cantSplit/>
        </w:trPr>
        <w:tc>
          <w:tcPr>
            <w:tcW w:w="10173" w:type="dxa"/>
            <w:gridSpan w:val="2"/>
          </w:tcPr>
          <w:p w:rsidR="00565F71" w:rsidRPr="00C92A00" w:rsidRDefault="00C120FD" w:rsidP="0046187E">
            <w:pPr>
              <w:tabs>
                <w:tab w:val="clear" w:pos="567"/>
                <w:tab w:val="left" w:pos="851"/>
              </w:tabs>
              <w:spacing w:before="240"/>
              <w:jc w:val="center"/>
            </w:pPr>
            <w:bookmarkStart w:id="8" w:name="dtitle1" w:colFirst="0" w:colLast="0"/>
            <w:bookmarkEnd w:id="7"/>
            <w:r w:rsidRPr="00C92A00">
              <w:t>Martes</w:t>
            </w:r>
            <w:r w:rsidR="00565F71" w:rsidRPr="00C92A00">
              <w:t xml:space="preserve"> 1</w:t>
            </w:r>
            <w:r w:rsidRPr="00C92A00">
              <w:t>1</w:t>
            </w:r>
            <w:r w:rsidR="00565F71" w:rsidRPr="00C92A00">
              <w:t xml:space="preserve"> de </w:t>
            </w:r>
            <w:r w:rsidRPr="00C92A00">
              <w:t xml:space="preserve">junio </w:t>
            </w:r>
            <w:r w:rsidR="00565F71" w:rsidRPr="00C92A00">
              <w:t>de 201</w:t>
            </w:r>
            <w:r w:rsidRPr="00C92A00">
              <w:t>9</w:t>
            </w:r>
            <w:r w:rsidR="00565F71" w:rsidRPr="00C92A00">
              <w:t xml:space="preserve">, de </w:t>
            </w:r>
            <w:r w:rsidRPr="00C92A00">
              <w:t>14</w:t>
            </w:r>
            <w:r w:rsidR="00565F71" w:rsidRPr="00C92A00">
              <w:t>.3</w:t>
            </w:r>
            <w:r w:rsidRPr="00C92A00">
              <w:t>0</w:t>
            </w:r>
            <w:r w:rsidR="00565F71" w:rsidRPr="00C92A00">
              <w:t xml:space="preserve"> a 1</w:t>
            </w:r>
            <w:r w:rsidRPr="00C92A00">
              <w:t>7</w:t>
            </w:r>
            <w:r w:rsidR="00565F71" w:rsidRPr="00C92A00">
              <w:t>.3</w:t>
            </w:r>
            <w:r w:rsidRPr="00C92A00">
              <w:t>0</w:t>
            </w:r>
            <w:r w:rsidR="00565F71" w:rsidRPr="00C92A00">
              <w:t xml:space="preserve"> horas</w:t>
            </w:r>
          </w:p>
        </w:tc>
      </w:tr>
      <w:tr w:rsidR="00565F71" w:rsidRPr="00C92A00">
        <w:trPr>
          <w:cantSplit/>
        </w:trPr>
        <w:tc>
          <w:tcPr>
            <w:tcW w:w="10173" w:type="dxa"/>
            <w:gridSpan w:val="2"/>
          </w:tcPr>
          <w:p w:rsidR="00AF7BD9" w:rsidRPr="00C92A00" w:rsidRDefault="00565F71" w:rsidP="00AF7BD9">
            <w:pPr>
              <w:tabs>
                <w:tab w:val="clear" w:pos="567"/>
                <w:tab w:val="left" w:pos="851"/>
              </w:tabs>
              <w:spacing w:before="240"/>
              <w:jc w:val="center"/>
            </w:pPr>
            <w:r w:rsidRPr="00C92A00">
              <w:rPr>
                <w:b/>
                <w:bCs/>
              </w:rPr>
              <w:t>Presidente</w:t>
            </w:r>
            <w:r w:rsidR="00AF7BD9">
              <w:rPr>
                <w:b/>
                <w:bCs/>
              </w:rPr>
              <w:t xml:space="preserve"> en funciones</w:t>
            </w:r>
            <w:r w:rsidRPr="00C92A00">
              <w:t xml:space="preserve">: Sr. </w:t>
            </w:r>
            <w:r w:rsidR="00C120FD" w:rsidRPr="00C92A00">
              <w:t>F</w:t>
            </w:r>
            <w:r w:rsidRPr="00C92A00">
              <w:t xml:space="preserve">. </w:t>
            </w:r>
            <w:r w:rsidR="00C120FD" w:rsidRPr="00C92A00">
              <w:t xml:space="preserve">BIGI </w:t>
            </w:r>
            <w:r w:rsidRPr="00C92A00">
              <w:t>(</w:t>
            </w:r>
            <w:r w:rsidR="00C120FD" w:rsidRPr="00C92A00">
              <w:t>Italia</w:t>
            </w:r>
            <w:r w:rsidRPr="00C92A00">
              <w:t>)</w:t>
            </w:r>
          </w:p>
        </w:tc>
      </w:tr>
      <w:bookmarkEnd w:id="8"/>
    </w:tbl>
    <w:tbl>
      <w:tblPr>
        <w:tblW w:w="5221" w:type="pct"/>
        <w:tblLook w:val="0000" w:firstRow="0" w:lastRow="0" w:firstColumn="0" w:lastColumn="0" w:noHBand="0" w:noVBand="0"/>
      </w:tblPr>
      <w:tblGrid>
        <w:gridCol w:w="505"/>
        <w:gridCol w:w="7575"/>
        <w:gridCol w:w="1985"/>
      </w:tblGrid>
      <w:tr w:rsidR="00565F71" w:rsidRPr="00AF7BD9" w:rsidTr="00E75DC3">
        <w:tc>
          <w:tcPr>
            <w:tcW w:w="251" w:type="pct"/>
          </w:tcPr>
          <w:p w:rsidR="00565F71" w:rsidRPr="00AF7BD9" w:rsidRDefault="00565F71" w:rsidP="00AF7BD9">
            <w:pPr>
              <w:pStyle w:val="Tablehead"/>
              <w:jc w:val="left"/>
              <w:rPr>
                <w:sz w:val="24"/>
                <w:szCs w:val="24"/>
              </w:rPr>
            </w:pPr>
            <w:r w:rsidRPr="00AF7BD9">
              <w:rPr>
                <w:sz w:val="24"/>
                <w:szCs w:val="24"/>
              </w:rPr>
              <w:br w:type="page"/>
            </w:r>
            <w:r w:rsidRPr="00AF7BD9">
              <w:rPr>
                <w:sz w:val="24"/>
                <w:szCs w:val="24"/>
              </w:rPr>
              <w:br w:type="page"/>
            </w:r>
          </w:p>
        </w:tc>
        <w:tc>
          <w:tcPr>
            <w:tcW w:w="3763" w:type="pct"/>
          </w:tcPr>
          <w:p w:rsidR="00565F71" w:rsidRPr="00AF7BD9" w:rsidRDefault="00C120FD" w:rsidP="00AF7BD9">
            <w:pPr>
              <w:pStyle w:val="Tablehead"/>
              <w:jc w:val="left"/>
              <w:rPr>
                <w:sz w:val="24"/>
                <w:szCs w:val="24"/>
              </w:rPr>
            </w:pPr>
            <w:r w:rsidRPr="00AF7BD9">
              <w:rPr>
                <w:sz w:val="24"/>
                <w:szCs w:val="24"/>
              </w:rPr>
              <w:t>Asuntos tratado</w:t>
            </w:r>
          </w:p>
        </w:tc>
        <w:tc>
          <w:tcPr>
            <w:tcW w:w="986" w:type="pct"/>
          </w:tcPr>
          <w:p w:rsidR="00565F71" w:rsidRPr="00AF7BD9" w:rsidRDefault="00565F71" w:rsidP="00AF7BD9">
            <w:pPr>
              <w:pStyle w:val="Tablehead"/>
              <w:jc w:val="right"/>
              <w:rPr>
                <w:sz w:val="24"/>
                <w:szCs w:val="24"/>
              </w:rPr>
            </w:pPr>
            <w:bookmarkStart w:id="9" w:name="lt_pId015"/>
            <w:r w:rsidRPr="00AF7BD9">
              <w:rPr>
                <w:sz w:val="24"/>
                <w:szCs w:val="24"/>
              </w:rPr>
              <w:t>Document</w:t>
            </w:r>
            <w:r w:rsidR="00C120FD" w:rsidRPr="00AF7BD9">
              <w:rPr>
                <w:sz w:val="24"/>
                <w:szCs w:val="24"/>
              </w:rPr>
              <w:t>o</w:t>
            </w:r>
            <w:r w:rsidRPr="00AF7BD9">
              <w:rPr>
                <w:sz w:val="24"/>
                <w:szCs w:val="24"/>
              </w:rPr>
              <w:t>s</w:t>
            </w:r>
            <w:bookmarkEnd w:id="9"/>
          </w:p>
        </w:tc>
      </w:tr>
      <w:tr w:rsidR="00565F71" w:rsidRPr="00AF7BD9" w:rsidTr="00E75DC3">
        <w:tc>
          <w:tcPr>
            <w:tcW w:w="251" w:type="pct"/>
          </w:tcPr>
          <w:p w:rsidR="00565F71" w:rsidRPr="00AF7BD9" w:rsidRDefault="00565F71" w:rsidP="00AF7BD9">
            <w:pPr>
              <w:pStyle w:val="Tabletext"/>
              <w:rPr>
                <w:sz w:val="24"/>
                <w:szCs w:val="24"/>
              </w:rPr>
            </w:pPr>
            <w:r w:rsidRPr="00AF7BD9">
              <w:rPr>
                <w:sz w:val="24"/>
                <w:szCs w:val="24"/>
              </w:rPr>
              <w:t>1</w:t>
            </w:r>
          </w:p>
        </w:tc>
        <w:tc>
          <w:tcPr>
            <w:tcW w:w="3763" w:type="pct"/>
          </w:tcPr>
          <w:p w:rsidR="00565F71" w:rsidRPr="00AF7BD9" w:rsidRDefault="00C120FD" w:rsidP="00AF7BD9">
            <w:pPr>
              <w:pStyle w:val="Tabletext"/>
              <w:rPr>
                <w:bCs/>
                <w:sz w:val="24"/>
                <w:szCs w:val="24"/>
              </w:rPr>
            </w:pPr>
            <w:r w:rsidRPr="00AF7BD9">
              <w:rPr>
                <w:bCs/>
                <w:sz w:val="24"/>
                <w:szCs w:val="24"/>
              </w:rPr>
              <w:t>Día Mundial de las Telecomunicaciones y la Sociedad de la Información</w:t>
            </w:r>
          </w:p>
        </w:tc>
        <w:tc>
          <w:tcPr>
            <w:tcW w:w="986" w:type="pct"/>
          </w:tcPr>
          <w:p w:rsidR="00565F71" w:rsidRPr="00AF7BD9" w:rsidRDefault="00B240E5" w:rsidP="00AF7BD9">
            <w:pPr>
              <w:pStyle w:val="Tabletext"/>
              <w:rPr>
                <w:bCs/>
                <w:sz w:val="24"/>
                <w:szCs w:val="24"/>
              </w:rPr>
            </w:pPr>
            <w:hyperlink r:id="rId7" w:history="1">
              <w:bookmarkStart w:id="10" w:name="lt_pId018"/>
              <w:r w:rsidR="00565F71" w:rsidRPr="00AF7BD9">
                <w:rPr>
                  <w:rStyle w:val="Hyperlink"/>
                  <w:bCs/>
                  <w:sz w:val="24"/>
                  <w:szCs w:val="24"/>
                </w:rPr>
                <w:t>C19/17</w:t>
              </w:r>
              <w:bookmarkEnd w:id="10"/>
            </w:hyperlink>
          </w:p>
        </w:tc>
      </w:tr>
      <w:tr w:rsidR="00565F71" w:rsidRPr="00AF7BD9" w:rsidTr="00E75DC3">
        <w:tc>
          <w:tcPr>
            <w:tcW w:w="251" w:type="pct"/>
          </w:tcPr>
          <w:p w:rsidR="00565F71" w:rsidRPr="00AF7BD9" w:rsidRDefault="00565F71" w:rsidP="00AF7BD9">
            <w:pPr>
              <w:pStyle w:val="Tabletext"/>
              <w:rPr>
                <w:sz w:val="24"/>
                <w:szCs w:val="24"/>
              </w:rPr>
            </w:pPr>
            <w:r w:rsidRPr="00AF7BD9">
              <w:rPr>
                <w:sz w:val="24"/>
                <w:szCs w:val="24"/>
              </w:rPr>
              <w:t>2</w:t>
            </w:r>
          </w:p>
        </w:tc>
        <w:tc>
          <w:tcPr>
            <w:tcW w:w="3763" w:type="pct"/>
          </w:tcPr>
          <w:p w:rsidR="00565F71" w:rsidRPr="00AF7BD9" w:rsidRDefault="00C120FD" w:rsidP="00AF7BD9">
            <w:pPr>
              <w:pStyle w:val="Tabletext"/>
              <w:rPr>
                <w:sz w:val="24"/>
                <w:szCs w:val="24"/>
              </w:rPr>
            </w:pPr>
            <w:bookmarkStart w:id="11" w:name="lt_pId020"/>
            <w:r w:rsidRPr="00AF7BD9">
              <w:rPr>
                <w:rFonts w:asciiTheme="minorHAnsi" w:hAnsiTheme="minorHAnsi" w:cstheme="minorHAnsi"/>
                <w:sz w:val="24"/>
                <w:szCs w:val="24"/>
              </w:rPr>
              <w:t>Preparativos para el</w:t>
            </w:r>
            <w:r w:rsidR="00565F71" w:rsidRPr="00AF7BD9">
              <w:rPr>
                <w:rFonts w:asciiTheme="minorHAnsi" w:hAnsiTheme="minorHAnsi" w:cstheme="minorHAnsi"/>
                <w:sz w:val="24"/>
                <w:szCs w:val="24"/>
              </w:rPr>
              <w:t xml:space="preserve"> </w:t>
            </w:r>
            <w:r w:rsidRPr="00AF7BD9">
              <w:rPr>
                <w:rFonts w:asciiTheme="minorHAnsi" w:hAnsiTheme="minorHAnsi" w:cstheme="minorHAnsi"/>
                <w:sz w:val="24"/>
                <w:szCs w:val="24"/>
              </w:rPr>
              <w:t xml:space="preserve">Foro Mundial de Política de las Telecomunicaciones/TIC de </w:t>
            </w:r>
            <w:r w:rsidR="00565F71" w:rsidRPr="00AF7BD9">
              <w:rPr>
                <w:rFonts w:asciiTheme="minorHAnsi" w:hAnsiTheme="minorHAnsi" w:cstheme="minorHAnsi"/>
                <w:sz w:val="24"/>
                <w:szCs w:val="24"/>
              </w:rPr>
              <w:t>2021 (</w:t>
            </w:r>
            <w:r w:rsidRPr="00AF7BD9">
              <w:rPr>
                <w:rFonts w:asciiTheme="minorHAnsi" w:hAnsiTheme="minorHAnsi" w:cstheme="minorHAnsi"/>
                <w:sz w:val="24"/>
                <w:szCs w:val="24"/>
              </w:rPr>
              <w:t>FMPT</w:t>
            </w:r>
            <w:r w:rsidR="00565F71" w:rsidRPr="00AF7BD9">
              <w:rPr>
                <w:rFonts w:asciiTheme="minorHAnsi" w:hAnsiTheme="minorHAnsi" w:cstheme="minorHAnsi"/>
                <w:sz w:val="24"/>
                <w:szCs w:val="24"/>
              </w:rPr>
              <w:noBreakHyphen/>
              <w:t>21)</w:t>
            </w:r>
            <w:bookmarkEnd w:id="11"/>
          </w:p>
        </w:tc>
        <w:bookmarkStart w:id="12" w:name="lt_pId021"/>
        <w:tc>
          <w:tcPr>
            <w:tcW w:w="986" w:type="pct"/>
          </w:tcPr>
          <w:p w:rsidR="00565F71" w:rsidRPr="00AF7BD9" w:rsidRDefault="00565F71" w:rsidP="00AF7BD9">
            <w:pPr>
              <w:pStyle w:val="Tabletext"/>
              <w:rPr>
                <w:bCs/>
                <w:sz w:val="24"/>
                <w:szCs w:val="24"/>
              </w:rPr>
            </w:pPr>
            <w:r w:rsidRPr="00AF7BD9">
              <w:rPr>
                <w:sz w:val="24"/>
                <w:szCs w:val="24"/>
              </w:rPr>
              <w:fldChar w:fldCharType="begin"/>
            </w:r>
            <w:r w:rsidRPr="00AF7BD9">
              <w:rPr>
                <w:sz w:val="24"/>
                <w:szCs w:val="24"/>
              </w:rPr>
              <w:instrText xml:space="preserve"> HYPERLINK "https://www.itu.int/md/S19-CL-C-0005/en" </w:instrText>
            </w:r>
            <w:r w:rsidRPr="00AF7BD9">
              <w:rPr>
                <w:sz w:val="24"/>
                <w:szCs w:val="24"/>
              </w:rPr>
              <w:fldChar w:fldCharType="separate"/>
            </w:r>
            <w:r w:rsidRPr="00AF7BD9">
              <w:rPr>
                <w:rStyle w:val="Hyperlink"/>
                <w:bCs/>
                <w:sz w:val="24"/>
                <w:szCs w:val="24"/>
              </w:rPr>
              <w:t>C19/5</w:t>
            </w:r>
            <w:r w:rsidRPr="00AF7BD9">
              <w:rPr>
                <w:sz w:val="24"/>
                <w:szCs w:val="24"/>
              </w:rPr>
              <w:fldChar w:fldCharType="end"/>
            </w:r>
            <w:r w:rsidRPr="00AF7BD9">
              <w:rPr>
                <w:bCs/>
                <w:sz w:val="24"/>
                <w:szCs w:val="24"/>
              </w:rPr>
              <w:t xml:space="preserve">, </w:t>
            </w:r>
            <w:hyperlink r:id="rId8" w:history="1">
              <w:r w:rsidRPr="00AF7BD9">
                <w:rPr>
                  <w:rStyle w:val="Hyperlink"/>
                  <w:bCs/>
                  <w:sz w:val="24"/>
                  <w:szCs w:val="24"/>
                </w:rPr>
                <w:t>C19/78</w:t>
              </w:r>
            </w:hyperlink>
            <w:r w:rsidRPr="00AF7BD9">
              <w:rPr>
                <w:bCs/>
                <w:sz w:val="24"/>
                <w:szCs w:val="24"/>
              </w:rPr>
              <w:t xml:space="preserve">, </w:t>
            </w:r>
            <w:hyperlink r:id="rId9" w:history="1">
              <w:r w:rsidRPr="00AF7BD9">
                <w:rPr>
                  <w:rStyle w:val="Hyperlink"/>
                  <w:bCs/>
                  <w:sz w:val="24"/>
                  <w:szCs w:val="24"/>
                </w:rPr>
                <w:t>C19/83</w:t>
              </w:r>
            </w:hyperlink>
            <w:r w:rsidRPr="00AF7BD9">
              <w:rPr>
                <w:bCs/>
                <w:sz w:val="24"/>
                <w:szCs w:val="24"/>
              </w:rPr>
              <w:t xml:space="preserve">, </w:t>
            </w:r>
            <w:hyperlink r:id="rId10" w:history="1">
              <w:r w:rsidRPr="00AF7BD9">
                <w:rPr>
                  <w:rStyle w:val="Hyperlink"/>
                  <w:bCs/>
                  <w:sz w:val="24"/>
                  <w:szCs w:val="24"/>
                </w:rPr>
                <w:t>C19/85</w:t>
              </w:r>
            </w:hyperlink>
            <w:r w:rsidRPr="00AF7BD9">
              <w:rPr>
                <w:bCs/>
                <w:sz w:val="24"/>
                <w:szCs w:val="24"/>
              </w:rPr>
              <w:t xml:space="preserve">, </w:t>
            </w:r>
            <w:hyperlink r:id="rId11" w:history="1">
              <w:r w:rsidRPr="00AF7BD9">
                <w:rPr>
                  <w:rStyle w:val="Hyperlink"/>
                  <w:bCs/>
                  <w:sz w:val="24"/>
                  <w:szCs w:val="24"/>
                </w:rPr>
                <w:t>C19/88</w:t>
              </w:r>
            </w:hyperlink>
            <w:r w:rsidRPr="00AF7BD9">
              <w:rPr>
                <w:bCs/>
                <w:sz w:val="24"/>
                <w:szCs w:val="24"/>
              </w:rPr>
              <w:t xml:space="preserve">, </w:t>
            </w:r>
            <w:hyperlink r:id="rId12" w:history="1">
              <w:r w:rsidRPr="00AF7BD9">
                <w:rPr>
                  <w:rStyle w:val="Hyperlink"/>
                  <w:bCs/>
                  <w:sz w:val="24"/>
                  <w:szCs w:val="24"/>
                </w:rPr>
                <w:t>C19/93</w:t>
              </w:r>
            </w:hyperlink>
            <w:r w:rsidRPr="00AF7BD9">
              <w:rPr>
                <w:bCs/>
                <w:sz w:val="24"/>
                <w:szCs w:val="24"/>
              </w:rPr>
              <w:t xml:space="preserve">, </w:t>
            </w:r>
            <w:hyperlink r:id="rId13" w:history="1">
              <w:r w:rsidRPr="00AF7BD9">
                <w:rPr>
                  <w:rStyle w:val="Hyperlink"/>
                  <w:bCs/>
                  <w:sz w:val="24"/>
                  <w:szCs w:val="24"/>
                </w:rPr>
                <w:t>C19/94</w:t>
              </w:r>
            </w:hyperlink>
            <w:r w:rsidRPr="00AF7BD9">
              <w:rPr>
                <w:bCs/>
                <w:sz w:val="24"/>
                <w:szCs w:val="24"/>
              </w:rPr>
              <w:t xml:space="preserve">, </w:t>
            </w:r>
            <w:hyperlink r:id="rId14" w:history="1">
              <w:r w:rsidRPr="00AF7BD9">
                <w:rPr>
                  <w:rStyle w:val="Hyperlink"/>
                  <w:bCs/>
                  <w:sz w:val="24"/>
                  <w:szCs w:val="24"/>
                </w:rPr>
                <w:t>C19/99</w:t>
              </w:r>
            </w:hyperlink>
            <w:bookmarkEnd w:id="12"/>
          </w:p>
        </w:tc>
      </w:tr>
      <w:tr w:rsidR="00565F71" w:rsidRPr="00AF7BD9" w:rsidTr="00E75DC3">
        <w:tc>
          <w:tcPr>
            <w:tcW w:w="251" w:type="pct"/>
          </w:tcPr>
          <w:p w:rsidR="00565F71" w:rsidRPr="00AF7BD9" w:rsidRDefault="00565F71" w:rsidP="00AF7BD9">
            <w:pPr>
              <w:pStyle w:val="Tabletext"/>
              <w:rPr>
                <w:sz w:val="24"/>
                <w:szCs w:val="24"/>
              </w:rPr>
            </w:pPr>
            <w:r w:rsidRPr="00AF7BD9">
              <w:rPr>
                <w:sz w:val="24"/>
                <w:szCs w:val="24"/>
              </w:rPr>
              <w:t>3</w:t>
            </w:r>
          </w:p>
        </w:tc>
        <w:tc>
          <w:tcPr>
            <w:tcW w:w="3763" w:type="pct"/>
          </w:tcPr>
          <w:p w:rsidR="00565F71" w:rsidRPr="00AF7BD9" w:rsidRDefault="00C120FD" w:rsidP="00AF7BD9">
            <w:pPr>
              <w:pStyle w:val="Tabletext"/>
              <w:rPr>
                <w:sz w:val="24"/>
                <w:szCs w:val="24"/>
              </w:rPr>
            </w:pPr>
            <w:bookmarkStart w:id="13" w:name="lt_pId023"/>
            <w:r w:rsidRPr="00AF7BD9">
              <w:rPr>
                <w:sz w:val="24"/>
                <w:szCs w:val="24"/>
              </w:rPr>
              <w:t>Seguimiento de</w:t>
            </w:r>
            <w:r w:rsidR="00565F71" w:rsidRPr="00AF7BD9">
              <w:rPr>
                <w:sz w:val="24"/>
                <w:szCs w:val="24"/>
              </w:rPr>
              <w:t xml:space="preserve"> </w:t>
            </w:r>
            <w:r w:rsidRPr="00AF7BD9">
              <w:rPr>
                <w:sz w:val="24"/>
                <w:szCs w:val="24"/>
              </w:rPr>
              <w:t>la Resolución 146 (Rev. Dubái, 2018) – Examen periódico y revisión del Reglamento de las Telecomunicaciones Internacionales</w:t>
            </w:r>
            <w:bookmarkEnd w:id="13"/>
          </w:p>
        </w:tc>
        <w:bookmarkStart w:id="14" w:name="lt_pId024"/>
        <w:tc>
          <w:tcPr>
            <w:tcW w:w="986" w:type="pct"/>
          </w:tcPr>
          <w:p w:rsidR="00565F71" w:rsidRPr="00AF7BD9" w:rsidRDefault="00565F71" w:rsidP="00AF7BD9">
            <w:pPr>
              <w:pStyle w:val="Tabletext"/>
              <w:rPr>
                <w:sz w:val="24"/>
                <w:szCs w:val="24"/>
              </w:rPr>
            </w:pPr>
            <w:r w:rsidRPr="00AF7BD9">
              <w:rPr>
                <w:sz w:val="24"/>
                <w:szCs w:val="24"/>
              </w:rPr>
              <w:fldChar w:fldCharType="begin"/>
            </w:r>
            <w:r w:rsidRPr="00AF7BD9">
              <w:rPr>
                <w:sz w:val="24"/>
                <w:szCs w:val="24"/>
              </w:rPr>
              <w:instrText xml:space="preserve"> HYPERLINK "https://www.itu.int/md/S19-CL-C-0026/en" </w:instrText>
            </w:r>
            <w:r w:rsidRPr="00AF7BD9">
              <w:rPr>
                <w:sz w:val="24"/>
                <w:szCs w:val="24"/>
              </w:rPr>
              <w:fldChar w:fldCharType="separate"/>
            </w:r>
            <w:r w:rsidRPr="00AF7BD9">
              <w:rPr>
                <w:rStyle w:val="Hyperlink"/>
                <w:sz w:val="24"/>
                <w:szCs w:val="24"/>
              </w:rPr>
              <w:t>C19/26</w:t>
            </w:r>
            <w:r w:rsidRPr="00AF7BD9">
              <w:rPr>
                <w:sz w:val="24"/>
                <w:szCs w:val="24"/>
              </w:rPr>
              <w:fldChar w:fldCharType="end"/>
            </w:r>
            <w:r w:rsidRPr="00AF7BD9">
              <w:rPr>
                <w:sz w:val="24"/>
                <w:szCs w:val="24"/>
              </w:rPr>
              <w:t xml:space="preserve">, </w:t>
            </w:r>
            <w:hyperlink r:id="rId15" w:history="1">
              <w:r w:rsidRPr="00AF7BD9">
                <w:rPr>
                  <w:rStyle w:val="Hyperlink"/>
                  <w:sz w:val="24"/>
                  <w:szCs w:val="24"/>
                </w:rPr>
                <w:t>C19/65</w:t>
              </w:r>
            </w:hyperlink>
            <w:r w:rsidRPr="00AF7BD9">
              <w:rPr>
                <w:sz w:val="24"/>
                <w:szCs w:val="24"/>
              </w:rPr>
              <w:t xml:space="preserve">, </w:t>
            </w:r>
            <w:hyperlink r:id="rId16" w:history="1">
              <w:r w:rsidRPr="00AF7BD9">
                <w:rPr>
                  <w:rStyle w:val="Hyperlink"/>
                  <w:sz w:val="24"/>
                  <w:szCs w:val="24"/>
                </w:rPr>
                <w:t>C19/69</w:t>
              </w:r>
            </w:hyperlink>
            <w:r w:rsidRPr="00AF7BD9">
              <w:rPr>
                <w:sz w:val="24"/>
                <w:szCs w:val="24"/>
              </w:rPr>
              <w:t xml:space="preserve">, </w:t>
            </w:r>
            <w:hyperlink r:id="rId17" w:history="1">
              <w:r w:rsidRPr="00AF7BD9">
                <w:rPr>
                  <w:rStyle w:val="Hyperlink"/>
                  <w:sz w:val="24"/>
                  <w:szCs w:val="24"/>
                </w:rPr>
                <w:t>C19/74</w:t>
              </w:r>
            </w:hyperlink>
            <w:r w:rsidRPr="00AF7BD9">
              <w:rPr>
                <w:sz w:val="24"/>
                <w:szCs w:val="24"/>
              </w:rPr>
              <w:t xml:space="preserve">, </w:t>
            </w:r>
            <w:hyperlink r:id="rId18" w:history="1">
              <w:r w:rsidRPr="00AF7BD9">
                <w:rPr>
                  <w:rStyle w:val="Hyperlink"/>
                  <w:sz w:val="24"/>
                  <w:szCs w:val="24"/>
                </w:rPr>
                <w:t>C19/79</w:t>
              </w:r>
            </w:hyperlink>
            <w:r w:rsidRPr="00AF7BD9">
              <w:rPr>
                <w:sz w:val="24"/>
                <w:szCs w:val="24"/>
              </w:rPr>
              <w:t xml:space="preserve">, </w:t>
            </w:r>
            <w:hyperlink r:id="rId19" w:history="1">
              <w:r w:rsidRPr="00AF7BD9">
                <w:rPr>
                  <w:rStyle w:val="Hyperlink"/>
                  <w:sz w:val="24"/>
                  <w:szCs w:val="24"/>
                </w:rPr>
                <w:t>C19/81</w:t>
              </w:r>
            </w:hyperlink>
            <w:r w:rsidRPr="00AF7BD9">
              <w:rPr>
                <w:sz w:val="24"/>
                <w:szCs w:val="24"/>
              </w:rPr>
              <w:t xml:space="preserve">, </w:t>
            </w:r>
            <w:hyperlink r:id="rId20" w:history="1">
              <w:r w:rsidRPr="00AF7BD9">
                <w:rPr>
                  <w:rStyle w:val="Hyperlink"/>
                  <w:sz w:val="24"/>
                  <w:szCs w:val="24"/>
                </w:rPr>
                <w:t>C19/86</w:t>
              </w:r>
            </w:hyperlink>
            <w:r w:rsidRPr="00AF7BD9">
              <w:rPr>
                <w:sz w:val="24"/>
                <w:szCs w:val="24"/>
              </w:rPr>
              <w:t xml:space="preserve">, </w:t>
            </w:r>
            <w:hyperlink r:id="rId21" w:history="1">
              <w:r w:rsidRPr="00AF7BD9">
                <w:rPr>
                  <w:rStyle w:val="Hyperlink"/>
                  <w:sz w:val="24"/>
                  <w:szCs w:val="24"/>
                </w:rPr>
                <w:t>C19/89</w:t>
              </w:r>
            </w:hyperlink>
            <w:r w:rsidRPr="00AF7BD9">
              <w:rPr>
                <w:sz w:val="24"/>
                <w:szCs w:val="24"/>
              </w:rPr>
              <w:t xml:space="preserve">, </w:t>
            </w:r>
            <w:hyperlink r:id="rId22" w:history="1">
              <w:r w:rsidRPr="00AF7BD9">
                <w:rPr>
                  <w:rStyle w:val="Hyperlink"/>
                  <w:sz w:val="24"/>
                  <w:szCs w:val="24"/>
                </w:rPr>
                <w:t>C19/100</w:t>
              </w:r>
            </w:hyperlink>
            <w:bookmarkEnd w:id="14"/>
          </w:p>
        </w:tc>
      </w:tr>
      <w:tr w:rsidR="00565F71" w:rsidRPr="00AF7BD9" w:rsidTr="00E75DC3">
        <w:tc>
          <w:tcPr>
            <w:tcW w:w="251" w:type="pct"/>
          </w:tcPr>
          <w:p w:rsidR="00565F71" w:rsidRPr="00AF7BD9" w:rsidRDefault="00565F71" w:rsidP="00AF7BD9">
            <w:pPr>
              <w:pStyle w:val="Tabletext"/>
              <w:rPr>
                <w:sz w:val="24"/>
                <w:szCs w:val="24"/>
              </w:rPr>
            </w:pPr>
            <w:r w:rsidRPr="00AF7BD9">
              <w:rPr>
                <w:sz w:val="24"/>
                <w:szCs w:val="24"/>
              </w:rPr>
              <w:t>4</w:t>
            </w:r>
          </w:p>
        </w:tc>
        <w:tc>
          <w:tcPr>
            <w:tcW w:w="3763" w:type="pct"/>
          </w:tcPr>
          <w:p w:rsidR="00565F71" w:rsidRPr="00AF7BD9" w:rsidRDefault="00C120FD" w:rsidP="00AF7BD9">
            <w:pPr>
              <w:pStyle w:val="Tabletext"/>
              <w:rPr>
                <w:sz w:val="24"/>
                <w:szCs w:val="24"/>
              </w:rPr>
            </w:pPr>
            <w:bookmarkStart w:id="15" w:name="lt_pId026"/>
            <w:r w:rsidRPr="00AF7BD9">
              <w:rPr>
                <w:sz w:val="24"/>
                <w:szCs w:val="24"/>
              </w:rPr>
              <w:t>Actividades de la U</w:t>
            </w:r>
            <w:r w:rsidR="00565F71" w:rsidRPr="00AF7BD9">
              <w:rPr>
                <w:sz w:val="24"/>
                <w:szCs w:val="24"/>
              </w:rPr>
              <w:t xml:space="preserve">IT </w:t>
            </w:r>
            <w:r w:rsidRPr="00AF7BD9">
              <w:rPr>
                <w:sz w:val="24"/>
                <w:szCs w:val="24"/>
              </w:rPr>
              <w:t xml:space="preserve">en el ámbito de </w:t>
            </w:r>
            <w:r w:rsidR="00565F71" w:rsidRPr="00AF7BD9">
              <w:rPr>
                <w:sz w:val="24"/>
                <w:szCs w:val="24"/>
              </w:rPr>
              <w:t xml:space="preserve">Internet </w:t>
            </w:r>
            <w:bookmarkEnd w:id="15"/>
          </w:p>
        </w:tc>
        <w:bookmarkStart w:id="16" w:name="lt_pId027"/>
        <w:tc>
          <w:tcPr>
            <w:tcW w:w="986" w:type="pct"/>
          </w:tcPr>
          <w:p w:rsidR="00565F71" w:rsidRPr="00AF7BD9" w:rsidRDefault="00565F71" w:rsidP="00AF7BD9">
            <w:pPr>
              <w:pStyle w:val="Tabletext"/>
              <w:rPr>
                <w:sz w:val="24"/>
                <w:szCs w:val="24"/>
              </w:rPr>
            </w:pPr>
            <w:r w:rsidRPr="00AF7BD9">
              <w:rPr>
                <w:sz w:val="24"/>
                <w:szCs w:val="24"/>
              </w:rPr>
              <w:fldChar w:fldCharType="begin"/>
            </w:r>
            <w:r w:rsidRPr="00AF7BD9">
              <w:rPr>
                <w:sz w:val="24"/>
                <w:szCs w:val="24"/>
              </w:rPr>
              <w:instrText xml:space="preserve"> HYPERLINK "https://www.itu.int/md/S19-CL-C-0033/en" </w:instrText>
            </w:r>
            <w:r w:rsidRPr="00AF7BD9">
              <w:rPr>
                <w:sz w:val="24"/>
                <w:szCs w:val="24"/>
              </w:rPr>
              <w:fldChar w:fldCharType="separate"/>
            </w:r>
            <w:r w:rsidRPr="00AF7BD9">
              <w:rPr>
                <w:rStyle w:val="Hyperlink"/>
                <w:sz w:val="24"/>
                <w:szCs w:val="24"/>
              </w:rPr>
              <w:t>C19/33</w:t>
            </w:r>
            <w:r w:rsidRPr="00AF7BD9">
              <w:rPr>
                <w:sz w:val="24"/>
                <w:szCs w:val="24"/>
              </w:rPr>
              <w:fldChar w:fldCharType="end"/>
            </w:r>
            <w:r w:rsidRPr="00AF7BD9">
              <w:rPr>
                <w:sz w:val="24"/>
                <w:szCs w:val="24"/>
              </w:rPr>
              <w:t xml:space="preserve">, </w:t>
            </w:r>
            <w:hyperlink r:id="rId23" w:history="1">
              <w:r w:rsidRPr="00AF7BD9">
                <w:rPr>
                  <w:rStyle w:val="Hyperlink"/>
                  <w:sz w:val="24"/>
                  <w:szCs w:val="24"/>
                </w:rPr>
                <w:t>C19/82</w:t>
              </w:r>
            </w:hyperlink>
            <w:r w:rsidRPr="00AF7BD9">
              <w:rPr>
                <w:sz w:val="24"/>
                <w:szCs w:val="24"/>
              </w:rPr>
              <w:t xml:space="preserve">, </w:t>
            </w:r>
            <w:hyperlink r:id="rId24" w:history="1">
              <w:r w:rsidRPr="00AF7BD9">
                <w:rPr>
                  <w:rStyle w:val="Hyperlink"/>
                  <w:sz w:val="24"/>
                  <w:szCs w:val="24"/>
                </w:rPr>
                <w:t>C19/102</w:t>
              </w:r>
            </w:hyperlink>
            <w:bookmarkEnd w:id="16"/>
          </w:p>
        </w:tc>
      </w:tr>
    </w:tbl>
    <w:p w:rsidR="00565F71" w:rsidRPr="00C92A00" w:rsidRDefault="00565F71" w:rsidP="0046187E">
      <w:pPr>
        <w:tabs>
          <w:tab w:val="clear" w:pos="567"/>
          <w:tab w:val="clear" w:pos="1134"/>
          <w:tab w:val="clear" w:pos="1701"/>
          <w:tab w:val="clear" w:pos="2268"/>
          <w:tab w:val="clear" w:pos="2835"/>
          <w:tab w:val="left" w:pos="851"/>
        </w:tabs>
        <w:overflowPunct/>
        <w:autoSpaceDE/>
        <w:autoSpaceDN/>
        <w:adjustRightInd/>
        <w:spacing w:before="0"/>
        <w:jc w:val="both"/>
        <w:textAlignment w:val="auto"/>
      </w:pPr>
      <w:bookmarkStart w:id="17" w:name="dstart"/>
      <w:bookmarkStart w:id="18" w:name="dbreak"/>
      <w:bookmarkEnd w:id="17"/>
      <w:bookmarkEnd w:id="18"/>
      <w:r w:rsidRPr="00C92A00">
        <w:br w:type="page"/>
      </w:r>
    </w:p>
    <w:p w:rsidR="00565F71" w:rsidRPr="00C92A00" w:rsidRDefault="00565F71" w:rsidP="0046187E">
      <w:pPr>
        <w:pStyle w:val="Heading1"/>
        <w:tabs>
          <w:tab w:val="clear" w:pos="567"/>
          <w:tab w:val="left" w:pos="851"/>
        </w:tabs>
        <w:rPr>
          <w:bCs/>
        </w:rPr>
      </w:pPr>
      <w:r w:rsidRPr="00C92A00">
        <w:rPr>
          <w:bCs/>
        </w:rPr>
        <w:lastRenderedPageBreak/>
        <w:t>1</w:t>
      </w:r>
      <w:r w:rsidRPr="00C92A00">
        <w:rPr>
          <w:bCs/>
        </w:rPr>
        <w:tab/>
      </w:r>
      <w:r w:rsidRPr="00C92A00">
        <w:t xml:space="preserve">Día Mundial de las Telecomunicaciones y la Sociedad de la Información (Documento </w:t>
      </w:r>
      <w:hyperlink r:id="rId25" w:history="1">
        <w:r w:rsidRPr="00C92A00">
          <w:rPr>
            <w:rStyle w:val="Hyperlink"/>
            <w:sz w:val="26"/>
            <w:szCs w:val="26"/>
          </w:rPr>
          <w:t>C18/17</w:t>
        </w:r>
      </w:hyperlink>
      <w:r w:rsidRPr="00C92A00">
        <w:t>)</w:t>
      </w:r>
    </w:p>
    <w:p w:rsidR="00565F71" w:rsidRPr="00C92A00" w:rsidRDefault="00565F71" w:rsidP="0046187E">
      <w:pPr>
        <w:tabs>
          <w:tab w:val="clear" w:pos="567"/>
          <w:tab w:val="left" w:pos="851"/>
        </w:tabs>
        <w:rPr>
          <w:rFonts w:cs="Calibri"/>
          <w:b/>
          <w:color w:val="800000"/>
          <w:sz w:val="22"/>
        </w:rPr>
      </w:pPr>
      <w:r w:rsidRPr="00C92A00">
        <w:t>1.1</w:t>
      </w:r>
      <w:r w:rsidRPr="00C92A00">
        <w:tab/>
        <w:t xml:space="preserve">El representante de la Secretaría presenta el Informe del Secretario General sobre el Día Mundial de las Telecomunicaciones y </w:t>
      </w:r>
      <w:r w:rsidR="009376BB">
        <w:t xml:space="preserve">de </w:t>
      </w:r>
      <w:r w:rsidRPr="00C92A00">
        <w:t>la Sociedad de la Información (DMTSI), reproducido en el Documento C1</w:t>
      </w:r>
      <w:r w:rsidR="00C92A00">
        <w:t>9</w:t>
      </w:r>
      <w:r w:rsidRPr="00C92A00">
        <w:t>/17.</w:t>
      </w:r>
    </w:p>
    <w:p w:rsidR="00565F71" w:rsidRPr="00C92A00" w:rsidRDefault="00565F71" w:rsidP="0046187E">
      <w:pPr>
        <w:tabs>
          <w:tab w:val="clear" w:pos="567"/>
          <w:tab w:val="left" w:pos="851"/>
        </w:tabs>
      </w:pPr>
      <w:r w:rsidRPr="00C92A00">
        <w:t>1.2</w:t>
      </w:r>
      <w:r w:rsidRPr="00C92A00">
        <w:tab/>
      </w:r>
      <w:bookmarkStart w:id="19" w:name="lt_pId035"/>
      <w:r w:rsidR="00C92A00">
        <w:t xml:space="preserve">Los consejeros se congratulan </w:t>
      </w:r>
      <w:r w:rsidR="0038395F">
        <w:t xml:space="preserve">de </w:t>
      </w:r>
      <w:r w:rsidR="00C92A00">
        <w:t xml:space="preserve">la celebración anual del DMTSI y refrendan el tema elegido para el DMTSI-20. Varios consejeros </w:t>
      </w:r>
      <w:r w:rsidR="003F5239">
        <w:t>describieron</w:t>
      </w:r>
      <w:r w:rsidR="00C92A00">
        <w:t xml:space="preserve"> los eventos celebrados en sus países para conmemorar el DMTSI-19 con la participación de todas las partes interesadas. Se hace hincapié en que los temas de esas jornadas deben ser claros y algunos consejeros sugieren que la designación "Día Mundial de las Telecomunicaciones y de la Sociedad de la Información" podría </w:t>
      </w:r>
      <w:r w:rsidR="003F5239">
        <w:t xml:space="preserve">abreviarse </w:t>
      </w:r>
      <w:r w:rsidR="00C92A00">
        <w:t xml:space="preserve">para </w:t>
      </w:r>
      <w:r w:rsidR="003F5239">
        <w:t>que sea más comp</w:t>
      </w:r>
      <w:r w:rsidR="003F5239">
        <w:rPr>
          <w:lang w:val="es-ES"/>
        </w:rPr>
        <w:t xml:space="preserve">rensible por </w:t>
      </w:r>
      <w:r w:rsidR="00C92A00">
        <w:t>el público en general</w:t>
      </w:r>
      <w:r w:rsidRPr="00C92A00">
        <w:t>.</w:t>
      </w:r>
      <w:bookmarkEnd w:id="19"/>
    </w:p>
    <w:p w:rsidR="00565F71" w:rsidRPr="00C92A00" w:rsidRDefault="00565F71" w:rsidP="0046187E">
      <w:pPr>
        <w:tabs>
          <w:tab w:val="clear" w:pos="567"/>
          <w:tab w:val="left" w:pos="851"/>
        </w:tabs>
      </w:pPr>
      <w:r w:rsidRPr="00C92A00">
        <w:t>1.3</w:t>
      </w:r>
      <w:r w:rsidRPr="00C92A00">
        <w:tab/>
      </w:r>
      <w:bookmarkStart w:id="20" w:name="lt_pId037"/>
      <w:r w:rsidR="00C92A00">
        <w:t xml:space="preserve">El Consejo </w:t>
      </w:r>
      <w:r w:rsidR="00C92A00" w:rsidRPr="00C92A00">
        <w:rPr>
          <w:b/>
          <w:bCs/>
        </w:rPr>
        <w:t>toma nota</w:t>
      </w:r>
      <w:r w:rsidR="00C92A00" w:rsidRPr="00C92A00">
        <w:t xml:space="preserve"> de la celebración del DMTSI-19 sobre el tema "Reducción de </w:t>
      </w:r>
      <w:r w:rsidR="009376BB">
        <w:t>la brecha de</w:t>
      </w:r>
      <w:r w:rsidR="00C92A00" w:rsidRPr="00C92A00">
        <w:t xml:space="preserve"> normalización" y </w:t>
      </w:r>
      <w:r w:rsidR="00C92A00" w:rsidRPr="00C92A00">
        <w:rPr>
          <w:b/>
          <w:bCs/>
        </w:rPr>
        <w:t>aprueba</w:t>
      </w:r>
      <w:r w:rsidR="00C92A00">
        <w:t xml:space="preserve"> </w:t>
      </w:r>
      <w:r w:rsidR="00C92A00" w:rsidRPr="00C92A00">
        <w:t xml:space="preserve">el tema "Conectar 2030: las TIC para los </w:t>
      </w:r>
      <w:r w:rsidR="009376BB">
        <w:t>ODS</w:t>
      </w:r>
      <w:r w:rsidR="00E61A7C">
        <w:t>" para el DMTSI</w:t>
      </w:r>
      <w:r w:rsidR="00E61A7C">
        <w:noBreakHyphen/>
      </w:r>
      <w:r w:rsidR="00C92A00" w:rsidRPr="00C92A00">
        <w:t>20</w:t>
      </w:r>
      <w:r w:rsidRPr="00C92A00">
        <w:t>.</w:t>
      </w:r>
      <w:bookmarkEnd w:id="20"/>
    </w:p>
    <w:p w:rsidR="00565F71" w:rsidRPr="00C92A00" w:rsidRDefault="00565F71" w:rsidP="0046187E">
      <w:pPr>
        <w:pStyle w:val="Heading1"/>
        <w:tabs>
          <w:tab w:val="clear" w:pos="567"/>
          <w:tab w:val="left" w:pos="851"/>
        </w:tabs>
        <w:rPr>
          <w:bCs/>
        </w:rPr>
      </w:pPr>
      <w:r w:rsidRPr="00C92A00">
        <w:t>2</w:t>
      </w:r>
      <w:r w:rsidRPr="00C92A00">
        <w:tab/>
      </w:r>
      <w:bookmarkStart w:id="21" w:name="lt_pId039"/>
      <w:r w:rsidR="009376BB" w:rsidRPr="009376BB">
        <w:rPr>
          <w:rFonts w:asciiTheme="minorHAnsi" w:hAnsiTheme="minorHAnsi" w:cstheme="minorHAnsi"/>
          <w:bCs/>
          <w:szCs w:val="24"/>
        </w:rPr>
        <w:t>Preparativos para el Foro Mundial de Política de las Telecomunicaciones/TIC de 2021 (FMPT</w:t>
      </w:r>
      <w:r w:rsidRPr="00C92A00">
        <w:noBreakHyphen/>
        <w:t>21)</w:t>
      </w:r>
      <w:r w:rsidRPr="00C92A00">
        <w:rPr>
          <w:szCs w:val="24"/>
        </w:rPr>
        <w:t xml:space="preserve"> </w:t>
      </w:r>
      <w:r w:rsidRPr="00C92A00">
        <w:t>(Document</w:t>
      </w:r>
      <w:r w:rsidR="009376BB">
        <w:t>o</w:t>
      </w:r>
      <w:r w:rsidRPr="00C92A00">
        <w:t xml:space="preserve">s </w:t>
      </w:r>
      <w:hyperlink r:id="rId26" w:history="1">
        <w:r w:rsidRPr="00C92A00">
          <w:rPr>
            <w:rStyle w:val="Hyperlink"/>
            <w:rFonts w:cstheme="minorHAnsi"/>
            <w:sz w:val="26"/>
            <w:szCs w:val="26"/>
          </w:rPr>
          <w:t>C19/5</w:t>
        </w:r>
      </w:hyperlink>
      <w:r w:rsidRPr="00C92A00">
        <w:t xml:space="preserve">, </w:t>
      </w:r>
      <w:hyperlink r:id="rId27" w:history="1">
        <w:r w:rsidRPr="00C92A00">
          <w:rPr>
            <w:rStyle w:val="Hyperlink"/>
            <w:rFonts w:cstheme="minorHAnsi"/>
            <w:sz w:val="26"/>
            <w:szCs w:val="26"/>
          </w:rPr>
          <w:t>C19/78</w:t>
        </w:r>
      </w:hyperlink>
      <w:r w:rsidRPr="00C92A00">
        <w:t xml:space="preserve">, </w:t>
      </w:r>
      <w:hyperlink r:id="rId28" w:history="1">
        <w:r w:rsidRPr="00C92A00">
          <w:rPr>
            <w:rStyle w:val="Hyperlink"/>
            <w:rFonts w:cstheme="minorHAnsi"/>
            <w:sz w:val="26"/>
            <w:szCs w:val="26"/>
          </w:rPr>
          <w:t>C19/83</w:t>
        </w:r>
      </w:hyperlink>
      <w:r w:rsidRPr="00C92A00">
        <w:t xml:space="preserve">, </w:t>
      </w:r>
      <w:hyperlink r:id="rId29" w:history="1">
        <w:r w:rsidRPr="00C92A00">
          <w:rPr>
            <w:rStyle w:val="Hyperlink"/>
            <w:rFonts w:cstheme="minorHAnsi"/>
            <w:sz w:val="26"/>
            <w:szCs w:val="26"/>
          </w:rPr>
          <w:t>C19/85</w:t>
        </w:r>
      </w:hyperlink>
      <w:r w:rsidRPr="00C92A00">
        <w:t xml:space="preserve">, </w:t>
      </w:r>
      <w:hyperlink r:id="rId30" w:history="1">
        <w:r w:rsidRPr="00C92A00">
          <w:rPr>
            <w:rStyle w:val="Hyperlink"/>
            <w:rFonts w:cstheme="minorHAnsi"/>
            <w:sz w:val="26"/>
            <w:szCs w:val="26"/>
          </w:rPr>
          <w:t>C19/88</w:t>
        </w:r>
      </w:hyperlink>
      <w:r w:rsidRPr="00C92A00">
        <w:t xml:space="preserve">, </w:t>
      </w:r>
      <w:hyperlink r:id="rId31" w:history="1">
        <w:r w:rsidRPr="00C92A00">
          <w:rPr>
            <w:rStyle w:val="Hyperlink"/>
            <w:rFonts w:cstheme="minorHAnsi"/>
            <w:sz w:val="26"/>
            <w:szCs w:val="26"/>
          </w:rPr>
          <w:t>C19/93</w:t>
        </w:r>
      </w:hyperlink>
      <w:r w:rsidRPr="00C92A00">
        <w:t xml:space="preserve">, </w:t>
      </w:r>
      <w:hyperlink r:id="rId32" w:history="1">
        <w:r w:rsidRPr="00C92A00">
          <w:rPr>
            <w:rStyle w:val="Hyperlink"/>
            <w:rFonts w:cstheme="minorHAnsi"/>
            <w:sz w:val="26"/>
            <w:szCs w:val="26"/>
          </w:rPr>
          <w:t>C19/94</w:t>
        </w:r>
      </w:hyperlink>
      <w:r w:rsidRPr="00C92A00">
        <w:t xml:space="preserve"> </w:t>
      </w:r>
      <w:r w:rsidR="009376BB">
        <w:t>y</w:t>
      </w:r>
      <w:r w:rsidRPr="00C92A00">
        <w:t xml:space="preserve"> </w:t>
      </w:r>
      <w:hyperlink r:id="rId33" w:history="1">
        <w:r w:rsidRPr="00C92A00">
          <w:rPr>
            <w:rStyle w:val="Hyperlink"/>
            <w:rFonts w:cstheme="minorHAnsi"/>
            <w:sz w:val="26"/>
            <w:szCs w:val="26"/>
          </w:rPr>
          <w:t>C19/99</w:t>
        </w:r>
      </w:hyperlink>
      <w:r w:rsidRPr="00C92A00">
        <w:t>)</w:t>
      </w:r>
      <w:bookmarkEnd w:id="21"/>
    </w:p>
    <w:p w:rsidR="009376BB" w:rsidRDefault="000C79A8" w:rsidP="0046187E">
      <w:pPr>
        <w:tabs>
          <w:tab w:val="clear" w:pos="567"/>
          <w:tab w:val="left" w:pos="851"/>
        </w:tabs>
      </w:pPr>
      <w:r>
        <w:t>2.1</w:t>
      </w:r>
      <w:r w:rsidR="009376BB">
        <w:tab/>
        <w:t xml:space="preserve">Un representante de la Secretaría presentó el Documento C19/5, que </w:t>
      </w:r>
      <w:r w:rsidR="003F5239">
        <w:t>contiene</w:t>
      </w:r>
      <w:r w:rsidR="009376BB">
        <w:t xml:space="preserve"> información general sobre el FMPT y </w:t>
      </w:r>
      <w:r w:rsidR="00B71503">
        <w:t>propone</w:t>
      </w:r>
      <w:r w:rsidR="009376BB">
        <w:t xml:space="preserve"> un calendario para </w:t>
      </w:r>
      <w:r w:rsidR="00B71503">
        <w:t xml:space="preserve">los preparativos </w:t>
      </w:r>
      <w:r w:rsidR="009376BB">
        <w:t>del FMPT-21. Se invitó al Consejo a decidir la duración, fecha, lugar de celebración,</w:t>
      </w:r>
      <w:r>
        <w:t xml:space="preserve"> orden del día y temas del FMPT</w:t>
      </w:r>
      <w:r>
        <w:noBreakHyphen/>
      </w:r>
      <w:r w:rsidR="009376BB">
        <w:t>21 y a adoptar un procedimiento para la preparación del informe</w:t>
      </w:r>
      <w:r>
        <w:t xml:space="preserve"> del Secretario General al FMPT</w:t>
      </w:r>
      <w:r>
        <w:noBreakHyphen/>
      </w:r>
      <w:r w:rsidR="009376BB">
        <w:t>21, de conformida</w:t>
      </w:r>
      <w:r w:rsidR="00851A78">
        <w:t>d con la Resolución 2 (Rev. Dubá</w:t>
      </w:r>
      <w:r w:rsidR="009376BB">
        <w:t>i, 2018).</w:t>
      </w:r>
    </w:p>
    <w:p w:rsidR="009376BB" w:rsidRDefault="000C79A8" w:rsidP="0046187E">
      <w:pPr>
        <w:tabs>
          <w:tab w:val="clear" w:pos="567"/>
          <w:tab w:val="left" w:pos="851"/>
        </w:tabs>
      </w:pPr>
      <w:r>
        <w:t>2.2</w:t>
      </w:r>
      <w:r w:rsidR="009376BB">
        <w:tab/>
        <w:t xml:space="preserve">Los consejeros de Côte d'Ivoire, Rumania en nombre de </w:t>
      </w:r>
      <w:r w:rsidR="0046187E">
        <w:t xml:space="preserve">las Administraciones </w:t>
      </w:r>
      <w:r w:rsidR="00851A78">
        <w:t xml:space="preserve">de </w:t>
      </w:r>
      <w:r w:rsidR="009376BB">
        <w:t xml:space="preserve">los Estados Miembros de la CEPT y Argelia presentaron los documentos C19/93, C19/88 y C19/83, respectivamente, </w:t>
      </w:r>
      <w:r w:rsidR="009376BB">
        <w:lastRenderedPageBreak/>
        <w:t>proponiendo temas para el próximo FMPT. El consejero de Côte d'Ivoire present</w:t>
      </w:r>
      <w:r w:rsidR="00851A78">
        <w:t>a</w:t>
      </w:r>
      <w:r w:rsidR="009376BB">
        <w:t xml:space="preserve"> también el Documento C19/94 en el que se </w:t>
      </w:r>
      <w:r w:rsidR="00851A78">
        <w:t>aprueba</w:t>
      </w:r>
      <w:r w:rsidR="009376BB">
        <w:t xml:space="preserve"> el calendario provisional del proceso preparatorio propuesto por la Secretaría.</w:t>
      </w:r>
    </w:p>
    <w:p w:rsidR="009376BB" w:rsidRDefault="009376BB" w:rsidP="0046187E">
      <w:pPr>
        <w:tabs>
          <w:tab w:val="clear" w:pos="567"/>
          <w:tab w:val="left" w:pos="851"/>
        </w:tabs>
      </w:pPr>
      <w:r>
        <w:t>2.3</w:t>
      </w:r>
      <w:r>
        <w:tab/>
        <w:t>Los consejeros de México, Arabia Saudita y Brasil presentan, respectivamente, el Documento C19/85, el Documento C19/99 que cont</w:t>
      </w:r>
      <w:r w:rsidR="00851A78">
        <w:t>iene</w:t>
      </w:r>
      <w:r>
        <w:t xml:space="preserve"> una contribución presentada por Arabia Saudita, Egipto y Emiratos Árabes Unidos, y el Documento C19/78 que cont</w:t>
      </w:r>
      <w:r w:rsidR="00851A78">
        <w:t>iene</w:t>
      </w:r>
      <w:r>
        <w:t xml:space="preserve"> una contribución presentada por Argentina, Bahamas, Brasil, Canadá y </w:t>
      </w:r>
      <w:r w:rsidR="00851A78">
        <w:t>Estados Unidos. En c</w:t>
      </w:r>
      <w:r>
        <w:t xml:space="preserve">ada contribución </w:t>
      </w:r>
      <w:r w:rsidR="00851A78">
        <w:t>figura</w:t>
      </w:r>
      <w:r>
        <w:t xml:space="preserve"> un proyecto de nueva decisión que abarcaba, entre otras cosas, los temas, el lugar de celebración, l</w:t>
      </w:r>
      <w:r w:rsidR="00851A78">
        <w:t xml:space="preserve">a duración y las disposiciones para </w:t>
      </w:r>
      <w:r>
        <w:t xml:space="preserve">el FMPT-21. </w:t>
      </w:r>
    </w:p>
    <w:p w:rsidR="009376BB" w:rsidRDefault="000C79A8" w:rsidP="0046187E">
      <w:pPr>
        <w:tabs>
          <w:tab w:val="clear" w:pos="567"/>
          <w:tab w:val="left" w:pos="851"/>
        </w:tabs>
      </w:pPr>
      <w:bookmarkStart w:id="22" w:name="lt_pId059"/>
      <w:r>
        <w:t>2.4</w:t>
      </w:r>
      <w:r w:rsidR="009376BB">
        <w:tab/>
        <w:t xml:space="preserve">Los </w:t>
      </w:r>
      <w:r w:rsidR="00851A78">
        <w:t>c</w:t>
      </w:r>
      <w:r w:rsidR="009376BB">
        <w:t xml:space="preserve">onsejeros </w:t>
      </w:r>
      <w:r w:rsidR="00851A78">
        <w:t>declaran</w:t>
      </w:r>
      <w:r w:rsidR="00213ED5">
        <w:t xml:space="preserve"> que el FMPT constituye</w:t>
      </w:r>
      <w:r w:rsidR="009376BB">
        <w:t xml:space="preserve"> una plataforma única para el debate de las cuestiones </w:t>
      </w:r>
      <w:r w:rsidR="00213ED5">
        <w:t xml:space="preserve">incipientes </w:t>
      </w:r>
      <w:r w:rsidR="009376BB">
        <w:t xml:space="preserve">relacionadas con las telecomunicaciones/TIC y destacaron la importancia de las opiniones que producía. Se </w:t>
      </w:r>
      <w:r w:rsidR="00213ED5">
        <w:t>refrendó</w:t>
      </w:r>
      <w:r w:rsidR="009376BB">
        <w:t xml:space="preserve"> la celebración del FMPT-21 en Ginebra durante tres días consecutivos al Foro d</w:t>
      </w:r>
      <w:r w:rsidR="00213ED5">
        <w:t xml:space="preserve">e la CMSI, a fin de evitar todo solapamiento </w:t>
      </w:r>
      <w:r w:rsidR="009376BB">
        <w:t xml:space="preserve">con esa reunión de alto nivel. El proceso preparatorio del FMPT-21, </w:t>
      </w:r>
      <w:r w:rsidR="00213ED5">
        <w:t xml:space="preserve">comprendida </w:t>
      </w:r>
      <w:r w:rsidR="009376BB">
        <w:t xml:space="preserve">la preparación del informe del Secretario General, debe ser similar al que se siguió anteriormente, y un consejero </w:t>
      </w:r>
      <w:r w:rsidR="00213ED5">
        <w:t>manifiesta</w:t>
      </w:r>
      <w:r w:rsidR="009376BB">
        <w:t xml:space="preserve"> </w:t>
      </w:r>
      <w:r w:rsidR="00213ED5">
        <w:t xml:space="preserve">su </w:t>
      </w:r>
      <w:r w:rsidR="009376BB">
        <w:t xml:space="preserve">apoyo especial a </w:t>
      </w:r>
      <w:r w:rsidR="00213ED5">
        <w:t xml:space="preserve">que se celebren </w:t>
      </w:r>
      <w:r w:rsidR="009376BB">
        <w:t xml:space="preserve">consultas públicas. Varios consejeros afirman que los temas </w:t>
      </w:r>
      <w:r w:rsidR="00213ED5">
        <w:t xml:space="preserve">a debatir </w:t>
      </w:r>
      <w:r w:rsidR="009376BB">
        <w:t>no deben s</w:t>
      </w:r>
      <w:r w:rsidR="00213ED5">
        <w:t>er demasiado generales y debe</w:t>
      </w:r>
      <w:r w:rsidR="009376BB">
        <w:t xml:space="preserve">n </w:t>
      </w:r>
      <w:r w:rsidR="00213ED5">
        <w:t xml:space="preserve">obedecer a </w:t>
      </w:r>
      <w:r w:rsidR="009376BB">
        <w:t xml:space="preserve">cuestiones y </w:t>
      </w:r>
      <w:r w:rsidR="00213ED5">
        <w:t xml:space="preserve">retos </w:t>
      </w:r>
      <w:r w:rsidR="009376BB">
        <w:t xml:space="preserve">nuevos </w:t>
      </w:r>
      <w:r w:rsidR="00213ED5">
        <w:t xml:space="preserve">e incipientes </w:t>
      </w:r>
      <w:r w:rsidR="009376BB">
        <w:t>relacionados con las telecomunicaciones/TIC, como las OTT, la economía digital y la ciberseguridad.</w:t>
      </w:r>
    </w:p>
    <w:p w:rsidR="009376BB" w:rsidRDefault="000C79A8" w:rsidP="0046187E">
      <w:pPr>
        <w:tabs>
          <w:tab w:val="clear" w:pos="567"/>
          <w:tab w:val="left" w:pos="851"/>
        </w:tabs>
      </w:pPr>
      <w:r>
        <w:t>2.5</w:t>
      </w:r>
      <w:r w:rsidR="009376BB">
        <w:tab/>
        <w:t xml:space="preserve">Dos consejeros señalan que el tema propuesto en la contribución de </w:t>
      </w:r>
      <w:r w:rsidR="0046187E">
        <w:t xml:space="preserve">las Administraciones </w:t>
      </w:r>
      <w:r w:rsidR="00DB0670">
        <w:t xml:space="preserve">de </w:t>
      </w:r>
      <w:r w:rsidR="009376BB">
        <w:t xml:space="preserve">los Estados </w:t>
      </w:r>
      <w:r w:rsidR="00DB0670">
        <w:t>M</w:t>
      </w:r>
      <w:r w:rsidR="009376BB">
        <w:t>iembros de la CEPT (Documento C19/88), a saber, "</w:t>
      </w:r>
      <w:r w:rsidR="00DB0670">
        <w:t xml:space="preserve">las TIC </w:t>
      </w:r>
      <w:r w:rsidR="009376BB">
        <w:t xml:space="preserve">para </w:t>
      </w:r>
      <w:r w:rsidR="00DB0670">
        <w:t xml:space="preserve">la Agenda </w:t>
      </w:r>
      <w:r w:rsidR="009376BB">
        <w:t xml:space="preserve">de </w:t>
      </w:r>
      <w:r w:rsidR="00DB0670">
        <w:t>D</w:t>
      </w:r>
      <w:r w:rsidR="009376BB">
        <w:t xml:space="preserve">esarrollo </w:t>
      </w:r>
      <w:r w:rsidR="00DB0670">
        <w:t>S</w:t>
      </w:r>
      <w:r w:rsidR="009376BB">
        <w:t xml:space="preserve">ostenible de 2030", </w:t>
      </w:r>
      <w:r w:rsidR="00057148">
        <w:t xml:space="preserve">abarca </w:t>
      </w:r>
      <w:r w:rsidR="009376BB">
        <w:t xml:space="preserve">varios de los temas </w:t>
      </w:r>
      <w:r w:rsidR="00057148">
        <w:t xml:space="preserve">propuestos </w:t>
      </w:r>
      <w:r w:rsidR="009376BB">
        <w:t xml:space="preserve">y </w:t>
      </w:r>
      <w:r w:rsidR="00057148">
        <w:t xml:space="preserve">añaden </w:t>
      </w:r>
      <w:r w:rsidR="009376BB">
        <w:t xml:space="preserve">que </w:t>
      </w:r>
      <w:r w:rsidR="00057148">
        <w:t xml:space="preserve">cuentan </w:t>
      </w:r>
      <w:r w:rsidR="009376BB">
        <w:t xml:space="preserve">con el apoyo de al menos seis Estados </w:t>
      </w:r>
      <w:r w:rsidR="00A274E2">
        <w:t xml:space="preserve">Miembros </w:t>
      </w:r>
      <w:r w:rsidR="009376BB">
        <w:t>del Consejo.</w:t>
      </w:r>
    </w:p>
    <w:p w:rsidR="009376BB" w:rsidRDefault="000C79A8" w:rsidP="0046187E">
      <w:pPr>
        <w:tabs>
          <w:tab w:val="clear" w:pos="567"/>
          <w:tab w:val="left" w:pos="851"/>
        </w:tabs>
      </w:pPr>
      <w:r>
        <w:t>2.6</w:t>
      </w:r>
      <w:r w:rsidR="009376BB">
        <w:tab/>
        <w:t xml:space="preserve">El Presidente </w:t>
      </w:r>
      <w:r w:rsidR="00057148">
        <w:t xml:space="preserve">en funciones </w:t>
      </w:r>
      <w:r w:rsidR="009376BB">
        <w:t>observa que se han formulado varias propuestas</w:t>
      </w:r>
      <w:r w:rsidR="00057148">
        <w:t xml:space="preserve"> y propone </w:t>
      </w:r>
      <w:r w:rsidR="009376BB">
        <w:t xml:space="preserve">que se </w:t>
      </w:r>
      <w:r w:rsidR="00057148">
        <w:t xml:space="preserve">cree </w:t>
      </w:r>
      <w:r w:rsidR="009376BB">
        <w:t>un grupo de trabajo</w:t>
      </w:r>
      <w:r w:rsidR="00057148">
        <w:t>,</w:t>
      </w:r>
      <w:r w:rsidR="009376BB">
        <w:t xml:space="preserve"> presidido por el consejero de las Bahamas</w:t>
      </w:r>
      <w:r w:rsidR="00057148">
        <w:t>, para que formule</w:t>
      </w:r>
      <w:r w:rsidR="009376BB">
        <w:t xml:space="preserve"> un proyecto de </w:t>
      </w:r>
      <w:r w:rsidR="00057148">
        <w:lastRenderedPageBreak/>
        <w:t xml:space="preserve">Acuerdo </w:t>
      </w:r>
      <w:r w:rsidR="009376BB">
        <w:t>sobre la duración, fecha, lugar y temas del FMPT-21 y el procedimiento para la preparación del informe del Secretario General.</w:t>
      </w:r>
    </w:p>
    <w:p w:rsidR="00565F71" w:rsidRPr="00C92A00" w:rsidRDefault="000C79A8" w:rsidP="0046187E">
      <w:pPr>
        <w:tabs>
          <w:tab w:val="clear" w:pos="567"/>
          <w:tab w:val="left" w:pos="851"/>
        </w:tabs>
      </w:pPr>
      <w:r>
        <w:t>2.7</w:t>
      </w:r>
      <w:r w:rsidR="009376BB">
        <w:tab/>
        <w:t xml:space="preserve">Así se </w:t>
      </w:r>
      <w:r w:rsidR="009376BB" w:rsidRPr="009376BB">
        <w:rPr>
          <w:b/>
          <w:bCs/>
        </w:rPr>
        <w:t>acuerda</w:t>
      </w:r>
      <w:r w:rsidR="009376BB">
        <w:t>.</w:t>
      </w:r>
      <w:bookmarkEnd w:id="22"/>
    </w:p>
    <w:p w:rsidR="00565F71" w:rsidRPr="00C92A00" w:rsidRDefault="00565F71" w:rsidP="0046187E">
      <w:pPr>
        <w:pStyle w:val="Heading1"/>
        <w:tabs>
          <w:tab w:val="clear" w:pos="567"/>
          <w:tab w:val="left" w:pos="851"/>
        </w:tabs>
      </w:pPr>
      <w:r w:rsidRPr="00C92A00">
        <w:t>3</w:t>
      </w:r>
      <w:r w:rsidRPr="00C92A00">
        <w:tab/>
      </w:r>
      <w:bookmarkStart w:id="23" w:name="lt_pId061"/>
      <w:r w:rsidR="00DB0670">
        <w:t xml:space="preserve">Seguimiento a la Resolución </w:t>
      </w:r>
      <w:r w:rsidRPr="00C92A00">
        <w:t>146 (Rev. Dub</w:t>
      </w:r>
      <w:r w:rsidR="00DB0670">
        <w:t>á</w:t>
      </w:r>
      <w:r w:rsidRPr="00C92A00">
        <w:t xml:space="preserve">i, 2018): </w:t>
      </w:r>
      <w:bookmarkStart w:id="24" w:name="_Toc406754250"/>
      <w:r w:rsidRPr="00C92A00">
        <w:t xml:space="preserve">Examen periódico y revisión del Reglamento de las Telecomunicaciones Internacionales </w:t>
      </w:r>
      <w:bookmarkEnd w:id="24"/>
      <w:r w:rsidRPr="00C92A00">
        <w:t xml:space="preserve">(Documentos </w:t>
      </w:r>
      <w:hyperlink r:id="rId34" w:history="1">
        <w:r w:rsidRPr="00C92A00">
          <w:rPr>
            <w:rStyle w:val="Hyperlink"/>
            <w:rFonts w:asciiTheme="minorHAnsi" w:hAnsiTheme="minorHAnsi"/>
            <w:bCs/>
            <w:sz w:val="26"/>
            <w:szCs w:val="26"/>
          </w:rPr>
          <w:t>C19/26</w:t>
        </w:r>
      </w:hyperlink>
      <w:r w:rsidRPr="00C92A00">
        <w:t xml:space="preserve">, </w:t>
      </w:r>
      <w:hyperlink r:id="rId35" w:history="1">
        <w:r w:rsidRPr="00C92A00">
          <w:rPr>
            <w:rStyle w:val="Hyperlink"/>
            <w:rFonts w:asciiTheme="minorHAnsi" w:hAnsiTheme="minorHAnsi"/>
            <w:bCs/>
            <w:sz w:val="26"/>
            <w:szCs w:val="26"/>
          </w:rPr>
          <w:t>C19/65</w:t>
        </w:r>
      </w:hyperlink>
      <w:r w:rsidRPr="00C92A00">
        <w:t xml:space="preserve">, </w:t>
      </w:r>
      <w:hyperlink r:id="rId36" w:history="1">
        <w:r w:rsidRPr="00C92A00">
          <w:rPr>
            <w:rStyle w:val="Hyperlink"/>
            <w:rFonts w:asciiTheme="minorHAnsi" w:hAnsiTheme="minorHAnsi"/>
            <w:bCs/>
            <w:sz w:val="26"/>
            <w:szCs w:val="26"/>
          </w:rPr>
          <w:t>C19/69</w:t>
        </w:r>
      </w:hyperlink>
      <w:r w:rsidRPr="00C92A00">
        <w:t xml:space="preserve">, </w:t>
      </w:r>
      <w:hyperlink r:id="rId37" w:history="1">
        <w:r w:rsidRPr="00C92A00">
          <w:rPr>
            <w:rStyle w:val="Hyperlink"/>
            <w:rFonts w:asciiTheme="minorHAnsi" w:hAnsiTheme="minorHAnsi"/>
            <w:bCs/>
            <w:sz w:val="26"/>
            <w:szCs w:val="26"/>
          </w:rPr>
          <w:t>C19/74</w:t>
        </w:r>
      </w:hyperlink>
      <w:r w:rsidRPr="00C92A00">
        <w:t xml:space="preserve">, </w:t>
      </w:r>
      <w:hyperlink r:id="rId38" w:history="1">
        <w:r w:rsidRPr="00C92A00">
          <w:rPr>
            <w:rStyle w:val="Hyperlink"/>
            <w:rFonts w:asciiTheme="minorHAnsi" w:hAnsiTheme="minorHAnsi"/>
            <w:bCs/>
            <w:sz w:val="26"/>
            <w:szCs w:val="26"/>
          </w:rPr>
          <w:t>C19/79</w:t>
        </w:r>
      </w:hyperlink>
      <w:r w:rsidRPr="00C92A00">
        <w:t xml:space="preserve">, </w:t>
      </w:r>
      <w:hyperlink r:id="rId39" w:history="1">
        <w:r w:rsidRPr="00C92A00">
          <w:rPr>
            <w:rStyle w:val="Hyperlink"/>
            <w:rFonts w:asciiTheme="minorHAnsi" w:hAnsiTheme="minorHAnsi"/>
            <w:bCs/>
            <w:sz w:val="26"/>
            <w:szCs w:val="26"/>
          </w:rPr>
          <w:t>C19/81</w:t>
        </w:r>
      </w:hyperlink>
      <w:r w:rsidRPr="00C92A00">
        <w:t xml:space="preserve">, </w:t>
      </w:r>
      <w:hyperlink r:id="rId40" w:history="1">
        <w:r w:rsidRPr="00C92A00">
          <w:rPr>
            <w:rStyle w:val="Hyperlink"/>
            <w:rFonts w:asciiTheme="minorHAnsi" w:hAnsiTheme="minorHAnsi"/>
            <w:bCs/>
            <w:sz w:val="26"/>
            <w:szCs w:val="26"/>
          </w:rPr>
          <w:t>C19/86</w:t>
        </w:r>
      </w:hyperlink>
      <w:r w:rsidRPr="00C92A00">
        <w:t xml:space="preserve">, </w:t>
      </w:r>
      <w:hyperlink r:id="rId41" w:history="1">
        <w:r w:rsidRPr="00C92A00">
          <w:rPr>
            <w:rStyle w:val="Hyperlink"/>
            <w:rFonts w:asciiTheme="minorHAnsi" w:hAnsiTheme="minorHAnsi"/>
            <w:bCs/>
            <w:sz w:val="26"/>
            <w:szCs w:val="26"/>
          </w:rPr>
          <w:t>C19/89</w:t>
        </w:r>
      </w:hyperlink>
      <w:r w:rsidRPr="00C92A00">
        <w:t xml:space="preserve"> </w:t>
      </w:r>
      <w:r w:rsidR="00057148">
        <w:t>y</w:t>
      </w:r>
      <w:r w:rsidRPr="00C92A00">
        <w:t xml:space="preserve"> </w:t>
      </w:r>
      <w:hyperlink r:id="rId42" w:history="1">
        <w:r w:rsidRPr="00C92A00">
          <w:rPr>
            <w:rStyle w:val="Hyperlink"/>
            <w:rFonts w:asciiTheme="minorHAnsi" w:hAnsiTheme="minorHAnsi"/>
            <w:bCs/>
            <w:sz w:val="26"/>
            <w:szCs w:val="26"/>
          </w:rPr>
          <w:t>C19/100</w:t>
        </w:r>
      </w:hyperlink>
      <w:r w:rsidRPr="00C92A00">
        <w:t>)</w:t>
      </w:r>
      <w:bookmarkEnd w:id="23"/>
    </w:p>
    <w:p w:rsidR="00574B39" w:rsidRDefault="000C79A8" w:rsidP="0046187E">
      <w:pPr>
        <w:tabs>
          <w:tab w:val="clear" w:pos="567"/>
          <w:tab w:val="left" w:pos="851"/>
        </w:tabs>
      </w:pPr>
      <w:r>
        <w:t>3.1</w:t>
      </w:r>
      <w:r w:rsidR="00057148">
        <w:tab/>
      </w:r>
      <w:r w:rsidR="00574B39">
        <w:t>Un representante de la Secretaría present</w:t>
      </w:r>
      <w:r w:rsidR="00057148">
        <w:t>a</w:t>
      </w:r>
      <w:r w:rsidR="00574B39">
        <w:t xml:space="preserve"> el Documento C19/26, que </w:t>
      </w:r>
      <w:r w:rsidR="00057148">
        <w:t xml:space="preserve">contiene </w:t>
      </w:r>
      <w:r w:rsidR="00574B39">
        <w:t xml:space="preserve">información sobre la situación del Reglamento de las Telecomunicaciones Internacionales (RTI), y </w:t>
      </w:r>
      <w:r w:rsidR="00057148">
        <w:t xml:space="preserve">recuerda </w:t>
      </w:r>
      <w:r w:rsidR="00574B39">
        <w:t>que en la Resolución 146 (Rev. Dub</w:t>
      </w:r>
      <w:r w:rsidR="00057148">
        <w:t>á</w:t>
      </w:r>
      <w:r w:rsidR="00574B39">
        <w:t xml:space="preserve">i, 2018) se encarga al Secretario General que </w:t>
      </w:r>
      <w:r w:rsidR="00057148">
        <w:t xml:space="preserve">vuelva </w:t>
      </w:r>
      <w:r w:rsidR="00574B39">
        <w:t xml:space="preserve">a convocar un </w:t>
      </w:r>
      <w:r w:rsidR="00057148">
        <w:t xml:space="preserve">Grupo </w:t>
      </w:r>
      <w:r w:rsidR="00574B39">
        <w:t xml:space="preserve">de </w:t>
      </w:r>
      <w:r w:rsidR="00057148">
        <w:t xml:space="preserve">Expertos </w:t>
      </w:r>
      <w:r w:rsidR="00574B39">
        <w:t xml:space="preserve">sobre el RTI </w:t>
      </w:r>
      <w:r w:rsidR="00057148">
        <w:t xml:space="preserve">(GE-RTI) </w:t>
      </w:r>
      <w:r w:rsidR="00574B39">
        <w:t xml:space="preserve">y al Consejo-19 </w:t>
      </w:r>
      <w:r w:rsidR="00057148">
        <w:t>que examine</w:t>
      </w:r>
      <w:r w:rsidR="00574B39">
        <w:t>n y revis</w:t>
      </w:r>
      <w:r w:rsidR="00057148">
        <w:t>e</w:t>
      </w:r>
      <w:r w:rsidR="00574B39">
        <w:t xml:space="preserve"> su mandato.</w:t>
      </w:r>
    </w:p>
    <w:p w:rsidR="00574B39" w:rsidRDefault="000C79A8" w:rsidP="0046187E">
      <w:pPr>
        <w:tabs>
          <w:tab w:val="clear" w:pos="567"/>
          <w:tab w:val="left" w:pos="851"/>
        </w:tabs>
      </w:pPr>
      <w:r>
        <w:t>3.2</w:t>
      </w:r>
      <w:r w:rsidR="00057148">
        <w:tab/>
      </w:r>
      <w:r w:rsidR="00574B39">
        <w:t>El consejero de China present</w:t>
      </w:r>
      <w:r w:rsidR="00057148">
        <w:t>a</w:t>
      </w:r>
      <w:r w:rsidR="00574B39">
        <w:t xml:space="preserve"> el Documento C19/65, </w:t>
      </w:r>
      <w:r w:rsidR="00057148">
        <w:t xml:space="preserve">que contiene </w:t>
      </w:r>
      <w:r w:rsidR="00574B39">
        <w:t xml:space="preserve">una propuesta para modificar el mandato del </w:t>
      </w:r>
      <w:r w:rsidR="00057148">
        <w:t>GE-RTI</w:t>
      </w:r>
      <w:r w:rsidR="00574B39">
        <w:t xml:space="preserve"> que </w:t>
      </w:r>
      <w:r w:rsidR="00057148">
        <w:t>se adjunta</w:t>
      </w:r>
      <w:r w:rsidR="00574B39">
        <w:t xml:space="preserve"> en el Anexo 1 de la Resolución 1379 (2016) del Consejo. </w:t>
      </w:r>
    </w:p>
    <w:p w:rsidR="00574B39" w:rsidRDefault="000C79A8" w:rsidP="0046187E">
      <w:pPr>
        <w:tabs>
          <w:tab w:val="clear" w:pos="567"/>
          <w:tab w:val="left" w:pos="851"/>
        </w:tabs>
      </w:pPr>
      <w:r>
        <w:t>3.3</w:t>
      </w:r>
      <w:r w:rsidR="0046187E">
        <w:tab/>
      </w:r>
      <w:r w:rsidR="00574B39">
        <w:t>El con</w:t>
      </w:r>
      <w:r w:rsidR="00057148">
        <w:t>sejero de Côte d'Ivoire presenta</w:t>
      </w:r>
      <w:r w:rsidR="00574B39">
        <w:t xml:space="preserve"> el </w:t>
      </w:r>
      <w:r w:rsidR="0046187E">
        <w:t xml:space="preserve">Documento </w:t>
      </w:r>
      <w:r w:rsidR="00574B39">
        <w:t xml:space="preserve">C19/89, </w:t>
      </w:r>
      <w:r w:rsidR="00057148">
        <w:t xml:space="preserve">que contiene </w:t>
      </w:r>
      <w:r w:rsidR="00574B39">
        <w:t xml:space="preserve">el mandato del </w:t>
      </w:r>
      <w:r w:rsidR="00057148">
        <w:t xml:space="preserve">GE-RTI </w:t>
      </w:r>
      <w:r w:rsidR="00574B39">
        <w:t>propuesto por el Grupo Africano.</w:t>
      </w:r>
    </w:p>
    <w:p w:rsidR="00574B39" w:rsidRDefault="000C79A8" w:rsidP="0046187E">
      <w:pPr>
        <w:tabs>
          <w:tab w:val="clear" w:pos="567"/>
          <w:tab w:val="left" w:pos="851"/>
        </w:tabs>
      </w:pPr>
      <w:r>
        <w:t>3.4</w:t>
      </w:r>
      <w:r w:rsidR="0046187E">
        <w:tab/>
      </w:r>
      <w:r w:rsidR="00574B39">
        <w:t>El consejero de Rumania present</w:t>
      </w:r>
      <w:r w:rsidR="0046187E">
        <w:t>a</w:t>
      </w:r>
      <w:r w:rsidR="00574B39">
        <w:t xml:space="preserve"> el </w:t>
      </w:r>
      <w:r w:rsidR="0046187E">
        <w:t xml:space="preserve">Documento </w:t>
      </w:r>
      <w:r w:rsidR="00574B39">
        <w:t xml:space="preserve">C19/86, en el que figura el mandato del </w:t>
      </w:r>
      <w:r w:rsidR="00057148">
        <w:t xml:space="preserve">GE-RTI </w:t>
      </w:r>
      <w:r w:rsidR="00574B39">
        <w:t xml:space="preserve">propuesto por </w:t>
      </w:r>
      <w:r w:rsidR="0046187E">
        <w:t xml:space="preserve">las Administraciones de </w:t>
      </w:r>
      <w:r w:rsidR="00574B39">
        <w:t xml:space="preserve">los Estados </w:t>
      </w:r>
      <w:r w:rsidR="0046187E">
        <w:t xml:space="preserve">Miembros </w:t>
      </w:r>
      <w:r w:rsidR="00574B39">
        <w:t>de la CEPT.</w:t>
      </w:r>
    </w:p>
    <w:p w:rsidR="00574B39" w:rsidRDefault="000C79A8" w:rsidP="0046187E">
      <w:pPr>
        <w:tabs>
          <w:tab w:val="clear" w:pos="567"/>
          <w:tab w:val="left" w:pos="851"/>
        </w:tabs>
      </w:pPr>
      <w:r>
        <w:t>3.5</w:t>
      </w:r>
      <w:r w:rsidR="0046187E">
        <w:tab/>
      </w:r>
      <w:r w:rsidR="00574B39">
        <w:t xml:space="preserve">Los consejeros de Argelia y Zimbabwe presentan los documentos C19/81 y C19/69, respectivamente, </w:t>
      </w:r>
      <w:r w:rsidR="0046187E">
        <w:t>que contienen el mandato del GE-RTI propuesto</w:t>
      </w:r>
      <w:r w:rsidR="00574B39">
        <w:t>.</w:t>
      </w:r>
    </w:p>
    <w:p w:rsidR="00565F71" w:rsidRPr="00C92A00" w:rsidRDefault="000C79A8" w:rsidP="0046187E">
      <w:pPr>
        <w:tabs>
          <w:tab w:val="clear" w:pos="567"/>
          <w:tab w:val="left" w:pos="851"/>
        </w:tabs>
      </w:pPr>
      <w:r>
        <w:t>3.6</w:t>
      </w:r>
      <w:r w:rsidR="0046187E">
        <w:tab/>
      </w:r>
      <w:r w:rsidR="00574B39">
        <w:t>El consejero de Egipto present</w:t>
      </w:r>
      <w:r w:rsidR="0046187E">
        <w:t>a</w:t>
      </w:r>
      <w:r w:rsidR="00574B39">
        <w:t xml:space="preserve"> el Documento C19/100, que </w:t>
      </w:r>
      <w:r w:rsidR="0046187E">
        <w:t xml:space="preserve">contiene </w:t>
      </w:r>
      <w:r w:rsidR="00574B39">
        <w:t>una propuesta común de los Estados Miembros Árabe</w:t>
      </w:r>
      <w:r w:rsidR="0046187E">
        <w:t>s</w:t>
      </w:r>
      <w:r w:rsidR="00574B39">
        <w:t xml:space="preserve"> </w:t>
      </w:r>
      <w:r w:rsidR="0046187E">
        <w:t>del Consejo relativa a</w:t>
      </w:r>
      <w:r w:rsidR="00574B39">
        <w:t xml:space="preserve"> un proyecto de nueva </w:t>
      </w:r>
      <w:r w:rsidR="0046187E">
        <w:t xml:space="preserve">Resolución </w:t>
      </w:r>
      <w:r w:rsidR="00574B39">
        <w:t xml:space="preserve">del Consejo sobre el </w:t>
      </w:r>
      <w:r w:rsidR="0046187E">
        <w:t>GE-RTI</w:t>
      </w:r>
      <w:r w:rsidR="00574B39">
        <w:t xml:space="preserve"> y su mandato.</w:t>
      </w:r>
    </w:p>
    <w:p w:rsidR="00574B39" w:rsidRDefault="000C79A8" w:rsidP="0046187E">
      <w:pPr>
        <w:tabs>
          <w:tab w:val="clear" w:pos="567"/>
          <w:tab w:val="left" w:pos="851"/>
        </w:tabs>
      </w:pPr>
      <w:bookmarkStart w:id="25" w:name="lt_pId093"/>
      <w:r>
        <w:lastRenderedPageBreak/>
        <w:t>3.7</w:t>
      </w:r>
      <w:r w:rsidR="0046187E">
        <w:tab/>
      </w:r>
      <w:r w:rsidR="00574B39">
        <w:t>El consejero de la Federación de Rusia present</w:t>
      </w:r>
      <w:r w:rsidR="0046187E">
        <w:t>a</w:t>
      </w:r>
      <w:r w:rsidR="00574B39">
        <w:t xml:space="preserve"> el </w:t>
      </w:r>
      <w:r w:rsidR="0046187E">
        <w:t xml:space="preserve">Documento </w:t>
      </w:r>
      <w:r w:rsidR="00574B39">
        <w:t>C19/74, que cont</w:t>
      </w:r>
      <w:r w:rsidR="0046187E">
        <w:t>iene</w:t>
      </w:r>
      <w:r w:rsidR="00574B39">
        <w:t xml:space="preserve"> una propuesta </w:t>
      </w:r>
      <w:r w:rsidR="0046187E">
        <w:t xml:space="preserve">de </w:t>
      </w:r>
      <w:r w:rsidR="00574B39">
        <w:t xml:space="preserve">proyecto de nueva </w:t>
      </w:r>
      <w:r w:rsidR="0046187E">
        <w:t xml:space="preserve">Resolución </w:t>
      </w:r>
      <w:r w:rsidR="00574B39">
        <w:t xml:space="preserve">del Consejo sobre el </w:t>
      </w:r>
      <w:r w:rsidR="0046187E">
        <w:t xml:space="preserve">GE-RTI </w:t>
      </w:r>
      <w:r w:rsidR="00574B39">
        <w:t>y su mandato.</w:t>
      </w:r>
    </w:p>
    <w:p w:rsidR="00574B39" w:rsidRDefault="000C79A8" w:rsidP="0046187E">
      <w:pPr>
        <w:tabs>
          <w:tab w:val="clear" w:pos="567"/>
          <w:tab w:val="left" w:pos="851"/>
        </w:tabs>
      </w:pPr>
      <w:r>
        <w:t>3.8</w:t>
      </w:r>
      <w:r w:rsidR="0046187E">
        <w:tab/>
      </w:r>
      <w:r w:rsidR="00574B39">
        <w:t>El consejero de Canadá present</w:t>
      </w:r>
      <w:r w:rsidR="0046187E">
        <w:t>a</w:t>
      </w:r>
      <w:r w:rsidR="00574B39">
        <w:t xml:space="preserve"> el Documento C19/79, que </w:t>
      </w:r>
      <w:r w:rsidR="0046187E">
        <w:t xml:space="preserve">contiene </w:t>
      </w:r>
      <w:r w:rsidR="00574B39">
        <w:t xml:space="preserve">una propuesta conjunta de Argentina, Bahamas, Brasil, Canadá, </w:t>
      </w:r>
      <w:r w:rsidR="0046187E">
        <w:t xml:space="preserve">México y </w:t>
      </w:r>
      <w:r w:rsidR="00574B39">
        <w:t xml:space="preserve">Estados Unidos </w:t>
      </w:r>
      <w:r w:rsidR="0046187E">
        <w:t xml:space="preserve">relativa a </w:t>
      </w:r>
      <w:r w:rsidR="00574B39">
        <w:t xml:space="preserve">un proyecto de nueva </w:t>
      </w:r>
      <w:r w:rsidR="0046187E">
        <w:t xml:space="preserve">Resolución </w:t>
      </w:r>
      <w:r w:rsidR="00574B39">
        <w:t xml:space="preserve">del Consejo sobre el </w:t>
      </w:r>
      <w:r w:rsidR="0046187E">
        <w:t xml:space="preserve">GE-RTI </w:t>
      </w:r>
      <w:r w:rsidR="00574B39">
        <w:t xml:space="preserve">y su mandato. </w:t>
      </w:r>
      <w:r w:rsidR="0046187E">
        <w:t xml:space="preserve">Pone de relieve la diferencia entre </w:t>
      </w:r>
      <w:r w:rsidR="00574B39">
        <w:t>"</w:t>
      </w:r>
      <w:r w:rsidR="0046187E">
        <w:t>examen</w:t>
      </w:r>
      <w:r w:rsidR="00574B39">
        <w:t xml:space="preserve">" y "revisión", y pregunta si </w:t>
      </w:r>
      <w:r w:rsidR="0046187E">
        <w:t xml:space="preserve">se hace esa </w:t>
      </w:r>
      <w:r w:rsidR="00574B39">
        <w:t xml:space="preserve">misma </w:t>
      </w:r>
      <w:r w:rsidR="0046187E">
        <w:t xml:space="preserve">diferencia </w:t>
      </w:r>
      <w:r w:rsidR="00574B39">
        <w:t xml:space="preserve">en </w:t>
      </w:r>
      <w:r w:rsidR="0046187E">
        <w:t xml:space="preserve">los </w:t>
      </w:r>
      <w:r w:rsidR="00574B39">
        <w:t>otr</w:t>
      </w:r>
      <w:r w:rsidR="0046187E">
        <w:t>o</w:t>
      </w:r>
      <w:r w:rsidR="00574B39">
        <w:t xml:space="preserve">s cinco </w:t>
      </w:r>
      <w:r w:rsidR="0046187E">
        <w:t xml:space="preserve">idiomas </w:t>
      </w:r>
      <w:r w:rsidR="00644DFD">
        <w:t>oficiales de la Unión.</w:t>
      </w:r>
    </w:p>
    <w:p w:rsidR="00574B39" w:rsidRDefault="000C79A8" w:rsidP="0046187E">
      <w:pPr>
        <w:tabs>
          <w:tab w:val="clear" w:pos="567"/>
          <w:tab w:val="left" w:pos="851"/>
        </w:tabs>
      </w:pPr>
      <w:r>
        <w:t>3.9</w:t>
      </w:r>
      <w:r w:rsidR="0046187E">
        <w:tab/>
      </w:r>
      <w:r w:rsidR="00574B39">
        <w:t>Un consejero pregunt</w:t>
      </w:r>
      <w:r w:rsidR="0046187E">
        <w:t xml:space="preserve">a si en el Grupo de Expertos estarán representadas las seis regiones </w:t>
      </w:r>
      <w:r w:rsidR="00574B39">
        <w:t xml:space="preserve">y </w:t>
      </w:r>
      <w:r w:rsidR="0046187E">
        <w:t>propone</w:t>
      </w:r>
      <w:r w:rsidR="00574B39">
        <w:t xml:space="preserve">, en nombre del Comité Ejecutivo de la CITEL, que el Grupo Africano </w:t>
      </w:r>
      <w:r w:rsidR="0046187E">
        <w:t xml:space="preserve">podría </w:t>
      </w:r>
      <w:r w:rsidR="00574B39">
        <w:t xml:space="preserve">considerar oportuno designar al Sr. Lwando Bbuku (Zambia) para presidir el Grupo de Expertos. </w:t>
      </w:r>
      <w:r w:rsidR="0046187E">
        <w:t xml:space="preserve">Cabe esperar </w:t>
      </w:r>
      <w:r w:rsidR="00574B39">
        <w:t>que todas las consultas sobre la presidencia se hagan públicas a todos los Estados Miembros del Consejo.</w:t>
      </w:r>
    </w:p>
    <w:p w:rsidR="00574B39" w:rsidRDefault="000C79A8" w:rsidP="0046187E">
      <w:pPr>
        <w:tabs>
          <w:tab w:val="clear" w:pos="567"/>
          <w:tab w:val="left" w:pos="851"/>
        </w:tabs>
      </w:pPr>
      <w:r>
        <w:t>3.10</w:t>
      </w:r>
      <w:r w:rsidR="0046187E">
        <w:tab/>
      </w:r>
      <w:r w:rsidR="00574B39">
        <w:t xml:space="preserve">El Presidente </w:t>
      </w:r>
      <w:r w:rsidR="0046187E">
        <w:t>en funciones</w:t>
      </w:r>
      <w:r w:rsidR="00574B39">
        <w:t xml:space="preserve"> señal</w:t>
      </w:r>
      <w:r w:rsidR="0046187E">
        <w:t>a</w:t>
      </w:r>
      <w:r w:rsidR="00574B39">
        <w:t xml:space="preserve"> que </w:t>
      </w:r>
      <w:r w:rsidR="0046187E">
        <w:t xml:space="preserve">las deliberaciones </w:t>
      </w:r>
      <w:r w:rsidR="00574B39">
        <w:t xml:space="preserve">sobre la presidencia y vicepresidencia de varios grupos </w:t>
      </w:r>
      <w:r w:rsidR="0046187E">
        <w:t xml:space="preserve">tendrán lugar </w:t>
      </w:r>
      <w:r w:rsidR="00574B39">
        <w:t xml:space="preserve">hacia el final </w:t>
      </w:r>
      <w:r w:rsidR="0046187E">
        <w:t xml:space="preserve">de la presente reunión </w:t>
      </w:r>
      <w:r w:rsidR="00574B39">
        <w:t>del Consejo.</w:t>
      </w:r>
    </w:p>
    <w:p w:rsidR="00574B39" w:rsidRDefault="000C79A8" w:rsidP="004D41BA">
      <w:pPr>
        <w:tabs>
          <w:tab w:val="clear" w:pos="567"/>
          <w:tab w:val="left" w:pos="851"/>
        </w:tabs>
      </w:pPr>
      <w:r>
        <w:t>3.11</w:t>
      </w:r>
      <w:r w:rsidR="0046187E">
        <w:tab/>
      </w:r>
      <w:r w:rsidR="00574B39">
        <w:t xml:space="preserve">Un consejero </w:t>
      </w:r>
      <w:r w:rsidR="0046187E">
        <w:t>refrenda</w:t>
      </w:r>
      <w:r w:rsidR="00574B39">
        <w:t xml:space="preserve"> el mandato propuesto por la Federación de Rusia. Otro consejero, </w:t>
      </w:r>
      <w:r w:rsidR="0046187E">
        <w:t xml:space="preserve">hace suyas </w:t>
      </w:r>
      <w:r w:rsidR="00574B39">
        <w:t xml:space="preserve">las propuestas </w:t>
      </w:r>
      <w:r w:rsidR="0046187E">
        <w:t xml:space="preserve">contenidas en </w:t>
      </w:r>
      <w:r w:rsidR="00574B39">
        <w:t xml:space="preserve">los </w:t>
      </w:r>
      <w:r w:rsidR="0046187E">
        <w:t xml:space="preserve">Documentos </w:t>
      </w:r>
      <w:r w:rsidR="00574B39">
        <w:t xml:space="preserve">C19/79 y C19/86, </w:t>
      </w:r>
      <w:r w:rsidR="0046187E">
        <w:t>declara</w:t>
      </w:r>
      <w:r w:rsidR="00574B39">
        <w:t xml:space="preserve"> que el Consejo debería seguir las instrucciones </w:t>
      </w:r>
      <w:r w:rsidR="0046187E">
        <w:t xml:space="preserve">claramente formuladas </w:t>
      </w:r>
      <w:r w:rsidR="00644DFD">
        <w:t>en la Resolución 146 (Rev. Dubá</w:t>
      </w:r>
      <w:r w:rsidR="00574B39">
        <w:t>i, 2018)</w:t>
      </w:r>
      <w:r w:rsidR="0046187E">
        <w:t>, a saber</w:t>
      </w:r>
      <w:r w:rsidR="00574B39">
        <w:t xml:space="preserve"> examinar y revisar </w:t>
      </w:r>
      <w:r w:rsidR="0046187E">
        <w:t>el mandato del GE-RTI</w:t>
      </w:r>
      <w:r w:rsidR="00574B39">
        <w:t xml:space="preserve">, y no </w:t>
      </w:r>
      <w:r w:rsidR="0046187E">
        <w:t>e</w:t>
      </w:r>
      <w:r w:rsidR="00574B39">
        <w:t>l RTI</w:t>
      </w:r>
      <w:r w:rsidR="0046187E">
        <w:t xml:space="preserve"> propiamente dicho</w:t>
      </w:r>
      <w:r w:rsidR="00574B39">
        <w:t xml:space="preserve">. Un tercer consejero </w:t>
      </w:r>
      <w:r w:rsidR="004D41BA">
        <w:t xml:space="preserve">confía </w:t>
      </w:r>
      <w:r w:rsidR="00574B39">
        <w:t xml:space="preserve">en que el Consejo </w:t>
      </w:r>
      <w:r w:rsidR="004D41BA">
        <w:t xml:space="preserve">llegará </w:t>
      </w:r>
      <w:r w:rsidR="00574B39">
        <w:t xml:space="preserve">a un consenso sobre las diversas propuestas formuladas </w:t>
      </w:r>
      <w:r w:rsidR="004D41BA">
        <w:t xml:space="preserve">para </w:t>
      </w:r>
      <w:r w:rsidR="00574B39">
        <w:t>examinar y revisar el RTI.</w:t>
      </w:r>
    </w:p>
    <w:p w:rsidR="00574B39" w:rsidRDefault="000C79A8" w:rsidP="004D41BA">
      <w:pPr>
        <w:tabs>
          <w:tab w:val="clear" w:pos="567"/>
          <w:tab w:val="left" w:pos="851"/>
        </w:tabs>
      </w:pPr>
      <w:r>
        <w:t>3.12</w:t>
      </w:r>
      <w:r w:rsidR="004D41BA">
        <w:tab/>
      </w:r>
      <w:r w:rsidR="00574B39">
        <w:t xml:space="preserve">El Presidente </w:t>
      </w:r>
      <w:r w:rsidR="004D41BA">
        <w:t xml:space="preserve">en funciones propone que se cree </w:t>
      </w:r>
      <w:r w:rsidR="00574B39">
        <w:t xml:space="preserve">un </w:t>
      </w:r>
      <w:r w:rsidR="004D41BA">
        <w:t xml:space="preserve">Grupo </w:t>
      </w:r>
      <w:r w:rsidR="00574B39">
        <w:t xml:space="preserve">de </w:t>
      </w:r>
      <w:r w:rsidR="004D41BA">
        <w:t xml:space="preserve">Trabajo presidido por el </w:t>
      </w:r>
      <w:r w:rsidR="00574B39">
        <w:t xml:space="preserve">consejero de Ghana para elaborar un proyecto de </w:t>
      </w:r>
      <w:r w:rsidR="004D41BA">
        <w:t xml:space="preserve">Resolución </w:t>
      </w:r>
      <w:r w:rsidR="00574B39">
        <w:t xml:space="preserve">sobre el </w:t>
      </w:r>
      <w:r w:rsidR="004D41BA">
        <w:t xml:space="preserve">GE-RTI y </w:t>
      </w:r>
      <w:r w:rsidR="00574B39">
        <w:t xml:space="preserve">su mandato, </w:t>
      </w:r>
      <w:r w:rsidR="004D41BA">
        <w:t xml:space="preserve">a partir de </w:t>
      </w:r>
      <w:r w:rsidR="00574B39">
        <w:t xml:space="preserve">las propuestas formuladas. </w:t>
      </w:r>
      <w:r w:rsidR="004D41BA">
        <w:t xml:space="preserve">Propone </w:t>
      </w:r>
      <w:r w:rsidR="00574B39">
        <w:t xml:space="preserve">además que el </w:t>
      </w:r>
      <w:r w:rsidR="004D41BA">
        <w:t xml:space="preserve">Presidente </w:t>
      </w:r>
      <w:r w:rsidR="00574B39">
        <w:t xml:space="preserve">del </w:t>
      </w:r>
      <w:r w:rsidR="004D41BA">
        <w:t xml:space="preserve">Grupo </w:t>
      </w:r>
      <w:r w:rsidR="00574B39">
        <w:t xml:space="preserve">de </w:t>
      </w:r>
      <w:r w:rsidR="004D41BA">
        <w:t xml:space="preserve">Trabajo </w:t>
      </w:r>
      <w:r w:rsidR="00574B39">
        <w:t xml:space="preserve">y los contribuyentes se </w:t>
      </w:r>
      <w:r w:rsidR="004D41BA">
        <w:t xml:space="preserve">reúnan </w:t>
      </w:r>
      <w:r w:rsidR="00574B39">
        <w:t xml:space="preserve">de manera oficiosa inmediatamente después de la presente reunión para elaborar un documento </w:t>
      </w:r>
      <w:r w:rsidR="00574B39">
        <w:lastRenderedPageBreak/>
        <w:t xml:space="preserve">inicial </w:t>
      </w:r>
      <w:r w:rsidR="004D41BA">
        <w:t>refundido</w:t>
      </w:r>
      <w:r w:rsidR="00574B39">
        <w:t xml:space="preserve">, que </w:t>
      </w:r>
      <w:r w:rsidR="004D41BA">
        <w:t xml:space="preserve">integre diversas </w:t>
      </w:r>
      <w:r w:rsidR="00574B39">
        <w:t xml:space="preserve">opciones, para su </w:t>
      </w:r>
      <w:r w:rsidR="004D41BA">
        <w:t xml:space="preserve">ulterior </w:t>
      </w:r>
      <w:r w:rsidR="00574B39">
        <w:t xml:space="preserve">examen. El propio </w:t>
      </w:r>
      <w:r w:rsidR="004D41BA">
        <w:t xml:space="preserve">Grupo </w:t>
      </w:r>
      <w:r w:rsidR="00574B39">
        <w:t xml:space="preserve">de </w:t>
      </w:r>
      <w:r w:rsidR="004D41BA">
        <w:t xml:space="preserve">Trabajo </w:t>
      </w:r>
      <w:r w:rsidR="00574B39">
        <w:t xml:space="preserve">se reunirá oficialmente el miércoles 12 de junio de 2019 por la </w:t>
      </w:r>
      <w:r w:rsidR="004D41BA">
        <w:t>tarde</w:t>
      </w:r>
      <w:r w:rsidR="00574B39">
        <w:t>.</w:t>
      </w:r>
    </w:p>
    <w:p w:rsidR="00565F71" w:rsidRPr="00C92A00" w:rsidRDefault="000C79A8" w:rsidP="0046187E">
      <w:pPr>
        <w:tabs>
          <w:tab w:val="clear" w:pos="567"/>
          <w:tab w:val="left" w:pos="851"/>
        </w:tabs>
        <w:rPr>
          <w:rFonts w:asciiTheme="minorHAnsi" w:hAnsiTheme="minorHAnsi"/>
          <w:szCs w:val="24"/>
        </w:rPr>
      </w:pPr>
      <w:r>
        <w:t>3.13</w:t>
      </w:r>
      <w:r w:rsidR="00574B39">
        <w:tab/>
        <w:t xml:space="preserve">Así se </w:t>
      </w:r>
      <w:r w:rsidR="00574B39" w:rsidRPr="00574B39">
        <w:rPr>
          <w:b/>
          <w:bCs/>
        </w:rPr>
        <w:t>acuerda</w:t>
      </w:r>
      <w:r w:rsidR="00565F71" w:rsidRPr="00C92A00">
        <w:rPr>
          <w:rFonts w:asciiTheme="minorHAnsi" w:hAnsiTheme="minorHAnsi"/>
          <w:szCs w:val="24"/>
        </w:rPr>
        <w:t>.</w:t>
      </w:r>
      <w:bookmarkEnd w:id="25"/>
    </w:p>
    <w:p w:rsidR="00565F71" w:rsidRPr="00C92A00" w:rsidRDefault="00565F71" w:rsidP="0046187E">
      <w:pPr>
        <w:pStyle w:val="Heading1"/>
        <w:tabs>
          <w:tab w:val="clear" w:pos="567"/>
          <w:tab w:val="left" w:pos="851"/>
        </w:tabs>
      </w:pPr>
      <w:r w:rsidRPr="00C92A00">
        <w:t>4</w:t>
      </w:r>
      <w:r w:rsidRPr="00C92A00">
        <w:tab/>
      </w:r>
      <w:bookmarkStart w:id="26" w:name="lt_pId095"/>
      <w:r w:rsidRPr="00C92A00">
        <w:rPr>
          <w:szCs w:val="24"/>
        </w:rPr>
        <w:t xml:space="preserve">Actividades relacionadas con Internet </w:t>
      </w:r>
      <w:r w:rsidRPr="00C92A00">
        <w:t xml:space="preserve">(Documentos </w:t>
      </w:r>
      <w:hyperlink r:id="rId43" w:history="1">
        <w:r w:rsidRPr="00C92A00">
          <w:rPr>
            <w:rStyle w:val="Hyperlink"/>
            <w:rFonts w:asciiTheme="minorHAnsi" w:hAnsiTheme="minorHAnsi"/>
            <w:bCs/>
            <w:sz w:val="26"/>
            <w:szCs w:val="26"/>
          </w:rPr>
          <w:t>C19/33</w:t>
        </w:r>
      </w:hyperlink>
      <w:r w:rsidRPr="00C92A00">
        <w:t xml:space="preserve">, </w:t>
      </w:r>
      <w:hyperlink r:id="rId44" w:history="1">
        <w:r w:rsidRPr="00C92A00">
          <w:rPr>
            <w:rStyle w:val="Hyperlink"/>
            <w:rFonts w:asciiTheme="minorHAnsi" w:hAnsiTheme="minorHAnsi"/>
            <w:bCs/>
            <w:sz w:val="26"/>
            <w:szCs w:val="26"/>
          </w:rPr>
          <w:t>C19/82</w:t>
        </w:r>
      </w:hyperlink>
      <w:r w:rsidRPr="00C92A00">
        <w:t xml:space="preserve"> y </w:t>
      </w:r>
      <w:hyperlink r:id="rId45" w:history="1">
        <w:r w:rsidRPr="00C92A00">
          <w:rPr>
            <w:rStyle w:val="Hyperlink"/>
            <w:rFonts w:asciiTheme="minorHAnsi" w:hAnsiTheme="minorHAnsi"/>
            <w:bCs/>
            <w:sz w:val="26"/>
            <w:szCs w:val="26"/>
          </w:rPr>
          <w:t>C19/102</w:t>
        </w:r>
      </w:hyperlink>
      <w:r w:rsidRPr="00C92A00">
        <w:t>)</w:t>
      </w:r>
      <w:bookmarkEnd w:id="26"/>
    </w:p>
    <w:p w:rsidR="00565F71" w:rsidRPr="00C92A00" w:rsidRDefault="00565F71" w:rsidP="0046187E">
      <w:pPr>
        <w:tabs>
          <w:tab w:val="clear" w:pos="567"/>
          <w:tab w:val="left" w:pos="851"/>
        </w:tabs>
      </w:pPr>
      <w:r w:rsidRPr="00C92A00">
        <w:t>4.1</w:t>
      </w:r>
      <w:r w:rsidRPr="00C92A00">
        <w:tab/>
        <w:t>Un representante de la Secretaría presenta el Documento C19/33, sobre las actividades de la UIT relacionadas con Internet en el marco de las Resoluciones 101 (Rev. Dubái, 2018), 102 (Rev. Dubái, 2018), 133 (Rev. Dubái, 2018), 180 (Rev. Dubái, 2018) y 206 (Dubái, 2018).</w:t>
      </w:r>
    </w:p>
    <w:p w:rsidR="00565F71" w:rsidRPr="00C92A00" w:rsidRDefault="00565F71" w:rsidP="0046187E">
      <w:pPr>
        <w:tabs>
          <w:tab w:val="clear" w:pos="567"/>
          <w:tab w:val="left" w:pos="851"/>
        </w:tabs>
        <w:rPr>
          <w:spacing w:val="-2"/>
        </w:rPr>
      </w:pPr>
      <w:r w:rsidRPr="00C92A00">
        <w:rPr>
          <w:spacing w:val="-2"/>
        </w:rPr>
        <w:t>4.2</w:t>
      </w:r>
      <w:r w:rsidRPr="00C92A00">
        <w:rPr>
          <w:spacing w:val="-2"/>
        </w:rPr>
        <w:tab/>
        <w:t>Varios consejeros proponen que se complemente el Documento C19/33 con información adicional sobre, por ejemplo, los Grupos Temáticos de la UIT sobre el IP y las redes de próxima generación, las contribuciones de la UIT al Foro para la Gobernanza de Internet (FGI), la Comisión de Ciencia y Tecnología para el Desarrollo de las Naciones Unidas y el Grupo de Alto Nivel sobre Cooperación Digital, y los IDN. Otros consejeros subrayan la importancia de incluir en el informe la información más reciente, en particular la relativa a los OTT.</w:t>
      </w:r>
    </w:p>
    <w:p w:rsidR="00565F71" w:rsidRPr="00C92A00" w:rsidRDefault="00565F71" w:rsidP="0046187E">
      <w:pPr>
        <w:tabs>
          <w:tab w:val="clear" w:pos="567"/>
          <w:tab w:val="left" w:pos="851"/>
        </w:tabs>
        <w:rPr>
          <w:spacing w:val="-2"/>
        </w:rPr>
      </w:pPr>
      <w:r w:rsidRPr="00C92A00">
        <w:rPr>
          <w:spacing w:val="-2"/>
        </w:rPr>
        <w:t>4.3</w:t>
      </w:r>
      <w:r w:rsidRPr="00C92A00">
        <w:rPr>
          <w:spacing w:val="-2"/>
        </w:rPr>
        <w:tab/>
        <w:t>El representante de la Secretaría pone de relieve que los documentos del Consejo tienen un límite de páginas máximo, mientras que los documentos preparados para los Grupos de Trabajo del Consejo, que no han sido traducidos, son más exhaustivos y, por ende, contienen información más completa sobre temas como los Grupos Temáticos y los preparativos del FGI. En lo que respecta concretamente al FGI, la última reunión coincidió con la PP-18 y, por consiguiente, la participación de la UIT fue limitada.</w:t>
      </w:r>
    </w:p>
    <w:p w:rsidR="00565F71" w:rsidRPr="00C92A00" w:rsidRDefault="00565F71" w:rsidP="0046187E">
      <w:pPr>
        <w:tabs>
          <w:tab w:val="clear" w:pos="567"/>
          <w:tab w:val="left" w:pos="851"/>
        </w:tabs>
        <w:rPr>
          <w:spacing w:val="-2"/>
        </w:rPr>
      </w:pPr>
      <w:r w:rsidRPr="00C92A00">
        <w:rPr>
          <w:spacing w:val="-2"/>
        </w:rPr>
        <w:t>4.4</w:t>
      </w:r>
      <w:r w:rsidRPr="00C92A00">
        <w:rPr>
          <w:spacing w:val="-2"/>
        </w:rPr>
        <w:tab/>
        <w:t>Otro representante de la Secretaría subraya que la UIT cuenta actualmente con ocho Grupos Temáticos activos y propone que se añada en el documento un enlace a la página web de los Grupos Temáticos, donde siempre figura información actualizada.</w:t>
      </w:r>
    </w:p>
    <w:p w:rsidR="00565F71" w:rsidRPr="00C92A00" w:rsidRDefault="00565F71" w:rsidP="0046187E">
      <w:pPr>
        <w:tabs>
          <w:tab w:val="clear" w:pos="567"/>
          <w:tab w:val="left" w:pos="851"/>
        </w:tabs>
        <w:rPr>
          <w:spacing w:val="-2"/>
        </w:rPr>
      </w:pPr>
      <w:r w:rsidRPr="00C92A00">
        <w:rPr>
          <w:spacing w:val="-2"/>
        </w:rPr>
        <w:lastRenderedPageBreak/>
        <w:t>4.5</w:t>
      </w:r>
      <w:r w:rsidRPr="00C92A00">
        <w:rPr>
          <w:spacing w:val="-2"/>
        </w:rPr>
        <w:tab/>
        <w:t xml:space="preserve">El Presidente en funciones invita al Consejo a tomar nota del informe. Invita además a los Estados Miembros del Consejo a que transmitan a la Secretaría sus opiniones al respecto, por correo electrónico y de la manera más sucinta posible, a más tardar a las 14.00 horas del lunes 17 de junio. El informe, el resumen oficial de los debates del Consejo y el documento en el que se recopilen las opiniones de los Estados Miembros del Consejo se transmitirán al Secretario General de las Naciones Unidas en un paquete de documentos, junto con una carta de presentación en la que se indicará claramente que: </w:t>
      </w:r>
      <w:r w:rsidRPr="00C92A00">
        <w:rPr>
          <w:i/>
          <w:iCs/>
          <w:spacing w:val="-2"/>
        </w:rPr>
        <w:t>a)</w:t>
      </w:r>
      <w:r w:rsidRPr="00C92A00">
        <w:rPr>
          <w:spacing w:val="-2"/>
        </w:rPr>
        <w:t xml:space="preserve"> los Estados Miembros del Consejo de la UIT han tomado nota del Informe; </w:t>
      </w:r>
      <w:r w:rsidRPr="00C92A00">
        <w:rPr>
          <w:i/>
          <w:iCs/>
          <w:spacing w:val="-2"/>
        </w:rPr>
        <w:t>b)</w:t>
      </w:r>
      <w:r w:rsidRPr="00C92A00">
        <w:rPr>
          <w:spacing w:val="-2"/>
        </w:rPr>
        <w:t xml:space="preserve"> el Informe, la recopilación adjunta y el resumen de los debates deben considerarse como un paquete; y </w:t>
      </w:r>
      <w:r w:rsidRPr="00C92A00">
        <w:rPr>
          <w:i/>
          <w:iCs/>
          <w:spacing w:val="-2"/>
        </w:rPr>
        <w:t>c)</w:t>
      </w:r>
      <w:r w:rsidRPr="00C92A00">
        <w:rPr>
          <w:spacing w:val="-2"/>
        </w:rPr>
        <w:t xml:space="preserve"> la inclusión de hiperenlaces no implicaba la aprobación tácita del contenido del hiperenlace, de conformidad con la Decisión 14 (Busán, 2014). La carta de presentación y la recopilación de las opiniones de los Estados Miembros del Consejo se publicarán en documento temporal de distribución limitada antes que termine la jornada laboral del martes 18 de junio de 2019, para que los Estados Miembros del Consejo puedan examinarlo. El resumen de los debates se examinará siguiendo el procedimiento habitual del Consejo. Por último, subraya que el hecho de que el Consejo tome nota del informe contenido en el documento C19/33, no significa que lo refrende.</w:t>
      </w:r>
    </w:p>
    <w:p w:rsidR="00565F71" w:rsidRPr="00C92A00" w:rsidRDefault="00565F71" w:rsidP="0046187E">
      <w:pPr>
        <w:tabs>
          <w:tab w:val="clear" w:pos="567"/>
          <w:tab w:val="left" w:pos="851"/>
        </w:tabs>
        <w:rPr>
          <w:spacing w:val="-2"/>
        </w:rPr>
      </w:pPr>
      <w:r w:rsidRPr="00C92A00">
        <w:rPr>
          <w:spacing w:val="-2"/>
        </w:rPr>
        <w:t>4.6</w:t>
      </w:r>
      <w:r w:rsidRPr="00C92A00">
        <w:rPr>
          <w:spacing w:val="-2"/>
        </w:rPr>
        <w:tab/>
        <w:t xml:space="preserve">El Consejo </w:t>
      </w:r>
      <w:r w:rsidRPr="00C92A00">
        <w:rPr>
          <w:b/>
          <w:bCs/>
          <w:spacing w:val="-2"/>
        </w:rPr>
        <w:t xml:space="preserve">toma nota </w:t>
      </w:r>
      <w:r w:rsidRPr="00C92A00">
        <w:rPr>
          <w:spacing w:val="-2"/>
        </w:rPr>
        <w:t>del</w:t>
      </w:r>
      <w:r w:rsidRPr="00C92A00">
        <w:rPr>
          <w:b/>
          <w:bCs/>
          <w:spacing w:val="-2"/>
        </w:rPr>
        <w:t xml:space="preserve"> </w:t>
      </w:r>
      <w:r w:rsidRPr="00C92A00">
        <w:rPr>
          <w:spacing w:val="-2"/>
        </w:rPr>
        <w:t xml:space="preserve">Documento C19/33 y </w:t>
      </w:r>
      <w:r w:rsidRPr="00C92A00">
        <w:rPr>
          <w:b/>
          <w:bCs/>
          <w:spacing w:val="-2"/>
        </w:rPr>
        <w:t xml:space="preserve">acuerda </w:t>
      </w:r>
      <w:r w:rsidRPr="00C92A00">
        <w:rPr>
          <w:spacing w:val="-2"/>
        </w:rPr>
        <w:t>proceder conforme a lo propuesto por el Presidente en funciones.</w:t>
      </w:r>
    </w:p>
    <w:p w:rsidR="00574B39" w:rsidRDefault="004304D6" w:rsidP="00452E87">
      <w:pPr>
        <w:tabs>
          <w:tab w:val="clear" w:pos="567"/>
          <w:tab w:val="left" w:pos="851"/>
        </w:tabs>
      </w:pPr>
      <w:bookmarkStart w:id="27" w:name="lt_pId125"/>
      <w:r>
        <w:t>4.7</w:t>
      </w:r>
      <w:r w:rsidR="004D41BA">
        <w:tab/>
      </w:r>
      <w:r w:rsidR="00574B39">
        <w:t>El consejero de los Emiratos Árabes Unidos present</w:t>
      </w:r>
      <w:r w:rsidR="0051091B">
        <w:t>a</w:t>
      </w:r>
      <w:r w:rsidR="00574B39">
        <w:t xml:space="preserve"> el documento C19/102, que </w:t>
      </w:r>
      <w:r w:rsidR="0051091B">
        <w:t xml:space="preserve">contiene </w:t>
      </w:r>
      <w:r w:rsidR="00574B39">
        <w:t xml:space="preserve">una propuesta </w:t>
      </w:r>
      <w:r w:rsidR="00452E87">
        <w:t xml:space="preserve">conjunta </w:t>
      </w:r>
      <w:r w:rsidR="00574B39">
        <w:t>de su país y de Arabia Saudita sobre las actividades relativas a l</w:t>
      </w:r>
      <w:r w:rsidR="00452E87">
        <w:t>o</w:t>
      </w:r>
      <w:r w:rsidR="00574B39">
        <w:t xml:space="preserve">s OTT que se </w:t>
      </w:r>
      <w:r w:rsidR="00452E87">
        <w:t>llevarán a cabo</w:t>
      </w:r>
      <w:r w:rsidR="00574B39">
        <w:t xml:space="preserve"> durante el periodo de estudio</w:t>
      </w:r>
      <w:r w:rsidR="00452E87">
        <w:t>s</w:t>
      </w:r>
      <w:r w:rsidR="00574B39">
        <w:t xml:space="preserve"> 2019-2022.</w:t>
      </w:r>
    </w:p>
    <w:p w:rsidR="00574B39" w:rsidRDefault="004304D6" w:rsidP="00452E87">
      <w:pPr>
        <w:tabs>
          <w:tab w:val="clear" w:pos="567"/>
          <w:tab w:val="left" w:pos="851"/>
        </w:tabs>
      </w:pPr>
      <w:r>
        <w:t>4.8</w:t>
      </w:r>
      <w:r w:rsidR="00452E87">
        <w:tab/>
      </w:r>
      <w:r w:rsidR="00574B39">
        <w:t>Varios consejeros apoyaron la propuesta, que</w:t>
      </w:r>
      <w:r w:rsidR="00452E87">
        <w:t xml:space="preserve"> a su juicio</w:t>
      </w:r>
      <w:r w:rsidR="00574B39">
        <w:t xml:space="preserve">, </w:t>
      </w:r>
      <w:r w:rsidR="00452E87">
        <w:t>es lógica</w:t>
      </w:r>
      <w:r w:rsidR="00574B39">
        <w:t xml:space="preserve"> </w:t>
      </w:r>
      <w:r w:rsidR="00452E87">
        <w:t xml:space="preserve">tras las deliberaciones en </w:t>
      </w:r>
      <w:r w:rsidR="00574B39">
        <w:t>la PP-18</w:t>
      </w:r>
      <w:r w:rsidR="00452E87">
        <w:t xml:space="preserve">, en la que se examinan las repercusiones </w:t>
      </w:r>
      <w:r w:rsidR="00574B39">
        <w:t>socioeconómic</w:t>
      </w:r>
      <w:r w:rsidR="00452E87">
        <w:t>as</w:t>
      </w:r>
      <w:r w:rsidR="00574B39">
        <w:t xml:space="preserve"> de l</w:t>
      </w:r>
      <w:r w:rsidR="00452E87">
        <w:t>o</w:t>
      </w:r>
      <w:r w:rsidR="00574B39">
        <w:t xml:space="preserve">s OTT y </w:t>
      </w:r>
      <w:r w:rsidR="00452E87">
        <w:t xml:space="preserve">de </w:t>
      </w:r>
      <w:r w:rsidR="00574B39">
        <w:t xml:space="preserve">la </w:t>
      </w:r>
      <w:r w:rsidR="00452E87">
        <w:t xml:space="preserve">capacitación </w:t>
      </w:r>
      <w:r w:rsidR="00574B39">
        <w:t xml:space="preserve">en los países en desarrollo. Un consejero </w:t>
      </w:r>
      <w:r w:rsidR="00452E87">
        <w:t xml:space="preserve">declara </w:t>
      </w:r>
      <w:r w:rsidR="00574B39">
        <w:t>que las nuevas a</w:t>
      </w:r>
      <w:r w:rsidR="00452E87">
        <w:t>ctividades propuestas permitirán</w:t>
      </w:r>
      <w:r w:rsidR="00574B39">
        <w:t xml:space="preserve"> aplicar los resultados de las Comisiones de Estudio en los países en desarrollo.</w:t>
      </w:r>
    </w:p>
    <w:p w:rsidR="00574B39" w:rsidRDefault="004304D6" w:rsidP="004304D6">
      <w:pPr>
        <w:tabs>
          <w:tab w:val="clear" w:pos="567"/>
          <w:tab w:val="left" w:pos="851"/>
        </w:tabs>
      </w:pPr>
      <w:r>
        <w:lastRenderedPageBreak/>
        <w:t>4.9</w:t>
      </w:r>
      <w:r w:rsidR="00452E87">
        <w:tab/>
      </w:r>
      <w:r w:rsidR="00574B39">
        <w:t xml:space="preserve">Otros consejeros observan que varias de las propuestas formuladas en el Documento C19/102, en particular en relación con la </w:t>
      </w:r>
      <w:r w:rsidR="00452E87">
        <w:t>capacitación</w:t>
      </w:r>
      <w:r w:rsidR="00574B39">
        <w:t xml:space="preserve">, se </w:t>
      </w:r>
      <w:r w:rsidR="00452E87">
        <w:t xml:space="preserve">refieren </w:t>
      </w:r>
      <w:r w:rsidR="00574B39">
        <w:t xml:space="preserve">a cuestiones que ya </w:t>
      </w:r>
      <w:r w:rsidR="00452E87">
        <w:t>está</w:t>
      </w:r>
      <w:r w:rsidR="006C1977">
        <w:t>n</w:t>
      </w:r>
      <w:r w:rsidR="00452E87">
        <w:t xml:space="preserve"> examinando </w:t>
      </w:r>
      <w:r w:rsidR="00574B39">
        <w:t>el UIT-D y las Comisiones de Estudio del UIT-T en virtud de la Resolución 206 (Dub</w:t>
      </w:r>
      <w:r w:rsidR="00452E87">
        <w:t>á</w:t>
      </w:r>
      <w:r w:rsidR="00574B39">
        <w:t xml:space="preserve">i, 2018), que el </w:t>
      </w:r>
      <w:r w:rsidR="00452E87">
        <w:t>GTC</w:t>
      </w:r>
      <w:r w:rsidR="00574B39">
        <w:t xml:space="preserve">-Internet </w:t>
      </w:r>
      <w:r w:rsidR="00452E87">
        <w:t xml:space="preserve">ya ha </w:t>
      </w:r>
      <w:r w:rsidR="00574B39">
        <w:t xml:space="preserve">emprendido consultas públicas sobre los servicios OTT y que el tema </w:t>
      </w:r>
      <w:r w:rsidR="00452E87">
        <w:t xml:space="preserve">ha sido tratado </w:t>
      </w:r>
      <w:r w:rsidR="00574B39">
        <w:t>en el Simposio Mundial para Organismos Reguladores. Preguntan qué</w:t>
      </w:r>
      <w:r w:rsidR="00452E87">
        <w:t xml:space="preserve"> nuevas actividades se proponen</w:t>
      </w:r>
      <w:r w:rsidR="00574B39">
        <w:t xml:space="preserve"> y cuáles </w:t>
      </w:r>
      <w:r w:rsidR="00452E87">
        <w:t xml:space="preserve">tendrán repercusiones </w:t>
      </w:r>
      <w:r w:rsidR="00574B39">
        <w:t xml:space="preserve">financieras. Un consejero </w:t>
      </w:r>
      <w:r w:rsidR="00452E87">
        <w:t xml:space="preserve">sugiere </w:t>
      </w:r>
      <w:r w:rsidR="00574B39">
        <w:t xml:space="preserve">preguntar a la TSB y a la BDT qué </w:t>
      </w:r>
      <w:r w:rsidR="00452E87">
        <w:t>aspectos de la propuesta no está</w:t>
      </w:r>
      <w:r w:rsidR="00574B39">
        <w:t xml:space="preserve">n siendo abordados ya por sus servicios y que en el informe anual </w:t>
      </w:r>
      <w:r w:rsidR="00CA6CD1">
        <w:t>d</w:t>
      </w:r>
      <w:r w:rsidR="00574B39">
        <w:t>el Secretario General</w:t>
      </w:r>
      <w:r w:rsidR="00CA6CD1">
        <w:t>, que se prepar</w:t>
      </w:r>
      <w:r w:rsidR="006C1977">
        <w:t>e</w:t>
      </w:r>
      <w:r w:rsidR="00574B39">
        <w:t xml:space="preserve"> en v</w:t>
      </w:r>
      <w:r w:rsidR="00325028">
        <w:t>irtud de la Resolución 206 (Dubá</w:t>
      </w:r>
      <w:r w:rsidR="00574B39">
        <w:t>i, 2018)</w:t>
      </w:r>
      <w:r w:rsidR="00CA6CD1">
        <w:t>,</w:t>
      </w:r>
      <w:r w:rsidR="00574B39">
        <w:t xml:space="preserve"> se </w:t>
      </w:r>
      <w:r w:rsidR="00452E87">
        <w:t xml:space="preserve">pongan </w:t>
      </w:r>
      <w:r w:rsidR="00574B39">
        <w:t>de relieve las numerosas actividades relativas a l</w:t>
      </w:r>
      <w:r w:rsidR="00452E87">
        <w:t>o</w:t>
      </w:r>
      <w:r w:rsidR="00574B39">
        <w:t xml:space="preserve">s OTT que </w:t>
      </w:r>
      <w:r w:rsidR="00452E87">
        <w:t xml:space="preserve">ya está llevando a cabo </w:t>
      </w:r>
      <w:r w:rsidR="00574B39">
        <w:t>la Unión.</w:t>
      </w:r>
    </w:p>
    <w:p w:rsidR="00565F71" w:rsidRPr="00C92A00" w:rsidRDefault="004304D6" w:rsidP="00CA6CD1">
      <w:pPr>
        <w:tabs>
          <w:tab w:val="clear" w:pos="567"/>
          <w:tab w:val="left" w:pos="851"/>
        </w:tabs>
      </w:pPr>
      <w:r>
        <w:t>4.10</w:t>
      </w:r>
      <w:r w:rsidR="00CA6CD1">
        <w:tab/>
      </w:r>
      <w:r w:rsidR="00574B39">
        <w:t>Un consejero</w:t>
      </w:r>
      <w:r w:rsidR="00CA6CD1">
        <w:t xml:space="preserve"> observa</w:t>
      </w:r>
      <w:r w:rsidR="00574B39">
        <w:t xml:space="preserve"> que la </w:t>
      </w:r>
      <w:r w:rsidR="00CA6CD1">
        <w:t xml:space="preserve">Resolución </w:t>
      </w:r>
      <w:r w:rsidR="00574B39">
        <w:t>206 (Dub</w:t>
      </w:r>
      <w:r w:rsidR="00CA6CD1">
        <w:t>á</w:t>
      </w:r>
      <w:r w:rsidR="00574B39">
        <w:t xml:space="preserve">i, 2018) </w:t>
      </w:r>
      <w:r w:rsidR="00CA6CD1">
        <w:t xml:space="preserve">tiene </w:t>
      </w:r>
      <w:r w:rsidR="00574B39">
        <w:t xml:space="preserve">por objeto servir de </w:t>
      </w:r>
      <w:r w:rsidR="00CA6CD1">
        <w:t xml:space="preserve">Resolución </w:t>
      </w:r>
      <w:r w:rsidR="00574B39">
        <w:t>general sobre l</w:t>
      </w:r>
      <w:r w:rsidR="00CA6CD1">
        <w:t>o</w:t>
      </w:r>
      <w:r w:rsidR="00574B39">
        <w:t>s OTT</w:t>
      </w:r>
      <w:r w:rsidR="00CA6CD1">
        <w:t xml:space="preserve"> y sugiere </w:t>
      </w:r>
      <w:r w:rsidR="00574B39">
        <w:t xml:space="preserve">que el informe anual del Secretario General </w:t>
      </w:r>
      <w:r w:rsidR="00CA6CD1">
        <w:t xml:space="preserve">es </w:t>
      </w:r>
      <w:r w:rsidR="00574B39">
        <w:t xml:space="preserve">el medio adecuado para </w:t>
      </w:r>
      <w:r w:rsidR="00CA6CD1">
        <w:t xml:space="preserve">describir el </w:t>
      </w:r>
      <w:r w:rsidR="00574B39">
        <w:t>panorama general de todas las actividades relacionadas con l</w:t>
      </w:r>
      <w:r w:rsidR="00CA6CD1">
        <w:t>o</w:t>
      </w:r>
      <w:r w:rsidR="00574B39">
        <w:t>s OTT.</w:t>
      </w:r>
      <w:bookmarkEnd w:id="27"/>
    </w:p>
    <w:p w:rsidR="00574B39" w:rsidRDefault="004304D6" w:rsidP="00CA6CD1">
      <w:pPr>
        <w:tabs>
          <w:tab w:val="clear" w:pos="567"/>
          <w:tab w:val="left" w:pos="851"/>
        </w:tabs>
      </w:pPr>
      <w:bookmarkStart w:id="28" w:name="lt_pId139"/>
      <w:r>
        <w:t>4.11</w:t>
      </w:r>
      <w:r w:rsidR="00CA6CD1">
        <w:tab/>
      </w:r>
      <w:r w:rsidR="00574B39">
        <w:t xml:space="preserve">El Consejero de los Emiratos Árabes Unidos, refiriéndose a las preocupaciones financieras planteadas, </w:t>
      </w:r>
      <w:r w:rsidR="00CA6CD1">
        <w:t xml:space="preserve">declara </w:t>
      </w:r>
      <w:r w:rsidR="00574B39">
        <w:t xml:space="preserve">que, </w:t>
      </w:r>
      <w:r w:rsidR="00CA6CD1">
        <w:t xml:space="preserve">como </w:t>
      </w:r>
      <w:r w:rsidR="00574B39">
        <w:t>la propuesta se basaba en la Resolución 206 (Dub</w:t>
      </w:r>
      <w:r w:rsidR="00CA6CD1">
        <w:t>á</w:t>
      </w:r>
      <w:r w:rsidR="00574B39">
        <w:t xml:space="preserve">i, 2018), </w:t>
      </w:r>
      <w:r w:rsidR="00E80994">
        <w:t>el UIT</w:t>
      </w:r>
      <w:r w:rsidR="00E80994">
        <w:noBreakHyphen/>
      </w:r>
      <w:r w:rsidR="00CA6CD1">
        <w:t xml:space="preserve">D cumplirá </w:t>
      </w:r>
      <w:r w:rsidR="00574B39">
        <w:t xml:space="preserve">las obligaciones financieras derivadas de las actividades de </w:t>
      </w:r>
      <w:r w:rsidR="00CA6CD1">
        <w:t xml:space="preserve">capacitación </w:t>
      </w:r>
      <w:r w:rsidR="00574B39">
        <w:t xml:space="preserve">propuestas en el curso de su ejecución. Además, no es probable que los esfuerzos del Secretario General por fomentar las oportunidades de colaboración entre los interesados tengan </w:t>
      </w:r>
      <w:r w:rsidR="00CA6CD1">
        <w:t xml:space="preserve">repercusiones </w:t>
      </w:r>
      <w:r w:rsidR="00574B39">
        <w:t xml:space="preserve">financieras, y el informe anual del Secretario General se basará en los informes de los </w:t>
      </w:r>
      <w:r w:rsidR="00CA6CD1">
        <w:t xml:space="preserve">Sectores </w:t>
      </w:r>
      <w:r w:rsidR="00574B39">
        <w:t xml:space="preserve">sobre las actividades </w:t>
      </w:r>
      <w:r w:rsidR="00CA6CD1">
        <w:t>relativas a los</w:t>
      </w:r>
      <w:r w:rsidR="00574B39">
        <w:t xml:space="preserve"> OTT en general. Los talleres propuestos </w:t>
      </w:r>
      <w:r w:rsidR="00CA6CD1">
        <w:t xml:space="preserve">tienen </w:t>
      </w:r>
      <w:r w:rsidR="00574B39">
        <w:t>por objeto colmar las lagunas existentes entre las partes interesadas.</w:t>
      </w:r>
    </w:p>
    <w:p w:rsidR="00574B39" w:rsidRDefault="004304D6" w:rsidP="00CA6CD1">
      <w:pPr>
        <w:tabs>
          <w:tab w:val="clear" w:pos="567"/>
          <w:tab w:val="left" w:pos="851"/>
        </w:tabs>
      </w:pPr>
      <w:r>
        <w:t>4.12</w:t>
      </w:r>
      <w:r w:rsidR="00CA6CD1">
        <w:tab/>
      </w:r>
      <w:r w:rsidR="00574B39">
        <w:t xml:space="preserve">El Presidente </w:t>
      </w:r>
      <w:r w:rsidR="00CA6CD1">
        <w:t>en funciones</w:t>
      </w:r>
      <w:r w:rsidR="00574B39">
        <w:t xml:space="preserve"> invit</w:t>
      </w:r>
      <w:r w:rsidR="00CA6CD1">
        <w:t>a</w:t>
      </w:r>
      <w:r w:rsidR="00574B39">
        <w:t xml:space="preserve"> al Consejo a tomar nota del </w:t>
      </w:r>
      <w:r w:rsidR="00CA6CD1">
        <w:t xml:space="preserve">Documento </w:t>
      </w:r>
      <w:r w:rsidR="00574B39">
        <w:t xml:space="preserve">C19/102 y a pedir a la Secretaría que </w:t>
      </w:r>
      <w:r w:rsidR="00CA6CD1">
        <w:t xml:space="preserve">al aplicar la Resolución 206 (Dubái, 2018) tenga </w:t>
      </w:r>
      <w:r w:rsidR="00574B39">
        <w:t xml:space="preserve">en cuenta las propuestas </w:t>
      </w:r>
      <w:r w:rsidR="00CA6CD1">
        <w:t>que éste contiene</w:t>
      </w:r>
      <w:r w:rsidR="00574B39">
        <w:t xml:space="preserve">, </w:t>
      </w:r>
      <w:r w:rsidR="00CA6CD1">
        <w:t xml:space="preserve">así como </w:t>
      </w:r>
      <w:r w:rsidR="00574B39">
        <w:t>las opiniones expresadas en la presente reunión del Consejo.</w:t>
      </w:r>
    </w:p>
    <w:p w:rsidR="00574B39" w:rsidRDefault="004304D6" w:rsidP="00CA6CD1">
      <w:pPr>
        <w:tabs>
          <w:tab w:val="clear" w:pos="567"/>
          <w:tab w:val="left" w:pos="851"/>
        </w:tabs>
      </w:pPr>
      <w:r>
        <w:lastRenderedPageBreak/>
        <w:t>4.13</w:t>
      </w:r>
      <w:r w:rsidR="00CA6CD1">
        <w:tab/>
      </w:r>
      <w:r w:rsidR="00574B39">
        <w:t xml:space="preserve">Así </w:t>
      </w:r>
      <w:r w:rsidR="00CA6CD1">
        <w:t xml:space="preserve">se </w:t>
      </w:r>
      <w:r w:rsidR="00CA6CD1">
        <w:rPr>
          <w:b/>
          <w:bCs/>
        </w:rPr>
        <w:t>acuerda</w:t>
      </w:r>
      <w:r w:rsidR="00574B39">
        <w:t>.</w:t>
      </w:r>
    </w:p>
    <w:p w:rsidR="00574B39" w:rsidRDefault="004304D6" w:rsidP="00CA6CD1">
      <w:pPr>
        <w:tabs>
          <w:tab w:val="clear" w:pos="567"/>
          <w:tab w:val="left" w:pos="851"/>
        </w:tabs>
      </w:pPr>
      <w:r>
        <w:t>4.14</w:t>
      </w:r>
      <w:r w:rsidR="00CA6CD1">
        <w:tab/>
      </w:r>
      <w:r w:rsidR="00574B39">
        <w:t xml:space="preserve">El consejero de Argelia presentó el </w:t>
      </w:r>
      <w:r w:rsidR="00CA6CD1">
        <w:t xml:space="preserve">Documento </w:t>
      </w:r>
      <w:r w:rsidR="00574B39">
        <w:t xml:space="preserve">C19/82, que </w:t>
      </w:r>
      <w:r w:rsidR="00CA6CD1">
        <w:t xml:space="preserve">contiene </w:t>
      </w:r>
      <w:r w:rsidR="00574B39">
        <w:t>una propuesta de incluir l</w:t>
      </w:r>
      <w:r w:rsidR="00CA6CD1">
        <w:t>o</w:t>
      </w:r>
      <w:r w:rsidR="00574B39">
        <w:t xml:space="preserve">s OTT en el cuadro de </w:t>
      </w:r>
      <w:r w:rsidR="00CA6CD1">
        <w:t xml:space="preserve">Cuestiones </w:t>
      </w:r>
      <w:r w:rsidR="00574B39">
        <w:t xml:space="preserve">de política pública internacional </w:t>
      </w:r>
      <w:r w:rsidR="00CA6CD1">
        <w:t xml:space="preserve">relacionadas </w:t>
      </w:r>
      <w:r w:rsidR="00574B39">
        <w:t xml:space="preserve">Internet que figura en el </w:t>
      </w:r>
      <w:r w:rsidR="00CA6CD1">
        <w:t xml:space="preserve">Anexo </w:t>
      </w:r>
      <w:r w:rsidR="00574B39">
        <w:t xml:space="preserve">1 </w:t>
      </w:r>
      <w:r w:rsidR="00CA6CD1">
        <w:t>a</w:t>
      </w:r>
      <w:r w:rsidR="00574B39">
        <w:t xml:space="preserve"> la Resolución 1305 del Consejo. </w:t>
      </w:r>
    </w:p>
    <w:p w:rsidR="00574B39" w:rsidRDefault="004304D6" w:rsidP="00CA6CD1">
      <w:pPr>
        <w:tabs>
          <w:tab w:val="clear" w:pos="567"/>
          <w:tab w:val="left" w:pos="851"/>
        </w:tabs>
      </w:pPr>
      <w:r>
        <w:t>4.15</w:t>
      </w:r>
      <w:r w:rsidR="00CA6CD1">
        <w:tab/>
      </w:r>
      <w:r w:rsidR="00574B39">
        <w:t xml:space="preserve">Varios consejeros </w:t>
      </w:r>
      <w:r w:rsidR="00CA6CD1">
        <w:t>refrendan est</w:t>
      </w:r>
      <w:r w:rsidR="00574B39">
        <w:t>a propuesta.</w:t>
      </w:r>
    </w:p>
    <w:p w:rsidR="00565F71" w:rsidRPr="00C92A00" w:rsidRDefault="004304D6" w:rsidP="00CA6CD1">
      <w:pPr>
        <w:tabs>
          <w:tab w:val="clear" w:pos="567"/>
          <w:tab w:val="left" w:pos="851"/>
        </w:tabs>
      </w:pPr>
      <w:r>
        <w:t>4.16</w:t>
      </w:r>
      <w:r w:rsidR="00CA6CD1">
        <w:tab/>
      </w:r>
      <w:r w:rsidR="00574B39">
        <w:t xml:space="preserve">El Consejo </w:t>
      </w:r>
      <w:r w:rsidR="00CA6CD1" w:rsidRPr="00CA6CD1">
        <w:rPr>
          <w:b/>
          <w:bCs/>
        </w:rPr>
        <w:t>acuerda</w:t>
      </w:r>
      <w:r w:rsidR="00CA6CD1">
        <w:t xml:space="preserve"> </w:t>
      </w:r>
      <w:r w:rsidR="00574B39">
        <w:t xml:space="preserve">modificar la Resolución 1305 (2009) tal como </w:t>
      </w:r>
      <w:r w:rsidR="00CA6CD1">
        <w:t>se ha propuesto</w:t>
      </w:r>
      <w:r w:rsidR="00565F71" w:rsidRPr="00C92A00">
        <w:t>.</w:t>
      </w:r>
      <w:bookmarkEnd w:id="28"/>
    </w:p>
    <w:p w:rsidR="00565F71" w:rsidRPr="00C92A00" w:rsidRDefault="00C92A00" w:rsidP="00CA6CD1">
      <w:pPr>
        <w:tabs>
          <w:tab w:val="clear" w:pos="567"/>
          <w:tab w:val="clear" w:pos="1134"/>
          <w:tab w:val="clear" w:pos="1701"/>
          <w:tab w:val="clear" w:pos="2268"/>
          <w:tab w:val="clear" w:pos="2835"/>
          <w:tab w:val="left" w:pos="851"/>
          <w:tab w:val="left" w:pos="6521"/>
        </w:tabs>
        <w:snapToGrid w:val="0"/>
        <w:spacing w:before="600"/>
        <w:jc w:val="both"/>
        <w:rPr>
          <w:szCs w:val="24"/>
        </w:rPr>
      </w:pPr>
      <w:bookmarkStart w:id="29" w:name="lt_pId140"/>
      <w:r w:rsidRPr="00C92A00">
        <w:rPr>
          <w:szCs w:val="24"/>
        </w:rPr>
        <w:t xml:space="preserve">El Secretario </w:t>
      </w:r>
      <w:r w:rsidR="00565F71" w:rsidRPr="00C92A00">
        <w:rPr>
          <w:szCs w:val="24"/>
        </w:rPr>
        <w:t>General:</w:t>
      </w:r>
      <w:bookmarkEnd w:id="29"/>
      <w:r w:rsidR="00565F71" w:rsidRPr="00C92A00">
        <w:rPr>
          <w:szCs w:val="24"/>
        </w:rPr>
        <w:tab/>
      </w:r>
      <w:bookmarkStart w:id="30" w:name="lt_pId141"/>
      <w:r w:rsidRPr="00C92A00">
        <w:rPr>
          <w:szCs w:val="24"/>
        </w:rPr>
        <w:t>El Presidente en funciones</w:t>
      </w:r>
      <w:r w:rsidR="00565F71" w:rsidRPr="00C92A00">
        <w:rPr>
          <w:szCs w:val="24"/>
        </w:rPr>
        <w:t>:</w:t>
      </w:r>
      <w:bookmarkEnd w:id="30"/>
    </w:p>
    <w:p w:rsidR="00565F71" w:rsidRPr="00C92A00" w:rsidRDefault="00565F71" w:rsidP="0046187E">
      <w:pPr>
        <w:tabs>
          <w:tab w:val="clear" w:pos="567"/>
          <w:tab w:val="clear" w:pos="1134"/>
          <w:tab w:val="clear" w:pos="1701"/>
          <w:tab w:val="clear" w:pos="2268"/>
          <w:tab w:val="clear" w:pos="2835"/>
          <w:tab w:val="left" w:pos="851"/>
          <w:tab w:val="left" w:pos="6521"/>
        </w:tabs>
        <w:snapToGrid w:val="0"/>
        <w:spacing w:before="0" w:after="120"/>
        <w:jc w:val="both"/>
        <w:rPr>
          <w:szCs w:val="24"/>
        </w:rPr>
      </w:pPr>
      <w:bookmarkStart w:id="31" w:name="lt_pId142"/>
      <w:r w:rsidRPr="00C92A00">
        <w:rPr>
          <w:szCs w:val="24"/>
        </w:rPr>
        <w:t>H.</w:t>
      </w:r>
      <w:bookmarkEnd w:id="31"/>
      <w:r w:rsidRPr="00C92A00">
        <w:rPr>
          <w:szCs w:val="24"/>
        </w:rPr>
        <w:t xml:space="preserve"> </w:t>
      </w:r>
      <w:bookmarkStart w:id="32" w:name="lt_pId143"/>
      <w:r w:rsidRPr="00C92A00">
        <w:rPr>
          <w:szCs w:val="24"/>
        </w:rPr>
        <w:t>ZHAO</w:t>
      </w:r>
      <w:bookmarkEnd w:id="32"/>
      <w:r w:rsidRPr="00C92A00">
        <w:rPr>
          <w:szCs w:val="24"/>
        </w:rPr>
        <w:tab/>
      </w:r>
      <w:bookmarkStart w:id="33" w:name="lt_pId144"/>
      <w:r w:rsidR="00CA6CD1">
        <w:rPr>
          <w:szCs w:val="24"/>
        </w:rPr>
        <w:tab/>
      </w:r>
      <w:r w:rsidRPr="00C92A00">
        <w:rPr>
          <w:szCs w:val="24"/>
        </w:rPr>
        <w:t>F. BIGI</w:t>
      </w:r>
      <w:bookmarkEnd w:id="33"/>
    </w:p>
    <w:p w:rsidR="00C2727F" w:rsidRPr="00C92A00" w:rsidRDefault="00565F71" w:rsidP="00B240E5">
      <w:pPr>
        <w:tabs>
          <w:tab w:val="clear" w:pos="567"/>
          <w:tab w:val="left" w:pos="851"/>
        </w:tabs>
        <w:spacing w:before="840"/>
        <w:jc w:val="center"/>
      </w:pPr>
      <w:r w:rsidRPr="00C92A00">
        <w:t>___________________</w:t>
      </w:r>
      <w:bookmarkStart w:id="34" w:name="_GoBack"/>
      <w:bookmarkEnd w:id="34"/>
    </w:p>
    <w:sectPr w:rsidR="00C2727F" w:rsidRPr="00C92A00" w:rsidSect="006710F6">
      <w:headerReference w:type="default" r:id="rId46"/>
      <w:footerReference w:type="default" r:id="rId47"/>
      <w:footerReference w:type="first" r:id="rId4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F71" w:rsidRDefault="00565F71">
      <w:r>
        <w:separator/>
      </w:r>
    </w:p>
  </w:endnote>
  <w:endnote w:type="continuationSeparator" w:id="0">
    <w:p w:rsidR="00565F71" w:rsidRDefault="00565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B240E5" w:rsidRDefault="00240D18" w:rsidP="00240D18">
    <w:pPr>
      <w:pStyle w:val="Footer"/>
      <w:rPr>
        <w:color w:val="D9D9D9" w:themeColor="background1" w:themeShade="D9"/>
        <w:lang w:val="fr-CH"/>
      </w:rPr>
    </w:pPr>
    <w:r w:rsidRPr="00B240E5">
      <w:rPr>
        <w:color w:val="D9D9D9" w:themeColor="background1" w:themeShade="D9"/>
        <w:lang w:val="en-US"/>
      </w:rPr>
      <w:fldChar w:fldCharType="begin"/>
    </w:r>
    <w:r w:rsidRPr="00B240E5">
      <w:rPr>
        <w:color w:val="D9D9D9" w:themeColor="background1" w:themeShade="D9"/>
        <w:lang w:val="fr-CH"/>
      </w:rPr>
      <w:instrText xml:space="preserve"> FILENAME \p \* MERGEFORMAT </w:instrText>
    </w:r>
    <w:r w:rsidRPr="00B240E5">
      <w:rPr>
        <w:color w:val="D9D9D9" w:themeColor="background1" w:themeShade="D9"/>
        <w:lang w:val="en-US"/>
      </w:rPr>
      <w:fldChar w:fldCharType="separate"/>
    </w:r>
    <w:r w:rsidR="00E61A7C" w:rsidRPr="00B240E5">
      <w:rPr>
        <w:color w:val="D9D9D9" w:themeColor="background1" w:themeShade="D9"/>
        <w:lang w:val="fr-CH"/>
      </w:rPr>
      <w:t>P:\ESP\SG\CONSEIL\C19\100\113S.docx</w:t>
    </w:r>
    <w:r w:rsidRPr="00B240E5">
      <w:rPr>
        <w:color w:val="D9D9D9" w:themeColor="background1" w:themeShade="D9"/>
        <w:lang w:val="en-US"/>
      </w:rPr>
      <w:fldChar w:fldCharType="end"/>
    </w:r>
    <w:r w:rsidRPr="00B240E5">
      <w:rPr>
        <w:color w:val="D9D9D9" w:themeColor="background1" w:themeShade="D9"/>
        <w:lang w:val="fr-CH"/>
      </w:rPr>
      <w:t xml:space="preserve"> (456990)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p w:rsidR="00760F1C" w:rsidRPr="00B240E5" w:rsidRDefault="00240D18" w:rsidP="00240D18">
    <w:pPr>
      <w:pStyle w:val="Footer"/>
      <w:rPr>
        <w:color w:val="D9D9D9" w:themeColor="background1" w:themeShade="D9"/>
        <w:lang w:val="fr-CH"/>
      </w:rPr>
    </w:pPr>
    <w:r w:rsidRPr="00B240E5">
      <w:rPr>
        <w:color w:val="D9D9D9" w:themeColor="background1" w:themeShade="D9"/>
        <w:lang w:val="en-US"/>
      </w:rPr>
      <w:fldChar w:fldCharType="begin"/>
    </w:r>
    <w:r w:rsidRPr="00B240E5">
      <w:rPr>
        <w:color w:val="D9D9D9" w:themeColor="background1" w:themeShade="D9"/>
        <w:lang w:val="fr-CH"/>
      </w:rPr>
      <w:instrText xml:space="preserve"> FILENAME \p \* MERGEFORMAT </w:instrText>
    </w:r>
    <w:r w:rsidRPr="00B240E5">
      <w:rPr>
        <w:color w:val="D9D9D9" w:themeColor="background1" w:themeShade="D9"/>
        <w:lang w:val="en-US"/>
      </w:rPr>
      <w:fldChar w:fldCharType="separate"/>
    </w:r>
    <w:r w:rsidR="00E61A7C" w:rsidRPr="00B240E5">
      <w:rPr>
        <w:color w:val="D9D9D9" w:themeColor="background1" w:themeShade="D9"/>
        <w:lang w:val="fr-CH"/>
      </w:rPr>
      <w:t>P:\ESP\SG\CONSEIL\C19\100\113S.docx</w:t>
    </w:r>
    <w:r w:rsidRPr="00B240E5">
      <w:rPr>
        <w:color w:val="D9D9D9" w:themeColor="background1" w:themeShade="D9"/>
        <w:lang w:val="en-US"/>
      </w:rPr>
      <w:fldChar w:fldCharType="end"/>
    </w:r>
    <w:r w:rsidRPr="00B240E5">
      <w:rPr>
        <w:color w:val="D9D9D9" w:themeColor="background1" w:themeShade="D9"/>
        <w:lang w:val="fr-CH"/>
      </w:rPr>
      <w:t xml:space="preserve"> (456990)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F71" w:rsidRDefault="00565F71">
      <w:r>
        <w:t>____________________</w:t>
      </w:r>
    </w:p>
  </w:footnote>
  <w:footnote w:type="continuationSeparator" w:id="0">
    <w:p w:rsidR="00565F71" w:rsidRDefault="00565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B240E5">
      <w:rPr>
        <w:noProof/>
      </w:rPr>
      <w:t>2</w:t>
    </w:r>
    <w:r>
      <w:rPr>
        <w:noProof/>
      </w:rPr>
      <w:fldChar w:fldCharType="end"/>
    </w:r>
  </w:p>
  <w:p w:rsidR="00760F1C" w:rsidRDefault="00760F1C" w:rsidP="00565F71">
    <w:pPr>
      <w:pStyle w:val="Header"/>
    </w:pPr>
    <w:r>
      <w:t>C</w:t>
    </w:r>
    <w:r w:rsidR="007F350B">
      <w:t>1</w:t>
    </w:r>
    <w:r w:rsidR="00C2727F">
      <w:t>9</w:t>
    </w:r>
    <w:r>
      <w:t>/</w:t>
    </w:r>
    <w:r w:rsidR="00565F71">
      <w:t>113</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F71"/>
    <w:rsid w:val="00006B3C"/>
    <w:rsid w:val="00057148"/>
    <w:rsid w:val="00093EEB"/>
    <w:rsid w:val="000B0D00"/>
    <w:rsid w:val="000B7C15"/>
    <w:rsid w:val="000C79A8"/>
    <w:rsid w:val="000D1D0F"/>
    <w:rsid w:val="000F5290"/>
    <w:rsid w:val="0010165C"/>
    <w:rsid w:val="00146BFB"/>
    <w:rsid w:val="001F14A2"/>
    <w:rsid w:val="00213ED5"/>
    <w:rsid w:val="00240D18"/>
    <w:rsid w:val="002801AA"/>
    <w:rsid w:val="002C4676"/>
    <w:rsid w:val="002C70B0"/>
    <w:rsid w:val="002F3CC4"/>
    <w:rsid w:val="00325028"/>
    <w:rsid w:val="0038395F"/>
    <w:rsid w:val="003F5239"/>
    <w:rsid w:val="004304D6"/>
    <w:rsid w:val="00452E87"/>
    <w:rsid w:val="0046187E"/>
    <w:rsid w:val="004D41BA"/>
    <w:rsid w:val="0051091B"/>
    <w:rsid w:val="00513630"/>
    <w:rsid w:val="00560125"/>
    <w:rsid w:val="00565F71"/>
    <w:rsid w:val="00574B39"/>
    <w:rsid w:val="00585553"/>
    <w:rsid w:val="005B34D9"/>
    <w:rsid w:val="005D0CCF"/>
    <w:rsid w:val="005F3BCB"/>
    <w:rsid w:val="005F410F"/>
    <w:rsid w:val="0060149A"/>
    <w:rsid w:val="00601924"/>
    <w:rsid w:val="006447EA"/>
    <w:rsid w:val="00644DFD"/>
    <w:rsid w:val="0064731F"/>
    <w:rsid w:val="006710F6"/>
    <w:rsid w:val="006C1977"/>
    <w:rsid w:val="006C1B56"/>
    <w:rsid w:val="006D4761"/>
    <w:rsid w:val="00726872"/>
    <w:rsid w:val="00760F1C"/>
    <w:rsid w:val="007657F0"/>
    <w:rsid w:val="0077252D"/>
    <w:rsid w:val="007E5DD3"/>
    <w:rsid w:val="007F350B"/>
    <w:rsid w:val="00820BE4"/>
    <w:rsid w:val="008451E8"/>
    <w:rsid w:val="00851A78"/>
    <w:rsid w:val="00913B9C"/>
    <w:rsid w:val="009376BB"/>
    <w:rsid w:val="00956E77"/>
    <w:rsid w:val="009F4811"/>
    <w:rsid w:val="00A274E2"/>
    <w:rsid w:val="00AA390C"/>
    <w:rsid w:val="00AF7BD9"/>
    <w:rsid w:val="00B0200A"/>
    <w:rsid w:val="00B240E5"/>
    <w:rsid w:val="00B574DB"/>
    <w:rsid w:val="00B71503"/>
    <w:rsid w:val="00B826C2"/>
    <w:rsid w:val="00B8298E"/>
    <w:rsid w:val="00BD0723"/>
    <w:rsid w:val="00BD2518"/>
    <w:rsid w:val="00BF1D1C"/>
    <w:rsid w:val="00C120FD"/>
    <w:rsid w:val="00C20C59"/>
    <w:rsid w:val="00C2727F"/>
    <w:rsid w:val="00C55B1F"/>
    <w:rsid w:val="00C92A00"/>
    <w:rsid w:val="00CA6CD1"/>
    <w:rsid w:val="00CF1A67"/>
    <w:rsid w:val="00D2750E"/>
    <w:rsid w:val="00D62446"/>
    <w:rsid w:val="00DA4EA2"/>
    <w:rsid w:val="00DB0670"/>
    <w:rsid w:val="00DC3D3E"/>
    <w:rsid w:val="00DE2C90"/>
    <w:rsid w:val="00DE3B24"/>
    <w:rsid w:val="00E06947"/>
    <w:rsid w:val="00E3592D"/>
    <w:rsid w:val="00E61A7C"/>
    <w:rsid w:val="00E80994"/>
    <w:rsid w:val="00E92DE8"/>
    <w:rsid w:val="00EB1212"/>
    <w:rsid w:val="00ED65AB"/>
    <w:rsid w:val="00F12850"/>
    <w:rsid w:val="00F33BF4"/>
    <w:rsid w:val="00F7105E"/>
    <w:rsid w:val="00F75F57"/>
    <w:rsid w:val="00F82FEE"/>
    <w:rsid w:val="00FB646E"/>
    <w:rsid w:val="00FD57D3"/>
    <w:rsid w:val="00FE692B"/>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C61B785-DAF6-4FC2-96E3-FCC17673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9-CL-C-0094/en" TargetMode="External"/><Relationship Id="rId18" Type="http://schemas.openxmlformats.org/officeDocument/2006/relationships/hyperlink" Target="https://www.itu.int/md/S19-CL-C-0079/en" TargetMode="External"/><Relationship Id="rId26" Type="http://schemas.openxmlformats.org/officeDocument/2006/relationships/hyperlink" Target="https://www.itu.int/md/S19-CL-C-0005/en" TargetMode="External"/><Relationship Id="rId39" Type="http://schemas.openxmlformats.org/officeDocument/2006/relationships/hyperlink" Target="https://www.itu.int/md/S19-CL-C-0081/en" TargetMode="External"/><Relationship Id="rId3" Type="http://schemas.openxmlformats.org/officeDocument/2006/relationships/webSettings" Target="webSettings.xml"/><Relationship Id="rId21" Type="http://schemas.openxmlformats.org/officeDocument/2006/relationships/hyperlink" Target="https://www.itu.int/md/S19-CL-C-0089/en" TargetMode="External"/><Relationship Id="rId34" Type="http://schemas.openxmlformats.org/officeDocument/2006/relationships/hyperlink" Target="https://www.itu.int/md/S19-CL-C-0026/en" TargetMode="External"/><Relationship Id="rId42" Type="http://schemas.openxmlformats.org/officeDocument/2006/relationships/hyperlink" Target="https://www.itu.int/md/S19-CL-C-0100/en"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hyperlink" Target="https://www.itu.int/md/S19-CL-C-0017/en" TargetMode="External"/><Relationship Id="rId12" Type="http://schemas.openxmlformats.org/officeDocument/2006/relationships/hyperlink" Target="https://www.itu.int/md/S19-CL-C-0093/en" TargetMode="External"/><Relationship Id="rId17" Type="http://schemas.openxmlformats.org/officeDocument/2006/relationships/hyperlink" Target="https://www.itu.int/md/S19-CL-C-0074/en" TargetMode="External"/><Relationship Id="rId25" Type="http://schemas.openxmlformats.org/officeDocument/2006/relationships/hyperlink" Target="https://www.itu.int/md/S18-CL-C-0017/es" TargetMode="External"/><Relationship Id="rId33" Type="http://schemas.openxmlformats.org/officeDocument/2006/relationships/hyperlink" Target="https://www.itu.int/md/S19-CL-C-0099/en" TargetMode="External"/><Relationship Id="rId38" Type="http://schemas.openxmlformats.org/officeDocument/2006/relationships/hyperlink" Target="https://www.itu.int/md/S19-CL-C-0079/en" TargetMode="External"/><Relationship Id="rId46"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itu.int/md/S19-CL-C-0069/en" TargetMode="External"/><Relationship Id="rId20" Type="http://schemas.openxmlformats.org/officeDocument/2006/relationships/hyperlink" Target="https://www.itu.int/md/S19-CL-C-0086/en" TargetMode="External"/><Relationship Id="rId29" Type="http://schemas.openxmlformats.org/officeDocument/2006/relationships/hyperlink" Target="https://www.itu.int/md/S19-CL-C-0085/en" TargetMode="External"/><Relationship Id="rId41" Type="http://schemas.openxmlformats.org/officeDocument/2006/relationships/hyperlink" Target="https://www.itu.int/md/S19-CL-C-0089/en"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9-CL-C-0088/en" TargetMode="External"/><Relationship Id="rId24" Type="http://schemas.openxmlformats.org/officeDocument/2006/relationships/hyperlink" Target="https://www.itu.int/md/S19-CL-C-0102/en" TargetMode="External"/><Relationship Id="rId32" Type="http://schemas.openxmlformats.org/officeDocument/2006/relationships/hyperlink" Target="https://www.itu.int/md/S19-CL-C-0094/en" TargetMode="External"/><Relationship Id="rId37" Type="http://schemas.openxmlformats.org/officeDocument/2006/relationships/hyperlink" Target="https://www.itu.int/md/S19-CL-C-0074/en" TargetMode="External"/><Relationship Id="rId40" Type="http://schemas.openxmlformats.org/officeDocument/2006/relationships/hyperlink" Target="https://www.itu.int/md/S19-CL-C-0086/en" TargetMode="External"/><Relationship Id="rId45" Type="http://schemas.openxmlformats.org/officeDocument/2006/relationships/hyperlink" Target="https://www.itu.int/md/S19-CL-C-0102/en" TargetMode="External"/><Relationship Id="rId5" Type="http://schemas.openxmlformats.org/officeDocument/2006/relationships/endnotes" Target="endnotes.xml"/><Relationship Id="rId15" Type="http://schemas.openxmlformats.org/officeDocument/2006/relationships/hyperlink" Target="https://www.itu.int/md/S19-CL-C-0065/en" TargetMode="External"/><Relationship Id="rId23" Type="http://schemas.openxmlformats.org/officeDocument/2006/relationships/hyperlink" Target="https://www.itu.int/md/S19-CL-C-0082/en" TargetMode="External"/><Relationship Id="rId28" Type="http://schemas.openxmlformats.org/officeDocument/2006/relationships/hyperlink" Target="https://www.itu.int/md/S19-CL-C-0083/en" TargetMode="External"/><Relationship Id="rId36" Type="http://schemas.openxmlformats.org/officeDocument/2006/relationships/hyperlink" Target="https://www.itu.int/md/S19-CL-C-0069/en" TargetMode="External"/><Relationship Id="rId49" Type="http://schemas.openxmlformats.org/officeDocument/2006/relationships/fontTable" Target="fontTable.xml"/><Relationship Id="rId10" Type="http://schemas.openxmlformats.org/officeDocument/2006/relationships/hyperlink" Target="https://www.itu.int/md/S19-CL-C-0085/en" TargetMode="External"/><Relationship Id="rId19" Type="http://schemas.openxmlformats.org/officeDocument/2006/relationships/hyperlink" Target="https://www.itu.int/md/S19-CL-C-0081/en" TargetMode="External"/><Relationship Id="rId31" Type="http://schemas.openxmlformats.org/officeDocument/2006/relationships/hyperlink" Target="https://www.itu.int/md/S19-CL-C-0093/en" TargetMode="External"/><Relationship Id="rId44" Type="http://schemas.openxmlformats.org/officeDocument/2006/relationships/hyperlink" Target="https://www.itu.int/md/S19-CL-C-0082/en" TargetMode="External"/><Relationship Id="rId4" Type="http://schemas.openxmlformats.org/officeDocument/2006/relationships/footnotes" Target="footnotes.xml"/><Relationship Id="rId9" Type="http://schemas.openxmlformats.org/officeDocument/2006/relationships/hyperlink" Target="https://www.itu.int/md/S19-CL-C-0083/en" TargetMode="External"/><Relationship Id="rId14" Type="http://schemas.openxmlformats.org/officeDocument/2006/relationships/hyperlink" Target="https://www.itu.int/md/S19-CL-C-0099/en" TargetMode="External"/><Relationship Id="rId22" Type="http://schemas.openxmlformats.org/officeDocument/2006/relationships/hyperlink" Target="https://www.itu.int/md/S19-CL-C-0100/en" TargetMode="External"/><Relationship Id="rId27" Type="http://schemas.openxmlformats.org/officeDocument/2006/relationships/hyperlink" Target="https://www.itu.int/md/S19-CL-C-0078/en" TargetMode="External"/><Relationship Id="rId30" Type="http://schemas.openxmlformats.org/officeDocument/2006/relationships/hyperlink" Target="https://www.itu.int/md/S19-CL-C-0088/en" TargetMode="External"/><Relationship Id="rId35" Type="http://schemas.openxmlformats.org/officeDocument/2006/relationships/hyperlink" Target="https://www.itu.int/md/S19-CL-C-0065/en" TargetMode="External"/><Relationship Id="rId43" Type="http://schemas.openxmlformats.org/officeDocument/2006/relationships/hyperlink" Target="https://www.itu.int/md/S19-CL-C-0033/en" TargetMode="External"/><Relationship Id="rId48" Type="http://schemas.openxmlformats.org/officeDocument/2006/relationships/footer" Target="footer2.xml"/><Relationship Id="rId8" Type="http://schemas.openxmlformats.org/officeDocument/2006/relationships/hyperlink" Target="https://www.itu.int/md/S19-CL-C-0078/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PS_C19.dotx</Template>
  <TotalTime>0</TotalTime>
  <Pages>6</Pages>
  <Words>2400</Words>
  <Characters>15050</Characters>
  <Application>Microsoft Office Word</Application>
  <DocSecurity>4</DocSecurity>
  <Lines>125</Lines>
  <Paragraphs>34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17416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 los debates de la segunda sesión plenaria</dc:title>
  <dc:subject>Consejo 2018</dc:subject>
  <dc:creator>Spanish</dc:creator>
  <cp:keywords>C2019, C19</cp:keywords>
  <dc:description/>
  <cp:lastModifiedBy>Brouard, Ricarda</cp:lastModifiedBy>
  <cp:revision>2</cp:revision>
  <cp:lastPrinted>2006-03-24T09:51:00Z</cp:lastPrinted>
  <dcterms:created xsi:type="dcterms:W3CDTF">2019-07-11T12:46:00Z</dcterms:created>
  <dcterms:modified xsi:type="dcterms:W3CDTF">2019-07-11T12:46:00Z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