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rsidTr="00464B6C">
        <w:trPr>
          <w:cantSplit/>
        </w:trPr>
        <w:tc>
          <w:tcPr>
            <w:tcW w:w="6911" w:type="dxa"/>
          </w:tcPr>
          <w:p w:rsidR="002A2188" w:rsidRPr="00813E5E" w:rsidRDefault="002A2188" w:rsidP="006E0754">
            <w:pPr>
              <w:spacing w:before="360" w:after="48" w:line="240" w:lineRule="atLeast"/>
              <w:jc w:val="both"/>
              <w:rPr>
                <w:position w:val="6"/>
              </w:rPr>
            </w:pPr>
            <w:bookmarkStart w:id="0" w:name="dc06"/>
            <w:bookmarkEnd w:id="0"/>
            <w:r w:rsidRPr="00E85629">
              <w:rPr>
                <w:b/>
                <w:bCs/>
                <w:position w:val="6"/>
                <w:sz w:val="30"/>
                <w:szCs w:val="30"/>
                <w:lang w:val="fr-CH"/>
              </w:rPr>
              <w:t>Council 201</w:t>
            </w:r>
            <w:r w:rsidR="00FB1279">
              <w:rPr>
                <w:b/>
                <w:bCs/>
                <w:position w:val="6"/>
                <w:sz w:val="30"/>
                <w:szCs w:val="30"/>
                <w:lang w:val="fr-CH"/>
              </w:rPr>
              <w:t>9</w:t>
            </w:r>
            <w:r w:rsidRPr="00E85629">
              <w:rPr>
                <w:rFonts w:cs="Times"/>
                <w:b/>
                <w:position w:val="6"/>
                <w:sz w:val="26"/>
                <w:szCs w:val="26"/>
                <w:lang w:val="en-US"/>
              </w:rPr>
              <w:br/>
            </w:r>
            <w:r w:rsidRPr="00E85629">
              <w:rPr>
                <w:b/>
                <w:bCs/>
                <w:position w:val="6"/>
                <w:szCs w:val="24"/>
                <w:lang w:val="fr-CH"/>
              </w:rPr>
              <w:t>Geneva, 1</w:t>
            </w:r>
            <w:r w:rsidR="00FB1279">
              <w:rPr>
                <w:b/>
                <w:bCs/>
                <w:position w:val="6"/>
                <w:szCs w:val="24"/>
                <w:lang w:val="fr-CH"/>
              </w:rPr>
              <w:t>0</w:t>
            </w:r>
            <w:r w:rsidRPr="00E85629">
              <w:rPr>
                <w:b/>
                <w:bCs/>
                <w:position w:val="6"/>
                <w:szCs w:val="24"/>
                <w:lang w:val="fr-CH"/>
              </w:rPr>
              <w:t>-2</w:t>
            </w:r>
            <w:r w:rsidR="00FB1279">
              <w:rPr>
                <w:b/>
                <w:bCs/>
                <w:position w:val="6"/>
                <w:szCs w:val="24"/>
                <w:lang w:val="fr-CH"/>
              </w:rPr>
              <w:t>0</w:t>
            </w:r>
            <w:r w:rsidRPr="00E85629">
              <w:rPr>
                <w:b/>
                <w:bCs/>
                <w:position w:val="6"/>
                <w:szCs w:val="24"/>
                <w:lang w:val="fr-CH"/>
              </w:rPr>
              <w:t xml:space="preserve"> </w:t>
            </w:r>
            <w:r w:rsidR="00FB1279">
              <w:rPr>
                <w:b/>
                <w:bCs/>
                <w:position w:val="6"/>
                <w:szCs w:val="24"/>
                <w:lang w:val="fr-CH"/>
              </w:rPr>
              <w:t>June</w:t>
            </w:r>
            <w:r w:rsidRPr="00E85629">
              <w:rPr>
                <w:b/>
                <w:bCs/>
                <w:position w:val="6"/>
                <w:szCs w:val="24"/>
                <w:lang w:val="fr-CH"/>
              </w:rPr>
              <w:t xml:space="preserve"> 201</w:t>
            </w:r>
            <w:r w:rsidR="00FB1279">
              <w:rPr>
                <w:b/>
                <w:bCs/>
                <w:position w:val="6"/>
                <w:szCs w:val="24"/>
                <w:lang w:val="fr-CH"/>
              </w:rPr>
              <w:t>9</w:t>
            </w:r>
          </w:p>
        </w:tc>
        <w:tc>
          <w:tcPr>
            <w:tcW w:w="3120" w:type="dxa"/>
          </w:tcPr>
          <w:p w:rsidR="002A2188" w:rsidRPr="00813E5E" w:rsidRDefault="002A2188" w:rsidP="006E0754">
            <w:pPr>
              <w:spacing w:before="0" w:line="240" w:lineRule="atLeast"/>
              <w:jc w:val="both"/>
            </w:pPr>
            <w:bookmarkStart w:id="1" w:name="ditulogo"/>
            <w:bookmarkEnd w:id="1"/>
            <w:r w:rsidRPr="00F21593">
              <w:rPr>
                <w:rFonts w:ascii="Verdana" w:hAnsi="Verdana"/>
                <w:noProof/>
                <w:color w:val="FFFFFF"/>
                <w:sz w:val="26"/>
                <w:szCs w:val="26"/>
                <w:lang w:eastAsia="zh-CN"/>
              </w:rPr>
              <w:drawing>
                <wp:inline distT="0" distB="0" distL="0" distR="0" wp14:anchorId="18F94E10" wp14:editId="2F347762">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813E5E" w:rsidTr="00464B6C">
        <w:trPr>
          <w:cantSplit/>
        </w:trPr>
        <w:tc>
          <w:tcPr>
            <w:tcW w:w="6911" w:type="dxa"/>
            <w:tcBorders>
              <w:bottom w:val="single" w:sz="12" w:space="0" w:color="auto"/>
            </w:tcBorders>
          </w:tcPr>
          <w:p w:rsidR="002A2188" w:rsidRPr="00813E5E" w:rsidRDefault="002A2188" w:rsidP="006E0754">
            <w:pPr>
              <w:spacing w:before="0" w:after="48" w:line="240" w:lineRule="atLeast"/>
              <w:jc w:val="both"/>
              <w:rPr>
                <w:b/>
                <w:smallCaps/>
                <w:szCs w:val="24"/>
              </w:rPr>
            </w:pPr>
          </w:p>
        </w:tc>
        <w:tc>
          <w:tcPr>
            <w:tcW w:w="3120" w:type="dxa"/>
            <w:tcBorders>
              <w:bottom w:val="single" w:sz="12" w:space="0" w:color="auto"/>
            </w:tcBorders>
          </w:tcPr>
          <w:p w:rsidR="002A2188" w:rsidRPr="00813E5E" w:rsidRDefault="002A2188" w:rsidP="006E0754">
            <w:pPr>
              <w:spacing w:before="0" w:line="240" w:lineRule="atLeast"/>
              <w:jc w:val="both"/>
              <w:rPr>
                <w:szCs w:val="24"/>
              </w:rPr>
            </w:pPr>
          </w:p>
        </w:tc>
      </w:tr>
      <w:tr w:rsidR="002A2188" w:rsidRPr="00813E5E" w:rsidTr="00464B6C">
        <w:trPr>
          <w:cantSplit/>
        </w:trPr>
        <w:tc>
          <w:tcPr>
            <w:tcW w:w="6911" w:type="dxa"/>
            <w:tcBorders>
              <w:top w:val="single" w:sz="12" w:space="0" w:color="auto"/>
            </w:tcBorders>
          </w:tcPr>
          <w:p w:rsidR="002A2188" w:rsidRPr="00813E5E" w:rsidRDefault="002A2188" w:rsidP="006E0754">
            <w:pPr>
              <w:spacing w:before="0" w:line="240" w:lineRule="atLeast"/>
              <w:jc w:val="both"/>
              <w:rPr>
                <w:b/>
                <w:smallCaps/>
                <w:szCs w:val="24"/>
              </w:rPr>
            </w:pPr>
          </w:p>
        </w:tc>
        <w:tc>
          <w:tcPr>
            <w:tcW w:w="3120" w:type="dxa"/>
            <w:tcBorders>
              <w:top w:val="single" w:sz="12" w:space="0" w:color="auto"/>
            </w:tcBorders>
          </w:tcPr>
          <w:p w:rsidR="002A2188" w:rsidRPr="00813E5E" w:rsidRDefault="002A2188" w:rsidP="006E0754">
            <w:pPr>
              <w:spacing w:before="0" w:line="240" w:lineRule="atLeast"/>
              <w:jc w:val="both"/>
              <w:rPr>
                <w:szCs w:val="24"/>
              </w:rPr>
            </w:pPr>
          </w:p>
        </w:tc>
      </w:tr>
      <w:tr w:rsidR="002A2188" w:rsidRPr="00813E5E" w:rsidTr="00464B6C">
        <w:trPr>
          <w:cantSplit/>
          <w:trHeight w:val="23"/>
        </w:trPr>
        <w:tc>
          <w:tcPr>
            <w:tcW w:w="6911" w:type="dxa"/>
            <w:vMerge w:val="restart"/>
          </w:tcPr>
          <w:p w:rsidR="002A2188" w:rsidRPr="00E85629" w:rsidRDefault="002A2188" w:rsidP="006E0754">
            <w:pPr>
              <w:tabs>
                <w:tab w:val="left" w:pos="851"/>
              </w:tabs>
              <w:spacing w:line="240" w:lineRule="atLeast"/>
              <w:jc w:val="both"/>
              <w:rPr>
                <w:b/>
              </w:rPr>
            </w:pPr>
            <w:bookmarkStart w:id="2" w:name="dmeeting" w:colFirst="0" w:colLast="0"/>
            <w:bookmarkStart w:id="3" w:name="dnum" w:colFirst="1" w:colLast="1"/>
            <w:bookmarkStart w:id="4" w:name="_GoBack"/>
            <w:bookmarkEnd w:id="4"/>
          </w:p>
        </w:tc>
        <w:tc>
          <w:tcPr>
            <w:tcW w:w="3120" w:type="dxa"/>
          </w:tcPr>
          <w:p w:rsidR="002A2188" w:rsidRPr="00E85629" w:rsidRDefault="002A2188" w:rsidP="006E0754">
            <w:pPr>
              <w:tabs>
                <w:tab w:val="left" w:pos="851"/>
              </w:tabs>
              <w:spacing w:before="0" w:line="240" w:lineRule="atLeast"/>
              <w:jc w:val="both"/>
              <w:rPr>
                <w:b/>
              </w:rPr>
            </w:pPr>
            <w:r>
              <w:rPr>
                <w:b/>
              </w:rPr>
              <w:t>Document C1</w:t>
            </w:r>
            <w:r w:rsidR="00FB1279">
              <w:rPr>
                <w:b/>
              </w:rPr>
              <w:t>9</w:t>
            </w:r>
            <w:r w:rsidR="0085200A">
              <w:rPr>
                <w:b/>
              </w:rPr>
              <w:t>/11</w:t>
            </w:r>
            <w:r w:rsidR="005118C8">
              <w:rPr>
                <w:b/>
              </w:rPr>
              <w:t>3</w:t>
            </w:r>
            <w:r>
              <w:rPr>
                <w:b/>
              </w:rPr>
              <w:t>-E</w:t>
            </w:r>
          </w:p>
        </w:tc>
      </w:tr>
      <w:tr w:rsidR="002A2188" w:rsidRPr="00813E5E" w:rsidTr="00464B6C">
        <w:trPr>
          <w:cantSplit/>
          <w:trHeight w:val="23"/>
        </w:trPr>
        <w:tc>
          <w:tcPr>
            <w:tcW w:w="6911" w:type="dxa"/>
            <w:vMerge/>
          </w:tcPr>
          <w:p w:rsidR="002A2188" w:rsidRPr="00813E5E" w:rsidRDefault="002A2188" w:rsidP="006E0754">
            <w:pPr>
              <w:tabs>
                <w:tab w:val="left" w:pos="851"/>
              </w:tabs>
              <w:spacing w:line="240" w:lineRule="atLeast"/>
              <w:jc w:val="both"/>
              <w:rPr>
                <w:b/>
              </w:rPr>
            </w:pPr>
            <w:bookmarkStart w:id="5" w:name="ddate" w:colFirst="1" w:colLast="1"/>
            <w:bookmarkEnd w:id="2"/>
            <w:bookmarkEnd w:id="3"/>
          </w:p>
        </w:tc>
        <w:tc>
          <w:tcPr>
            <w:tcW w:w="3120" w:type="dxa"/>
          </w:tcPr>
          <w:p w:rsidR="002A2188" w:rsidRPr="00E85629" w:rsidRDefault="00263BC1" w:rsidP="005118C8">
            <w:pPr>
              <w:tabs>
                <w:tab w:val="left" w:pos="993"/>
              </w:tabs>
              <w:spacing w:before="0"/>
              <w:jc w:val="both"/>
              <w:rPr>
                <w:b/>
              </w:rPr>
            </w:pPr>
            <w:r>
              <w:rPr>
                <w:b/>
              </w:rPr>
              <w:t>1</w:t>
            </w:r>
            <w:r w:rsidR="005118C8">
              <w:rPr>
                <w:b/>
              </w:rPr>
              <w:t>3</w:t>
            </w:r>
            <w:r w:rsidR="0085200A">
              <w:rPr>
                <w:b/>
              </w:rPr>
              <w:t xml:space="preserve"> June</w:t>
            </w:r>
            <w:r w:rsidR="002A2188">
              <w:rPr>
                <w:b/>
              </w:rPr>
              <w:t xml:space="preserve"> 201</w:t>
            </w:r>
            <w:r w:rsidR="00FB1279">
              <w:rPr>
                <w:b/>
              </w:rPr>
              <w:t>9</w:t>
            </w:r>
          </w:p>
        </w:tc>
      </w:tr>
      <w:tr w:rsidR="002A2188" w:rsidRPr="00813E5E" w:rsidTr="00464B6C">
        <w:trPr>
          <w:cantSplit/>
          <w:trHeight w:val="23"/>
        </w:trPr>
        <w:tc>
          <w:tcPr>
            <w:tcW w:w="6911" w:type="dxa"/>
            <w:vMerge/>
          </w:tcPr>
          <w:p w:rsidR="002A2188" w:rsidRPr="00813E5E" w:rsidRDefault="002A2188" w:rsidP="006E0754">
            <w:pPr>
              <w:tabs>
                <w:tab w:val="left" w:pos="851"/>
              </w:tabs>
              <w:spacing w:line="240" w:lineRule="atLeast"/>
              <w:jc w:val="both"/>
              <w:rPr>
                <w:b/>
              </w:rPr>
            </w:pPr>
            <w:bookmarkStart w:id="6" w:name="dorlang" w:colFirst="1" w:colLast="1"/>
            <w:bookmarkEnd w:id="5"/>
          </w:p>
        </w:tc>
        <w:tc>
          <w:tcPr>
            <w:tcW w:w="3120" w:type="dxa"/>
          </w:tcPr>
          <w:p w:rsidR="002A2188" w:rsidRPr="00E85629" w:rsidRDefault="002A2188" w:rsidP="006E0754">
            <w:pPr>
              <w:tabs>
                <w:tab w:val="left" w:pos="993"/>
              </w:tabs>
              <w:spacing w:before="0"/>
              <w:jc w:val="both"/>
              <w:rPr>
                <w:b/>
              </w:rPr>
            </w:pPr>
            <w:r>
              <w:rPr>
                <w:b/>
              </w:rPr>
              <w:t>Original: English</w:t>
            </w:r>
          </w:p>
        </w:tc>
      </w:tr>
      <w:tr w:rsidR="002A2188" w:rsidRPr="00813E5E" w:rsidTr="00464B6C">
        <w:trPr>
          <w:cantSplit/>
        </w:trPr>
        <w:tc>
          <w:tcPr>
            <w:tcW w:w="10031" w:type="dxa"/>
            <w:gridSpan w:val="2"/>
          </w:tcPr>
          <w:p w:rsidR="0085200A" w:rsidRPr="0085200A" w:rsidRDefault="0085200A" w:rsidP="006E0754">
            <w:pPr>
              <w:pStyle w:val="Title1"/>
            </w:pPr>
            <w:bookmarkStart w:id="7" w:name="dsource" w:colFirst="0" w:colLast="0"/>
            <w:bookmarkEnd w:id="6"/>
            <w:r w:rsidRPr="0085200A">
              <w:t>SUMMARY RECORD</w:t>
            </w:r>
          </w:p>
          <w:p w:rsidR="0085200A" w:rsidRPr="0085200A" w:rsidRDefault="0085200A" w:rsidP="006E0754">
            <w:pPr>
              <w:pStyle w:val="Title1"/>
            </w:pPr>
            <w:r w:rsidRPr="0085200A">
              <w:t>OF THE</w:t>
            </w:r>
          </w:p>
          <w:p w:rsidR="002A2188" w:rsidRPr="00813E5E" w:rsidRDefault="005118C8" w:rsidP="006E0754">
            <w:pPr>
              <w:pStyle w:val="Source"/>
              <w:spacing w:before="240"/>
            </w:pPr>
            <w:r>
              <w:rPr>
                <w:b w:val="0"/>
              </w:rPr>
              <w:t>SECOND</w:t>
            </w:r>
            <w:r w:rsidRPr="0085200A">
              <w:rPr>
                <w:b w:val="0"/>
              </w:rPr>
              <w:t xml:space="preserve"> </w:t>
            </w:r>
            <w:r w:rsidR="0085200A" w:rsidRPr="0085200A">
              <w:rPr>
                <w:b w:val="0"/>
              </w:rPr>
              <w:t>PLENARY MEETING</w:t>
            </w:r>
          </w:p>
        </w:tc>
      </w:tr>
      <w:tr w:rsidR="002A2188" w:rsidRPr="00813E5E" w:rsidTr="00464B6C">
        <w:trPr>
          <w:cantSplit/>
        </w:trPr>
        <w:tc>
          <w:tcPr>
            <w:tcW w:w="10031" w:type="dxa"/>
            <w:gridSpan w:val="2"/>
          </w:tcPr>
          <w:p w:rsidR="002A2188" w:rsidRPr="005118C8" w:rsidRDefault="005118C8" w:rsidP="006E0754">
            <w:pPr>
              <w:pStyle w:val="Title1"/>
              <w:rPr>
                <w:sz w:val="24"/>
                <w:szCs w:val="24"/>
              </w:rPr>
            </w:pPr>
            <w:bookmarkStart w:id="8" w:name="dtitle1" w:colFirst="0" w:colLast="0"/>
            <w:bookmarkEnd w:id="7"/>
            <w:r w:rsidRPr="005118C8">
              <w:rPr>
                <w:caps w:val="0"/>
                <w:sz w:val="24"/>
                <w:szCs w:val="24"/>
              </w:rPr>
              <w:t>Tuesday, 11 June 2019, from 1430 to 1730 hours</w:t>
            </w:r>
          </w:p>
        </w:tc>
      </w:tr>
      <w:tr w:rsidR="0085200A" w:rsidRPr="00813E5E" w:rsidTr="00464B6C">
        <w:trPr>
          <w:cantSplit/>
        </w:trPr>
        <w:tc>
          <w:tcPr>
            <w:tcW w:w="10031" w:type="dxa"/>
            <w:gridSpan w:val="2"/>
          </w:tcPr>
          <w:p w:rsidR="0085200A" w:rsidRPr="0085200A" w:rsidRDefault="00263BC1" w:rsidP="006E0754">
            <w:pPr>
              <w:jc w:val="center"/>
              <w:rPr>
                <w:rFonts w:asciiTheme="minorHAnsi" w:hAnsiTheme="minorHAnsi"/>
                <w:szCs w:val="24"/>
              </w:rPr>
            </w:pPr>
            <w:r>
              <w:rPr>
                <w:b/>
                <w:bCs/>
              </w:rPr>
              <w:t xml:space="preserve">Acting </w:t>
            </w:r>
            <w:r w:rsidR="0085200A" w:rsidRPr="000217D7">
              <w:rPr>
                <w:b/>
                <w:bCs/>
              </w:rPr>
              <w:t xml:space="preserve">Chairman: </w:t>
            </w:r>
            <w:r w:rsidR="0085200A" w:rsidRPr="000217D7">
              <w:rPr>
                <w:rFonts w:asciiTheme="minorHAnsi" w:hAnsiTheme="minorHAnsi"/>
                <w:szCs w:val="24"/>
              </w:rPr>
              <w:t xml:space="preserve"> </w:t>
            </w:r>
            <w:r w:rsidR="0085200A">
              <w:rPr>
                <w:rFonts w:asciiTheme="minorHAnsi" w:hAnsiTheme="minorHAnsi"/>
                <w:szCs w:val="24"/>
              </w:rPr>
              <w:t>Mr</w:t>
            </w:r>
            <w:r w:rsidR="0085200A" w:rsidRPr="000217D7">
              <w:rPr>
                <w:rFonts w:asciiTheme="minorHAnsi" w:hAnsiTheme="minorHAnsi"/>
                <w:szCs w:val="24"/>
              </w:rPr>
              <w:t xml:space="preserve"> </w:t>
            </w:r>
            <w:r w:rsidR="0085200A">
              <w:rPr>
                <w:rFonts w:asciiTheme="minorHAnsi" w:hAnsiTheme="minorHAnsi"/>
                <w:szCs w:val="24"/>
              </w:rPr>
              <w:t>F</w:t>
            </w:r>
            <w:r w:rsidR="0085200A" w:rsidRPr="000217D7">
              <w:rPr>
                <w:rFonts w:asciiTheme="minorHAnsi" w:hAnsiTheme="minorHAnsi"/>
                <w:szCs w:val="24"/>
              </w:rPr>
              <w:t xml:space="preserve">. </w:t>
            </w:r>
            <w:r w:rsidR="0085200A">
              <w:rPr>
                <w:rFonts w:asciiTheme="minorHAnsi" w:hAnsiTheme="minorHAnsi"/>
                <w:szCs w:val="24"/>
              </w:rPr>
              <w:t>BIGI</w:t>
            </w:r>
            <w:r w:rsidR="0085200A" w:rsidRPr="000217D7">
              <w:rPr>
                <w:rFonts w:asciiTheme="minorHAnsi" w:hAnsiTheme="minorHAnsi"/>
                <w:szCs w:val="24"/>
              </w:rPr>
              <w:t xml:space="preserve"> (Italy)</w:t>
            </w:r>
          </w:p>
        </w:tc>
      </w:tr>
      <w:bookmarkEnd w:id="8"/>
    </w:tbl>
    <w:p w:rsidR="0085200A" w:rsidRDefault="0085200A" w:rsidP="00263BC1">
      <w:pPr>
        <w:spacing w:before="840"/>
        <w:jc w:val="both"/>
      </w:pPr>
    </w:p>
    <w:tbl>
      <w:tblPr>
        <w:tblW w:w="5221" w:type="pct"/>
        <w:tblLook w:val="0000" w:firstRow="0" w:lastRow="0" w:firstColumn="0" w:lastColumn="0" w:noHBand="0" w:noVBand="0"/>
      </w:tblPr>
      <w:tblGrid>
        <w:gridCol w:w="505"/>
        <w:gridCol w:w="7575"/>
        <w:gridCol w:w="1985"/>
      </w:tblGrid>
      <w:tr w:rsidR="005118C8" w:rsidRPr="00224CB8" w:rsidTr="00F31628">
        <w:tc>
          <w:tcPr>
            <w:tcW w:w="251" w:type="pct"/>
          </w:tcPr>
          <w:p w:rsidR="005118C8" w:rsidRPr="00224CB8" w:rsidRDefault="005118C8" w:rsidP="00F31628">
            <w:pPr>
              <w:pStyle w:val="toc0"/>
              <w:spacing w:after="120"/>
            </w:pPr>
            <w:r>
              <w:rPr>
                <w:b w:val="0"/>
              </w:rPr>
              <w:br w:type="page"/>
            </w:r>
            <w:r>
              <w:rPr>
                <w:b w:val="0"/>
              </w:rPr>
              <w:br w:type="page"/>
            </w:r>
          </w:p>
        </w:tc>
        <w:tc>
          <w:tcPr>
            <w:tcW w:w="3763" w:type="pct"/>
          </w:tcPr>
          <w:p w:rsidR="005118C8" w:rsidRPr="00224CB8" w:rsidRDefault="005118C8" w:rsidP="00F31628">
            <w:pPr>
              <w:pStyle w:val="toc0"/>
              <w:spacing w:after="120"/>
            </w:pPr>
            <w:r w:rsidRPr="00224CB8">
              <w:t>Subjects discussed</w:t>
            </w:r>
          </w:p>
        </w:tc>
        <w:tc>
          <w:tcPr>
            <w:tcW w:w="986" w:type="pct"/>
          </w:tcPr>
          <w:p w:rsidR="005118C8" w:rsidRPr="00224CB8" w:rsidRDefault="005118C8" w:rsidP="00F31628">
            <w:pPr>
              <w:pStyle w:val="toc0"/>
              <w:spacing w:after="120"/>
              <w:jc w:val="center"/>
            </w:pPr>
            <w:r w:rsidRPr="00224CB8">
              <w:t>Documents</w:t>
            </w:r>
          </w:p>
        </w:tc>
      </w:tr>
      <w:tr w:rsidR="005118C8" w:rsidRPr="00224CB8" w:rsidTr="00F31628">
        <w:tc>
          <w:tcPr>
            <w:tcW w:w="251" w:type="pct"/>
          </w:tcPr>
          <w:p w:rsidR="005118C8" w:rsidRDefault="005118C8" w:rsidP="00F31628">
            <w:pPr>
              <w:pStyle w:val="toc0"/>
              <w:spacing w:after="120"/>
              <w:rPr>
                <w:b w:val="0"/>
              </w:rPr>
            </w:pPr>
            <w:r>
              <w:rPr>
                <w:b w:val="0"/>
              </w:rPr>
              <w:t>1</w:t>
            </w:r>
          </w:p>
        </w:tc>
        <w:tc>
          <w:tcPr>
            <w:tcW w:w="3763" w:type="pct"/>
          </w:tcPr>
          <w:p w:rsidR="005118C8" w:rsidRPr="00A939FA" w:rsidRDefault="005118C8" w:rsidP="00F31628">
            <w:pPr>
              <w:pStyle w:val="toc0"/>
              <w:spacing w:after="120"/>
              <w:rPr>
                <w:b w:val="0"/>
                <w:bCs/>
              </w:rPr>
            </w:pPr>
            <w:r>
              <w:rPr>
                <w:b w:val="0"/>
                <w:bCs/>
              </w:rPr>
              <w:t>World Telecommunication and Information Society Day</w:t>
            </w:r>
          </w:p>
        </w:tc>
        <w:tc>
          <w:tcPr>
            <w:tcW w:w="986" w:type="pct"/>
          </w:tcPr>
          <w:p w:rsidR="005118C8" w:rsidRPr="007D6BF9" w:rsidRDefault="00701912" w:rsidP="00F31628">
            <w:pPr>
              <w:pStyle w:val="toc0"/>
              <w:spacing w:after="120"/>
              <w:jc w:val="center"/>
              <w:rPr>
                <w:b w:val="0"/>
                <w:bCs/>
              </w:rPr>
            </w:pPr>
            <w:hyperlink r:id="rId9" w:history="1">
              <w:r w:rsidR="005118C8" w:rsidRPr="005118C8">
                <w:rPr>
                  <w:rStyle w:val="Hyperlink"/>
                  <w:b w:val="0"/>
                  <w:bCs/>
                </w:rPr>
                <w:t>C19/17</w:t>
              </w:r>
            </w:hyperlink>
          </w:p>
        </w:tc>
      </w:tr>
      <w:tr w:rsidR="005118C8" w:rsidRPr="00224CB8" w:rsidTr="00F31628">
        <w:tc>
          <w:tcPr>
            <w:tcW w:w="251" w:type="pct"/>
          </w:tcPr>
          <w:p w:rsidR="005118C8" w:rsidRDefault="005118C8" w:rsidP="00F31628">
            <w:pPr>
              <w:pStyle w:val="toc0"/>
              <w:spacing w:after="120"/>
              <w:rPr>
                <w:b w:val="0"/>
              </w:rPr>
            </w:pPr>
            <w:r>
              <w:rPr>
                <w:b w:val="0"/>
              </w:rPr>
              <w:t>2</w:t>
            </w:r>
          </w:p>
        </w:tc>
        <w:tc>
          <w:tcPr>
            <w:tcW w:w="3763" w:type="pct"/>
          </w:tcPr>
          <w:p w:rsidR="005118C8" w:rsidRPr="00773A14" w:rsidRDefault="005118C8" w:rsidP="00F31628">
            <w:pPr>
              <w:pStyle w:val="toc0"/>
              <w:spacing w:after="120"/>
              <w:rPr>
                <w:b w:val="0"/>
              </w:rPr>
            </w:pPr>
            <w:r w:rsidRPr="00773A14">
              <w:rPr>
                <w:rFonts w:asciiTheme="minorHAnsi" w:hAnsiTheme="minorHAnsi" w:cstheme="minorHAnsi"/>
                <w:b w:val="0"/>
                <w:szCs w:val="24"/>
              </w:rPr>
              <w:t>Preparations for the 2021 World Telecommunication</w:t>
            </w:r>
            <w:r>
              <w:rPr>
                <w:rFonts w:asciiTheme="minorHAnsi" w:hAnsiTheme="minorHAnsi" w:cstheme="minorHAnsi"/>
                <w:b w:val="0"/>
                <w:szCs w:val="24"/>
              </w:rPr>
              <w:t>/ICT</w:t>
            </w:r>
            <w:r w:rsidRPr="00773A14">
              <w:rPr>
                <w:rFonts w:asciiTheme="minorHAnsi" w:hAnsiTheme="minorHAnsi" w:cstheme="minorHAnsi"/>
                <w:b w:val="0"/>
                <w:szCs w:val="24"/>
              </w:rPr>
              <w:t xml:space="preserve"> Policy Forum (WTPF</w:t>
            </w:r>
            <w:r w:rsidRPr="00773A14">
              <w:rPr>
                <w:rFonts w:asciiTheme="minorHAnsi" w:hAnsiTheme="minorHAnsi" w:cstheme="minorHAnsi"/>
                <w:b w:val="0"/>
                <w:szCs w:val="24"/>
              </w:rPr>
              <w:noBreakHyphen/>
              <w:t>21)</w:t>
            </w:r>
          </w:p>
        </w:tc>
        <w:tc>
          <w:tcPr>
            <w:tcW w:w="986" w:type="pct"/>
          </w:tcPr>
          <w:p w:rsidR="005118C8" w:rsidRPr="007D6BF9" w:rsidRDefault="00701912" w:rsidP="00F31628">
            <w:pPr>
              <w:pStyle w:val="toc0"/>
              <w:spacing w:before="240" w:after="120"/>
              <w:jc w:val="center"/>
              <w:rPr>
                <w:b w:val="0"/>
                <w:bCs/>
              </w:rPr>
            </w:pPr>
            <w:hyperlink r:id="rId10" w:history="1">
              <w:r w:rsidR="005118C8" w:rsidRPr="005118C8">
                <w:rPr>
                  <w:rStyle w:val="Hyperlink"/>
                  <w:b w:val="0"/>
                  <w:bCs/>
                </w:rPr>
                <w:t>C19/5</w:t>
              </w:r>
            </w:hyperlink>
            <w:r w:rsidR="005118C8" w:rsidRPr="007D6BF9">
              <w:rPr>
                <w:b w:val="0"/>
                <w:bCs/>
              </w:rPr>
              <w:t xml:space="preserve">, </w:t>
            </w:r>
            <w:hyperlink r:id="rId11" w:history="1">
              <w:r w:rsidR="005118C8" w:rsidRPr="005118C8">
                <w:rPr>
                  <w:rStyle w:val="Hyperlink"/>
                  <w:b w:val="0"/>
                  <w:bCs/>
                </w:rPr>
                <w:t>C19/78</w:t>
              </w:r>
            </w:hyperlink>
            <w:r w:rsidR="005118C8" w:rsidRPr="007D6BF9">
              <w:rPr>
                <w:b w:val="0"/>
                <w:bCs/>
              </w:rPr>
              <w:t xml:space="preserve">, </w:t>
            </w:r>
            <w:hyperlink r:id="rId12" w:history="1">
              <w:r w:rsidR="005118C8" w:rsidRPr="005118C8">
                <w:rPr>
                  <w:rStyle w:val="Hyperlink"/>
                  <w:b w:val="0"/>
                  <w:bCs/>
                </w:rPr>
                <w:t>C19/83</w:t>
              </w:r>
            </w:hyperlink>
            <w:r w:rsidR="005118C8" w:rsidRPr="007D6BF9">
              <w:rPr>
                <w:b w:val="0"/>
                <w:bCs/>
              </w:rPr>
              <w:t xml:space="preserve">, </w:t>
            </w:r>
            <w:hyperlink r:id="rId13" w:history="1">
              <w:r w:rsidR="005118C8" w:rsidRPr="005118C8">
                <w:rPr>
                  <w:rStyle w:val="Hyperlink"/>
                  <w:b w:val="0"/>
                  <w:bCs/>
                </w:rPr>
                <w:t>C19/85</w:t>
              </w:r>
            </w:hyperlink>
            <w:r w:rsidR="005118C8" w:rsidRPr="007D6BF9">
              <w:rPr>
                <w:b w:val="0"/>
                <w:bCs/>
              </w:rPr>
              <w:t xml:space="preserve">, </w:t>
            </w:r>
            <w:hyperlink r:id="rId14" w:history="1">
              <w:r w:rsidR="005118C8" w:rsidRPr="005118C8">
                <w:rPr>
                  <w:rStyle w:val="Hyperlink"/>
                  <w:b w:val="0"/>
                  <w:bCs/>
                </w:rPr>
                <w:t>C19/88</w:t>
              </w:r>
            </w:hyperlink>
            <w:r w:rsidR="005118C8" w:rsidRPr="007D6BF9">
              <w:rPr>
                <w:b w:val="0"/>
                <w:bCs/>
              </w:rPr>
              <w:t xml:space="preserve">, </w:t>
            </w:r>
            <w:hyperlink r:id="rId15" w:history="1">
              <w:r w:rsidR="005118C8" w:rsidRPr="005118C8">
                <w:rPr>
                  <w:rStyle w:val="Hyperlink"/>
                  <w:b w:val="0"/>
                  <w:bCs/>
                </w:rPr>
                <w:t>C19/93</w:t>
              </w:r>
            </w:hyperlink>
            <w:r w:rsidR="005118C8" w:rsidRPr="007D6BF9">
              <w:rPr>
                <w:b w:val="0"/>
                <w:bCs/>
              </w:rPr>
              <w:t xml:space="preserve">, </w:t>
            </w:r>
            <w:hyperlink r:id="rId16" w:history="1">
              <w:r w:rsidR="005118C8" w:rsidRPr="005118C8">
                <w:rPr>
                  <w:rStyle w:val="Hyperlink"/>
                  <w:b w:val="0"/>
                  <w:bCs/>
                </w:rPr>
                <w:t>C19/94</w:t>
              </w:r>
            </w:hyperlink>
            <w:r w:rsidR="005118C8" w:rsidRPr="007D6BF9">
              <w:rPr>
                <w:b w:val="0"/>
                <w:bCs/>
              </w:rPr>
              <w:t xml:space="preserve">, </w:t>
            </w:r>
            <w:hyperlink r:id="rId17" w:history="1">
              <w:r w:rsidR="005118C8" w:rsidRPr="005118C8">
                <w:rPr>
                  <w:rStyle w:val="Hyperlink"/>
                  <w:b w:val="0"/>
                  <w:bCs/>
                </w:rPr>
                <w:t>C19/99</w:t>
              </w:r>
            </w:hyperlink>
          </w:p>
        </w:tc>
      </w:tr>
      <w:tr w:rsidR="005118C8" w:rsidTr="00F31628">
        <w:tc>
          <w:tcPr>
            <w:tcW w:w="251" w:type="pct"/>
          </w:tcPr>
          <w:p w:rsidR="005118C8" w:rsidRDefault="005118C8" w:rsidP="00F31628">
            <w:pPr>
              <w:pStyle w:val="toc0"/>
              <w:spacing w:after="120"/>
              <w:rPr>
                <w:b w:val="0"/>
              </w:rPr>
            </w:pPr>
            <w:r>
              <w:rPr>
                <w:b w:val="0"/>
              </w:rPr>
              <w:t>3</w:t>
            </w:r>
          </w:p>
        </w:tc>
        <w:tc>
          <w:tcPr>
            <w:tcW w:w="3763" w:type="pct"/>
          </w:tcPr>
          <w:p w:rsidR="005118C8" w:rsidRPr="00613529" w:rsidRDefault="005118C8" w:rsidP="00F31628">
            <w:r w:rsidRPr="00613529">
              <w:t xml:space="preserve">Follow-up to Resolution 146 (Rev. Dubai, 2018): </w:t>
            </w:r>
            <w:r>
              <w:t>P</w:t>
            </w:r>
            <w:r w:rsidRPr="00613529">
              <w:t>eriodic review and revision of the International Telecommunication Regulations</w:t>
            </w:r>
          </w:p>
        </w:tc>
        <w:tc>
          <w:tcPr>
            <w:tcW w:w="986" w:type="pct"/>
          </w:tcPr>
          <w:p w:rsidR="005118C8" w:rsidRDefault="00701912" w:rsidP="00F31628">
            <w:pPr>
              <w:jc w:val="center"/>
            </w:pPr>
            <w:hyperlink r:id="rId18" w:history="1">
              <w:r w:rsidR="005118C8" w:rsidRPr="005118C8">
                <w:rPr>
                  <w:rStyle w:val="Hyperlink"/>
                </w:rPr>
                <w:t>C19/26</w:t>
              </w:r>
            </w:hyperlink>
            <w:r w:rsidR="005118C8" w:rsidRPr="00613529">
              <w:t xml:space="preserve">, </w:t>
            </w:r>
            <w:hyperlink r:id="rId19" w:history="1">
              <w:r w:rsidR="005118C8" w:rsidRPr="005118C8">
                <w:rPr>
                  <w:rStyle w:val="Hyperlink"/>
                </w:rPr>
                <w:t>C19/65</w:t>
              </w:r>
            </w:hyperlink>
            <w:r w:rsidR="005118C8" w:rsidRPr="00613529">
              <w:t xml:space="preserve">, </w:t>
            </w:r>
            <w:hyperlink r:id="rId20" w:history="1">
              <w:r w:rsidR="005118C8" w:rsidRPr="005118C8">
                <w:rPr>
                  <w:rStyle w:val="Hyperlink"/>
                </w:rPr>
                <w:t>C19/69</w:t>
              </w:r>
            </w:hyperlink>
            <w:r w:rsidR="005118C8" w:rsidRPr="00613529">
              <w:t xml:space="preserve">, </w:t>
            </w:r>
            <w:hyperlink r:id="rId21" w:history="1">
              <w:r w:rsidR="005118C8" w:rsidRPr="005118C8">
                <w:rPr>
                  <w:rStyle w:val="Hyperlink"/>
                </w:rPr>
                <w:t>C19/74</w:t>
              </w:r>
            </w:hyperlink>
            <w:r w:rsidR="005118C8" w:rsidRPr="00613529">
              <w:t xml:space="preserve">, </w:t>
            </w:r>
            <w:hyperlink r:id="rId22" w:history="1">
              <w:r w:rsidR="005118C8" w:rsidRPr="005118C8">
                <w:rPr>
                  <w:rStyle w:val="Hyperlink"/>
                </w:rPr>
                <w:t>C19/79</w:t>
              </w:r>
            </w:hyperlink>
            <w:r w:rsidR="005118C8" w:rsidRPr="00613529">
              <w:t xml:space="preserve">, </w:t>
            </w:r>
            <w:hyperlink r:id="rId23" w:history="1">
              <w:r w:rsidR="005118C8" w:rsidRPr="005118C8">
                <w:rPr>
                  <w:rStyle w:val="Hyperlink"/>
                </w:rPr>
                <w:t>C19/81</w:t>
              </w:r>
            </w:hyperlink>
            <w:r w:rsidR="005118C8" w:rsidRPr="00613529">
              <w:t xml:space="preserve">, </w:t>
            </w:r>
            <w:hyperlink r:id="rId24" w:history="1">
              <w:r w:rsidR="005118C8" w:rsidRPr="005118C8">
                <w:rPr>
                  <w:rStyle w:val="Hyperlink"/>
                </w:rPr>
                <w:t>C19/86</w:t>
              </w:r>
            </w:hyperlink>
            <w:r w:rsidR="005118C8" w:rsidRPr="00613529">
              <w:t xml:space="preserve">, </w:t>
            </w:r>
            <w:hyperlink r:id="rId25" w:history="1">
              <w:r w:rsidR="005118C8" w:rsidRPr="005118C8">
                <w:rPr>
                  <w:rStyle w:val="Hyperlink"/>
                </w:rPr>
                <w:t>C19/89</w:t>
              </w:r>
            </w:hyperlink>
            <w:r w:rsidR="005118C8" w:rsidRPr="00613529">
              <w:t xml:space="preserve">, </w:t>
            </w:r>
            <w:hyperlink r:id="rId26" w:history="1">
              <w:r w:rsidR="005118C8" w:rsidRPr="005118C8">
                <w:rPr>
                  <w:rStyle w:val="Hyperlink"/>
                </w:rPr>
                <w:t>C19/100</w:t>
              </w:r>
            </w:hyperlink>
          </w:p>
        </w:tc>
      </w:tr>
      <w:tr w:rsidR="005118C8" w:rsidTr="00F31628">
        <w:tc>
          <w:tcPr>
            <w:tcW w:w="251" w:type="pct"/>
          </w:tcPr>
          <w:p w:rsidR="005118C8" w:rsidRDefault="005118C8" w:rsidP="00F31628">
            <w:pPr>
              <w:pStyle w:val="toc0"/>
              <w:spacing w:after="120"/>
              <w:rPr>
                <w:b w:val="0"/>
              </w:rPr>
            </w:pPr>
            <w:r>
              <w:rPr>
                <w:b w:val="0"/>
              </w:rPr>
              <w:t>4</w:t>
            </w:r>
          </w:p>
        </w:tc>
        <w:tc>
          <w:tcPr>
            <w:tcW w:w="3763" w:type="pct"/>
          </w:tcPr>
          <w:p w:rsidR="005118C8" w:rsidRPr="00BD1A53" w:rsidRDefault="005118C8" w:rsidP="00F31628">
            <w:r w:rsidRPr="00BD1A53">
              <w:t>ITU Internet activities</w:t>
            </w:r>
          </w:p>
        </w:tc>
        <w:tc>
          <w:tcPr>
            <w:tcW w:w="986" w:type="pct"/>
          </w:tcPr>
          <w:p w:rsidR="005118C8" w:rsidRDefault="00701912" w:rsidP="00F31628">
            <w:pPr>
              <w:jc w:val="center"/>
            </w:pPr>
            <w:hyperlink r:id="rId27" w:history="1">
              <w:r w:rsidR="005118C8" w:rsidRPr="005118C8">
                <w:rPr>
                  <w:rStyle w:val="Hyperlink"/>
                </w:rPr>
                <w:t>C19/33</w:t>
              </w:r>
            </w:hyperlink>
            <w:r w:rsidR="005118C8" w:rsidRPr="00BD1A53">
              <w:t xml:space="preserve">, </w:t>
            </w:r>
            <w:hyperlink r:id="rId28" w:history="1">
              <w:r w:rsidR="005118C8" w:rsidRPr="005118C8">
                <w:rPr>
                  <w:rStyle w:val="Hyperlink"/>
                </w:rPr>
                <w:t>C19/82</w:t>
              </w:r>
            </w:hyperlink>
            <w:r w:rsidR="005118C8" w:rsidRPr="00BD1A53">
              <w:t xml:space="preserve">, </w:t>
            </w:r>
            <w:hyperlink r:id="rId29" w:history="1">
              <w:r w:rsidR="005118C8" w:rsidRPr="005118C8">
                <w:rPr>
                  <w:rStyle w:val="Hyperlink"/>
                </w:rPr>
                <w:t>C19/102</w:t>
              </w:r>
            </w:hyperlink>
          </w:p>
        </w:tc>
      </w:tr>
    </w:tbl>
    <w:p w:rsidR="0085200A" w:rsidRDefault="0085200A" w:rsidP="006E0754">
      <w:pPr>
        <w:tabs>
          <w:tab w:val="clear" w:pos="567"/>
          <w:tab w:val="clear" w:pos="1134"/>
          <w:tab w:val="clear" w:pos="1701"/>
          <w:tab w:val="clear" w:pos="2268"/>
          <w:tab w:val="clear" w:pos="2835"/>
        </w:tabs>
        <w:overflowPunct/>
        <w:autoSpaceDE/>
        <w:autoSpaceDN/>
        <w:adjustRightInd/>
        <w:spacing w:before="0"/>
        <w:jc w:val="both"/>
        <w:textAlignment w:val="auto"/>
        <w:rPr>
          <w:lang w:val="en-US"/>
        </w:rPr>
      </w:pPr>
      <w:bookmarkStart w:id="9" w:name="dstart"/>
      <w:bookmarkStart w:id="10" w:name="dbreak"/>
      <w:bookmarkEnd w:id="9"/>
      <w:bookmarkEnd w:id="10"/>
      <w:r>
        <w:rPr>
          <w:lang w:val="en-US"/>
        </w:rPr>
        <w:br w:type="page"/>
      </w:r>
    </w:p>
    <w:p w:rsidR="005118C8" w:rsidRPr="005118C8" w:rsidRDefault="005118C8" w:rsidP="00015AFD">
      <w:pPr>
        <w:tabs>
          <w:tab w:val="clear" w:pos="567"/>
          <w:tab w:val="clear" w:pos="1134"/>
          <w:tab w:val="clear" w:pos="1701"/>
          <w:tab w:val="clear" w:pos="2268"/>
          <w:tab w:val="clear" w:pos="2835"/>
        </w:tabs>
        <w:snapToGrid w:val="0"/>
        <w:spacing w:before="360" w:after="120"/>
        <w:jc w:val="both"/>
        <w:rPr>
          <w:b/>
          <w:bCs/>
          <w:sz w:val="26"/>
          <w:szCs w:val="26"/>
        </w:rPr>
      </w:pPr>
      <w:r w:rsidRPr="005118C8">
        <w:rPr>
          <w:b/>
          <w:bCs/>
          <w:sz w:val="26"/>
          <w:szCs w:val="26"/>
        </w:rPr>
        <w:lastRenderedPageBreak/>
        <w:t>1</w:t>
      </w:r>
      <w:r w:rsidRPr="005118C8">
        <w:rPr>
          <w:b/>
          <w:bCs/>
          <w:sz w:val="26"/>
          <w:szCs w:val="26"/>
        </w:rPr>
        <w:tab/>
        <w:t xml:space="preserve">World Telecommunication and Information Society Day (Document </w:t>
      </w:r>
      <w:hyperlink r:id="rId30" w:history="1">
        <w:r w:rsidRPr="005118C8">
          <w:rPr>
            <w:rStyle w:val="Hyperlink"/>
            <w:b/>
            <w:bCs/>
            <w:sz w:val="26"/>
            <w:szCs w:val="26"/>
          </w:rPr>
          <w:t>C19/17</w:t>
        </w:r>
      </w:hyperlink>
      <w:r w:rsidRPr="005118C8">
        <w:rPr>
          <w:b/>
          <w:bCs/>
          <w:sz w:val="26"/>
          <w:szCs w:val="26"/>
        </w:rPr>
        <w:t>)</w:t>
      </w:r>
    </w:p>
    <w:p w:rsidR="005118C8" w:rsidRDefault="005118C8" w:rsidP="00015AFD">
      <w:pPr>
        <w:tabs>
          <w:tab w:val="clear" w:pos="567"/>
          <w:tab w:val="clear" w:pos="1134"/>
          <w:tab w:val="clear" w:pos="1701"/>
          <w:tab w:val="clear" w:pos="2268"/>
          <w:tab w:val="clear" w:pos="2835"/>
        </w:tabs>
        <w:snapToGrid w:val="0"/>
        <w:spacing w:after="120"/>
        <w:jc w:val="both"/>
      </w:pPr>
      <w:r>
        <w:t>1.1</w:t>
      </w:r>
      <w:r>
        <w:tab/>
      </w:r>
      <w:r w:rsidRPr="00874A4E">
        <w:t>A representative of the secretariat introduced the report by the Secretary-General on World Telecommunication and Information Society Day (WTISD), in Document C19/17.</w:t>
      </w:r>
    </w:p>
    <w:p w:rsidR="005118C8" w:rsidRPr="00874A4E" w:rsidRDefault="005118C8" w:rsidP="00015AFD">
      <w:pPr>
        <w:tabs>
          <w:tab w:val="clear" w:pos="567"/>
          <w:tab w:val="clear" w:pos="1134"/>
          <w:tab w:val="clear" w:pos="1701"/>
          <w:tab w:val="clear" w:pos="2268"/>
          <w:tab w:val="clear" w:pos="2835"/>
        </w:tabs>
        <w:snapToGrid w:val="0"/>
        <w:spacing w:after="120"/>
        <w:jc w:val="both"/>
      </w:pPr>
      <w:r>
        <w:t>1.2</w:t>
      </w:r>
      <w:r>
        <w:tab/>
        <w:t>Councillors welcomed the annual celebration of WTISD and expressed support for the theme chosen for WTISD-20. Several councillors highlighted events held in their countries to mark WTISD-19 with the involvement of all relevant stakeholders. It was emphasized that the themes of such days should be clear and some councillors suggested that the designation “World Telecommunication and Information Society Day” might be shortened to make easier for the general public to understand.</w:t>
      </w:r>
    </w:p>
    <w:p w:rsidR="005118C8" w:rsidRPr="00FC074E" w:rsidRDefault="005118C8" w:rsidP="00015AFD">
      <w:pPr>
        <w:tabs>
          <w:tab w:val="clear" w:pos="567"/>
          <w:tab w:val="clear" w:pos="1134"/>
          <w:tab w:val="clear" w:pos="1701"/>
          <w:tab w:val="clear" w:pos="2268"/>
          <w:tab w:val="clear" w:pos="2835"/>
        </w:tabs>
        <w:snapToGrid w:val="0"/>
        <w:spacing w:after="120"/>
        <w:jc w:val="both"/>
      </w:pPr>
      <w:r>
        <w:t>1.3</w:t>
      </w:r>
      <w:r>
        <w:tab/>
      </w:r>
      <w:r w:rsidRPr="00874A4E">
        <w:t xml:space="preserve">The Council </w:t>
      </w:r>
      <w:r w:rsidRPr="00874A4E">
        <w:rPr>
          <w:b/>
        </w:rPr>
        <w:t>noted</w:t>
      </w:r>
      <w:r w:rsidRPr="00874A4E">
        <w:t xml:space="preserve"> the celebration of WTISD-19 on the theme "Bridging the standardization gap", and </w:t>
      </w:r>
      <w:r w:rsidRPr="00874A4E">
        <w:rPr>
          <w:b/>
        </w:rPr>
        <w:t>approved</w:t>
      </w:r>
      <w:r w:rsidRPr="00874A4E">
        <w:t xml:space="preserve"> the choice of the theme "Connect 2030: ICTs for the </w:t>
      </w:r>
      <w:r>
        <w:t>SDGs</w:t>
      </w:r>
      <w:r w:rsidRPr="00874A4E">
        <w:t>" for WTISD-20.</w:t>
      </w:r>
    </w:p>
    <w:p w:rsidR="005118C8" w:rsidRPr="005118C8" w:rsidRDefault="005118C8" w:rsidP="00015AFD">
      <w:pPr>
        <w:tabs>
          <w:tab w:val="clear" w:pos="567"/>
          <w:tab w:val="clear" w:pos="1134"/>
          <w:tab w:val="clear" w:pos="1701"/>
          <w:tab w:val="clear" w:pos="2268"/>
          <w:tab w:val="clear" w:pos="2835"/>
        </w:tabs>
        <w:snapToGrid w:val="0"/>
        <w:spacing w:before="360" w:after="120"/>
        <w:ind w:left="567" w:hanging="567"/>
        <w:jc w:val="both"/>
        <w:rPr>
          <w:rFonts w:cstheme="minorHAnsi"/>
          <w:bCs/>
          <w:sz w:val="26"/>
          <w:szCs w:val="26"/>
        </w:rPr>
      </w:pPr>
      <w:r w:rsidRPr="005118C8">
        <w:rPr>
          <w:rFonts w:cstheme="minorHAnsi"/>
          <w:b/>
          <w:sz w:val="26"/>
          <w:szCs w:val="26"/>
        </w:rPr>
        <w:t>2</w:t>
      </w:r>
      <w:r w:rsidRPr="005118C8">
        <w:rPr>
          <w:rFonts w:cstheme="minorHAnsi"/>
          <w:b/>
          <w:sz w:val="26"/>
          <w:szCs w:val="26"/>
        </w:rPr>
        <w:tab/>
        <w:t>Preparations for the 2021 World Telecommunication/ICT Policy Forum (WTPF</w:t>
      </w:r>
      <w:r w:rsidRPr="005118C8">
        <w:rPr>
          <w:rFonts w:cstheme="minorHAnsi"/>
          <w:b/>
          <w:sz w:val="26"/>
          <w:szCs w:val="26"/>
        </w:rPr>
        <w:noBreakHyphen/>
        <w:t>21)</w:t>
      </w:r>
      <w:r>
        <w:rPr>
          <w:rFonts w:cstheme="minorHAnsi"/>
          <w:b/>
          <w:szCs w:val="24"/>
        </w:rPr>
        <w:t xml:space="preserve"> </w:t>
      </w:r>
      <w:r w:rsidRPr="005118C8">
        <w:rPr>
          <w:rFonts w:cstheme="minorHAnsi"/>
          <w:b/>
          <w:sz w:val="26"/>
          <w:szCs w:val="26"/>
        </w:rPr>
        <w:t xml:space="preserve">(Documents </w:t>
      </w:r>
      <w:hyperlink r:id="rId31" w:history="1">
        <w:r w:rsidRPr="005118C8">
          <w:rPr>
            <w:rStyle w:val="Hyperlink"/>
            <w:rFonts w:cstheme="minorHAnsi"/>
            <w:b/>
            <w:sz w:val="26"/>
            <w:szCs w:val="26"/>
          </w:rPr>
          <w:t>C19/5</w:t>
        </w:r>
      </w:hyperlink>
      <w:r w:rsidRPr="005118C8">
        <w:rPr>
          <w:rFonts w:cstheme="minorHAnsi"/>
          <w:b/>
          <w:sz w:val="26"/>
          <w:szCs w:val="26"/>
        </w:rPr>
        <w:t xml:space="preserve">, </w:t>
      </w:r>
      <w:hyperlink r:id="rId32" w:history="1">
        <w:r w:rsidRPr="005118C8">
          <w:rPr>
            <w:rStyle w:val="Hyperlink"/>
            <w:rFonts w:cstheme="minorHAnsi"/>
            <w:b/>
            <w:sz w:val="26"/>
            <w:szCs w:val="26"/>
          </w:rPr>
          <w:t>C19/78</w:t>
        </w:r>
      </w:hyperlink>
      <w:r w:rsidRPr="005118C8">
        <w:rPr>
          <w:rFonts w:cstheme="minorHAnsi"/>
          <w:b/>
          <w:sz w:val="26"/>
          <w:szCs w:val="26"/>
        </w:rPr>
        <w:t xml:space="preserve">, </w:t>
      </w:r>
      <w:hyperlink r:id="rId33" w:history="1">
        <w:r w:rsidRPr="005118C8">
          <w:rPr>
            <w:rStyle w:val="Hyperlink"/>
            <w:rFonts w:cstheme="minorHAnsi"/>
            <w:b/>
            <w:sz w:val="26"/>
            <w:szCs w:val="26"/>
          </w:rPr>
          <w:t>C19/83</w:t>
        </w:r>
      </w:hyperlink>
      <w:r w:rsidRPr="005118C8">
        <w:rPr>
          <w:rFonts w:cstheme="minorHAnsi"/>
          <w:b/>
          <w:sz w:val="26"/>
          <w:szCs w:val="26"/>
        </w:rPr>
        <w:t xml:space="preserve">, </w:t>
      </w:r>
      <w:hyperlink r:id="rId34" w:history="1">
        <w:r w:rsidRPr="00FB732D">
          <w:rPr>
            <w:rStyle w:val="Hyperlink"/>
            <w:rFonts w:cstheme="minorHAnsi"/>
            <w:b/>
            <w:sz w:val="26"/>
            <w:szCs w:val="26"/>
          </w:rPr>
          <w:t>C19/85</w:t>
        </w:r>
      </w:hyperlink>
      <w:r w:rsidRPr="005118C8">
        <w:rPr>
          <w:rFonts w:cstheme="minorHAnsi"/>
          <w:b/>
          <w:sz w:val="26"/>
          <w:szCs w:val="26"/>
        </w:rPr>
        <w:t xml:space="preserve">, </w:t>
      </w:r>
      <w:hyperlink r:id="rId35" w:history="1">
        <w:r w:rsidRPr="00A13A81">
          <w:rPr>
            <w:rStyle w:val="Hyperlink"/>
            <w:rFonts w:cstheme="minorHAnsi"/>
            <w:b/>
            <w:sz w:val="26"/>
            <w:szCs w:val="26"/>
          </w:rPr>
          <w:t>C19/88</w:t>
        </w:r>
      </w:hyperlink>
      <w:r w:rsidRPr="005118C8">
        <w:rPr>
          <w:rFonts w:cstheme="minorHAnsi"/>
          <w:b/>
          <w:sz w:val="26"/>
          <w:szCs w:val="26"/>
        </w:rPr>
        <w:t xml:space="preserve">, </w:t>
      </w:r>
      <w:hyperlink r:id="rId36" w:history="1">
        <w:r w:rsidRPr="00A13A81">
          <w:rPr>
            <w:rStyle w:val="Hyperlink"/>
            <w:rFonts w:cstheme="minorHAnsi"/>
            <w:b/>
            <w:sz w:val="26"/>
            <w:szCs w:val="26"/>
          </w:rPr>
          <w:t>C19/93</w:t>
        </w:r>
      </w:hyperlink>
      <w:r w:rsidRPr="005118C8">
        <w:rPr>
          <w:rFonts w:cstheme="minorHAnsi"/>
          <w:b/>
          <w:sz w:val="26"/>
          <w:szCs w:val="26"/>
        </w:rPr>
        <w:t xml:space="preserve">, </w:t>
      </w:r>
      <w:hyperlink r:id="rId37" w:history="1">
        <w:r w:rsidRPr="00A13A81">
          <w:rPr>
            <w:rStyle w:val="Hyperlink"/>
            <w:rFonts w:cstheme="minorHAnsi"/>
            <w:b/>
            <w:sz w:val="26"/>
            <w:szCs w:val="26"/>
          </w:rPr>
          <w:t>C19/94</w:t>
        </w:r>
      </w:hyperlink>
      <w:r w:rsidRPr="005118C8">
        <w:rPr>
          <w:rFonts w:cstheme="minorHAnsi"/>
          <w:b/>
          <w:sz w:val="26"/>
          <w:szCs w:val="26"/>
        </w:rPr>
        <w:t xml:space="preserve"> and </w:t>
      </w:r>
      <w:hyperlink r:id="rId38" w:history="1">
        <w:r w:rsidRPr="00A13A81">
          <w:rPr>
            <w:rStyle w:val="Hyperlink"/>
            <w:rFonts w:cstheme="minorHAnsi"/>
            <w:b/>
            <w:sz w:val="26"/>
            <w:szCs w:val="26"/>
          </w:rPr>
          <w:t>C19/99</w:t>
        </w:r>
      </w:hyperlink>
      <w:r w:rsidRPr="005118C8">
        <w:rPr>
          <w:rFonts w:cstheme="minorHAnsi"/>
          <w:b/>
          <w:sz w:val="26"/>
          <w:szCs w:val="26"/>
        </w:rPr>
        <w:t>)</w:t>
      </w:r>
    </w:p>
    <w:p w:rsidR="005118C8" w:rsidRDefault="005118C8" w:rsidP="00015AFD">
      <w:pPr>
        <w:tabs>
          <w:tab w:val="clear" w:pos="567"/>
          <w:tab w:val="clear" w:pos="1134"/>
          <w:tab w:val="clear" w:pos="1701"/>
          <w:tab w:val="clear" w:pos="2268"/>
          <w:tab w:val="clear" w:pos="2835"/>
        </w:tabs>
        <w:snapToGrid w:val="0"/>
        <w:spacing w:after="120"/>
        <w:jc w:val="both"/>
        <w:rPr>
          <w:rFonts w:cstheme="minorHAnsi"/>
          <w:bCs/>
          <w:szCs w:val="24"/>
        </w:rPr>
      </w:pPr>
      <w:r>
        <w:rPr>
          <w:rFonts w:cstheme="minorHAnsi"/>
          <w:bCs/>
          <w:szCs w:val="24"/>
        </w:rPr>
        <w:t>2.1</w:t>
      </w:r>
      <w:r>
        <w:rPr>
          <w:rFonts w:cstheme="minorHAnsi"/>
          <w:bCs/>
          <w:szCs w:val="24"/>
        </w:rPr>
        <w:tab/>
        <w:t xml:space="preserve">A representative of the secretariat introduced Document </w:t>
      </w:r>
      <w:r w:rsidRPr="006A2243">
        <w:rPr>
          <w:rFonts w:cstheme="minorHAnsi"/>
          <w:bCs/>
          <w:szCs w:val="24"/>
        </w:rPr>
        <w:t xml:space="preserve">C19/5, which provided general information on WTPF and suggested a timeline for the </w:t>
      </w:r>
      <w:r>
        <w:rPr>
          <w:rFonts w:cstheme="minorHAnsi"/>
          <w:bCs/>
          <w:szCs w:val="24"/>
        </w:rPr>
        <w:t>preparation of</w:t>
      </w:r>
      <w:r w:rsidRPr="006A2243">
        <w:rPr>
          <w:rFonts w:cstheme="minorHAnsi"/>
          <w:bCs/>
          <w:szCs w:val="24"/>
        </w:rPr>
        <w:t xml:space="preserve"> WTPF-21.</w:t>
      </w:r>
      <w:r>
        <w:rPr>
          <w:rFonts w:cstheme="minorHAnsi"/>
          <w:bCs/>
          <w:szCs w:val="24"/>
        </w:rPr>
        <w:t xml:space="preserve"> The Council was invited to decide on the duration, date, venue, agenda and themes of WTPF-21 and </w:t>
      </w:r>
      <w:r>
        <w:rPr>
          <w:rFonts w:cs="Calibri"/>
        </w:rPr>
        <w:t>to adopt a procedure for preparation of the report by the Secretary-General to WTPF-21 as required under Resolution 2 (Rev. Dubai, 2018).</w:t>
      </w:r>
    </w:p>
    <w:p w:rsidR="005118C8" w:rsidRDefault="005118C8" w:rsidP="00015AFD">
      <w:pPr>
        <w:tabs>
          <w:tab w:val="clear" w:pos="567"/>
          <w:tab w:val="clear" w:pos="1134"/>
          <w:tab w:val="clear" w:pos="1701"/>
          <w:tab w:val="clear" w:pos="2268"/>
          <w:tab w:val="clear" w:pos="2835"/>
        </w:tabs>
        <w:snapToGrid w:val="0"/>
        <w:spacing w:after="120"/>
        <w:jc w:val="both"/>
        <w:rPr>
          <w:rFonts w:cstheme="minorHAnsi"/>
          <w:bCs/>
          <w:szCs w:val="24"/>
        </w:rPr>
      </w:pPr>
      <w:r>
        <w:rPr>
          <w:rFonts w:cstheme="minorHAnsi"/>
          <w:bCs/>
          <w:szCs w:val="24"/>
        </w:rPr>
        <w:t>2.2</w:t>
      </w:r>
      <w:r>
        <w:rPr>
          <w:rFonts w:cstheme="minorHAnsi"/>
          <w:bCs/>
          <w:szCs w:val="24"/>
        </w:rPr>
        <w:tab/>
        <w:t xml:space="preserve">The councillors from Côte d’Ivoire, Romania on behalf of </w:t>
      </w:r>
      <w:r w:rsidR="00A13A81">
        <w:rPr>
          <w:rFonts w:cstheme="minorHAnsi"/>
          <w:bCs/>
          <w:szCs w:val="24"/>
        </w:rPr>
        <w:t xml:space="preserve">the Administration Member States of </w:t>
      </w:r>
      <w:r>
        <w:rPr>
          <w:rFonts w:cstheme="minorHAnsi"/>
          <w:bCs/>
          <w:szCs w:val="24"/>
        </w:rPr>
        <w:t>CEPT, and Algeria introduced Documents C19/93, C19/88 and C19/83, respectively, proposing themes for the next WTPF. The councillor from Côte d’Ivoire also introduced Document C19/94 endorsing the provisional schedule for the preparatory process proposed by the secretariat.</w:t>
      </w:r>
    </w:p>
    <w:p w:rsidR="005118C8" w:rsidRDefault="005118C8" w:rsidP="00015AFD">
      <w:pPr>
        <w:tabs>
          <w:tab w:val="clear" w:pos="567"/>
          <w:tab w:val="clear" w:pos="1134"/>
          <w:tab w:val="clear" w:pos="1701"/>
          <w:tab w:val="clear" w:pos="2268"/>
          <w:tab w:val="clear" w:pos="2835"/>
        </w:tabs>
        <w:snapToGrid w:val="0"/>
        <w:spacing w:after="120"/>
        <w:jc w:val="both"/>
        <w:rPr>
          <w:rFonts w:cstheme="minorHAnsi"/>
          <w:bCs/>
          <w:szCs w:val="24"/>
        </w:rPr>
      </w:pPr>
      <w:r>
        <w:rPr>
          <w:rFonts w:cstheme="minorHAnsi"/>
          <w:bCs/>
          <w:szCs w:val="24"/>
        </w:rPr>
        <w:t>2.3</w:t>
      </w:r>
      <w:r>
        <w:rPr>
          <w:rFonts w:cstheme="minorHAnsi"/>
          <w:bCs/>
          <w:szCs w:val="24"/>
        </w:rPr>
        <w:tab/>
        <w:t xml:space="preserve">The councillors from Mexico, Saudi Arabia and Brazil introduced, respectively, Document C19/85, Document C19/99 containing a contribution </w:t>
      </w:r>
      <w:r>
        <w:t>submitted by</w:t>
      </w:r>
      <w:r>
        <w:rPr>
          <w:rFonts w:cstheme="minorHAnsi"/>
          <w:bCs/>
          <w:szCs w:val="24"/>
        </w:rPr>
        <w:t xml:space="preserve"> Saudi Arabia, Egypt and the United Arab Emirates, and Document C19/78 containing a contribution submitted by</w:t>
      </w:r>
      <w:r w:rsidRPr="000F0E7F">
        <w:t xml:space="preserve"> </w:t>
      </w:r>
      <w:r>
        <w:t xml:space="preserve">Argentina, the Bahamas, Brazil, Canada and the United States. Each contribution </w:t>
      </w:r>
      <w:r>
        <w:rPr>
          <w:rFonts w:cstheme="minorHAnsi"/>
          <w:bCs/>
          <w:szCs w:val="24"/>
        </w:rPr>
        <w:t xml:space="preserve">set out a draft new decision covering, </w:t>
      </w:r>
      <w:r w:rsidRPr="0021325C">
        <w:rPr>
          <w:rFonts w:cstheme="minorHAnsi"/>
          <w:bCs/>
          <w:i/>
          <w:iCs/>
          <w:szCs w:val="24"/>
        </w:rPr>
        <w:t>inter alia</w:t>
      </w:r>
      <w:r>
        <w:rPr>
          <w:rFonts w:cstheme="minorHAnsi"/>
          <w:bCs/>
          <w:szCs w:val="24"/>
        </w:rPr>
        <w:t xml:space="preserve">, themes, venue, duration and arrangements for WTPF-21. </w:t>
      </w:r>
    </w:p>
    <w:p w:rsidR="005118C8" w:rsidRDefault="005118C8" w:rsidP="004B1043">
      <w:pPr>
        <w:tabs>
          <w:tab w:val="clear" w:pos="567"/>
          <w:tab w:val="clear" w:pos="1134"/>
          <w:tab w:val="clear" w:pos="1701"/>
          <w:tab w:val="clear" w:pos="2268"/>
          <w:tab w:val="clear" w:pos="2835"/>
        </w:tabs>
        <w:snapToGrid w:val="0"/>
        <w:spacing w:after="120"/>
        <w:jc w:val="both"/>
        <w:rPr>
          <w:rFonts w:cstheme="minorHAnsi"/>
          <w:bCs/>
          <w:szCs w:val="24"/>
        </w:rPr>
      </w:pPr>
      <w:r>
        <w:rPr>
          <w:rFonts w:cstheme="minorHAnsi"/>
          <w:bCs/>
          <w:szCs w:val="24"/>
        </w:rPr>
        <w:t>2.4</w:t>
      </w:r>
      <w:r>
        <w:rPr>
          <w:rFonts w:cstheme="minorHAnsi"/>
          <w:bCs/>
          <w:szCs w:val="24"/>
        </w:rPr>
        <w:tab/>
        <w:t xml:space="preserve">Councillors said that WTPF provided a unique platform for the discussion of emerging issues relating to telecommunications/ICTs and highlighted the importance of the opinions it produced. Support was expressed for holding WTPF-21 in Geneva for a duration of three days back to back with the WSIS Forum so as to avoid any overlap with that high-level event. The preparatory process for WTPF-21, including with respect to preparation of the Secretary-General’s report, should be similar to that followed previously, and one councillor expressed particular support for holding public consultations. </w:t>
      </w:r>
      <w:r w:rsidR="004B1043">
        <w:rPr>
          <w:rFonts w:cstheme="minorHAnsi"/>
          <w:bCs/>
          <w:szCs w:val="24"/>
        </w:rPr>
        <w:t xml:space="preserve">Various councillors stated that the </w:t>
      </w:r>
      <w:r>
        <w:rPr>
          <w:rFonts w:cstheme="minorHAnsi"/>
          <w:bCs/>
          <w:szCs w:val="24"/>
        </w:rPr>
        <w:t>themes to be discussed should not be too general and should reflect new and emerging issues and challenges relating to telecommunications</w:t>
      </w:r>
      <w:r w:rsidR="0066019F">
        <w:rPr>
          <w:rFonts w:cstheme="minorHAnsi"/>
          <w:bCs/>
          <w:szCs w:val="24"/>
        </w:rPr>
        <w:t xml:space="preserve">/ICTs, such as </w:t>
      </w:r>
      <w:r>
        <w:rPr>
          <w:rFonts w:cstheme="minorHAnsi"/>
          <w:bCs/>
          <w:szCs w:val="24"/>
        </w:rPr>
        <w:t>OTTs, the dig</w:t>
      </w:r>
      <w:r w:rsidR="0066019F">
        <w:rPr>
          <w:rFonts w:cstheme="minorHAnsi"/>
          <w:bCs/>
          <w:szCs w:val="24"/>
        </w:rPr>
        <w:t>ital economy and cybersecurity.</w:t>
      </w:r>
    </w:p>
    <w:p w:rsidR="005118C8" w:rsidRDefault="005118C8" w:rsidP="00015AFD">
      <w:pPr>
        <w:tabs>
          <w:tab w:val="clear" w:pos="567"/>
          <w:tab w:val="clear" w:pos="1134"/>
          <w:tab w:val="clear" w:pos="1701"/>
          <w:tab w:val="clear" w:pos="2268"/>
          <w:tab w:val="clear" w:pos="2835"/>
        </w:tabs>
        <w:snapToGrid w:val="0"/>
        <w:spacing w:after="120"/>
        <w:jc w:val="both"/>
        <w:rPr>
          <w:rFonts w:cstheme="minorHAnsi"/>
          <w:bCs/>
          <w:szCs w:val="24"/>
        </w:rPr>
      </w:pPr>
      <w:r>
        <w:rPr>
          <w:rFonts w:cstheme="minorHAnsi"/>
          <w:bCs/>
          <w:szCs w:val="24"/>
        </w:rPr>
        <w:t>2.5</w:t>
      </w:r>
      <w:r>
        <w:rPr>
          <w:rFonts w:cstheme="minorHAnsi"/>
          <w:bCs/>
          <w:szCs w:val="24"/>
        </w:rPr>
        <w:tab/>
        <w:t xml:space="preserve">Two councillors pointed out that the theme proposed in the contribution from </w:t>
      </w:r>
      <w:r w:rsidR="00C2358C">
        <w:rPr>
          <w:rFonts w:cstheme="minorHAnsi"/>
          <w:bCs/>
          <w:szCs w:val="24"/>
        </w:rPr>
        <w:t xml:space="preserve">the Administration Member States of </w:t>
      </w:r>
      <w:r>
        <w:rPr>
          <w:rFonts w:cstheme="minorHAnsi"/>
          <w:bCs/>
          <w:szCs w:val="24"/>
        </w:rPr>
        <w:t xml:space="preserve">CEPT (Document C19/88), namely “ICTs for the 2030 Agenda for Sustainable Development”, would cover a number of the topics suggested and </w:t>
      </w:r>
      <w:r w:rsidR="004B1043">
        <w:rPr>
          <w:rFonts w:cstheme="minorHAnsi"/>
          <w:bCs/>
          <w:szCs w:val="24"/>
        </w:rPr>
        <w:t xml:space="preserve">highlighted that it </w:t>
      </w:r>
      <w:r>
        <w:rPr>
          <w:rFonts w:cstheme="minorHAnsi"/>
          <w:bCs/>
          <w:szCs w:val="24"/>
        </w:rPr>
        <w:t>was supported by at least six Council Member States.</w:t>
      </w:r>
    </w:p>
    <w:p w:rsidR="005118C8" w:rsidRDefault="005118C8" w:rsidP="00F368A4">
      <w:pPr>
        <w:tabs>
          <w:tab w:val="clear" w:pos="567"/>
          <w:tab w:val="clear" w:pos="1134"/>
          <w:tab w:val="clear" w:pos="1701"/>
          <w:tab w:val="clear" w:pos="2268"/>
          <w:tab w:val="clear" w:pos="2835"/>
        </w:tabs>
        <w:snapToGrid w:val="0"/>
        <w:spacing w:after="120"/>
        <w:jc w:val="both"/>
        <w:rPr>
          <w:rFonts w:cstheme="minorHAnsi"/>
          <w:bCs/>
          <w:szCs w:val="24"/>
        </w:rPr>
      </w:pPr>
      <w:r>
        <w:rPr>
          <w:rFonts w:cstheme="minorHAnsi"/>
          <w:bCs/>
          <w:szCs w:val="24"/>
        </w:rPr>
        <w:t>2.6</w:t>
      </w:r>
      <w:r>
        <w:rPr>
          <w:rFonts w:cstheme="minorHAnsi"/>
          <w:bCs/>
          <w:szCs w:val="24"/>
        </w:rPr>
        <w:tab/>
        <w:t>The Acting Chairman, noting that various proposals had been made, suggested that a</w:t>
      </w:r>
      <w:r w:rsidR="00F368A4">
        <w:rPr>
          <w:rFonts w:cstheme="minorHAnsi"/>
          <w:bCs/>
          <w:szCs w:val="24"/>
        </w:rPr>
        <w:t xml:space="preserve"> Working</w:t>
      </w:r>
      <w:r>
        <w:rPr>
          <w:rFonts w:cstheme="minorHAnsi"/>
          <w:bCs/>
          <w:szCs w:val="24"/>
        </w:rPr>
        <w:t xml:space="preserve"> </w:t>
      </w:r>
      <w:r w:rsidR="00F368A4">
        <w:rPr>
          <w:rFonts w:cstheme="minorHAnsi"/>
          <w:bCs/>
          <w:szCs w:val="24"/>
        </w:rPr>
        <w:t xml:space="preserve">Group </w:t>
      </w:r>
      <w:r>
        <w:rPr>
          <w:rFonts w:cstheme="minorHAnsi"/>
          <w:bCs/>
          <w:szCs w:val="24"/>
        </w:rPr>
        <w:t xml:space="preserve">be established under the chairmanship of the councillor from the Bahamas to </w:t>
      </w:r>
      <w:r>
        <w:rPr>
          <w:rFonts w:cstheme="minorHAnsi"/>
          <w:bCs/>
          <w:szCs w:val="24"/>
        </w:rPr>
        <w:lastRenderedPageBreak/>
        <w:t>formulate a draft decision on the duration, date, venue and themes of WTPF-21 and the procedure for preparation of the Secretary-General’s report.</w:t>
      </w:r>
    </w:p>
    <w:p w:rsidR="005118C8" w:rsidRDefault="005118C8" w:rsidP="00015AFD">
      <w:pPr>
        <w:tabs>
          <w:tab w:val="clear" w:pos="567"/>
          <w:tab w:val="clear" w:pos="1134"/>
          <w:tab w:val="clear" w:pos="1701"/>
          <w:tab w:val="clear" w:pos="2268"/>
          <w:tab w:val="clear" w:pos="2835"/>
        </w:tabs>
        <w:snapToGrid w:val="0"/>
        <w:spacing w:after="120"/>
        <w:jc w:val="both"/>
        <w:rPr>
          <w:rFonts w:cstheme="minorHAnsi"/>
          <w:bCs/>
          <w:szCs w:val="24"/>
        </w:rPr>
      </w:pPr>
      <w:r>
        <w:rPr>
          <w:rFonts w:cstheme="minorHAnsi"/>
          <w:bCs/>
          <w:szCs w:val="24"/>
        </w:rPr>
        <w:t>2.7</w:t>
      </w:r>
      <w:r>
        <w:rPr>
          <w:rFonts w:cstheme="minorHAnsi"/>
          <w:bCs/>
          <w:szCs w:val="24"/>
        </w:rPr>
        <w:tab/>
        <w:t xml:space="preserve">It was so </w:t>
      </w:r>
      <w:r w:rsidRPr="00D5414D">
        <w:rPr>
          <w:rFonts w:cstheme="minorHAnsi"/>
          <w:b/>
          <w:szCs w:val="24"/>
        </w:rPr>
        <w:t>agreed</w:t>
      </w:r>
      <w:r>
        <w:rPr>
          <w:rFonts w:cstheme="minorHAnsi"/>
          <w:bCs/>
          <w:szCs w:val="24"/>
        </w:rPr>
        <w:t>.</w:t>
      </w:r>
    </w:p>
    <w:p w:rsidR="005118C8" w:rsidRPr="005118C8" w:rsidRDefault="005118C8" w:rsidP="00015AFD">
      <w:pPr>
        <w:tabs>
          <w:tab w:val="clear" w:pos="567"/>
          <w:tab w:val="clear" w:pos="1134"/>
          <w:tab w:val="clear" w:pos="1701"/>
          <w:tab w:val="clear" w:pos="2268"/>
          <w:tab w:val="clear" w:pos="2835"/>
        </w:tabs>
        <w:overflowPunct/>
        <w:autoSpaceDE/>
        <w:autoSpaceDN/>
        <w:snapToGrid w:val="0"/>
        <w:spacing w:before="360" w:after="120"/>
        <w:ind w:left="709" w:hanging="709"/>
        <w:jc w:val="both"/>
        <w:textAlignment w:val="auto"/>
        <w:rPr>
          <w:rFonts w:asciiTheme="minorHAnsi" w:hAnsiTheme="minorHAnsi"/>
          <w:sz w:val="26"/>
          <w:szCs w:val="26"/>
          <w:lang w:val="en-CA"/>
        </w:rPr>
      </w:pPr>
      <w:r w:rsidRPr="005118C8">
        <w:rPr>
          <w:rFonts w:asciiTheme="minorHAnsi" w:hAnsiTheme="minorHAnsi"/>
          <w:b/>
          <w:bCs/>
          <w:sz w:val="26"/>
          <w:szCs w:val="26"/>
          <w:lang w:val="en-CA"/>
        </w:rPr>
        <w:t>3</w:t>
      </w:r>
      <w:r w:rsidRPr="005118C8">
        <w:rPr>
          <w:rFonts w:asciiTheme="minorHAnsi" w:hAnsiTheme="minorHAnsi"/>
          <w:b/>
          <w:bCs/>
          <w:sz w:val="26"/>
          <w:szCs w:val="26"/>
          <w:lang w:val="en-CA"/>
        </w:rPr>
        <w:tab/>
        <w:t xml:space="preserve">Follow-up to Resolution 146 (Rev. Dubai, 2018): Periodic review and revision of the International Telecommunication Regulations (Documents </w:t>
      </w:r>
      <w:hyperlink r:id="rId39" w:history="1">
        <w:r w:rsidRPr="00A13A81">
          <w:rPr>
            <w:rStyle w:val="Hyperlink"/>
            <w:rFonts w:asciiTheme="minorHAnsi" w:hAnsiTheme="minorHAnsi"/>
            <w:b/>
            <w:bCs/>
            <w:sz w:val="26"/>
            <w:szCs w:val="26"/>
            <w:lang w:val="en-CA"/>
          </w:rPr>
          <w:t>C19/26</w:t>
        </w:r>
      </w:hyperlink>
      <w:r w:rsidRPr="005118C8">
        <w:rPr>
          <w:rFonts w:asciiTheme="minorHAnsi" w:hAnsiTheme="minorHAnsi"/>
          <w:b/>
          <w:bCs/>
          <w:sz w:val="26"/>
          <w:szCs w:val="26"/>
          <w:lang w:val="en-CA"/>
        </w:rPr>
        <w:t xml:space="preserve">, </w:t>
      </w:r>
      <w:hyperlink r:id="rId40" w:history="1">
        <w:r w:rsidRPr="00A13A81">
          <w:rPr>
            <w:rStyle w:val="Hyperlink"/>
            <w:rFonts w:asciiTheme="minorHAnsi" w:hAnsiTheme="minorHAnsi"/>
            <w:b/>
            <w:bCs/>
            <w:sz w:val="26"/>
            <w:szCs w:val="26"/>
            <w:lang w:val="en-CA"/>
          </w:rPr>
          <w:t>C19/65</w:t>
        </w:r>
      </w:hyperlink>
      <w:r w:rsidRPr="005118C8">
        <w:rPr>
          <w:rFonts w:asciiTheme="minorHAnsi" w:hAnsiTheme="minorHAnsi"/>
          <w:b/>
          <w:bCs/>
          <w:sz w:val="26"/>
          <w:szCs w:val="26"/>
          <w:lang w:val="en-CA"/>
        </w:rPr>
        <w:t xml:space="preserve">, </w:t>
      </w:r>
      <w:hyperlink r:id="rId41" w:history="1">
        <w:r w:rsidRPr="00A13A81">
          <w:rPr>
            <w:rStyle w:val="Hyperlink"/>
            <w:rFonts w:asciiTheme="minorHAnsi" w:hAnsiTheme="minorHAnsi"/>
            <w:b/>
            <w:bCs/>
            <w:sz w:val="26"/>
            <w:szCs w:val="26"/>
            <w:lang w:val="en-CA"/>
          </w:rPr>
          <w:t>C19/69</w:t>
        </w:r>
      </w:hyperlink>
      <w:r w:rsidRPr="005118C8">
        <w:rPr>
          <w:rFonts w:asciiTheme="minorHAnsi" w:hAnsiTheme="minorHAnsi"/>
          <w:b/>
          <w:bCs/>
          <w:sz w:val="26"/>
          <w:szCs w:val="26"/>
          <w:lang w:val="en-CA"/>
        </w:rPr>
        <w:t xml:space="preserve">, </w:t>
      </w:r>
      <w:hyperlink r:id="rId42" w:history="1">
        <w:r w:rsidRPr="00A13A81">
          <w:rPr>
            <w:rStyle w:val="Hyperlink"/>
            <w:rFonts w:asciiTheme="minorHAnsi" w:hAnsiTheme="minorHAnsi"/>
            <w:b/>
            <w:bCs/>
            <w:sz w:val="26"/>
            <w:szCs w:val="26"/>
            <w:lang w:val="en-CA"/>
          </w:rPr>
          <w:t>C19/74</w:t>
        </w:r>
      </w:hyperlink>
      <w:r w:rsidRPr="005118C8">
        <w:rPr>
          <w:rFonts w:asciiTheme="minorHAnsi" w:hAnsiTheme="minorHAnsi"/>
          <w:b/>
          <w:bCs/>
          <w:sz w:val="26"/>
          <w:szCs w:val="26"/>
          <w:lang w:val="en-CA"/>
        </w:rPr>
        <w:t xml:space="preserve">, </w:t>
      </w:r>
      <w:hyperlink r:id="rId43" w:history="1">
        <w:r w:rsidRPr="00A13A81">
          <w:rPr>
            <w:rStyle w:val="Hyperlink"/>
            <w:rFonts w:asciiTheme="minorHAnsi" w:hAnsiTheme="minorHAnsi"/>
            <w:b/>
            <w:bCs/>
            <w:sz w:val="26"/>
            <w:szCs w:val="26"/>
            <w:lang w:val="en-CA"/>
          </w:rPr>
          <w:t>C19/79</w:t>
        </w:r>
      </w:hyperlink>
      <w:r w:rsidRPr="005118C8">
        <w:rPr>
          <w:rFonts w:asciiTheme="minorHAnsi" w:hAnsiTheme="minorHAnsi"/>
          <w:b/>
          <w:bCs/>
          <w:sz w:val="26"/>
          <w:szCs w:val="26"/>
          <w:lang w:val="en-CA"/>
        </w:rPr>
        <w:t xml:space="preserve">, </w:t>
      </w:r>
      <w:hyperlink r:id="rId44" w:history="1">
        <w:r w:rsidRPr="00A13A81">
          <w:rPr>
            <w:rStyle w:val="Hyperlink"/>
            <w:rFonts w:asciiTheme="minorHAnsi" w:hAnsiTheme="minorHAnsi"/>
            <w:b/>
            <w:bCs/>
            <w:sz w:val="26"/>
            <w:szCs w:val="26"/>
            <w:lang w:val="en-CA"/>
          </w:rPr>
          <w:t>C19/81</w:t>
        </w:r>
      </w:hyperlink>
      <w:r w:rsidRPr="005118C8">
        <w:rPr>
          <w:rFonts w:asciiTheme="minorHAnsi" w:hAnsiTheme="minorHAnsi"/>
          <w:b/>
          <w:bCs/>
          <w:sz w:val="26"/>
          <w:szCs w:val="26"/>
          <w:lang w:val="en-CA"/>
        </w:rPr>
        <w:t xml:space="preserve">, </w:t>
      </w:r>
      <w:hyperlink r:id="rId45" w:history="1">
        <w:r w:rsidRPr="00A13A81">
          <w:rPr>
            <w:rStyle w:val="Hyperlink"/>
            <w:rFonts w:asciiTheme="minorHAnsi" w:hAnsiTheme="minorHAnsi"/>
            <w:b/>
            <w:bCs/>
            <w:sz w:val="26"/>
            <w:szCs w:val="26"/>
            <w:lang w:val="en-CA"/>
          </w:rPr>
          <w:t>C19/86</w:t>
        </w:r>
      </w:hyperlink>
      <w:r w:rsidRPr="005118C8">
        <w:rPr>
          <w:rFonts w:asciiTheme="minorHAnsi" w:hAnsiTheme="minorHAnsi"/>
          <w:b/>
          <w:bCs/>
          <w:sz w:val="26"/>
          <w:szCs w:val="26"/>
          <w:lang w:val="en-CA"/>
        </w:rPr>
        <w:t xml:space="preserve">, </w:t>
      </w:r>
      <w:hyperlink r:id="rId46" w:history="1">
        <w:r w:rsidRPr="00A13A81">
          <w:rPr>
            <w:rStyle w:val="Hyperlink"/>
            <w:rFonts w:asciiTheme="minorHAnsi" w:hAnsiTheme="minorHAnsi"/>
            <w:b/>
            <w:bCs/>
            <w:sz w:val="26"/>
            <w:szCs w:val="26"/>
            <w:lang w:val="en-CA"/>
          </w:rPr>
          <w:t>C19/89</w:t>
        </w:r>
      </w:hyperlink>
      <w:r w:rsidRPr="005118C8">
        <w:rPr>
          <w:rFonts w:asciiTheme="minorHAnsi" w:hAnsiTheme="minorHAnsi"/>
          <w:b/>
          <w:bCs/>
          <w:sz w:val="26"/>
          <w:szCs w:val="26"/>
          <w:lang w:val="en-CA"/>
        </w:rPr>
        <w:t xml:space="preserve"> and </w:t>
      </w:r>
      <w:hyperlink r:id="rId47" w:history="1">
        <w:r w:rsidRPr="00A13A81">
          <w:rPr>
            <w:rStyle w:val="Hyperlink"/>
            <w:rFonts w:asciiTheme="minorHAnsi" w:hAnsiTheme="minorHAnsi"/>
            <w:b/>
            <w:bCs/>
            <w:sz w:val="26"/>
            <w:szCs w:val="26"/>
            <w:lang w:val="en-CA"/>
          </w:rPr>
          <w:t>C19/100</w:t>
        </w:r>
      </w:hyperlink>
      <w:r w:rsidRPr="005118C8">
        <w:rPr>
          <w:rFonts w:asciiTheme="minorHAnsi" w:hAnsiTheme="minorHAnsi"/>
          <w:b/>
          <w:bCs/>
          <w:sz w:val="26"/>
          <w:szCs w:val="26"/>
          <w:lang w:val="en-CA"/>
        </w:rPr>
        <w:t>)</w:t>
      </w:r>
    </w:p>
    <w:p w:rsidR="005118C8" w:rsidRPr="00AC1043" w:rsidRDefault="005118C8" w:rsidP="00015AFD">
      <w:pPr>
        <w:tabs>
          <w:tab w:val="clear" w:pos="567"/>
          <w:tab w:val="clear" w:pos="1134"/>
          <w:tab w:val="clear" w:pos="1701"/>
          <w:tab w:val="clear" w:pos="2268"/>
          <w:tab w:val="clear" w:pos="2835"/>
        </w:tabs>
        <w:overflowPunct/>
        <w:autoSpaceDE/>
        <w:autoSpaceDN/>
        <w:snapToGrid w:val="0"/>
        <w:spacing w:after="120"/>
        <w:jc w:val="both"/>
        <w:textAlignment w:val="auto"/>
        <w:rPr>
          <w:rFonts w:asciiTheme="minorHAnsi" w:hAnsiTheme="minorHAnsi"/>
          <w:szCs w:val="24"/>
          <w:lang w:val="en-CA"/>
        </w:rPr>
      </w:pPr>
      <w:r>
        <w:rPr>
          <w:rFonts w:asciiTheme="minorHAnsi" w:hAnsiTheme="minorHAnsi"/>
          <w:szCs w:val="24"/>
          <w:lang w:val="en-CA"/>
        </w:rPr>
        <w:t>3.1</w:t>
      </w:r>
      <w:r>
        <w:rPr>
          <w:rFonts w:asciiTheme="minorHAnsi" w:hAnsiTheme="minorHAnsi"/>
          <w:szCs w:val="24"/>
          <w:lang w:val="en-CA"/>
        </w:rPr>
        <w:tab/>
      </w:r>
      <w:r w:rsidRPr="00AC1043">
        <w:rPr>
          <w:rFonts w:asciiTheme="minorHAnsi" w:hAnsiTheme="minorHAnsi"/>
          <w:szCs w:val="24"/>
          <w:lang w:val="en-CA"/>
        </w:rPr>
        <w:t>A representative of the secretariat introduced Document C19/26, which contained information on the status of the International Telecommunication Regulations (ITRs)</w:t>
      </w:r>
      <w:r>
        <w:rPr>
          <w:rFonts w:asciiTheme="minorHAnsi" w:hAnsiTheme="minorHAnsi"/>
          <w:szCs w:val="24"/>
          <w:lang w:val="en-CA"/>
        </w:rPr>
        <w:t>,</w:t>
      </w:r>
      <w:r w:rsidRPr="00AC1043">
        <w:rPr>
          <w:rFonts w:asciiTheme="minorHAnsi" w:hAnsiTheme="minorHAnsi"/>
          <w:szCs w:val="24"/>
          <w:lang w:val="en-CA"/>
        </w:rPr>
        <w:t xml:space="preserve"> and recalled that Resolution 146 (Rev. Dubai, 2018) instructed the Secretary-General to reconvene </w:t>
      </w:r>
      <w:r>
        <w:rPr>
          <w:rFonts w:asciiTheme="minorHAnsi" w:hAnsiTheme="minorHAnsi"/>
          <w:szCs w:val="24"/>
          <w:lang w:val="en-CA"/>
        </w:rPr>
        <w:t>an expert g</w:t>
      </w:r>
      <w:r w:rsidRPr="00AC1043">
        <w:rPr>
          <w:rFonts w:asciiTheme="minorHAnsi" w:hAnsiTheme="minorHAnsi"/>
          <w:szCs w:val="24"/>
          <w:lang w:val="en-CA"/>
        </w:rPr>
        <w:t>roup on the I</w:t>
      </w:r>
      <w:r>
        <w:rPr>
          <w:rFonts w:asciiTheme="minorHAnsi" w:hAnsiTheme="minorHAnsi"/>
          <w:szCs w:val="24"/>
          <w:lang w:val="en-CA"/>
        </w:rPr>
        <w:t>TRs (EG-ITR</w:t>
      </w:r>
      <w:r w:rsidRPr="00AC1043">
        <w:rPr>
          <w:rFonts w:asciiTheme="minorHAnsi" w:hAnsiTheme="minorHAnsi"/>
          <w:szCs w:val="24"/>
          <w:lang w:val="en-CA"/>
        </w:rPr>
        <w:t>) and Council-19 to review and revise its terms of reference.</w:t>
      </w:r>
    </w:p>
    <w:p w:rsidR="005118C8" w:rsidRPr="00AC1043" w:rsidRDefault="005118C8" w:rsidP="00015AFD">
      <w:pPr>
        <w:tabs>
          <w:tab w:val="clear" w:pos="567"/>
          <w:tab w:val="clear" w:pos="1134"/>
          <w:tab w:val="clear" w:pos="1701"/>
          <w:tab w:val="clear" w:pos="2268"/>
          <w:tab w:val="clear" w:pos="2835"/>
        </w:tabs>
        <w:overflowPunct/>
        <w:autoSpaceDE/>
        <w:autoSpaceDN/>
        <w:snapToGrid w:val="0"/>
        <w:spacing w:after="120"/>
        <w:jc w:val="both"/>
        <w:textAlignment w:val="auto"/>
        <w:rPr>
          <w:rFonts w:asciiTheme="minorHAnsi" w:hAnsiTheme="minorHAnsi"/>
          <w:szCs w:val="24"/>
          <w:lang w:val="en-CA"/>
        </w:rPr>
      </w:pPr>
      <w:r>
        <w:rPr>
          <w:rFonts w:asciiTheme="minorHAnsi" w:hAnsiTheme="minorHAnsi"/>
          <w:szCs w:val="24"/>
          <w:lang w:val="en-CA"/>
        </w:rPr>
        <w:t>3.2</w:t>
      </w:r>
      <w:r>
        <w:rPr>
          <w:rFonts w:asciiTheme="minorHAnsi" w:hAnsiTheme="minorHAnsi"/>
          <w:szCs w:val="24"/>
          <w:lang w:val="en-CA"/>
        </w:rPr>
        <w:tab/>
      </w:r>
      <w:r w:rsidRPr="00AC1043">
        <w:rPr>
          <w:rFonts w:asciiTheme="minorHAnsi" w:hAnsiTheme="minorHAnsi"/>
          <w:szCs w:val="24"/>
          <w:lang w:val="en-CA"/>
        </w:rPr>
        <w:t>The councillor from China introduced Document C19/65, which contained a proposal to modify th</w:t>
      </w:r>
      <w:r>
        <w:rPr>
          <w:rFonts w:asciiTheme="minorHAnsi" w:hAnsiTheme="minorHAnsi"/>
          <w:szCs w:val="24"/>
          <w:lang w:val="en-CA"/>
        </w:rPr>
        <w:t>e terms of reference for EG-ITR</w:t>
      </w:r>
      <w:r w:rsidRPr="00AC1043">
        <w:rPr>
          <w:rFonts w:asciiTheme="minorHAnsi" w:hAnsiTheme="minorHAnsi"/>
          <w:szCs w:val="24"/>
          <w:lang w:val="en-CA"/>
        </w:rPr>
        <w:t xml:space="preserve"> set out in Annex 1 to Council Resolution 1379 (2016). </w:t>
      </w:r>
    </w:p>
    <w:p w:rsidR="005118C8" w:rsidRPr="00AC1043" w:rsidRDefault="005118C8" w:rsidP="00015AFD">
      <w:pPr>
        <w:tabs>
          <w:tab w:val="clear" w:pos="567"/>
          <w:tab w:val="clear" w:pos="1134"/>
          <w:tab w:val="clear" w:pos="1701"/>
          <w:tab w:val="clear" w:pos="2268"/>
          <w:tab w:val="clear" w:pos="2835"/>
        </w:tabs>
        <w:overflowPunct/>
        <w:autoSpaceDE/>
        <w:autoSpaceDN/>
        <w:snapToGrid w:val="0"/>
        <w:spacing w:after="120"/>
        <w:jc w:val="both"/>
        <w:textAlignment w:val="auto"/>
        <w:rPr>
          <w:rFonts w:asciiTheme="minorHAnsi" w:hAnsiTheme="minorHAnsi"/>
          <w:szCs w:val="24"/>
          <w:lang w:val="en-CA"/>
        </w:rPr>
      </w:pPr>
      <w:r>
        <w:rPr>
          <w:rFonts w:asciiTheme="minorHAnsi" w:hAnsiTheme="minorHAnsi"/>
          <w:szCs w:val="24"/>
          <w:lang w:val="en-CA"/>
        </w:rPr>
        <w:t>3.3</w:t>
      </w:r>
      <w:r>
        <w:rPr>
          <w:rFonts w:asciiTheme="minorHAnsi" w:hAnsiTheme="minorHAnsi"/>
          <w:szCs w:val="24"/>
          <w:lang w:val="en-CA"/>
        </w:rPr>
        <w:tab/>
      </w:r>
      <w:r w:rsidRPr="00AC1043">
        <w:rPr>
          <w:rFonts w:asciiTheme="minorHAnsi" w:hAnsiTheme="minorHAnsi"/>
          <w:szCs w:val="24"/>
          <w:lang w:val="en-CA"/>
        </w:rPr>
        <w:t>The councillor from Côte d'Ivoire introduced Document C19/89, which contained th</w:t>
      </w:r>
      <w:r>
        <w:rPr>
          <w:rFonts w:asciiTheme="minorHAnsi" w:hAnsiTheme="minorHAnsi"/>
          <w:szCs w:val="24"/>
          <w:lang w:val="en-CA"/>
        </w:rPr>
        <w:t>e terms of reference for EG-ITR</w:t>
      </w:r>
      <w:r w:rsidRPr="00AC1043">
        <w:rPr>
          <w:rFonts w:asciiTheme="minorHAnsi" w:hAnsiTheme="minorHAnsi"/>
          <w:szCs w:val="24"/>
          <w:lang w:val="en-CA"/>
        </w:rPr>
        <w:t xml:space="preserve"> proposed by the African Group.</w:t>
      </w:r>
    </w:p>
    <w:p w:rsidR="005118C8" w:rsidRPr="00AC1043" w:rsidRDefault="005118C8" w:rsidP="00015AFD">
      <w:pPr>
        <w:tabs>
          <w:tab w:val="clear" w:pos="567"/>
          <w:tab w:val="clear" w:pos="1134"/>
          <w:tab w:val="clear" w:pos="1701"/>
          <w:tab w:val="clear" w:pos="2268"/>
          <w:tab w:val="clear" w:pos="2835"/>
        </w:tabs>
        <w:overflowPunct/>
        <w:autoSpaceDE/>
        <w:autoSpaceDN/>
        <w:snapToGrid w:val="0"/>
        <w:spacing w:after="120"/>
        <w:jc w:val="both"/>
        <w:textAlignment w:val="auto"/>
        <w:rPr>
          <w:rFonts w:asciiTheme="minorHAnsi" w:hAnsiTheme="minorHAnsi"/>
          <w:szCs w:val="24"/>
          <w:lang w:val="en-CA"/>
        </w:rPr>
      </w:pPr>
      <w:r>
        <w:rPr>
          <w:rFonts w:asciiTheme="minorHAnsi" w:hAnsiTheme="minorHAnsi"/>
          <w:szCs w:val="24"/>
          <w:lang w:val="en-CA"/>
        </w:rPr>
        <w:t>3.4</w:t>
      </w:r>
      <w:r>
        <w:rPr>
          <w:rFonts w:asciiTheme="minorHAnsi" w:hAnsiTheme="minorHAnsi"/>
          <w:szCs w:val="24"/>
          <w:lang w:val="en-CA"/>
        </w:rPr>
        <w:tab/>
      </w:r>
      <w:r w:rsidRPr="00AC1043">
        <w:rPr>
          <w:rFonts w:asciiTheme="minorHAnsi" w:hAnsiTheme="minorHAnsi"/>
          <w:szCs w:val="24"/>
          <w:lang w:val="en-CA"/>
        </w:rPr>
        <w:t>The councillor from Romania introduced Document C19/86, which contained the t</w:t>
      </w:r>
      <w:r>
        <w:rPr>
          <w:rFonts w:asciiTheme="minorHAnsi" w:hAnsiTheme="minorHAnsi"/>
          <w:szCs w:val="24"/>
          <w:lang w:val="en-CA"/>
        </w:rPr>
        <w:t>erms of reference for EG-ITR</w:t>
      </w:r>
      <w:r w:rsidRPr="00AC1043">
        <w:rPr>
          <w:rFonts w:asciiTheme="minorHAnsi" w:hAnsiTheme="minorHAnsi"/>
          <w:szCs w:val="24"/>
          <w:lang w:val="en-CA"/>
        </w:rPr>
        <w:t xml:space="preserve"> proposed by </w:t>
      </w:r>
      <w:r w:rsidR="0066019F">
        <w:rPr>
          <w:rFonts w:asciiTheme="minorHAnsi" w:hAnsiTheme="minorHAnsi"/>
          <w:szCs w:val="24"/>
          <w:lang w:val="en-CA"/>
        </w:rPr>
        <w:t xml:space="preserve">the Administration Member States of </w:t>
      </w:r>
      <w:r w:rsidRPr="00AC1043">
        <w:rPr>
          <w:rFonts w:asciiTheme="minorHAnsi" w:hAnsiTheme="minorHAnsi"/>
          <w:szCs w:val="24"/>
          <w:lang w:val="en-CA"/>
        </w:rPr>
        <w:t>CEPT.</w:t>
      </w:r>
    </w:p>
    <w:p w:rsidR="005118C8" w:rsidRPr="00AC1043" w:rsidRDefault="005118C8" w:rsidP="00015AFD">
      <w:pPr>
        <w:tabs>
          <w:tab w:val="clear" w:pos="567"/>
          <w:tab w:val="clear" w:pos="1134"/>
          <w:tab w:val="clear" w:pos="1701"/>
          <w:tab w:val="clear" w:pos="2268"/>
          <w:tab w:val="clear" w:pos="2835"/>
        </w:tabs>
        <w:overflowPunct/>
        <w:autoSpaceDE/>
        <w:autoSpaceDN/>
        <w:snapToGrid w:val="0"/>
        <w:spacing w:after="120"/>
        <w:jc w:val="both"/>
        <w:textAlignment w:val="auto"/>
        <w:rPr>
          <w:rFonts w:asciiTheme="minorHAnsi" w:hAnsiTheme="minorHAnsi"/>
          <w:szCs w:val="24"/>
          <w:lang w:val="en-CA"/>
        </w:rPr>
      </w:pPr>
      <w:r>
        <w:rPr>
          <w:rFonts w:asciiTheme="minorHAnsi" w:hAnsiTheme="minorHAnsi"/>
          <w:szCs w:val="24"/>
          <w:lang w:val="en-CA"/>
        </w:rPr>
        <w:t>3.5</w:t>
      </w:r>
      <w:r>
        <w:rPr>
          <w:rFonts w:asciiTheme="minorHAnsi" w:hAnsiTheme="minorHAnsi"/>
          <w:szCs w:val="24"/>
          <w:lang w:val="en-CA"/>
        </w:rPr>
        <w:tab/>
      </w:r>
      <w:r w:rsidRPr="00AC1043">
        <w:rPr>
          <w:rFonts w:asciiTheme="minorHAnsi" w:hAnsiTheme="minorHAnsi"/>
          <w:szCs w:val="24"/>
          <w:lang w:val="en-CA"/>
        </w:rPr>
        <w:t>The councillors from Algeria and Zimbabwe introduced Documents C19/81 and C19/69, respectively, which contained propose</w:t>
      </w:r>
      <w:r>
        <w:rPr>
          <w:rFonts w:asciiTheme="minorHAnsi" w:hAnsiTheme="minorHAnsi"/>
          <w:szCs w:val="24"/>
          <w:lang w:val="en-CA"/>
        </w:rPr>
        <w:t>d terms of reference for EG-ITR</w:t>
      </w:r>
      <w:r w:rsidRPr="00AC1043">
        <w:rPr>
          <w:rFonts w:asciiTheme="minorHAnsi" w:hAnsiTheme="minorHAnsi"/>
          <w:szCs w:val="24"/>
          <w:lang w:val="en-CA"/>
        </w:rPr>
        <w:t>.</w:t>
      </w:r>
    </w:p>
    <w:p w:rsidR="005118C8" w:rsidRPr="00AC1043" w:rsidRDefault="005118C8" w:rsidP="00015AFD">
      <w:pPr>
        <w:tabs>
          <w:tab w:val="clear" w:pos="567"/>
          <w:tab w:val="clear" w:pos="1134"/>
          <w:tab w:val="clear" w:pos="1701"/>
          <w:tab w:val="clear" w:pos="2268"/>
          <w:tab w:val="clear" w:pos="2835"/>
        </w:tabs>
        <w:overflowPunct/>
        <w:autoSpaceDE/>
        <w:autoSpaceDN/>
        <w:snapToGrid w:val="0"/>
        <w:spacing w:after="120"/>
        <w:jc w:val="both"/>
        <w:textAlignment w:val="auto"/>
        <w:rPr>
          <w:rFonts w:asciiTheme="minorHAnsi" w:hAnsiTheme="minorHAnsi"/>
          <w:szCs w:val="24"/>
          <w:lang w:val="en-CA"/>
        </w:rPr>
      </w:pPr>
      <w:r>
        <w:rPr>
          <w:rFonts w:asciiTheme="minorHAnsi" w:hAnsiTheme="minorHAnsi"/>
          <w:szCs w:val="24"/>
          <w:lang w:val="en-CA"/>
        </w:rPr>
        <w:t>3.6</w:t>
      </w:r>
      <w:r>
        <w:rPr>
          <w:rFonts w:asciiTheme="minorHAnsi" w:hAnsiTheme="minorHAnsi"/>
          <w:szCs w:val="24"/>
          <w:lang w:val="en-CA"/>
        </w:rPr>
        <w:tab/>
      </w:r>
      <w:r w:rsidRPr="00AC1043">
        <w:rPr>
          <w:rFonts w:asciiTheme="minorHAnsi" w:hAnsiTheme="minorHAnsi"/>
          <w:szCs w:val="24"/>
          <w:lang w:val="en-CA"/>
        </w:rPr>
        <w:t>The councillor from Egypt introduced Document C19/100, which contained a commo</w:t>
      </w:r>
      <w:r>
        <w:rPr>
          <w:rFonts w:asciiTheme="minorHAnsi" w:hAnsiTheme="minorHAnsi"/>
          <w:szCs w:val="24"/>
          <w:lang w:val="en-CA"/>
        </w:rPr>
        <w:t>n proposal by the Arab Council Member States</w:t>
      </w:r>
      <w:r w:rsidRPr="00AC1043">
        <w:rPr>
          <w:rFonts w:asciiTheme="minorHAnsi" w:hAnsiTheme="minorHAnsi"/>
          <w:szCs w:val="24"/>
          <w:lang w:val="en-CA"/>
        </w:rPr>
        <w:t xml:space="preserve"> for a draft n</w:t>
      </w:r>
      <w:r>
        <w:rPr>
          <w:rFonts w:asciiTheme="minorHAnsi" w:hAnsiTheme="minorHAnsi"/>
          <w:szCs w:val="24"/>
          <w:lang w:val="en-CA"/>
        </w:rPr>
        <w:t>ew Council resolution on EG-ITR</w:t>
      </w:r>
      <w:r w:rsidRPr="00AC1043">
        <w:rPr>
          <w:rFonts w:asciiTheme="minorHAnsi" w:hAnsiTheme="minorHAnsi"/>
          <w:szCs w:val="24"/>
          <w:lang w:val="en-CA"/>
        </w:rPr>
        <w:t xml:space="preserve"> and its terms of reference.</w:t>
      </w:r>
    </w:p>
    <w:p w:rsidR="005118C8" w:rsidRPr="00AC1043" w:rsidRDefault="005118C8" w:rsidP="00015AFD">
      <w:pPr>
        <w:tabs>
          <w:tab w:val="clear" w:pos="567"/>
          <w:tab w:val="clear" w:pos="1134"/>
          <w:tab w:val="clear" w:pos="1701"/>
          <w:tab w:val="clear" w:pos="2268"/>
          <w:tab w:val="clear" w:pos="2835"/>
        </w:tabs>
        <w:overflowPunct/>
        <w:autoSpaceDE/>
        <w:autoSpaceDN/>
        <w:snapToGrid w:val="0"/>
        <w:spacing w:after="120"/>
        <w:jc w:val="both"/>
        <w:textAlignment w:val="auto"/>
        <w:rPr>
          <w:rFonts w:asciiTheme="minorHAnsi" w:hAnsiTheme="minorHAnsi"/>
          <w:szCs w:val="24"/>
          <w:lang w:val="en-CA"/>
        </w:rPr>
      </w:pPr>
      <w:r>
        <w:rPr>
          <w:rFonts w:asciiTheme="minorHAnsi" w:hAnsiTheme="minorHAnsi"/>
          <w:szCs w:val="24"/>
          <w:lang w:val="en-CA"/>
        </w:rPr>
        <w:t>3.7</w:t>
      </w:r>
      <w:r>
        <w:rPr>
          <w:rFonts w:asciiTheme="minorHAnsi" w:hAnsiTheme="minorHAnsi"/>
          <w:szCs w:val="24"/>
          <w:lang w:val="en-CA"/>
        </w:rPr>
        <w:tab/>
      </w:r>
      <w:r w:rsidRPr="00AC1043">
        <w:rPr>
          <w:rFonts w:asciiTheme="minorHAnsi" w:hAnsiTheme="minorHAnsi"/>
          <w:szCs w:val="24"/>
          <w:lang w:val="en-CA"/>
        </w:rPr>
        <w:t>The councillor from the Russian Federation introduced Document C19/74, which contained a proposal for a draft n</w:t>
      </w:r>
      <w:r>
        <w:rPr>
          <w:rFonts w:asciiTheme="minorHAnsi" w:hAnsiTheme="minorHAnsi"/>
          <w:szCs w:val="24"/>
          <w:lang w:val="en-CA"/>
        </w:rPr>
        <w:t>ew Council resolution on EG-ITR</w:t>
      </w:r>
      <w:r w:rsidRPr="00AC1043">
        <w:rPr>
          <w:rFonts w:asciiTheme="minorHAnsi" w:hAnsiTheme="minorHAnsi"/>
          <w:szCs w:val="24"/>
          <w:lang w:val="en-CA"/>
        </w:rPr>
        <w:t xml:space="preserve"> and its terms of reference.</w:t>
      </w:r>
    </w:p>
    <w:p w:rsidR="005118C8" w:rsidRPr="00AC1043" w:rsidRDefault="005118C8" w:rsidP="00015AFD">
      <w:pPr>
        <w:tabs>
          <w:tab w:val="clear" w:pos="567"/>
          <w:tab w:val="clear" w:pos="1134"/>
          <w:tab w:val="clear" w:pos="1701"/>
          <w:tab w:val="clear" w:pos="2268"/>
          <w:tab w:val="clear" w:pos="2835"/>
        </w:tabs>
        <w:overflowPunct/>
        <w:autoSpaceDE/>
        <w:autoSpaceDN/>
        <w:snapToGrid w:val="0"/>
        <w:spacing w:after="120"/>
        <w:jc w:val="both"/>
        <w:textAlignment w:val="auto"/>
        <w:rPr>
          <w:rFonts w:asciiTheme="minorHAnsi" w:hAnsiTheme="minorHAnsi"/>
          <w:szCs w:val="24"/>
          <w:lang w:val="en-CA"/>
        </w:rPr>
      </w:pPr>
      <w:r>
        <w:rPr>
          <w:rFonts w:asciiTheme="minorHAnsi" w:hAnsiTheme="minorHAnsi"/>
          <w:szCs w:val="24"/>
          <w:lang w:val="en-CA"/>
        </w:rPr>
        <w:t>3.8</w:t>
      </w:r>
      <w:r>
        <w:rPr>
          <w:rFonts w:asciiTheme="minorHAnsi" w:hAnsiTheme="minorHAnsi"/>
          <w:szCs w:val="24"/>
          <w:lang w:val="en-CA"/>
        </w:rPr>
        <w:tab/>
      </w:r>
      <w:r w:rsidRPr="00AC1043">
        <w:rPr>
          <w:rFonts w:asciiTheme="minorHAnsi" w:hAnsiTheme="minorHAnsi"/>
          <w:szCs w:val="24"/>
          <w:lang w:val="en-CA"/>
        </w:rPr>
        <w:t xml:space="preserve">The councillor from Canada introduced Document C19/79, which contained a </w:t>
      </w:r>
      <w:r>
        <w:rPr>
          <w:rFonts w:asciiTheme="minorHAnsi" w:hAnsiTheme="minorHAnsi"/>
          <w:szCs w:val="24"/>
          <w:lang w:val="en-CA"/>
        </w:rPr>
        <w:t xml:space="preserve">joint </w:t>
      </w:r>
      <w:r w:rsidRPr="00AC1043">
        <w:rPr>
          <w:rFonts w:asciiTheme="minorHAnsi" w:hAnsiTheme="minorHAnsi"/>
          <w:szCs w:val="24"/>
          <w:lang w:val="en-CA"/>
        </w:rPr>
        <w:t xml:space="preserve">proposal by </w:t>
      </w:r>
      <w:r>
        <w:rPr>
          <w:rFonts w:asciiTheme="minorHAnsi" w:hAnsiTheme="minorHAnsi"/>
          <w:szCs w:val="24"/>
          <w:lang w:val="en-CA"/>
        </w:rPr>
        <w:t xml:space="preserve">Argentina, the Bahamas, Brazil, Canada, Mexico and the United States </w:t>
      </w:r>
      <w:r w:rsidRPr="00AC1043">
        <w:rPr>
          <w:rFonts w:asciiTheme="minorHAnsi" w:hAnsiTheme="minorHAnsi"/>
          <w:szCs w:val="24"/>
          <w:lang w:val="en-CA"/>
        </w:rPr>
        <w:t>for a draft n</w:t>
      </w:r>
      <w:r>
        <w:rPr>
          <w:rFonts w:asciiTheme="minorHAnsi" w:hAnsiTheme="minorHAnsi"/>
          <w:szCs w:val="24"/>
          <w:lang w:val="en-CA"/>
        </w:rPr>
        <w:t>ew Council resolution on EG-ITR</w:t>
      </w:r>
      <w:r w:rsidRPr="00AC1043">
        <w:rPr>
          <w:rFonts w:asciiTheme="minorHAnsi" w:hAnsiTheme="minorHAnsi"/>
          <w:szCs w:val="24"/>
          <w:lang w:val="en-CA"/>
        </w:rPr>
        <w:t xml:space="preserve"> and its terms of reference. He drew attention to the critical distinction between "review" and "revision", and asked whether the same distinction was made in the Union's other five official languages. </w:t>
      </w:r>
    </w:p>
    <w:p w:rsidR="005118C8" w:rsidRPr="00AC1043" w:rsidRDefault="005118C8" w:rsidP="00015AFD">
      <w:pPr>
        <w:tabs>
          <w:tab w:val="clear" w:pos="567"/>
          <w:tab w:val="clear" w:pos="1134"/>
          <w:tab w:val="clear" w:pos="1701"/>
          <w:tab w:val="clear" w:pos="2268"/>
          <w:tab w:val="clear" w:pos="2835"/>
        </w:tabs>
        <w:overflowPunct/>
        <w:autoSpaceDE/>
        <w:autoSpaceDN/>
        <w:snapToGrid w:val="0"/>
        <w:spacing w:after="120"/>
        <w:jc w:val="both"/>
        <w:textAlignment w:val="auto"/>
        <w:rPr>
          <w:rFonts w:asciiTheme="minorHAnsi" w:hAnsiTheme="minorHAnsi"/>
          <w:szCs w:val="24"/>
          <w:lang w:val="en-CA"/>
        </w:rPr>
      </w:pPr>
      <w:r>
        <w:rPr>
          <w:rFonts w:asciiTheme="minorHAnsi" w:hAnsiTheme="minorHAnsi"/>
          <w:szCs w:val="24"/>
          <w:lang w:val="en-CA"/>
        </w:rPr>
        <w:t>3.9</w:t>
      </w:r>
      <w:r>
        <w:rPr>
          <w:rFonts w:asciiTheme="minorHAnsi" w:hAnsiTheme="minorHAnsi"/>
          <w:szCs w:val="24"/>
          <w:lang w:val="en-CA"/>
        </w:rPr>
        <w:tab/>
      </w:r>
      <w:r w:rsidRPr="00AC1043">
        <w:rPr>
          <w:rFonts w:asciiTheme="minorHAnsi" w:hAnsiTheme="minorHAnsi"/>
          <w:szCs w:val="24"/>
          <w:lang w:val="en-CA"/>
        </w:rPr>
        <w:t>One councillor asked whether all six regions would be represent</w:t>
      </w:r>
      <w:r>
        <w:rPr>
          <w:rFonts w:asciiTheme="minorHAnsi" w:hAnsiTheme="minorHAnsi"/>
          <w:szCs w:val="24"/>
          <w:lang w:val="en-CA"/>
        </w:rPr>
        <w:t>ed on EG-ITR</w:t>
      </w:r>
      <w:r w:rsidRPr="00AC1043">
        <w:rPr>
          <w:rFonts w:asciiTheme="minorHAnsi" w:hAnsiTheme="minorHAnsi"/>
          <w:szCs w:val="24"/>
          <w:lang w:val="en-CA"/>
        </w:rPr>
        <w:t xml:space="preserve"> and suggested, on behalf of the Executive Committee of CITEL, that the African Group </w:t>
      </w:r>
      <w:r>
        <w:rPr>
          <w:rFonts w:asciiTheme="minorHAnsi" w:hAnsiTheme="minorHAnsi"/>
          <w:szCs w:val="24"/>
          <w:lang w:val="en-CA"/>
        </w:rPr>
        <w:t xml:space="preserve">might see fit to </w:t>
      </w:r>
      <w:r w:rsidRPr="00AC1043">
        <w:rPr>
          <w:rFonts w:asciiTheme="minorHAnsi" w:hAnsiTheme="minorHAnsi"/>
          <w:szCs w:val="24"/>
          <w:lang w:val="en-CA"/>
        </w:rPr>
        <w:t xml:space="preserve">nominate Mr </w:t>
      </w:r>
      <w:proofErr w:type="spellStart"/>
      <w:r w:rsidRPr="00AC1043">
        <w:rPr>
          <w:rFonts w:asciiTheme="minorHAnsi" w:hAnsiTheme="minorHAnsi"/>
          <w:szCs w:val="24"/>
          <w:lang w:val="en-CA"/>
        </w:rPr>
        <w:t>Lwando</w:t>
      </w:r>
      <w:proofErr w:type="spellEnd"/>
      <w:r>
        <w:rPr>
          <w:rFonts w:asciiTheme="minorHAnsi" w:hAnsiTheme="minorHAnsi"/>
          <w:szCs w:val="24"/>
          <w:lang w:val="en-CA"/>
        </w:rPr>
        <w:t xml:space="preserve"> </w:t>
      </w:r>
      <w:proofErr w:type="spellStart"/>
      <w:r>
        <w:rPr>
          <w:rFonts w:asciiTheme="minorHAnsi" w:hAnsiTheme="minorHAnsi"/>
          <w:szCs w:val="24"/>
          <w:lang w:val="en-CA"/>
        </w:rPr>
        <w:t>Bbuku</w:t>
      </w:r>
      <w:proofErr w:type="spellEnd"/>
      <w:r>
        <w:rPr>
          <w:rFonts w:asciiTheme="minorHAnsi" w:hAnsiTheme="minorHAnsi"/>
          <w:szCs w:val="24"/>
          <w:lang w:val="en-CA"/>
        </w:rPr>
        <w:t xml:space="preserve"> (Zambia) to chair EG-ITR</w:t>
      </w:r>
      <w:r w:rsidRPr="00AC1043">
        <w:rPr>
          <w:rFonts w:asciiTheme="minorHAnsi" w:hAnsiTheme="minorHAnsi"/>
          <w:szCs w:val="24"/>
          <w:lang w:val="en-CA"/>
        </w:rPr>
        <w:t xml:space="preserve">. It was expected that any consultations on the chairmanship would be made public to all Council </w:t>
      </w:r>
      <w:r>
        <w:rPr>
          <w:rFonts w:asciiTheme="minorHAnsi" w:hAnsiTheme="minorHAnsi"/>
          <w:szCs w:val="24"/>
          <w:lang w:val="en-CA"/>
        </w:rPr>
        <w:t>Member States</w:t>
      </w:r>
      <w:r w:rsidRPr="00AC1043">
        <w:rPr>
          <w:rFonts w:asciiTheme="minorHAnsi" w:hAnsiTheme="minorHAnsi"/>
          <w:szCs w:val="24"/>
          <w:lang w:val="en-CA"/>
        </w:rPr>
        <w:t>.</w:t>
      </w:r>
    </w:p>
    <w:p w:rsidR="005118C8" w:rsidRPr="00AC1043" w:rsidRDefault="005118C8" w:rsidP="00F368A4">
      <w:pPr>
        <w:tabs>
          <w:tab w:val="clear" w:pos="567"/>
          <w:tab w:val="clear" w:pos="1134"/>
          <w:tab w:val="clear" w:pos="1701"/>
          <w:tab w:val="clear" w:pos="2268"/>
          <w:tab w:val="clear" w:pos="2835"/>
        </w:tabs>
        <w:overflowPunct/>
        <w:autoSpaceDE/>
        <w:autoSpaceDN/>
        <w:snapToGrid w:val="0"/>
        <w:spacing w:after="120"/>
        <w:jc w:val="both"/>
        <w:textAlignment w:val="auto"/>
        <w:rPr>
          <w:rFonts w:asciiTheme="minorHAnsi" w:hAnsiTheme="minorHAnsi"/>
          <w:szCs w:val="24"/>
          <w:lang w:val="en-CA"/>
        </w:rPr>
      </w:pPr>
      <w:r>
        <w:rPr>
          <w:rFonts w:asciiTheme="minorHAnsi" w:hAnsiTheme="minorHAnsi"/>
          <w:szCs w:val="24"/>
          <w:lang w:val="en-CA"/>
        </w:rPr>
        <w:t>3.10</w:t>
      </w:r>
      <w:r>
        <w:rPr>
          <w:rFonts w:asciiTheme="minorHAnsi" w:hAnsiTheme="minorHAnsi"/>
          <w:szCs w:val="24"/>
          <w:lang w:val="en-CA"/>
        </w:rPr>
        <w:tab/>
      </w:r>
      <w:r w:rsidRPr="00AC1043">
        <w:rPr>
          <w:rFonts w:asciiTheme="minorHAnsi" w:hAnsiTheme="minorHAnsi"/>
          <w:szCs w:val="24"/>
          <w:lang w:val="en-CA"/>
        </w:rPr>
        <w:t xml:space="preserve">The </w:t>
      </w:r>
      <w:r>
        <w:rPr>
          <w:rFonts w:asciiTheme="minorHAnsi" w:hAnsiTheme="minorHAnsi"/>
          <w:szCs w:val="24"/>
          <w:lang w:val="en-CA"/>
        </w:rPr>
        <w:t xml:space="preserve">Acting </w:t>
      </w:r>
      <w:r w:rsidRPr="00AC1043">
        <w:rPr>
          <w:rFonts w:asciiTheme="minorHAnsi" w:hAnsiTheme="minorHAnsi"/>
          <w:szCs w:val="24"/>
          <w:lang w:val="en-CA"/>
        </w:rPr>
        <w:t>C</w:t>
      </w:r>
      <w:r>
        <w:rPr>
          <w:rFonts w:asciiTheme="minorHAnsi" w:hAnsiTheme="minorHAnsi"/>
          <w:szCs w:val="24"/>
          <w:lang w:val="en-CA"/>
        </w:rPr>
        <w:t xml:space="preserve">hairman pointed out that </w:t>
      </w:r>
      <w:r w:rsidR="00F368A4">
        <w:rPr>
          <w:rFonts w:asciiTheme="minorHAnsi" w:hAnsiTheme="minorHAnsi"/>
          <w:szCs w:val="24"/>
          <w:lang w:val="en-CA"/>
        </w:rPr>
        <w:t xml:space="preserve">the discussion on chairmanship and vice-chairmanship of various groups would be conducted </w:t>
      </w:r>
      <w:r w:rsidRPr="00AC1043">
        <w:rPr>
          <w:rFonts w:asciiTheme="minorHAnsi" w:hAnsiTheme="minorHAnsi"/>
          <w:szCs w:val="24"/>
          <w:lang w:val="en-CA"/>
        </w:rPr>
        <w:t>towards the end of the current Council session.</w:t>
      </w:r>
    </w:p>
    <w:p w:rsidR="005118C8" w:rsidRPr="00AC1043" w:rsidRDefault="005118C8" w:rsidP="002D4FDF">
      <w:pPr>
        <w:tabs>
          <w:tab w:val="clear" w:pos="567"/>
          <w:tab w:val="clear" w:pos="1134"/>
          <w:tab w:val="clear" w:pos="1701"/>
          <w:tab w:val="clear" w:pos="2268"/>
          <w:tab w:val="clear" w:pos="2835"/>
        </w:tabs>
        <w:overflowPunct/>
        <w:autoSpaceDE/>
        <w:autoSpaceDN/>
        <w:snapToGrid w:val="0"/>
        <w:spacing w:after="120"/>
        <w:jc w:val="both"/>
        <w:textAlignment w:val="auto"/>
        <w:rPr>
          <w:rFonts w:asciiTheme="minorHAnsi" w:hAnsiTheme="minorHAnsi"/>
          <w:szCs w:val="24"/>
          <w:lang w:val="en-CA"/>
        </w:rPr>
      </w:pPr>
      <w:r>
        <w:rPr>
          <w:rFonts w:asciiTheme="minorHAnsi" w:hAnsiTheme="minorHAnsi"/>
          <w:szCs w:val="24"/>
          <w:lang w:val="en-CA"/>
        </w:rPr>
        <w:t>3.11</w:t>
      </w:r>
      <w:r>
        <w:rPr>
          <w:rFonts w:asciiTheme="minorHAnsi" w:hAnsiTheme="minorHAnsi"/>
          <w:szCs w:val="24"/>
          <w:lang w:val="en-CA"/>
        </w:rPr>
        <w:tab/>
      </w:r>
      <w:r w:rsidRPr="00AC1043">
        <w:rPr>
          <w:rFonts w:asciiTheme="minorHAnsi" w:hAnsiTheme="minorHAnsi"/>
          <w:szCs w:val="24"/>
          <w:lang w:val="en-CA"/>
        </w:rPr>
        <w:t>One councillor endorsed the terms of reference proposed by the Russian Federation.</w:t>
      </w:r>
      <w:r>
        <w:rPr>
          <w:rFonts w:asciiTheme="minorHAnsi" w:hAnsiTheme="minorHAnsi"/>
          <w:szCs w:val="24"/>
          <w:lang w:val="en-CA"/>
        </w:rPr>
        <w:t xml:space="preserve"> Another councillor</w:t>
      </w:r>
      <w:r w:rsidRPr="00AC1043">
        <w:rPr>
          <w:rFonts w:asciiTheme="minorHAnsi" w:hAnsiTheme="minorHAnsi"/>
          <w:szCs w:val="24"/>
          <w:lang w:val="en-CA"/>
        </w:rPr>
        <w:t xml:space="preserve">, </w:t>
      </w:r>
      <w:r>
        <w:rPr>
          <w:rFonts w:asciiTheme="minorHAnsi" w:hAnsiTheme="minorHAnsi"/>
          <w:szCs w:val="24"/>
          <w:lang w:val="en-CA"/>
        </w:rPr>
        <w:t xml:space="preserve">supporting </w:t>
      </w:r>
      <w:r w:rsidRPr="00AC1043">
        <w:rPr>
          <w:rFonts w:asciiTheme="minorHAnsi" w:hAnsiTheme="minorHAnsi"/>
          <w:szCs w:val="24"/>
          <w:lang w:val="en-CA"/>
        </w:rPr>
        <w:t xml:space="preserve">the proposals </w:t>
      </w:r>
      <w:r>
        <w:rPr>
          <w:rFonts w:asciiTheme="minorHAnsi" w:hAnsiTheme="minorHAnsi"/>
          <w:szCs w:val="24"/>
          <w:lang w:val="en-CA"/>
        </w:rPr>
        <w:t>in Documents C19/79 and C19/86</w:t>
      </w:r>
      <w:r w:rsidRPr="00AC1043">
        <w:rPr>
          <w:rFonts w:asciiTheme="minorHAnsi" w:hAnsiTheme="minorHAnsi"/>
          <w:szCs w:val="24"/>
          <w:lang w:val="en-CA"/>
        </w:rPr>
        <w:t xml:space="preserve">, said that the Council should follow the clear instructions </w:t>
      </w:r>
      <w:r>
        <w:rPr>
          <w:rFonts w:asciiTheme="minorHAnsi" w:hAnsiTheme="minorHAnsi"/>
          <w:szCs w:val="24"/>
          <w:lang w:val="en-CA"/>
        </w:rPr>
        <w:t xml:space="preserve">issued to it </w:t>
      </w:r>
      <w:r w:rsidRPr="00AC1043">
        <w:rPr>
          <w:rFonts w:asciiTheme="minorHAnsi" w:hAnsiTheme="minorHAnsi"/>
          <w:szCs w:val="24"/>
          <w:lang w:val="en-CA"/>
        </w:rPr>
        <w:t>in Resolution 146 (Rev. Dubai, 2018) that it review and revise the terms of reference</w:t>
      </w:r>
      <w:r>
        <w:rPr>
          <w:rFonts w:asciiTheme="minorHAnsi" w:hAnsiTheme="minorHAnsi"/>
          <w:szCs w:val="24"/>
          <w:lang w:val="en-CA"/>
        </w:rPr>
        <w:t xml:space="preserve"> of EG-ITR</w:t>
      </w:r>
      <w:r w:rsidRPr="00AC1043">
        <w:rPr>
          <w:rFonts w:asciiTheme="minorHAnsi" w:hAnsiTheme="minorHAnsi"/>
          <w:szCs w:val="24"/>
          <w:lang w:val="en-CA"/>
        </w:rPr>
        <w:t>, not the ITRs themselves. A third councillor expressed confidence that the Council would be able to reach a consensus on the various proposals made, with a view to reviewing and revising the ITRs.</w:t>
      </w:r>
    </w:p>
    <w:p w:rsidR="005118C8" w:rsidRPr="00AC1043" w:rsidRDefault="005118C8" w:rsidP="00015AFD">
      <w:pPr>
        <w:tabs>
          <w:tab w:val="clear" w:pos="567"/>
          <w:tab w:val="clear" w:pos="1134"/>
          <w:tab w:val="clear" w:pos="1701"/>
          <w:tab w:val="clear" w:pos="2268"/>
          <w:tab w:val="clear" w:pos="2835"/>
        </w:tabs>
        <w:overflowPunct/>
        <w:autoSpaceDE/>
        <w:autoSpaceDN/>
        <w:snapToGrid w:val="0"/>
        <w:spacing w:after="120"/>
        <w:jc w:val="both"/>
        <w:textAlignment w:val="auto"/>
        <w:rPr>
          <w:rFonts w:asciiTheme="minorHAnsi" w:hAnsiTheme="minorHAnsi"/>
          <w:szCs w:val="24"/>
          <w:lang w:val="en-CA"/>
        </w:rPr>
      </w:pPr>
      <w:r>
        <w:rPr>
          <w:rFonts w:asciiTheme="minorHAnsi" w:hAnsiTheme="minorHAnsi"/>
          <w:szCs w:val="24"/>
          <w:lang w:val="en-CA"/>
        </w:rPr>
        <w:lastRenderedPageBreak/>
        <w:t>3.12</w:t>
      </w:r>
      <w:r>
        <w:rPr>
          <w:rFonts w:asciiTheme="minorHAnsi" w:hAnsiTheme="minorHAnsi"/>
          <w:szCs w:val="24"/>
          <w:lang w:val="en-CA"/>
        </w:rPr>
        <w:tab/>
      </w:r>
      <w:r w:rsidRPr="00AC1043">
        <w:rPr>
          <w:rFonts w:asciiTheme="minorHAnsi" w:hAnsiTheme="minorHAnsi"/>
          <w:szCs w:val="24"/>
          <w:lang w:val="en-CA"/>
        </w:rPr>
        <w:t xml:space="preserve">The </w:t>
      </w:r>
      <w:r>
        <w:rPr>
          <w:rFonts w:asciiTheme="minorHAnsi" w:hAnsiTheme="minorHAnsi"/>
          <w:szCs w:val="24"/>
          <w:lang w:val="en-CA"/>
        </w:rPr>
        <w:t xml:space="preserve">Acting </w:t>
      </w:r>
      <w:r w:rsidRPr="00AC1043">
        <w:rPr>
          <w:rFonts w:asciiTheme="minorHAnsi" w:hAnsiTheme="minorHAnsi"/>
          <w:szCs w:val="24"/>
          <w:lang w:val="en-CA"/>
        </w:rPr>
        <w:t xml:space="preserve">Chairman proposed that a working group be established under the chairmanship of </w:t>
      </w:r>
      <w:r>
        <w:rPr>
          <w:rFonts w:asciiTheme="minorHAnsi" w:hAnsiTheme="minorHAnsi"/>
          <w:szCs w:val="24"/>
          <w:lang w:val="en-CA"/>
        </w:rPr>
        <w:t xml:space="preserve">the councillor from Ghana </w:t>
      </w:r>
      <w:r w:rsidRPr="00AC1043">
        <w:rPr>
          <w:rFonts w:asciiTheme="minorHAnsi" w:hAnsiTheme="minorHAnsi"/>
          <w:szCs w:val="24"/>
          <w:lang w:val="en-CA"/>
        </w:rPr>
        <w:t xml:space="preserve">to draw </w:t>
      </w:r>
      <w:r>
        <w:rPr>
          <w:rFonts w:asciiTheme="minorHAnsi" w:hAnsiTheme="minorHAnsi"/>
          <w:szCs w:val="24"/>
          <w:lang w:val="en-CA"/>
        </w:rPr>
        <w:t>up a draft resolution on EG-ITR</w:t>
      </w:r>
      <w:r w:rsidRPr="00AC1043">
        <w:rPr>
          <w:rFonts w:asciiTheme="minorHAnsi" w:hAnsiTheme="minorHAnsi"/>
          <w:szCs w:val="24"/>
          <w:lang w:val="en-CA"/>
        </w:rPr>
        <w:t xml:space="preserve">, </w:t>
      </w:r>
      <w:r>
        <w:rPr>
          <w:rFonts w:asciiTheme="minorHAnsi" w:hAnsiTheme="minorHAnsi"/>
          <w:szCs w:val="24"/>
          <w:lang w:val="en-CA"/>
        </w:rPr>
        <w:t xml:space="preserve">along </w:t>
      </w:r>
      <w:r w:rsidRPr="00AC1043">
        <w:rPr>
          <w:rFonts w:asciiTheme="minorHAnsi" w:hAnsiTheme="minorHAnsi"/>
          <w:szCs w:val="24"/>
          <w:lang w:val="en-CA"/>
        </w:rPr>
        <w:t xml:space="preserve">with terms of reference, based on the proposals made. He further proposed that the chairman of the working group and contributors convene informally immediately after the </w:t>
      </w:r>
      <w:r>
        <w:rPr>
          <w:rFonts w:asciiTheme="minorHAnsi" w:hAnsiTheme="minorHAnsi"/>
          <w:szCs w:val="24"/>
          <w:lang w:val="en-CA"/>
        </w:rPr>
        <w:t xml:space="preserve">present </w:t>
      </w:r>
      <w:r w:rsidRPr="00AC1043">
        <w:rPr>
          <w:rFonts w:asciiTheme="minorHAnsi" w:hAnsiTheme="minorHAnsi"/>
          <w:szCs w:val="24"/>
          <w:lang w:val="en-CA"/>
        </w:rPr>
        <w:t>meeting to put together a consolidated initial document, containing various options, for discussion. The working group itself would meet formally on Wednesday, 12 June 2019, in the evening.</w:t>
      </w:r>
    </w:p>
    <w:p w:rsidR="005118C8" w:rsidRPr="00AC1043" w:rsidRDefault="005118C8" w:rsidP="00015AFD">
      <w:pPr>
        <w:tabs>
          <w:tab w:val="clear" w:pos="567"/>
          <w:tab w:val="clear" w:pos="1134"/>
          <w:tab w:val="clear" w:pos="1701"/>
          <w:tab w:val="clear" w:pos="2268"/>
          <w:tab w:val="clear" w:pos="2835"/>
        </w:tabs>
        <w:overflowPunct/>
        <w:autoSpaceDE/>
        <w:autoSpaceDN/>
        <w:snapToGrid w:val="0"/>
        <w:spacing w:after="120"/>
        <w:jc w:val="both"/>
        <w:textAlignment w:val="auto"/>
        <w:rPr>
          <w:rFonts w:asciiTheme="minorHAnsi" w:hAnsiTheme="minorHAnsi"/>
          <w:szCs w:val="24"/>
          <w:lang w:val="en-CA"/>
        </w:rPr>
      </w:pPr>
      <w:r>
        <w:rPr>
          <w:rFonts w:asciiTheme="minorHAnsi" w:hAnsiTheme="minorHAnsi"/>
          <w:szCs w:val="24"/>
          <w:lang w:val="en-CA"/>
        </w:rPr>
        <w:t>3.13</w:t>
      </w:r>
      <w:r>
        <w:rPr>
          <w:rFonts w:asciiTheme="minorHAnsi" w:hAnsiTheme="minorHAnsi"/>
          <w:szCs w:val="24"/>
          <w:lang w:val="en-CA"/>
        </w:rPr>
        <w:tab/>
      </w:r>
      <w:r w:rsidRPr="00AC1043">
        <w:rPr>
          <w:rFonts w:asciiTheme="minorHAnsi" w:hAnsiTheme="minorHAnsi"/>
          <w:szCs w:val="24"/>
          <w:lang w:val="en-CA"/>
        </w:rPr>
        <w:t xml:space="preserve">It was so </w:t>
      </w:r>
      <w:r w:rsidRPr="00AC1043">
        <w:rPr>
          <w:rFonts w:asciiTheme="minorHAnsi" w:hAnsiTheme="minorHAnsi"/>
          <w:b/>
          <w:bCs/>
          <w:szCs w:val="24"/>
          <w:lang w:val="en-CA"/>
        </w:rPr>
        <w:t>agreed</w:t>
      </w:r>
      <w:r w:rsidRPr="00AC1043">
        <w:rPr>
          <w:rFonts w:asciiTheme="minorHAnsi" w:hAnsiTheme="minorHAnsi"/>
          <w:szCs w:val="24"/>
          <w:lang w:val="en-CA"/>
        </w:rPr>
        <w:t>.</w:t>
      </w:r>
    </w:p>
    <w:p w:rsidR="005118C8" w:rsidRPr="00701912" w:rsidRDefault="005118C8" w:rsidP="00015AFD">
      <w:pPr>
        <w:tabs>
          <w:tab w:val="clear" w:pos="567"/>
          <w:tab w:val="clear" w:pos="1134"/>
          <w:tab w:val="clear" w:pos="1701"/>
          <w:tab w:val="clear" w:pos="2268"/>
          <w:tab w:val="clear" w:pos="2835"/>
        </w:tabs>
        <w:overflowPunct/>
        <w:autoSpaceDE/>
        <w:autoSpaceDN/>
        <w:snapToGrid w:val="0"/>
        <w:spacing w:before="360" w:after="120"/>
        <w:jc w:val="both"/>
        <w:textAlignment w:val="auto"/>
        <w:rPr>
          <w:rFonts w:asciiTheme="minorHAnsi" w:hAnsiTheme="minorHAnsi"/>
          <w:b/>
          <w:bCs/>
          <w:sz w:val="26"/>
          <w:szCs w:val="26"/>
        </w:rPr>
      </w:pPr>
      <w:r w:rsidRPr="00701912">
        <w:rPr>
          <w:rFonts w:asciiTheme="minorHAnsi" w:hAnsiTheme="minorHAnsi"/>
          <w:b/>
          <w:bCs/>
          <w:sz w:val="26"/>
          <w:szCs w:val="26"/>
        </w:rPr>
        <w:t>4</w:t>
      </w:r>
      <w:r w:rsidRPr="00701912">
        <w:rPr>
          <w:rFonts w:asciiTheme="minorHAnsi" w:hAnsiTheme="minorHAnsi"/>
          <w:b/>
          <w:bCs/>
          <w:sz w:val="26"/>
          <w:szCs w:val="26"/>
        </w:rPr>
        <w:tab/>
        <w:t xml:space="preserve">Internet activities (Documents </w:t>
      </w:r>
      <w:hyperlink r:id="rId48" w:history="1">
        <w:r w:rsidRPr="00701912">
          <w:rPr>
            <w:rStyle w:val="Hyperlink"/>
            <w:rFonts w:asciiTheme="minorHAnsi" w:hAnsiTheme="minorHAnsi"/>
            <w:b/>
            <w:bCs/>
            <w:sz w:val="26"/>
            <w:szCs w:val="26"/>
          </w:rPr>
          <w:t>C19/33</w:t>
        </w:r>
      </w:hyperlink>
      <w:r w:rsidRPr="00701912">
        <w:rPr>
          <w:rFonts w:asciiTheme="minorHAnsi" w:hAnsiTheme="minorHAnsi"/>
          <w:b/>
          <w:bCs/>
          <w:sz w:val="26"/>
          <w:szCs w:val="26"/>
        </w:rPr>
        <w:t xml:space="preserve">, </w:t>
      </w:r>
      <w:hyperlink r:id="rId49" w:history="1">
        <w:r w:rsidRPr="00701912">
          <w:rPr>
            <w:rStyle w:val="Hyperlink"/>
            <w:rFonts w:asciiTheme="minorHAnsi" w:hAnsiTheme="minorHAnsi"/>
            <w:b/>
            <w:bCs/>
            <w:sz w:val="26"/>
            <w:szCs w:val="26"/>
          </w:rPr>
          <w:t>C19/82</w:t>
        </w:r>
      </w:hyperlink>
      <w:r w:rsidRPr="00701912">
        <w:rPr>
          <w:rFonts w:asciiTheme="minorHAnsi" w:hAnsiTheme="minorHAnsi"/>
          <w:b/>
          <w:bCs/>
          <w:sz w:val="26"/>
          <w:szCs w:val="26"/>
        </w:rPr>
        <w:t xml:space="preserve"> and </w:t>
      </w:r>
      <w:hyperlink r:id="rId50" w:history="1">
        <w:r w:rsidRPr="00701912">
          <w:rPr>
            <w:rStyle w:val="Hyperlink"/>
            <w:rFonts w:asciiTheme="minorHAnsi" w:hAnsiTheme="minorHAnsi"/>
            <w:b/>
            <w:bCs/>
            <w:sz w:val="26"/>
            <w:szCs w:val="26"/>
          </w:rPr>
          <w:t>C19/102</w:t>
        </w:r>
      </w:hyperlink>
      <w:r w:rsidRPr="00701912">
        <w:rPr>
          <w:rFonts w:asciiTheme="minorHAnsi" w:hAnsiTheme="minorHAnsi"/>
          <w:b/>
          <w:bCs/>
          <w:sz w:val="26"/>
          <w:szCs w:val="26"/>
        </w:rPr>
        <w:t>)</w:t>
      </w:r>
    </w:p>
    <w:p w:rsidR="005118C8" w:rsidRPr="00AC1043" w:rsidRDefault="005118C8" w:rsidP="00015AFD">
      <w:pPr>
        <w:tabs>
          <w:tab w:val="clear" w:pos="567"/>
          <w:tab w:val="clear" w:pos="1134"/>
          <w:tab w:val="clear" w:pos="1701"/>
          <w:tab w:val="clear" w:pos="2268"/>
          <w:tab w:val="clear" w:pos="2835"/>
        </w:tabs>
        <w:snapToGrid w:val="0"/>
        <w:spacing w:after="120"/>
        <w:jc w:val="both"/>
        <w:rPr>
          <w:rFonts w:asciiTheme="minorHAnsi" w:hAnsiTheme="minorHAnsi"/>
          <w:szCs w:val="24"/>
          <w:lang w:val="en-CA"/>
        </w:rPr>
      </w:pPr>
      <w:r>
        <w:rPr>
          <w:rFonts w:asciiTheme="minorHAnsi" w:hAnsiTheme="minorHAnsi"/>
          <w:szCs w:val="24"/>
          <w:lang w:val="en-CA"/>
        </w:rPr>
        <w:t>4.1</w:t>
      </w:r>
      <w:r>
        <w:rPr>
          <w:rFonts w:asciiTheme="minorHAnsi" w:hAnsiTheme="minorHAnsi"/>
          <w:szCs w:val="24"/>
          <w:lang w:val="en-CA"/>
        </w:rPr>
        <w:tab/>
      </w:r>
      <w:r w:rsidRPr="00AC1043">
        <w:rPr>
          <w:rFonts w:asciiTheme="minorHAnsi" w:hAnsiTheme="minorHAnsi"/>
          <w:szCs w:val="24"/>
          <w:lang w:val="en-CA"/>
        </w:rPr>
        <w:t xml:space="preserve">A representative of the secretariat introduced Document C19/33, on </w:t>
      </w:r>
      <w:r>
        <w:rPr>
          <w:rFonts w:asciiTheme="minorHAnsi" w:hAnsiTheme="minorHAnsi"/>
          <w:szCs w:val="24"/>
          <w:lang w:val="en-CA"/>
        </w:rPr>
        <w:t xml:space="preserve">ITU </w:t>
      </w:r>
      <w:r w:rsidRPr="00AC1043">
        <w:rPr>
          <w:rFonts w:asciiTheme="minorHAnsi" w:hAnsiTheme="minorHAnsi"/>
          <w:szCs w:val="24"/>
          <w:lang w:val="en-CA"/>
        </w:rPr>
        <w:t>Internet activities under Resolutions 101 (Rev. Dubai, 2018), 102 (Rev. Dubai, 2018), 133 (Rev. Dubai, 2018), 180 (Rev. Dubai, 2018) and 206 (Dubai, 2018).</w:t>
      </w:r>
      <w:r w:rsidRPr="00AC1043">
        <w:rPr>
          <w:szCs w:val="24"/>
        </w:rPr>
        <w:t xml:space="preserve"> </w:t>
      </w:r>
    </w:p>
    <w:p w:rsidR="005118C8" w:rsidRPr="00AC1043" w:rsidRDefault="005118C8" w:rsidP="00015AFD">
      <w:pPr>
        <w:tabs>
          <w:tab w:val="clear" w:pos="567"/>
          <w:tab w:val="clear" w:pos="1134"/>
          <w:tab w:val="clear" w:pos="1701"/>
          <w:tab w:val="clear" w:pos="2268"/>
          <w:tab w:val="clear" w:pos="2835"/>
        </w:tabs>
        <w:snapToGrid w:val="0"/>
        <w:spacing w:after="120"/>
        <w:jc w:val="both"/>
        <w:rPr>
          <w:rFonts w:asciiTheme="minorHAnsi" w:hAnsiTheme="minorHAnsi"/>
          <w:spacing w:val="-2"/>
          <w:szCs w:val="24"/>
          <w:lang w:val="en-CA"/>
        </w:rPr>
      </w:pPr>
      <w:r>
        <w:rPr>
          <w:rFonts w:asciiTheme="minorHAnsi" w:hAnsiTheme="minorHAnsi"/>
          <w:spacing w:val="-2"/>
          <w:szCs w:val="24"/>
          <w:lang w:val="en-CA"/>
        </w:rPr>
        <w:t>4.2</w:t>
      </w:r>
      <w:r>
        <w:rPr>
          <w:rFonts w:asciiTheme="minorHAnsi" w:hAnsiTheme="minorHAnsi"/>
          <w:spacing w:val="-2"/>
          <w:szCs w:val="24"/>
          <w:lang w:val="en-CA"/>
        </w:rPr>
        <w:tab/>
      </w:r>
      <w:r w:rsidRPr="00AC1043">
        <w:rPr>
          <w:rFonts w:asciiTheme="minorHAnsi" w:hAnsiTheme="minorHAnsi"/>
          <w:spacing w:val="-2"/>
          <w:szCs w:val="24"/>
          <w:lang w:val="en-CA"/>
        </w:rPr>
        <w:t>Several councillors proposed that Document C19/33 should be supplemented with additional information on, for example, ITU focus groups on IP and next-generation networks, ITU contributions to the Internet Governance Forum (IGF), the United Nations Commission on Science and Technology for Development and the High-level Panel on Digital Cooperation, and IDNs.</w:t>
      </w:r>
      <w:r>
        <w:rPr>
          <w:rFonts w:asciiTheme="minorHAnsi" w:hAnsiTheme="minorHAnsi"/>
          <w:spacing w:val="-2"/>
          <w:szCs w:val="24"/>
          <w:lang w:val="en-CA"/>
        </w:rPr>
        <w:t xml:space="preserve"> </w:t>
      </w:r>
      <w:r w:rsidRPr="00AC1043">
        <w:rPr>
          <w:rFonts w:asciiTheme="minorHAnsi" w:hAnsiTheme="minorHAnsi"/>
          <w:spacing w:val="-2"/>
          <w:szCs w:val="24"/>
          <w:lang w:val="en-CA"/>
        </w:rPr>
        <w:t>Several other councillors stressed the importance of including the most up-to-date information in the report, in particular with regard to OTTs.</w:t>
      </w:r>
    </w:p>
    <w:p w:rsidR="005118C8" w:rsidRPr="00AC1043" w:rsidRDefault="005118C8" w:rsidP="00015AFD">
      <w:pPr>
        <w:tabs>
          <w:tab w:val="clear" w:pos="567"/>
          <w:tab w:val="clear" w:pos="1134"/>
          <w:tab w:val="clear" w:pos="1701"/>
          <w:tab w:val="clear" w:pos="2268"/>
          <w:tab w:val="clear" w:pos="2835"/>
        </w:tabs>
        <w:snapToGrid w:val="0"/>
        <w:spacing w:after="120"/>
        <w:jc w:val="both"/>
        <w:rPr>
          <w:rFonts w:asciiTheme="minorHAnsi" w:hAnsiTheme="minorHAnsi"/>
          <w:spacing w:val="-2"/>
          <w:szCs w:val="24"/>
          <w:lang w:val="en-CA"/>
        </w:rPr>
      </w:pPr>
      <w:r>
        <w:rPr>
          <w:rFonts w:asciiTheme="minorHAnsi" w:hAnsiTheme="minorHAnsi"/>
          <w:spacing w:val="-2"/>
          <w:szCs w:val="24"/>
          <w:lang w:val="en-CA"/>
        </w:rPr>
        <w:t>4.3</w:t>
      </w:r>
      <w:r>
        <w:rPr>
          <w:rFonts w:asciiTheme="minorHAnsi" w:hAnsiTheme="minorHAnsi"/>
          <w:spacing w:val="-2"/>
          <w:szCs w:val="24"/>
          <w:lang w:val="en-CA"/>
        </w:rPr>
        <w:tab/>
      </w:r>
      <w:r w:rsidRPr="00AC1043">
        <w:rPr>
          <w:rFonts w:asciiTheme="minorHAnsi" w:hAnsiTheme="minorHAnsi"/>
          <w:spacing w:val="-2"/>
          <w:szCs w:val="24"/>
          <w:lang w:val="en-CA"/>
        </w:rPr>
        <w:t>The representative of the secretariat pointed out that Council documents were subject to a page limit, whereas those prepared for Council working groups, which were not translated, were more exhaustive and therefore contained more complete information on subjects such as the focus groups and IGF preparations. Regarding the IGF specifically, the most recent meeting had coincided with PP-18 and ITU's participation had therefore been limited.</w:t>
      </w:r>
    </w:p>
    <w:p w:rsidR="005118C8" w:rsidRPr="00AC1043" w:rsidRDefault="005118C8" w:rsidP="00015AFD">
      <w:pPr>
        <w:tabs>
          <w:tab w:val="clear" w:pos="567"/>
          <w:tab w:val="clear" w:pos="1134"/>
          <w:tab w:val="clear" w:pos="1701"/>
          <w:tab w:val="clear" w:pos="2268"/>
          <w:tab w:val="clear" w:pos="2835"/>
        </w:tabs>
        <w:snapToGrid w:val="0"/>
        <w:spacing w:after="120"/>
        <w:jc w:val="both"/>
        <w:rPr>
          <w:rFonts w:asciiTheme="minorHAnsi" w:hAnsiTheme="minorHAnsi"/>
          <w:spacing w:val="-2"/>
          <w:szCs w:val="24"/>
          <w:lang w:val="en-CA"/>
        </w:rPr>
      </w:pPr>
      <w:r>
        <w:rPr>
          <w:rFonts w:asciiTheme="minorHAnsi" w:hAnsiTheme="minorHAnsi"/>
          <w:spacing w:val="-2"/>
          <w:szCs w:val="24"/>
          <w:lang w:val="en-CA"/>
        </w:rPr>
        <w:t>4.4</w:t>
      </w:r>
      <w:r>
        <w:rPr>
          <w:rFonts w:asciiTheme="minorHAnsi" w:hAnsiTheme="minorHAnsi"/>
          <w:spacing w:val="-2"/>
          <w:szCs w:val="24"/>
          <w:lang w:val="en-CA"/>
        </w:rPr>
        <w:tab/>
      </w:r>
      <w:r w:rsidRPr="00AC1043">
        <w:rPr>
          <w:rFonts w:asciiTheme="minorHAnsi" w:hAnsiTheme="minorHAnsi"/>
          <w:spacing w:val="-2"/>
          <w:szCs w:val="24"/>
          <w:lang w:val="en-CA"/>
        </w:rPr>
        <w:t>Another representative of the secretariat, pointing out that ITU currently had eight active focus groups, suggested tha</w:t>
      </w:r>
      <w:r>
        <w:rPr>
          <w:rFonts w:asciiTheme="minorHAnsi" w:hAnsiTheme="minorHAnsi"/>
          <w:spacing w:val="-2"/>
          <w:szCs w:val="24"/>
          <w:lang w:val="en-CA"/>
        </w:rPr>
        <w:t>t a link to the focus group web</w:t>
      </w:r>
      <w:r w:rsidRPr="00AC1043">
        <w:rPr>
          <w:rFonts w:asciiTheme="minorHAnsi" w:hAnsiTheme="minorHAnsi"/>
          <w:spacing w:val="-2"/>
          <w:szCs w:val="24"/>
          <w:lang w:val="en-CA"/>
        </w:rPr>
        <w:t>page, which always displayed current information, be added to the document.</w:t>
      </w:r>
    </w:p>
    <w:p w:rsidR="005118C8" w:rsidRPr="00AC1043" w:rsidRDefault="005118C8" w:rsidP="00015AFD">
      <w:pPr>
        <w:tabs>
          <w:tab w:val="clear" w:pos="567"/>
          <w:tab w:val="clear" w:pos="1134"/>
          <w:tab w:val="clear" w:pos="1701"/>
          <w:tab w:val="clear" w:pos="2268"/>
          <w:tab w:val="clear" w:pos="2835"/>
        </w:tabs>
        <w:snapToGrid w:val="0"/>
        <w:spacing w:after="120"/>
        <w:jc w:val="both"/>
        <w:rPr>
          <w:rFonts w:asciiTheme="minorHAnsi" w:hAnsiTheme="minorHAnsi"/>
          <w:spacing w:val="-2"/>
          <w:szCs w:val="24"/>
          <w:lang w:val="en-CA"/>
        </w:rPr>
      </w:pPr>
      <w:r>
        <w:rPr>
          <w:rFonts w:asciiTheme="minorHAnsi" w:hAnsiTheme="minorHAnsi"/>
          <w:spacing w:val="-2"/>
          <w:szCs w:val="24"/>
          <w:lang w:val="en-CA"/>
        </w:rPr>
        <w:t>4.5</w:t>
      </w:r>
      <w:r>
        <w:rPr>
          <w:rFonts w:asciiTheme="minorHAnsi" w:hAnsiTheme="minorHAnsi"/>
          <w:spacing w:val="-2"/>
          <w:szCs w:val="24"/>
          <w:lang w:val="en-CA"/>
        </w:rPr>
        <w:tab/>
      </w:r>
      <w:r w:rsidRPr="00AC1043">
        <w:rPr>
          <w:rFonts w:asciiTheme="minorHAnsi" w:hAnsiTheme="minorHAnsi"/>
          <w:spacing w:val="-2"/>
          <w:szCs w:val="24"/>
          <w:lang w:val="en-CA"/>
        </w:rPr>
        <w:t xml:space="preserve">The </w:t>
      </w:r>
      <w:r>
        <w:rPr>
          <w:rFonts w:asciiTheme="minorHAnsi" w:hAnsiTheme="minorHAnsi"/>
          <w:spacing w:val="-2"/>
          <w:szCs w:val="24"/>
          <w:lang w:val="en-CA"/>
        </w:rPr>
        <w:t xml:space="preserve">Acting </w:t>
      </w:r>
      <w:r w:rsidRPr="00AC1043">
        <w:rPr>
          <w:rFonts w:asciiTheme="minorHAnsi" w:hAnsiTheme="minorHAnsi"/>
          <w:spacing w:val="-2"/>
          <w:szCs w:val="24"/>
          <w:lang w:val="en-CA"/>
        </w:rPr>
        <w:t>Chairman invited the Council to note the repo</w:t>
      </w:r>
      <w:r>
        <w:rPr>
          <w:rFonts w:asciiTheme="minorHAnsi" w:hAnsiTheme="minorHAnsi"/>
          <w:spacing w:val="-2"/>
          <w:szCs w:val="24"/>
          <w:lang w:val="en-CA"/>
        </w:rPr>
        <w:t>rt. He further invited Council Member States</w:t>
      </w:r>
      <w:r w:rsidRPr="00AC1043">
        <w:rPr>
          <w:rFonts w:asciiTheme="minorHAnsi" w:hAnsiTheme="minorHAnsi"/>
          <w:spacing w:val="-2"/>
          <w:szCs w:val="24"/>
          <w:lang w:val="en-CA"/>
        </w:rPr>
        <w:t xml:space="preserve"> to submit their views on it to the secretariat, by e</w:t>
      </w:r>
      <w:r>
        <w:rPr>
          <w:rFonts w:asciiTheme="minorHAnsi" w:hAnsiTheme="minorHAnsi"/>
          <w:spacing w:val="-2"/>
          <w:szCs w:val="24"/>
          <w:lang w:val="en-CA"/>
        </w:rPr>
        <w:t>-</w:t>
      </w:r>
      <w:r w:rsidRPr="00AC1043">
        <w:rPr>
          <w:rFonts w:asciiTheme="minorHAnsi" w:hAnsiTheme="minorHAnsi"/>
          <w:spacing w:val="-2"/>
          <w:szCs w:val="24"/>
          <w:lang w:val="en-CA"/>
        </w:rPr>
        <w:t xml:space="preserve">mail and as succinctly as possible, by 1400 hours on Monday, 17 June. The report, the official summary record of the Council's discussion thereof and a document containing the compilation of </w:t>
      </w:r>
      <w:r>
        <w:rPr>
          <w:rFonts w:asciiTheme="minorHAnsi" w:hAnsiTheme="minorHAnsi"/>
          <w:spacing w:val="-2"/>
          <w:szCs w:val="24"/>
          <w:lang w:val="en-CA"/>
        </w:rPr>
        <w:t xml:space="preserve">Council </w:t>
      </w:r>
      <w:r w:rsidRPr="00AC1043">
        <w:rPr>
          <w:rFonts w:asciiTheme="minorHAnsi" w:hAnsiTheme="minorHAnsi"/>
          <w:spacing w:val="-2"/>
          <w:szCs w:val="24"/>
          <w:lang w:val="en-CA"/>
        </w:rPr>
        <w:t xml:space="preserve">Member States' views would be submitted to the United Nations Secretary-General as a package, along with a covering letter clearly stating </w:t>
      </w:r>
      <w:r>
        <w:rPr>
          <w:rFonts w:asciiTheme="minorHAnsi" w:hAnsiTheme="minorHAnsi"/>
          <w:spacing w:val="-2"/>
          <w:szCs w:val="24"/>
          <w:lang w:val="en-CA"/>
        </w:rPr>
        <w:t>that</w:t>
      </w:r>
      <w:r w:rsidRPr="00AC1043">
        <w:rPr>
          <w:rFonts w:asciiTheme="minorHAnsi" w:hAnsiTheme="minorHAnsi"/>
          <w:spacing w:val="-2"/>
          <w:szCs w:val="24"/>
          <w:lang w:val="en-CA"/>
        </w:rPr>
        <w:t>: (a) the report had been noted by ITU Council Member States; (b) the report, the accompanying compilation and the summary record should be considered as a pac</w:t>
      </w:r>
      <w:r>
        <w:rPr>
          <w:rFonts w:asciiTheme="minorHAnsi" w:hAnsiTheme="minorHAnsi"/>
          <w:spacing w:val="-2"/>
          <w:szCs w:val="24"/>
          <w:lang w:val="en-CA"/>
        </w:rPr>
        <w:t>kage; and (c) the inclusion of</w:t>
      </w:r>
      <w:r w:rsidRPr="00AC1043">
        <w:rPr>
          <w:rFonts w:asciiTheme="minorHAnsi" w:hAnsiTheme="minorHAnsi"/>
          <w:spacing w:val="-2"/>
          <w:szCs w:val="24"/>
          <w:lang w:val="en-CA"/>
        </w:rPr>
        <w:t xml:space="preserve"> hyperlink</w:t>
      </w:r>
      <w:r>
        <w:rPr>
          <w:rFonts w:asciiTheme="minorHAnsi" w:hAnsiTheme="minorHAnsi"/>
          <w:spacing w:val="-2"/>
          <w:szCs w:val="24"/>
          <w:lang w:val="en-CA"/>
        </w:rPr>
        <w:t>s</w:t>
      </w:r>
      <w:r w:rsidRPr="00AC1043">
        <w:rPr>
          <w:rFonts w:asciiTheme="minorHAnsi" w:hAnsiTheme="minorHAnsi"/>
          <w:spacing w:val="-2"/>
          <w:szCs w:val="24"/>
          <w:lang w:val="en-CA"/>
        </w:rPr>
        <w:t xml:space="preserve"> did not imply implicit approval of the content of the hyperlink's target, as per Decision 14 (Busan, 2014). The covering letter and the compilation of </w:t>
      </w:r>
      <w:r>
        <w:rPr>
          <w:rFonts w:asciiTheme="minorHAnsi" w:hAnsiTheme="minorHAnsi"/>
          <w:spacing w:val="-2"/>
          <w:szCs w:val="24"/>
          <w:lang w:val="en-CA"/>
        </w:rPr>
        <w:t xml:space="preserve">Council </w:t>
      </w:r>
      <w:r w:rsidRPr="00AC1043">
        <w:rPr>
          <w:rFonts w:asciiTheme="minorHAnsi" w:hAnsiTheme="minorHAnsi"/>
          <w:spacing w:val="-2"/>
          <w:szCs w:val="24"/>
          <w:lang w:val="en-CA"/>
        </w:rPr>
        <w:t xml:space="preserve">Member States' views would be published as a temporary document with limited distribution by close of business </w:t>
      </w:r>
      <w:r>
        <w:rPr>
          <w:rFonts w:asciiTheme="minorHAnsi" w:hAnsiTheme="minorHAnsi"/>
          <w:spacing w:val="-2"/>
          <w:szCs w:val="24"/>
          <w:lang w:val="en-CA"/>
        </w:rPr>
        <w:t xml:space="preserve">on </w:t>
      </w:r>
      <w:r w:rsidRPr="00AC1043">
        <w:rPr>
          <w:rFonts w:asciiTheme="minorHAnsi" w:hAnsiTheme="minorHAnsi"/>
          <w:spacing w:val="-2"/>
          <w:szCs w:val="24"/>
          <w:lang w:val="en-CA"/>
        </w:rPr>
        <w:t>Tuesday, 18 Ju</w:t>
      </w:r>
      <w:r>
        <w:rPr>
          <w:rFonts w:asciiTheme="minorHAnsi" w:hAnsiTheme="minorHAnsi"/>
          <w:spacing w:val="-2"/>
          <w:szCs w:val="24"/>
          <w:lang w:val="en-CA"/>
        </w:rPr>
        <w:t>ne 2019, for review by Council Member States</w:t>
      </w:r>
      <w:r w:rsidRPr="00AC1043">
        <w:rPr>
          <w:rFonts w:asciiTheme="minorHAnsi" w:hAnsiTheme="minorHAnsi"/>
          <w:spacing w:val="-2"/>
          <w:szCs w:val="24"/>
          <w:lang w:val="en-CA"/>
        </w:rPr>
        <w:t xml:space="preserve">. The summary record would be reviewed as part of </w:t>
      </w:r>
      <w:r>
        <w:rPr>
          <w:rFonts w:asciiTheme="minorHAnsi" w:hAnsiTheme="minorHAnsi"/>
          <w:spacing w:val="-2"/>
          <w:szCs w:val="24"/>
          <w:lang w:val="en-CA"/>
        </w:rPr>
        <w:t xml:space="preserve">the </w:t>
      </w:r>
      <w:r w:rsidRPr="00AC1043">
        <w:rPr>
          <w:rFonts w:asciiTheme="minorHAnsi" w:hAnsiTheme="minorHAnsi"/>
          <w:spacing w:val="-2"/>
          <w:szCs w:val="24"/>
          <w:lang w:val="en-CA"/>
        </w:rPr>
        <w:t>normal Council procedure.</w:t>
      </w:r>
      <w:r>
        <w:rPr>
          <w:rFonts w:asciiTheme="minorHAnsi" w:hAnsiTheme="minorHAnsi"/>
          <w:spacing w:val="-2"/>
          <w:szCs w:val="24"/>
          <w:lang w:val="en-CA"/>
        </w:rPr>
        <w:t xml:space="preserve"> Lastly, he stressed that in noting the report in Document C19/33, the Council was not endorsing it.</w:t>
      </w:r>
    </w:p>
    <w:p w:rsidR="005118C8" w:rsidRPr="00AC1043" w:rsidRDefault="005118C8" w:rsidP="00015AFD">
      <w:pPr>
        <w:tabs>
          <w:tab w:val="clear" w:pos="567"/>
          <w:tab w:val="clear" w:pos="1134"/>
          <w:tab w:val="clear" w:pos="1701"/>
          <w:tab w:val="clear" w:pos="2268"/>
          <w:tab w:val="clear" w:pos="2835"/>
        </w:tabs>
        <w:snapToGrid w:val="0"/>
        <w:spacing w:after="120"/>
        <w:jc w:val="both"/>
        <w:rPr>
          <w:rFonts w:asciiTheme="minorHAnsi" w:hAnsiTheme="minorHAnsi"/>
          <w:szCs w:val="24"/>
          <w:lang w:val="en-CA"/>
        </w:rPr>
      </w:pPr>
      <w:r>
        <w:rPr>
          <w:rFonts w:asciiTheme="minorHAnsi" w:hAnsiTheme="minorHAnsi"/>
          <w:spacing w:val="-2"/>
          <w:szCs w:val="24"/>
          <w:lang w:val="en-CA"/>
        </w:rPr>
        <w:t>4.6</w:t>
      </w:r>
      <w:r>
        <w:rPr>
          <w:rFonts w:asciiTheme="minorHAnsi" w:hAnsiTheme="minorHAnsi"/>
          <w:spacing w:val="-2"/>
          <w:szCs w:val="24"/>
          <w:lang w:val="en-CA"/>
        </w:rPr>
        <w:tab/>
      </w:r>
      <w:r w:rsidRPr="00AC1043">
        <w:rPr>
          <w:rFonts w:asciiTheme="minorHAnsi" w:hAnsiTheme="minorHAnsi"/>
          <w:spacing w:val="-2"/>
          <w:szCs w:val="24"/>
          <w:lang w:val="en-CA"/>
        </w:rPr>
        <w:t xml:space="preserve">The Council </w:t>
      </w:r>
      <w:r w:rsidRPr="00AC1043">
        <w:rPr>
          <w:rFonts w:asciiTheme="minorHAnsi" w:hAnsiTheme="minorHAnsi"/>
          <w:b/>
          <w:bCs/>
          <w:spacing w:val="-2"/>
          <w:szCs w:val="24"/>
          <w:lang w:val="en-CA"/>
        </w:rPr>
        <w:t>noted</w:t>
      </w:r>
      <w:r w:rsidRPr="00AC1043">
        <w:rPr>
          <w:rFonts w:asciiTheme="minorHAnsi" w:hAnsiTheme="minorHAnsi"/>
          <w:spacing w:val="-2"/>
          <w:szCs w:val="24"/>
          <w:lang w:val="en-CA"/>
        </w:rPr>
        <w:t xml:space="preserve"> Document C19/33 and </w:t>
      </w:r>
      <w:r w:rsidRPr="00AC1043">
        <w:rPr>
          <w:rFonts w:asciiTheme="minorHAnsi" w:hAnsiTheme="minorHAnsi"/>
          <w:b/>
          <w:bCs/>
          <w:spacing w:val="-2"/>
          <w:szCs w:val="24"/>
          <w:lang w:val="en-CA"/>
        </w:rPr>
        <w:t>agreed</w:t>
      </w:r>
      <w:r w:rsidRPr="00AC1043">
        <w:rPr>
          <w:rFonts w:asciiTheme="minorHAnsi" w:hAnsiTheme="minorHAnsi"/>
          <w:spacing w:val="-2"/>
          <w:szCs w:val="24"/>
          <w:lang w:val="en-CA"/>
        </w:rPr>
        <w:t xml:space="preserve"> to proceed as proposed by the </w:t>
      </w:r>
      <w:r>
        <w:rPr>
          <w:rFonts w:asciiTheme="minorHAnsi" w:hAnsiTheme="minorHAnsi"/>
          <w:spacing w:val="-2"/>
          <w:szCs w:val="24"/>
          <w:lang w:val="en-CA"/>
        </w:rPr>
        <w:t xml:space="preserve">Acting </w:t>
      </w:r>
      <w:r w:rsidRPr="00AC1043">
        <w:rPr>
          <w:rFonts w:asciiTheme="minorHAnsi" w:hAnsiTheme="minorHAnsi"/>
          <w:spacing w:val="-2"/>
          <w:szCs w:val="24"/>
          <w:lang w:val="en-CA"/>
        </w:rPr>
        <w:t>Chairman.</w:t>
      </w:r>
    </w:p>
    <w:p w:rsidR="005118C8" w:rsidRPr="00AC1043" w:rsidRDefault="005118C8" w:rsidP="00015AFD">
      <w:pPr>
        <w:tabs>
          <w:tab w:val="clear" w:pos="567"/>
          <w:tab w:val="clear" w:pos="1134"/>
          <w:tab w:val="clear" w:pos="1701"/>
          <w:tab w:val="clear" w:pos="2268"/>
          <w:tab w:val="clear" w:pos="2835"/>
        </w:tabs>
        <w:snapToGrid w:val="0"/>
        <w:spacing w:after="120"/>
        <w:jc w:val="both"/>
        <w:rPr>
          <w:rFonts w:asciiTheme="minorHAnsi" w:hAnsiTheme="minorHAnsi"/>
          <w:szCs w:val="24"/>
          <w:lang w:val="en-CA"/>
        </w:rPr>
      </w:pPr>
      <w:r>
        <w:rPr>
          <w:rFonts w:asciiTheme="minorHAnsi" w:hAnsiTheme="minorHAnsi"/>
          <w:szCs w:val="24"/>
          <w:lang w:val="en-CA"/>
        </w:rPr>
        <w:t>4.7</w:t>
      </w:r>
      <w:r>
        <w:rPr>
          <w:rFonts w:asciiTheme="minorHAnsi" w:hAnsiTheme="minorHAnsi"/>
          <w:szCs w:val="24"/>
          <w:lang w:val="en-CA"/>
        </w:rPr>
        <w:tab/>
      </w:r>
      <w:r w:rsidRPr="00AC1043">
        <w:rPr>
          <w:rFonts w:asciiTheme="minorHAnsi" w:hAnsiTheme="minorHAnsi"/>
          <w:szCs w:val="24"/>
          <w:lang w:val="en-CA"/>
        </w:rPr>
        <w:t xml:space="preserve">The councillor from the United Arab Emirates introduced Document C19/102, which contained a proposal </w:t>
      </w:r>
      <w:r>
        <w:rPr>
          <w:rFonts w:asciiTheme="minorHAnsi" w:hAnsiTheme="minorHAnsi"/>
          <w:szCs w:val="24"/>
          <w:lang w:val="en-CA"/>
        </w:rPr>
        <w:t xml:space="preserve">by his country and Saudi Arabia </w:t>
      </w:r>
      <w:r w:rsidRPr="00AC1043">
        <w:rPr>
          <w:rFonts w:asciiTheme="minorHAnsi" w:hAnsiTheme="minorHAnsi"/>
          <w:szCs w:val="24"/>
          <w:lang w:val="en-CA"/>
        </w:rPr>
        <w:t>for OTT activities to be undertaken during the 2019–2022 study period.</w:t>
      </w:r>
    </w:p>
    <w:p w:rsidR="005118C8" w:rsidRPr="00AC1043" w:rsidRDefault="005118C8" w:rsidP="00015AFD">
      <w:pPr>
        <w:tabs>
          <w:tab w:val="clear" w:pos="567"/>
          <w:tab w:val="clear" w:pos="1134"/>
          <w:tab w:val="clear" w:pos="1701"/>
          <w:tab w:val="clear" w:pos="2268"/>
          <w:tab w:val="clear" w:pos="2835"/>
        </w:tabs>
        <w:snapToGrid w:val="0"/>
        <w:spacing w:after="120"/>
        <w:jc w:val="both"/>
        <w:rPr>
          <w:rFonts w:asciiTheme="minorHAnsi" w:hAnsiTheme="minorHAnsi"/>
          <w:szCs w:val="24"/>
          <w:lang w:val="en-CA"/>
        </w:rPr>
      </w:pPr>
      <w:r>
        <w:rPr>
          <w:rFonts w:asciiTheme="minorHAnsi" w:hAnsiTheme="minorHAnsi"/>
          <w:szCs w:val="24"/>
          <w:lang w:val="en-CA"/>
        </w:rPr>
        <w:lastRenderedPageBreak/>
        <w:t>4.8</w:t>
      </w:r>
      <w:r>
        <w:rPr>
          <w:rFonts w:asciiTheme="minorHAnsi" w:hAnsiTheme="minorHAnsi"/>
          <w:szCs w:val="24"/>
          <w:lang w:val="en-CA"/>
        </w:rPr>
        <w:tab/>
      </w:r>
      <w:r w:rsidRPr="00AC1043">
        <w:rPr>
          <w:rFonts w:asciiTheme="minorHAnsi" w:hAnsiTheme="minorHAnsi"/>
          <w:szCs w:val="24"/>
          <w:lang w:val="en-CA"/>
        </w:rPr>
        <w:t xml:space="preserve">Several councillors endorsed the proposal, which </w:t>
      </w:r>
      <w:r w:rsidR="00FC3D7E">
        <w:rPr>
          <w:rFonts w:asciiTheme="minorHAnsi" w:hAnsiTheme="minorHAnsi"/>
          <w:szCs w:val="24"/>
          <w:lang w:val="en-CA"/>
        </w:rPr>
        <w:t xml:space="preserve">according to them, </w:t>
      </w:r>
      <w:r w:rsidRPr="00AC1043">
        <w:rPr>
          <w:rFonts w:asciiTheme="minorHAnsi" w:hAnsiTheme="minorHAnsi"/>
          <w:szCs w:val="24"/>
          <w:lang w:val="en-CA"/>
        </w:rPr>
        <w:t xml:space="preserve">followed logically on </w:t>
      </w:r>
      <w:r>
        <w:rPr>
          <w:rFonts w:asciiTheme="minorHAnsi" w:hAnsiTheme="minorHAnsi"/>
          <w:szCs w:val="24"/>
          <w:lang w:val="en-CA"/>
        </w:rPr>
        <w:t xml:space="preserve">from </w:t>
      </w:r>
      <w:r w:rsidRPr="00AC1043">
        <w:rPr>
          <w:rFonts w:asciiTheme="minorHAnsi" w:hAnsiTheme="minorHAnsi"/>
          <w:szCs w:val="24"/>
          <w:lang w:val="en-CA"/>
        </w:rPr>
        <w:t>discussions at PP-18 and addressed the socio</w:t>
      </w:r>
      <w:r>
        <w:rPr>
          <w:rFonts w:asciiTheme="minorHAnsi" w:hAnsiTheme="minorHAnsi"/>
          <w:szCs w:val="24"/>
          <w:lang w:val="en-CA"/>
        </w:rPr>
        <w:t>-</w:t>
      </w:r>
      <w:r w:rsidRPr="00AC1043">
        <w:rPr>
          <w:rFonts w:asciiTheme="minorHAnsi" w:hAnsiTheme="minorHAnsi"/>
          <w:szCs w:val="24"/>
          <w:lang w:val="en-CA"/>
        </w:rPr>
        <w:t xml:space="preserve">economic impact of OTTs and capacity building in developing countries. One </w:t>
      </w:r>
      <w:r>
        <w:rPr>
          <w:rFonts w:asciiTheme="minorHAnsi" w:hAnsiTheme="minorHAnsi"/>
          <w:szCs w:val="24"/>
          <w:lang w:val="en-CA"/>
        </w:rPr>
        <w:t xml:space="preserve">councillor </w:t>
      </w:r>
      <w:r w:rsidRPr="00AC1043">
        <w:rPr>
          <w:rFonts w:asciiTheme="minorHAnsi" w:hAnsiTheme="minorHAnsi"/>
          <w:szCs w:val="24"/>
          <w:lang w:val="en-CA"/>
        </w:rPr>
        <w:t>said that the new activities proposed would enable study group results to be applied in developing countries.</w:t>
      </w:r>
    </w:p>
    <w:p w:rsidR="005118C8" w:rsidRPr="00AC1043" w:rsidRDefault="005118C8">
      <w:pPr>
        <w:tabs>
          <w:tab w:val="clear" w:pos="567"/>
          <w:tab w:val="clear" w:pos="1134"/>
          <w:tab w:val="clear" w:pos="1701"/>
          <w:tab w:val="clear" w:pos="2268"/>
          <w:tab w:val="clear" w:pos="2835"/>
        </w:tabs>
        <w:snapToGrid w:val="0"/>
        <w:spacing w:after="120"/>
        <w:jc w:val="both"/>
        <w:rPr>
          <w:rFonts w:asciiTheme="minorHAnsi" w:hAnsiTheme="minorHAnsi"/>
          <w:szCs w:val="24"/>
          <w:lang w:val="en-CA"/>
        </w:rPr>
      </w:pPr>
      <w:r>
        <w:rPr>
          <w:rFonts w:asciiTheme="minorHAnsi" w:hAnsiTheme="minorHAnsi"/>
          <w:szCs w:val="24"/>
          <w:lang w:val="en-CA"/>
        </w:rPr>
        <w:t>4.9</w:t>
      </w:r>
      <w:r>
        <w:rPr>
          <w:rFonts w:asciiTheme="minorHAnsi" w:hAnsiTheme="minorHAnsi"/>
          <w:szCs w:val="24"/>
          <w:lang w:val="en-CA"/>
        </w:rPr>
        <w:tab/>
      </w:r>
      <w:r w:rsidRPr="00AC1043">
        <w:rPr>
          <w:rFonts w:asciiTheme="minorHAnsi" w:hAnsiTheme="minorHAnsi"/>
          <w:szCs w:val="24"/>
          <w:lang w:val="en-CA"/>
        </w:rPr>
        <w:t xml:space="preserve">Other councillors observed that a number of the proposals made in Document C19/102, in particular with regard to capacity building, related to questions already being examined by ITU-D and ITU-T study groups under Resolution 206 (Dubai, 2018), that CWG-Internet had engaged in public consultations on OTT services, and that the subject had been addressed by the Global Symposium for Regulators. They asked what new activities were being proposed and what the financial implications would be. </w:t>
      </w:r>
      <w:r>
        <w:rPr>
          <w:rFonts w:asciiTheme="minorHAnsi" w:hAnsiTheme="minorHAnsi"/>
          <w:szCs w:val="24"/>
          <w:lang w:val="en-CA"/>
        </w:rPr>
        <w:t xml:space="preserve">One </w:t>
      </w:r>
      <w:r w:rsidRPr="00AC1043">
        <w:rPr>
          <w:rFonts w:asciiTheme="minorHAnsi" w:hAnsiTheme="minorHAnsi"/>
          <w:szCs w:val="24"/>
          <w:lang w:val="en-CA"/>
        </w:rPr>
        <w:t xml:space="preserve">councillor suggested that TSB and BDT should be asked what elements in the proposal were not already being tackled by their services and that the annual report to be drawn up by the Secretary-General under Resolution 206 (Dubai, 2018) should </w:t>
      </w:r>
      <w:r w:rsidR="00BA4979">
        <w:rPr>
          <w:rFonts w:asciiTheme="minorHAnsi" w:hAnsiTheme="minorHAnsi"/>
          <w:szCs w:val="24"/>
          <w:lang w:val="en-CA"/>
        </w:rPr>
        <w:t xml:space="preserve">highlight </w:t>
      </w:r>
      <w:r w:rsidRPr="00AC1043">
        <w:rPr>
          <w:rFonts w:asciiTheme="minorHAnsi" w:hAnsiTheme="minorHAnsi"/>
          <w:szCs w:val="24"/>
          <w:lang w:val="en-CA"/>
        </w:rPr>
        <w:t>the many OTT activities the Union was already carrying out.</w:t>
      </w:r>
    </w:p>
    <w:p w:rsidR="005118C8" w:rsidRPr="00AC1043" w:rsidRDefault="005118C8" w:rsidP="00015AFD">
      <w:pPr>
        <w:tabs>
          <w:tab w:val="clear" w:pos="567"/>
          <w:tab w:val="clear" w:pos="1134"/>
          <w:tab w:val="clear" w:pos="1701"/>
          <w:tab w:val="clear" w:pos="2268"/>
          <w:tab w:val="clear" w:pos="2835"/>
        </w:tabs>
        <w:snapToGrid w:val="0"/>
        <w:spacing w:after="120"/>
        <w:jc w:val="both"/>
        <w:rPr>
          <w:rFonts w:asciiTheme="minorHAnsi" w:hAnsiTheme="minorHAnsi"/>
          <w:szCs w:val="24"/>
          <w:lang w:val="en-CA"/>
        </w:rPr>
      </w:pPr>
      <w:r>
        <w:rPr>
          <w:rFonts w:asciiTheme="minorHAnsi" w:hAnsiTheme="minorHAnsi"/>
          <w:szCs w:val="24"/>
          <w:lang w:val="en-CA"/>
        </w:rPr>
        <w:t>4.10</w:t>
      </w:r>
      <w:r>
        <w:rPr>
          <w:rFonts w:asciiTheme="minorHAnsi" w:hAnsiTheme="minorHAnsi"/>
          <w:szCs w:val="24"/>
          <w:lang w:val="en-CA"/>
        </w:rPr>
        <w:tab/>
      </w:r>
      <w:r w:rsidRPr="00AC1043">
        <w:rPr>
          <w:rFonts w:asciiTheme="minorHAnsi" w:hAnsiTheme="minorHAnsi"/>
          <w:szCs w:val="24"/>
          <w:lang w:val="en-CA"/>
        </w:rPr>
        <w:t>One counci</w:t>
      </w:r>
      <w:r>
        <w:rPr>
          <w:rFonts w:asciiTheme="minorHAnsi" w:hAnsiTheme="minorHAnsi"/>
          <w:szCs w:val="24"/>
          <w:lang w:val="en-CA"/>
        </w:rPr>
        <w:t>llor,</w:t>
      </w:r>
      <w:r w:rsidRPr="00AC1043">
        <w:rPr>
          <w:rFonts w:asciiTheme="minorHAnsi" w:hAnsiTheme="minorHAnsi"/>
          <w:szCs w:val="24"/>
          <w:lang w:val="en-CA"/>
        </w:rPr>
        <w:t xml:space="preserve"> observing that Resolution 206 (Dubai, 2018) was intended to serve as an umbrella resolution on OTTs, suggested that the annual report by the Secretary-General would be the appropriate </w:t>
      </w:r>
      <w:r>
        <w:rPr>
          <w:rFonts w:asciiTheme="minorHAnsi" w:hAnsiTheme="minorHAnsi"/>
          <w:szCs w:val="24"/>
          <w:lang w:val="en-CA"/>
        </w:rPr>
        <w:t xml:space="preserve">vehicle for providing </w:t>
      </w:r>
      <w:r w:rsidRPr="00AC1043">
        <w:rPr>
          <w:rFonts w:asciiTheme="minorHAnsi" w:hAnsiTheme="minorHAnsi"/>
          <w:szCs w:val="24"/>
          <w:lang w:val="en-CA"/>
        </w:rPr>
        <w:t>an overview of all OTT activities.</w:t>
      </w:r>
    </w:p>
    <w:p w:rsidR="005118C8" w:rsidRPr="00AC1043" w:rsidRDefault="005118C8" w:rsidP="00015AFD">
      <w:pPr>
        <w:tabs>
          <w:tab w:val="clear" w:pos="567"/>
          <w:tab w:val="clear" w:pos="1134"/>
          <w:tab w:val="clear" w:pos="1701"/>
          <w:tab w:val="clear" w:pos="2268"/>
          <w:tab w:val="clear" w:pos="2835"/>
        </w:tabs>
        <w:snapToGrid w:val="0"/>
        <w:spacing w:after="120"/>
        <w:jc w:val="both"/>
        <w:rPr>
          <w:rFonts w:asciiTheme="minorHAnsi" w:hAnsiTheme="minorHAnsi"/>
          <w:szCs w:val="24"/>
          <w:lang w:val="en-CA"/>
        </w:rPr>
      </w:pPr>
      <w:r>
        <w:rPr>
          <w:rFonts w:asciiTheme="minorHAnsi" w:hAnsiTheme="minorHAnsi"/>
          <w:szCs w:val="24"/>
          <w:lang w:val="en-CA"/>
        </w:rPr>
        <w:t>4.11</w:t>
      </w:r>
      <w:r>
        <w:rPr>
          <w:rFonts w:asciiTheme="minorHAnsi" w:hAnsiTheme="minorHAnsi"/>
          <w:szCs w:val="24"/>
          <w:lang w:val="en-CA"/>
        </w:rPr>
        <w:tab/>
      </w:r>
      <w:r w:rsidRPr="00AC1043">
        <w:rPr>
          <w:rFonts w:asciiTheme="minorHAnsi" w:hAnsiTheme="minorHAnsi"/>
          <w:szCs w:val="24"/>
          <w:lang w:val="en-CA"/>
        </w:rPr>
        <w:t>The councillor from the United Arab Emirates, addressing the financial concerns raised, said that, as the proposal was based on Resolution 206 (Dubai, 2018), any financial obligations arising from the capacity-building activities proposed would be met in the course of their implementation by ITU-D. Moreover, the Secretary-General's efforts to foster opportunities for collaboration among stakeholders were not likely to have any financial implications, and the Secretary-General's annual report would be b</w:t>
      </w:r>
      <w:r>
        <w:rPr>
          <w:rFonts w:asciiTheme="minorHAnsi" w:hAnsiTheme="minorHAnsi"/>
          <w:szCs w:val="24"/>
          <w:lang w:val="en-CA"/>
        </w:rPr>
        <w:t>ased on S</w:t>
      </w:r>
      <w:r w:rsidRPr="00AC1043">
        <w:rPr>
          <w:rFonts w:asciiTheme="minorHAnsi" w:hAnsiTheme="minorHAnsi"/>
          <w:szCs w:val="24"/>
          <w:lang w:val="en-CA"/>
        </w:rPr>
        <w:t>ector reports on OTT activities in general. The workshops proposed were intended to close gaps between stakeholders.</w:t>
      </w:r>
    </w:p>
    <w:p w:rsidR="005118C8" w:rsidRPr="00AC1043" w:rsidRDefault="005118C8" w:rsidP="00015AFD">
      <w:pPr>
        <w:tabs>
          <w:tab w:val="clear" w:pos="567"/>
          <w:tab w:val="clear" w:pos="1134"/>
          <w:tab w:val="clear" w:pos="1701"/>
          <w:tab w:val="clear" w:pos="2268"/>
          <w:tab w:val="clear" w:pos="2835"/>
        </w:tabs>
        <w:snapToGrid w:val="0"/>
        <w:spacing w:after="120"/>
        <w:jc w:val="both"/>
        <w:rPr>
          <w:rFonts w:asciiTheme="minorHAnsi" w:hAnsiTheme="minorHAnsi"/>
          <w:szCs w:val="24"/>
          <w:lang w:val="en-CA"/>
        </w:rPr>
      </w:pPr>
      <w:r>
        <w:rPr>
          <w:rFonts w:asciiTheme="minorHAnsi" w:hAnsiTheme="minorHAnsi"/>
          <w:szCs w:val="24"/>
          <w:lang w:val="en-CA"/>
        </w:rPr>
        <w:t>4.12</w:t>
      </w:r>
      <w:r>
        <w:rPr>
          <w:rFonts w:asciiTheme="minorHAnsi" w:hAnsiTheme="minorHAnsi"/>
          <w:szCs w:val="24"/>
          <w:lang w:val="en-CA"/>
        </w:rPr>
        <w:tab/>
      </w:r>
      <w:r w:rsidRPr="00AC1043">
        <w:rPr>
          <w:rFonts w:asciiTheme="minorHAnsi" w:hAnsiTheme="minorHAnsi"/>
          <w:szCs w:val="24"/>
          <w:lang w:val="en-CA"/>
        </w:rPr>
        <w:t xml:space="preserve">The </w:t>
      </w:r>
      <w:r>
        <w:rPr>
          <w:rFonts w:asciiTheme="minorHAnsi" w:hAnsiTheme="minorHAnsi"/>
          <w:szCs w:val="24"/>
          <w:lang w:val="en-CA"/>
        </w:rPr>
        <w:t xml:space="preserve">Acting </w:t>
      </w:r>
      <w:r w:rsidRPr="00AC1043">
        <w:rPr>
          <w:rFonts w:asciiTheme="minorHAnsi" w:hAnsiTheme="minorHAnsi"/>
          <w:szCs w:val="24"/>
          <w:lang w:val="en-CA"/>
        </w:rPr>
        <w:t xml:space="preserve">Chairman invited the Council to note Document C19/102 and to ask the secretariat to take the proposals it contained into consideration in its work to implement Resolution 206 (Dubai, 2018), taking into account the </w:t>
      </w:r>
      <w:r>
        <w:rPr>
          <w:rFonts w:asciiTheme="minorHAnsi" w:hAnsiTheme="minorHAnsi"/>
          <w:szCs w:val="24"/>
          <w:lang w:val="en-CA"/>
        </w:rPr>
        <w:t xml:space="preserve">views expressed </w:t>
      </w:r>
      <w:r w:rsidRPr="00AC1043">
        <w:rPr>
          <w:rFonts w:asciiTheme="minorHAnsi" w:hAnsiTheme="minorHAnsi"/>
          <w:szCs w:val="24"/>
          <w:lang w:val="en-CA"/>
        </w:rPr>
        <w:t>at the current session of the Council.</w:t>
      </w:r>
    </w:p>
    <w:p w:rsidR="005118C8" w:rsidRPr="00AC1043" w:rsidRDefault="005118C8" w:rsidP="00015AFD">
      <w:pPr>
        <w:tabs>
          <w:tab w:val="clear" w:pos="567"/>
          <w:tab w:val="clear" w:pos="1134"/>
          <w:tab w:val="clear" w:pos="1701"/>
          <w:tab w:val="clear" w:pos="2268"/>
          <w:tab w:val="clear" w:pos="2835"/>
        </w:tabs>
        <w:snapToGrid w:val="0"/>
        <w:spacing w:after="120"/>
        <w:jc w:val="both"/>
        <w:rPr>
          <w:rFonts w:asciiTheme="minorHAnsi" w:hAnsiTheme="minorHAnsi"/>
          <w:szCs w:val="24"/>
          <w:lang w:val="en-CA"/>
        </w:rPr>
      </w:pPr>
      <w:r>
        <w:rPr>
          <w:rFonts w:asciiTheme="minorHAnsi" w:hAnsiTheme="minorHAnsi"/>
          <w:szCs w:val="24"/>
          <w:lang w:val="en-CA"/>
        </w:rPr>
        <w:t>4.13</w:t>
      </w:r>
      <w:r>
        <w:rPr>
          <w:rFonts w:asciiTheme="minorHAnsi" w:hAnsiTheme="minorHAnsi"/>
          <w:szCs w:val="24"/>
          <w:lang w:val="en-CA"/>
        </w:rPr>
        <w:tab/>
      </w:r>
      <w:r w:rsidRPr="00AC1043">
        <w:rPr>
          <w:rFonts w:asciiTheme="minorHAnsi" w:hAnsiTheme="minorHAnsi"/>
          <w:szCs w:val="24"/>
          <w:lang w:val="en-CA"/>
        </w:rPr>
        <w:t xml:space="preserve">It was so </w:t>
      </w:r>
      <w:r w:rsidRPr="00AC1043">
        <w:rPr>
          <w:rFonts w:asciiTheme="minorHAnsi" w:hAnsiTheme="minorHAnsi"/>
          <w:b/>
          <w:bCs/>
          <w:szCs w:val="24"/>
          <w:lang w:val="en-CA"/>
        </w:rPr>
        <w:t>agreed</w:t>
      </w:r>
      <w:r w:rsidRPr="00AC1043">
        <w:rPr>
          <w:rFonts w:asciiTheme="minorHAnsi" w:hAnsiTheme="minorHAnsi"/>
          <w:szCs w:val="24"/>
          <w:lang w:val="en-CA"/>
        </w:rPr>
        <w:t>.</w:t>
      </w:r>
    </w:p>
    <w:p w:rsidR="005118C8" w:rsidRPr="00AC1043" w:rsidRDefault="005118C8" w:rsidP="00015AFD">
      <w:pPr>
        <w:tabs>
          <w:tab w:val="clear" w:pos="567"/>
          <w:tab w:val="clear" w:pos="1134"/>
          <w:tab w:val="clear" w:pos="1701"/>
          <w:tab w:val="clear" w:pos="2268"/>
          <w:tab w:val="clear" w:pos="2835"/>
        </w:tabs>
        <w:snapToGrid w:val="0"/>
        <w:spacing w:after="120"/>
        <w:jc w:val="both"/>
        <w:rPr>
          <w:rFonts w:asciiTheme="minorHAnsi" w:hAnsiTheme="minorHAnsi"/>
          <w:szCs w:val="24"/>
          <w:lang w:val="en-CA"/>
        </w:rPr>
      </w:pPr>
      <w:r>
        <w:rPr>
          <w:rFonts w:asciiTheme="minorHAnsi" w:hAnsiTheme="minorHAnsi"/>
          <w:szCs w:val="24"/>
          <w:lang w:val="en-CA"/>
        </w:rPr>
        <w:t>4.14</w:t>
      </w:r>
      <w:r>
        <w:rPr>
          <w:rFonts w:asciiTheme="minorHAnsi" w:hAnsiTheme="minorHAnsi"/>
          <w:szCs w:val="24"/>
          <w:lang w:val="en-CA"/>
        </w:rPr>
        <w:tab/>
      </w:r>
      <w:r w:rsidRPr="00AC1043">
        <w:rPr>
          <w:rFonts w:asciiTheme="minorHAnsi" w:hAnsiTheme="minorHAnsi"/>
          <w:szCs w:val="24"/>
          <w:lang w:val="en-CA"/>
        </w:rPr>
        <w:t>The councillor from Algeria introduced Document C19/82, which contained a proposal to list OTTs in the table of international Internet public policy issues contained in Anne</w:t>
      </w:r>
      <w:r>
        <w:rPr>
          <w:rFonts w:asciiTheme="minorHAnsi" w:hAnsiTheme="minorHAnsi"/>
          <w:szCs w:val="24"/>
          <w:lang w:val="en-CA"/>
        </w:rPr>
        <w:t>x 1 to Council Resolution 1305.</w:t>
      </w:r>
      <w:r w:rsidRPr="00AC1043">
        <w:rPr>
          <w:rFonts w:asciiTheme="minorHAnsi" w:hAnsiTheme="minorHAnsi"/>
          <w:szCs w:val="24"/>
          <w:lang w:val="en-CA"/>
        </w:rPr>
        <w:t xml:space="preserve"> </w:t>
      </w:r>
    </w:p>
    <w:p w:rsidR="005118C8" w:rsidRPr="00AC1043" w:rsidRDefault="005118C8" w:rsidP="00015AFD">
      <w:pPr>
        <w:tabs>
          <w:tab w:val="clear" w:pos="567"/>
          <w:tab w:val="clear" w:pos="1134"/>
          <w:tab w:val="clear" w:pos="1701"/>
          <w:tab w:val="clear" w:pos="2268"/>
          <w:tab w:val="clear" w:pos="2835"/>
        </w:tabs>
        <w:snapToGrid w:val="0"/>
        <w:spacing w:after="120"/>
        <w:jc w:val="both"/>
        <w:rPr>
          <w:rFonts w:asciiTheme="minorHAnsi" w:hAnsiTheme="minorHAnsi"/>
          <w:szCs w:val="24"/>
          <w:lang w:val="en-CA"/>
        </w:rPr>
      </w:pPr>
      <w:r>
        <w:rPr>
          <w:rFonts w:asciiTheme="minorHAnsi" w:hAnsiTheme="minorHAnsi"/>
          <w:szCs w:val="24"/>
          <w:lang w:val="en-CA"/>
        </w:rPr>
        <w:t>4.15</w:t>
      </w:r>
      <w:r>
        <w:rPr>
          <w:rFonts w:asciiTheme="minorHAnsi" w:hAnsiTheme="minorHAnsi"/>
          <w:szCs w:val="24"/>
          <w:lang w:val="en-CA"/>
        </w:rPr>
        <w:tab/>
      </w:r>
      <w:r w:rsidRPr="00AC1043">
        <w:rPr>
          <w:rFonts w:asciiTheme="minorHAnsi" w:hAnsiTheme="minorHAnsi"/>
          <w:szCs w:val="24"/>
          <w:lang w:val="en-CA"/>
        </w:rPr>
        <w:t>Several councillors endorsed the proposal.</w:t>
      </w:r>
    </w:p>
    <w:p w:rsidR="005118C8" w:rsidRPr="00AC1043" w:rsidRDefault="005118C8" w:rsidP="00015AFD">
      <w:pPr>
        <w:tabs>
          <w:tab w:val="clear" w:pos="567"/>
          <w:tab w:val="clear" w:pos="1134"/>
          <w:tab w:val="clear" w:pos="1701"/>
          <w:tab w:val="clear" w:pos="2268"/>
          <w:tab w:val="clear" w:pos="2835"/>
        </w:tabs>
        <w:snapToGrid w:val="0"/>
        <w:spacing w:after="120"/>
        <w:jc w:val="both"/>
        <w:rPr>
          <w:rFonts w:asciiTheme="minorHAnsi" w:hAnsiTheme="minorHAnsi"/>
          <w:szCs w:val="24"/>
          <w:lang w:val="en-CA"/>
        </w:rPr>
      </w:pPr>
      <w:r>
        <w:rPr>
          <w:rFonts w:asciiTheme="minorHAnsi" w:hAnsiTheme="minorHAnsi"/>
          <w:szCs w:val="24"/>
          <w:lang w:val="en-CA"/>
        </w:rPr>
        <w:t>4.16</w:t>
      </w:r>
      <w:r>
        <w:rPr>
          <w:rFonts w:asciiTheme="minorHAnsi" w:hAnsiTheme="minorHAnsi"/>
          <w:szCs w:val="24"/>
          <w:lang w:val="en-CA"/>
        </w:rPr>
        <w:tab/>
      </w:r>
      <w:r w:rsidRPr="00AC1043">
        <w:rPr>
          <w:rFonts w:asciiTheme="minorHAnsi" w:hAnsiTheme="minorHAnsi"/>
          <w:szCs w:val="24"/>
          <w:lang w:val="en-CA"/>
        </w:rPr>
        <w:t xml:space="preserve">The Council </w:t>
      </w:r>
      <w:r w:rsidRPr="00574591">
        <w:rPr>
          <w:rFonts w:asciiTheme="minorHAnsi" w:hAnsiTheme="minorHAnsi"/>
          <w:b/>
          <w:bCs/>
          <w:szCs w:val="24"/>
          <w:lang w:val="en-CA"/>
        </w:rPr>
        <w:t>agreed</w:t>
      </w:r>
      <w:r w:rsidRPr="00AC1043">
        <w:rPr>
          <w:rFonts w:asciiTheme="minorHAnsi" w:hAnsiTheme="minorHAnsi"/>
          <w:szCs w:val="24"/>
          <w:lang w:val="en-CA"/>
        </w:rPr>
        <w:t xml:space="preserve"> to amend Council Resolution 1305 (2009) as proposed.</w:t>
      </w:r>
    </w:p>
    <w:p w:rsidR="0085200A" w:rsidRPr="00C13907" w:rsidRDefault="0085200A" w:rsidP="006E0754">
      <w:pPr>
        <w:tabs>
          <w:tab w:val="clear" w:pos="567"/>
          <w:tab w:val="clear" w:pos="1134"/>
          <w:tab w:val="clear" w:pos="1701"/>
          <w:tab w:val="clear" w:pos="2268"/>
          <w:tab w:val="clear" w:pos="2835"/>
          <w:tab w:val="left" w:pos="6521"/>
        </w:tabs>
        <w:snapToGrid w:val="0"/>
        <w:spacing w:before="600"/>
        <w:jc w:val="both"/>
        <w:rPr>
          <w:szCs w:val="24"/>
        </w:rPr>
      </w:pPr>
      <w:r w:rsidRPr="00C13907">
        <w:rPr>
          <w:szCs w:val="24"/>
        </w:rPr>
        <w:t>The Secretary-General:</w:t>
      </w:r>
      <w:r w:rsidRPr="00C13907">
        <w:rPr>
          <w:szCs w:val="24"/>
        </w:rPr>
        <w:tab/>
        <w:t xml:space="preserve">The </w:t>
      </w:r>
      <w:r w:rsidR="00263BC1">
        <w:rPr>
          <w:szCs w:val="24"/>
        </w:rPr>
        <w:t xml:space="preserve">Acting </w:t>
      </w:r>
      <w:r w:rsidRPr="00C13907">
        <w:rPr>
          <w:szCs w:val="24"/>
        </w:rPr>
        <w:t>Chairman:</w:t>
      </w:r>
    </w:p>
    <w:p w:rsidR="0085200A" w:rsidRDefault="0085200A" w:rsidP="006E0754">
      <w:pPr>
        <w:tabs>
          <w:tab w:val="clear" w:pos="567"/>
          <w:tab w:val="clear" w:pos="1134"/>
          <w:tab w:val="clear" w:pos="1701"/>
          <w:tab w:val="clear" w:pos="2268"/>
          <w:tab w:val="clear" w:pos="2835"/>
          <w:tab w:val="left" w:pos="6521"/>
        </w:tabs>
        <w:snapToGrid w:val="0"/>
        <w:spacing w:before="0" w:after="120"/>
        <w:jc w:val="both"/>
        <w:rPr>
          <w:szCs w:val="24"/>
        </w:rPr>
      </w:pPr>
      <w:r w:rsidRPr="00C13907">
        <w:rPr>
          <w:szCs w:val="24"/>
        </w:rPr>
        <w:t>H. ZHAO</w:t>
      </w:r>
      <w:r w:rsidRPr="00C13907">
        <w:rPr>
          <w:szCs w:val="24"/>
        </w:rPr>
        <w:tab/>
      </w:r>
      <w:r>
        <w:rPr>
          <w:szCs w:val="24"/>
        </w:rPr>
        <w:t>F. BIGI</w:t>
      </w:r>
    </w:p>
    <w:p w:rsidR="00264425" w:rsidRPr="002A2188" w:rsidRDefault="0085200A" w:rsidP="006E0754">
      <w:pPr>
        <w:spacing w:before="840"/>
        <w:jc w:val="center"/>
        <w:rPr>
          <w:lang w:val="en-US"/>
        </w:rPr>
      </w:pPr>
      <w:r>
        <w:t>___________________</w:t>
      </w:r>
    </w:p>
    <w:sectPr w:rsidR="00264425" w:rsidRPr="002A2188" w:rsidSect="004D1851">
      <w:headerReference w:type="default" r:id="rId51"/>
      <w:footerReference w:type="default" r:id="rId52"/>
      <w:footerReference w:type="first" r:id="rId5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3D97" w:rsidRDefault="00383D97">
      <w:r>
        <w:separator/>
      </w:r>
    </w:p>
  </w:endnote>
  <w:endnote w:type="continuationSeparator" w:id="0">
    <w:p w:rsidR="00383D97" w:rsidRDefault="00383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8FF" w:rsidRPr="00BD39C8" w:rsidRDefault="006E0754">
    <w:pPr>
      <w:pStyle w:val="Footer"/>
      <w:rPr>
        <w:color w:val="D9D9D9" w:themeColor="background1" w:themeShade="D9"/>
      </w:rPr>
    </w:pPr>
    <w:r w:rsidRPr="00BD39C8">
      <w:rPr>
        <w:color w:val="D9D9D9" w:themeColor="background1" w:themeShade="D9"/>
      </w:rPr>
      <w:fldChar w:fldCharType="begin"/>
    </w:r>
    <w:r w:rsidRPr="00BD39C8">
      <w:rPr>
        <w:color w:val="D9D9D9" w:themeColor="background1" w:themeShade="D9"/>
      </w:rPr>
      <w:instrText xml:space="preserve"> FILENAME \p  \* MERGEFORMAT </w:instrText>
    </w:r>
    <w:r w:rsidRPr="00BD39C8">
      <w:rPr>
        <w:color w:val="D9D9D9" w:themeColor="background1" w:themeShade="D9"/>
      </w:rPr>
      <w:fldChar w:fldCharType="separate"/>
    </w:r>
    <w:r w:rsidR="007D2A52" w:rsidRPr="00BD39C8">
      <w:rPr>
        <w:color w:val="D9D9D9" w:themeColor="background1" w:themeShade="D9"/>
      </w:rPr>
      <w:t>Document4</w:t>
    </w:r>
    <w:r w:rsidRPr="00BD39C8">
      <w:rPr>
        <w:color w:val="D9D9D9" w:themeColor="background1" w:themeShade="D9"/>
      </w:rPr>
      <w:fldChar w:fldCharType="end"/>
    </w:r>
    <w:r w:rsidR="00CB18FF" w:rsidRPr="00BD39C8">
      <w:rPr>
        <w:color w:val="D9D9D9" w:themeColor="background1" w:themeShade="D9"/>
      </w:rPr>
      <w:tab/>
    </w:r>
    <w:r w:rsidR="00864AFF" w:rsidRPr="00BD39C8">
      <w:rPr>
        <w:color w:val="D9D9D9" w:themeColor="background1" w:themeShade="D9"/>
      </w:rPr>
      <w:fldChar w:fldCharType="begin"/>
    </w:r>
    <w:r w:rsidR="00CB18FF" w:rsidRPr="00BD39C8">
      <w:rPr>
        <w:color w:val="D9D9D9" w:themeColor="background1" w:themeShade="D9"/>
      </w:rPr>
      <w:instrText xml:space="preserve"> SAVEDATE \@ DD.MM.YY </w:instrText>
    </w:r>
    <w:r w:rsidR="00864AFF" w:rsidRPr="00BD39C8">
      <w:rPr>
        <w:color w:val="D9D9D9" w:themeColor="background1" w:themeShade="D9"/>
      </w:rPr>
      <w:fldChar w:fldCharType="separate"/>
    </w:r>
    <w:r w:rsidR="00701912">
      <w:rPr>
        <w:color w:val="D9D9D9" w:themeColor="background1" w:themeShade="D9"/>
      </w:rPr>
      <w:t>24.06.19</w:t>
    </w:r>
    <w:r w:rsidR="00864AFF" w:rsidRPr="00BD39C8">
      <w:rPr>
        <w:color w:val="D9D9D9" w:themeColor="background1" w:themeShade="D9"/>
      </w:rPr>
      <w:fldChar w:fldCharType="end"/>
    </w:r>
    <w:r w:rsidR="00CB18FF" w:rsidRPr="00BD39C8">
      <w:rPr>
        <w:color w:val="D9D9D9" w:themeColor="background1" w:themeShade="D9"/>
      </w:rPr>
      <w:tab/>
    </w:r>
    <w:r w:rsidR="00864AFF" w:rsidRPr="00BD39C8">
      <w:rPr>
        <w:color w:val="D9D9D9" w:themeColor="background1" w:themeShade="D9"/>
      </w:rPr>
      <w:fldChar w:fldCharType="begin"/>
    </w:r>
    <w:r w:rsidR="00CB18FF" w:rsidRPr="00BD39C8">
      <w:rPr>
        <w:color w:val="D9D9D9" w:themeColor="background1" w:themeShade="D9"/>
      </w:rPr>
      <w:instrText xml:space="preserve"> PRINTDATE \@ DD.MM.YY </w:instrText>
    </w:r>
    <w:r w:rsidR="00864AFF" w:rsidRPr="00BD39C8">
      <w:rPr>
        <w:color w:val="D9D9D9" w:themeColor="background1" w:themeShade="D9"/>
      </w:rPr>
      <w:fldChar w:fldCharType="separate"/>
    </w:r>
    <w:r w:rsidR="007D2A52" w:rsidRPr="00BD39C8">
      <w:rPr>
        <w:color w:val="D9D9D9" w:themeColor="background1" w:themeShade="D9"/>
      </w:rPr>
      <w:t>18.07.00</w:t>
    </w:r>
    <w:r w:rsidR="00864AFF" w:rsidRPr="00BD39C8">
      <w:rPr>
        <w:color w:val="D9D9D9" w:themeColor="background1" w:themeShade="D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322D0D">
    <w:pPr>
      <w:spacing w:after="120"/>
      <w:jc w:val="center"/>
    </w:pPr>
    <w:r>
      <w:t xml:space="preserve">• </w:t>
    </w:r>
    <w:hyperlink r:id="rId1" w:history="1">
      <w:r>
        <w:rPr>
          <w:rStyle w:val="Hyperlink"/>
        </w:rPr>
        <w:t>http://www.itu.int/council</w:t>
      </w:r>
    </w:hyperlink>
    <w:r>
      <w:t xml:space="preserve"> •</w:t>
    </w:r>
  </w:p>
  <w:p w:rsidR="00322D0D" w:rsidRPr="00BD39C8" w:rsidRDefault="006E0754">
    <w:pPr>
      <w:pStyle w:val="Footer"/>
      <w:rPr>
        <w:color w:val="D9D9D9" w:themeColor="background1" w:themeShade="D9"/>
      </w:rPr>
    </w:pPr>
    <w:r w:rsidRPr="00BD39C8">
      <w:rPr>
        <w:color w:val="D9D9D9" w:themeColor="background1" w:themeShade="D9"/>
      </w:rPr>
      <w:fldChar w:fldCharType="begin"/>
    </w:r>
    <w:r w:rsidRPr="00BD39C8">
      <w:rPr>
        <w:color w:val="D9D9D9" w:themeColor="background1" w:themeShade="D9"/>
      </w:rPr>
      <w:instrText xml:space="preserve"> FILENAME \p  \* MERGEFORMAT </w:instrText>
    </w:r>
    <w:r w:rsidRPr="00BD39C8">
      <w:rPr>
        <w:color w:val="D9D9D9" w:themeColor="background1" w:themeShade="D9"/>
      </w:rPr>
      <w:fldChar w:fldCharType="separate"/>
    </w:r>
    <w:r w:rsidR="007D2A52" w:rsidRPr="00BD39C8">
      <w:rPr>
        <w:color w:val="D9D9D9" w:themeColor="background1" w:themeShade="D9"/>
      </w:rPr>
      <w:t>Document4</w:t>
    </w:r>
    <w:r w:rsidRPr="00BD39C8">
      <w:rPr>
        <w:color w:val="D9D9D9" w:themeColor="background1" w:themeShade="D9"/>
      </w:rPr>
      <w:fldChar w:fldCharType="end"/>
    </w:r>
    <w:r w:rsidR="00322D0D" w:rsidRPr="00BD39C8">
      <w:rPr>
        <w:color w:val="D9D9D9" w:themeColor="background1" w:themeShade="D9"/>
      </w:rPr>
      <w:tab/>
    </w:r>
    <w:r w:rsidR="00864AFF" w:rsidRPr="00BD39C8">
      <w:rPr>
        <w:color w:val="D9D9D9" w:themeColor="background1" w:themeShade="D9"/>
      </w:rPr>
      <w:fldChar w:fldCharType="begin"/>
    </w:r>
    <w:r w:rsidR="00322D0D" w:rsidRPr="00BD39C8">
      <w:rPr>
        <w:color w:val="D9D9D9" w:themeColor="background1" w:themeShade="D9"/>
      </w:rPr>
      <w:instrText xml:space="preserve"> SAVEDATE \@ DD.MM.YY </w:instrText>
    </w:r>
    <w:r w:rsidR="00864AFF" w:rsidRPr="00BD39C8">
      <w:rPr>
        <w:color w:val="D9D9D9" w:themeColor="background1" w:themeShade="D9"/>
      </w:rPr>
      <w:fldChar w:fldCharType="separate"/>
    </w:r>
    <w:r w:rsidR="00701912">
      <w:rPr>
        <w:color w:val="D9D9D9" w:themeColor="background1" w:themeShade="D9"/>
      </w:rPr>
      <w:t>24.06.19</w:t>
    </w:r>
    <w:r w:rsidR="00864AFF" w:rsidRPr="00BD39C8">
      <w:rPr>
        <w:color w:val="D9D9D9" w:themeColor="background1" w:themeShade="D9"/>
      </w:rPr>
      <w:fldChar w:fldCharType="end"/>
    </w:r>
    <w:r w:rsidR="00322D0D" w:rsidRPr="00BD39C8">
      <w:rPr>
        <w:color w:val="D9D9D9" w:themeColor="background1" w:themeShade="D9"/>
      </w:rPr>
      <w:tab/>
    </w:r>
    <w:r w:rsidR="00864AFF" w:rsidRPr="00BD39C8">
      <w:rPr>
        <w:color w:val="D9D9D9" w:themeColor="background1" w:themeShade="D9"/>
      </w:rPr>
      <w:fldChar w:fldCharType="begin"/>
    </w:r>
    <w:r w:rsidR="00322D0D" w:rsidRPr="00BD39C8">
      <w:rPr>
        <w:color w:val="D9D9D9" w:themeColor="background1" w:themeShade="D9"/>
      </w:rPr>
      <w:instrText xml:space="preserve"> PRINTDATE \@ DD.MM.YY </w:instrText>
    </w:r>
    <w:r w:rsidR="00864AFF" w:rsidRPr="00BD39C8">
      <w:rPr>
        <w:color w:val="D9D9D9" w:themeColor="background1" w:themeShade="D9"/>
      </w:rPr>
      <w:fldChar w:fldCharType="separate"/>
    </w:r>
    <w:r w:rsidR="007D2A52" w:rsidRPr="00BD39C8">
      <w:rPr>
        <w:color w:val="D9D9D9" w:themeColor="background1" w:themeShade="D9"/>
      </w:rPr>
      <w:t>18.07.00</w:t>
    </w:r>
    <w:r w:rsidR="00864AFF" w:rsidRPr="00BD39C8">
      <w:rPr>
        <w:color w:val="D9D9D9" w:themeColor="background1" w:themeShade="D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3D97" w:rsidRDefault="00383D97">
      <w:r>
        <w:t>____________________</w:t>
      </w:r>
    </w:p>
  </w:footnote>
  <w:footnote w:type="continuationSeparator" w:id="0">
    <w:p w:rsidR="00383D97" w:rsidRDefault="00383D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701912">
      <w:rPr>
        <w:noProof/>
      </w:rPr>
      <w:t>2</w:t>
    </w:r>
    <w:r>
      <w:rPr>
        <w:noProof/>
      </w:rPr>
      <w:fldChar w:fldCharType="end"/>
    </w:r>
  </w:p>
  <w:p w:rsidR="00322D0D" w:rsidRPr="00623AE3" w:rsidRDefault="00623AE3" w:rsidP="00FB1279">
    <w:pPr>
      <w:pStyle w:val="Header"/>
      <w:rPr>
        <w:bCs/>
      </w:rPr>
    </w:pPr>
    <w:r w:rsidRPr="00623AE3">
      <w:rPr>
        <w:bCs/>
      </w:rPr>
      <w:t>C1</w:t>
    </w:r>
    <w:r w:rsidR="00FB1279">
      <w:rPr>
        <w:bCs/>
      </w:rPr>
      <w:t>9</w:t>
    </w:r>
    <w:r w:rsidR="00A13A81">
      <w:rPr>
        <w:bCs/>
      </w:rPr>
      <w:t>/113</w:t>
    </w:r>
    <w:r w:rsidRPr="00623AE3">
      <w:rPr>
        <w:bC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A52"/>
    <w:rsid w:val="00015AFD"/>
    <w:rsid w:val="000210D4"/>
    <w:rsid w:val="00063016"/>
    <w:rsid w:val="00066795"/>
    <w:rsid w:val="00076AF6"/>
    <w:rsid w:val="00085CF2"/>
    <w:rsid w:val="000B1705"/>
    <w:rsid w:val="000D75B2"/>
    <w:rsid w:val="001121F5"/>
    <w:rsid w:val="0012638A"/>
    <w:rsid w:val="001400DC"/>
    <w:rsid w:val="00140CE1"/>
    <w:rsid w:val="0017539C"/>
    <w:rsid w:val="00175AC2"/>
    <w:rsid w:val="0017609F"/>
    <w:rsid w:val="001C628E"/>
    <w:rsid w:val="001E0F7B"/>
    <w:rsid w:val="002119FD"/>
    <w:rsid w:val="002130E0"/>
    <w:rsid w:val="00263BC1"/>
    <w:rsid w:val="00264425"/>
    <w:rsid w:val="00265875"/>
    <w:rsid w:val="0027303B"/>
    <w:rsid w:val="0028109B"/>
    <w:rsid w:val="002A2188"/>
    <w:rsid w:val="002B1F58"/>
    <w:rsid w:val="002C1C7A"/>
    <w:rsid w:val="002D4FDF"/>
    <w:rsid w:val="0030160F"/>
    <w:rsid w:val="00322D0D"/>
    <w:rsid w:val="00383D97"/>
    <w:rsid w:val="003942D4"/>
    <w:rsid w:val="003958A8"/>
    <w:rsid w:val="003C2533"/>
    <w:rsid w:val="0040435A"/>
    <w:rsid w:val="00416A24"/>
    <w:rsid w:val="00416F9A"/>
    <w:rsid w:val="00431D9E"/>
    <w:rsid w:val="00433CE8"/>
    <w:rsid w:val="00434A5C"/>
    <w:rsid w:val="004544D9"/>
    <w:rsid w:val="00490E72"/>
    <w:rsid w:val="00491157"/>
    <w:rsid w:val="004921C8"/>
    <w:rsid w:val="004B1043"/>
    <w:rsid w:val="004D1851"/>
    <w:rsid w:val="004D599D"/>
    <w:rsid w:val="004E2EA5"/>
    <w:rsid w:val="004E3AEB"/>
    <w:rsid w:val="0050223C"/>
    <w:rsid w:val="005118C8"/>
    <w:rsid w:val="005243FF"/>
    <w:rsid w:val="00564FBC"/>
    <w:rsid w:val="00582442"/>
    <w:rsid w:val="005F3269"/>
    <w:rsid w:val="00623AE3"/>
    <w:rsid w:val="0064737F"/>
    <w:rsid w:val="006535F1"/>
    <w:rsid w:val="0065557D"/>
    <w:rsid w:val="0066019F"/>
    <w:rsid w:val="00662984"/>
    <w:rsid w:val="006716BB"/>
    <w:rsid w:val="006B6680"/>
    <w:rsid w:val="006B6DCC"/>
    <w:rsid w:val="006D23D0"/>
    <w:rsid w:val="006E0754"/>
    <w:rsid w:val="00701912"/>
    <w:rsid w:val="00702DEF"/>
    <w:rsid w:val="00706861"/>
    <w:rsid w:val="0075051B"/>
    <w:rsid w:val="00764091"/>
    <w:rsid w:val="00771646"/>
    <w:rsid w:val="00793188"/>
    <w:rsid w:val="00794D34"/>
    <w:rsid w:val="007B275C"/>
    <w:rsid w:val="007D2A52"/>
    <w:rsid w:val="007F355D"/>
    <w:rsid w:val="00813E5E"/>
    <w:rsid w:val="0083581B"/>
    <w:rsid w:val="0085200A"/>
    <w:rsid w:val="00864AFF"/>
    <w:rsid w:val="008B4A6A"/>
    <w:rsid w:val="008C7E27"/>
    <w:rsid w:val="008E4C62"/>
    <w:rsid w:val="009173EF"/>
    <w:rsid w:val="00932906"/>
    <w:rsid w:val="00961B0B"/>
    <w:rsid w:val="009B38C3"/>
    <w:rsid w:val="009E17BD"/>
    <w:rsid w:val="009E485A"/>
    <w:rsid w:val="00A04CEC"/>
    <w:rsid w:val="00A13A81"/>
    <w:rsid w:val="00A27F92"/>
    <w:rsid w:val="00A32257"/>
    <w:rsid w:val="00A36D20"/>
    <w:rsid w:val="00A55622"/>
    <w:rsid w:val="00A83502"/>
    <w:rsid w:val="00AD15B3"/>
    <w:rsid w:val="00AE3DF2"/>
    <w:rsid w:val="00AF6E49"/>
    <w:rsid w:val="00B04A67"/>
    <w:rsid w:val="00B0583C"/>
    <w:rsid w:val="00B40A81"/>
    <w:rsid w:val="00B44910"/>
    <w:rsid w:val="00B72267"/>
    <w:rsid w:val="00B76EB6"/>
    <w:rsid w:val="00B7737B"/>
    <w:rsid w:val="00B824C8"/>
    <w:rsid w:val="00BA4979"/>
    <w:rsid w:val="00BC251A"/>
    <w:rsid w:val="00BD032B"/>
    <w:rsid w:val="00BD39C8"/>
    <w:rsid w:val="00BE2640"/>
    <w:rsid w:val="00C01189"/>
    <w:rsid w:val="00C2358C"/>
    <w:rsid w:val="00C374DE"/>
    <w:rsid w:val="00C47AD4"/>
    <w:rsid w:val="00C52D81"/>
    <w:rsid w:val="00C55198"/>
    <w:rsid w:val="00CA6393"/>
    <w:rsid w:val="00CB18FF"/>
    <w:rsid w:val="00CD0C08"/>
    <w:rsid w:val="00CE03FB"/>
    <w:rsid w:val="00CE433C"/>
    <w:rsid w:val="00CF33F3"/>
    <w:rsid w:val="00D06183"/>
    <w:rsid w:val="00D22C42"/>
    <w:rsid w:val="00D65041"/>
    <w:rsid w:val="00DB384B"/>
    <w:rsid w:val="00E10E80"/>
    <w:rsid w:val="00E124F0"/>
    <w:rsid w:val="00E420FC"/>
    <w:rsid w:val="00E60F04"/>
    <w:rsid w:val="00E854E4"/>
    <w:rsid w:val="00EB0D6F"/>
    <w:rsid w:val="00EB2232"/>
    <w:rsid w:val="00EC5337"/>
    <w:rsid w:val="00F2150A"/>
    <w:rsid w:val="00F231D8"/>
    <w:rsid w:val="00F368A4"/>
    <w:rsid w:val="00F378D5"/>
    <w:rsid w:val="00F436B3"/>
    <w:rsid w:val="00F46C5F"/>
    <w:rsid w:val="00F94A63"/>
    <w:rsid w:val="00FA1C28"/>
    <w:rsid w:val="00FB1279"/>
    <w:rsid w:val="00FB732D"/>
    <w:rsid w:val="00FB7596"/>
    <w:rsid w:val="00FC3D7E"/>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6ABE08CC-082F-4C5C-B9ED-622DFE1B4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BalloonText">
    <w:name w:val="Balloon Text"/>
    <w:basedOn w:val="Normal"/>
    <w:link w:val="BalloonTextChar"/>
    <w:semiHidden/>
    <w:unhideWhenUsed/>
    <w:rsid w:val="004B104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1043"/>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19-CL-C-0085/en" TargetMode="External"/><Relationship Id="rId18" Type="http://schemas.openxmlformats.org/officeDocument/2006/relationships/hyperlink" Target="https://www.itu.int/md/S19-CL-C-0026/en" TargetMode="External"/><Relationship Id="rId26" Type="http://schemas.openxmlformats.org/officeDocument/2006/relationships/hyperlink" Target="https://www.itu.int/md/S19-CL-C-0100/en" TargetMode="External"/><Relationship Id="rId39" Type="http://schemas.openxmlformats.org/officeDocument/2006/relationships/hyperlink" Target="https://www.itu.int/md/S19-CL-C-0026/en" TargetMode="External"/><Relationship Id="rId21" Type="http://schemas.openxmlformats.org/officeDocument/2006/relationships/hyperlink" Target="https://www.itu.int/md/S19-CL-C-0074/en" TargetMode="External"/><Relationship Id="rId34" Type="http://schemas.openxmlformats.org/officeDocument/2006/relationships/hyperlink" Target="https://www.itu.int/md/S19-CL-C-0085/en" TargetMode="External"/><Relationship Id="rId42" Type="http://schemas.openxmlformats.org/officeDocument/2006/relationships/hyperlink" Target="https://www.itu.int/md/S19-CL-C-0074/en" TargetMode="External"/><Relationship Id="rId47" Type="http://schemas.openxmlformats.org/officeDocument/2006/relationships/hyperlink" Target="https://www.itu.int/md/S19-CL-C-0100/en" TargetMode="External"/><Relationship Id="rId50" Type="http://schemas.openxmlformats.org/officeDocument/2006/relationships/hyperlink" Target="https://www.itu.int/md/S19-CL-C-0102/en"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S19-CL-C-0083/en" TargetMode="External"/><Relationship Id="rId17" Type="http://schemas.openxmlformats.org/officeDocument/2006/relationships/hyperlink" Target="https://www.itu.int/md/S19-CL-C-0099/en" TargetMode="External"/><Relationship Id="rId25" Type="http://schemas.openxmlformats.org/officeDocument/2006/relationships/hyperlink" Target="https://www.itu.int/md/S19-CL-C-0089/en" TargetMode="External"/><Relationship Id="rId33" Type="http://schemas.openxmlformats.org/officeDocument/2006/relationships/hyperlink" Target="https://www.itu.int/md/S19-CL-C-0083/en" TargetMode="External"/><Relationship Id="rId38" Type="http://schemas.openxmlformats.org/officeDocument/2006/relationships/hyperlink" Target="https://www.itu.int/md/S19-CL-C-0099/en" TargetMode="External"/><Relationship Id="rId46" Type="http://schemas.openxmlformats.org/officeDocument/2006/relationships/hyperlink" Target="https://www.itu.int/md/S19-CL-C-0089/en" TargetMode="External"/><Relationship Id="rId2" Type="http://schemas.openxmlformats.org/officeDocument/2006/relationships/numbering" Target="numbering.xml"/><Relationship Id="rId16" Type="http://schemas.openxmlformats.org/officeDocument/2006/relationships/hyperlink" Target="https://www.itu.int/md/S19-CL-C-0094/en" TargetMode="External"/><Relationship Id="rId20" Type="http://schemas.openxmlformats.org/officeDocument/2006/relationships/hyperlink" Target="https://www.itu.int/md/S19-CL-C-0069/en" TargetMode="External"/><Relationship Id="rId29" Type="http://schemas.openxmlformats.org/officeDocument/2006/relationships/hyperlink" Target="https://www.itu.int/md/S19-CL-C-0102/en" TargetMode="External"/><Relationship Id="rId41" Type="http://schemas.openxmlformats.org/officeDocument/2006/relationships/hyperlink" Target="https://www.itu.int/md/S19-CL-C-0069/en"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9-CL-C-0078/en" TargetMode="External"/><Relationship Id="rId24" Type="http://schemas.openxmlformats.org/officeDocument/2006/relationships/hyperlink" Target="https://www.itu.int/md/S19-CL-C-0086/en" TargetMode="External"/><Relationship Id="rId32" Type="http://schemas.openxmlformats.org/officeDocument/2006/relationships/hyperlink" Target="https://www.itu.int/md/S19-CL-C-0078/en" TargetMode="External"/><Relationship Id="rId37" Type="http://schemas.openxmlformats.org/officeDocument/2006/relationships/hyperlink" Target="https://www.itu.int/md/S19-CL-C-0094/en" TargetMode="External"/><Relationship Id="rId40" Type="http://schemas.openxmlformats.org/officeDocument/2006/relationships/hyperlink" Target="https://www.itu.int/md/S19-CL-C-0065/en" TargetMode="External"/><Relationship Id="rId45" Type="http://schemas.openxmlformats.org/officeDocument/2006/relationships/hyperlink" Target="https://www.itu.int/md/S19-CL-C-0086/en" TargetMode="External"/><Relationship Id="rId53"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tu.int/md/S19-CL-C-0093/en" TargetMode="External"/><Relationship Id="rId23" Type="http://schemas.openxmlformats.org/officeDocument/2006/relationships/hyperlink" Target="https://www.itu.int/md/S19-CL-C-0081/en" TargetMode="External"/><Relationship Id="rId28" Type="http://schemas.openxmlformats.org/officeDocument/2006/relationships/hyperlink" Target="https://www.itu.int/md/S19-CL-C-0082/en" TargetMode="External"/><Relationship Id="rId36" Type="http://schemas.openxmlformats.org/officeDocument/2006/relationships/hyperlink" Target="https://www.itu.int/md/S19-CL-C-0093/en" TargetMode="External"/><Relationship Id="rId49" Type="http://schemas.openxmlformats.org/officeDocument/2006/relationships/hyperlink" Target="https://www.itu.int/md/S19-CL-C-0082/en" TargetMode="External"/><Relationship Id="rId10" Type="http://schemas.openxmlformats.org/officeDocument/2006/relationships/hyperlink" Target="https://www.itu.int/md/S19-CL-C-0005/en" TargetMode="External"/><Relationship Id="rId19" Type="http://schemas.openxmlformats.org/officeDocument/2006/relationships/hyperlink" Target="https://www.itu.int/md/S19-CL-C-0065/en" TargetMode="External"/><Relationship Id="rId31" Type="http://schemas.openxmlformats.org/officeDocument/2006/relationships/hyperlink" Target="https://www.itu.int/md/S19-CL-C-0005/en" TargetMode="External"/><Relationship Id="rId44" Type="http://schemas.openxmlformats.org/officeDocument/2006/relationships/hyperlink" Target="https://www.itu.int/md/S19-CL-C-0081/en"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md/S19-CL-C-0017/en" TargetMode="External"/><Relationship Id="rId14" Type="http://schemas.openxmlformats.org/officeDocument/2006/relationships/hyperlink" Target="https://www.itu.int/md/S19-CL-C-0088/en" TargetMode="External"/><Relationship Id="rId22" Type="http://schemas.openxmlformats.org/officeDocument/2006/relationships/hyperlink" Target="https://www.itu.int/md/S19-CL-C-0079/en" TargetMode="External"/><Relationship Id="rId27" Type="http://schemas.openxmlformats.org/officeDocument/2006/relationships/hyperlink" Target="https://www.itu.int/md/S19-CL-C-0033/en" TargetMode="External"/><Relationship Id="rId30" Type="http://schemas.openxmlformats.org/officeDocument/2006/relationships/hyperlink" Target="https://www.itu.int/md/S19-CL-C-0017/en" TargetMode="External"/><Relationship Id="rId35" Type="http://schemas.openxmlformats.org/officeDocument/2006/relationships/hyperlink" Target="https://www.itu.int/md/S19-CL-C-0088/en" TargetMode="External"/><Relationship Id="rId43" Type="http://schemas.openxmlformats.org/officeDocument/2006/relationships/hyperlink" Target="https://www.itu.int/md/S19-CL-C-0079/en" TargetMode="External"/><Relationship Id="rId48" Type="http://schemas.openxmlformats.org/officeDocument/2006/relationships/hyperlink" Target="https://www.itu.int/md/S19-CL-C-0033/en" TargetMode="External"/><Relationship Id="rId8" Type="http://schemas.openxmlformats.org/officeDocument/2006/relationships/image" Target="media/image1.png"/><Relationship Id="rId51" Type="http://schemas.openxmlformats.org/officeDocument/2006/relationships/header" Target="header1.xm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3292B-9A2B-4EFD-9DAF-F2C896F79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PE_C19.dotx</Template>
  <TotalTime>1</TotalTime>
  <Pages>5</Pages>
  <Words>2094</Words>
  <Characters>14187</Characters>
  <Application>Microsoft Office Word</Application>
  <DocSecurity>0</DocSecurity>
  <Lines>118</Lines>
  <Paragraphs>32</Paragraphs>
  <ScaleCrop>false</ScaleCrop>
  <HeadingPairs>
    <vt:vector size="2" baseType="variant">
      <vt:variant>
        <vt:lpstr>Title</vt:lpstr>
      </vt:variant>
      <vt:variant>
        <vt:i4>1</vt:i4>
      </vt:variant>
    </vt:vector>
  </HeadingPairs>
  <TitlesOfParts>
    <vt:vector size="1" baseType="lpstr">
      <vt:lpstr>Summary record of the first Plenary Meeting</vt:lpstr>
    </vt:vector>
  </TitlesOfParts>
  <Manager>General Secretariat - Pool</Manager>
  <Company>International Telecommunication Union (ITU)</Company>
  <LinksUpToDate>false</LinksUpToDate>
  <CharactersWithSpaces>16249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first Plenary Meeting</dc:title>
  <dc:subject>Council 2019</dc:subject>
  <dc:creator>Brouard, Ricarda</dc:creator>
  <cp:keywords>C2019, C19</cp:keywords>
  <dc:description/>
  <cp:lastModifiedBy>Brouard, Ricarda</cp:lastModifiedBy>
  <cp:revision>2</cp:revision>
  <cp:lastPrinted>2000-07-18T13:30:00Z</cp:lastPrinted>
  <dcterms:created xsi:type="dcterms:W3CDTF">2019-06-27T06:53:00Z</dcterms:created>
  <dcterms:modified xsi:type="dcterms:W3CDTF">2019-06-27T06:53:00Z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