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2E68E5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</w:t>
            </w:r>
            <w:r w:rsidR="00C2727F">
              <w:rPr>
                <w:b/>
                <w:bCs/>
                <w:sz w:val="30"/>
                <w:szCs w:val="30"/>
              </w:rPr>
              <w:t>9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</w:t>
            </w:r>
            <w:r w:rsidR="00C2727F">
              <w:rPr>
                <w:b/>
                <w:bCs/>
                <w:szCs w:val="24"/>
              </w:rPr>
              <w:t>0</w:t>
            </w:r>
            <w:r w:rsidRPr="00093EEB">
              <w:rPr>
                <w:b/>
                <w:bCs/>
                <w:szCs w:val="24"/>
              </w:rPr>
              <w:t>-2</w:t>
            </w:r>
            <w:r w:rsidR="00C2727F">
              <w:rPr>
                <w:b/>
                <w:bCs/>
                <w:szCs w:val="24"/>
              </w:rPr>
              <w:t>0</w:t>
            </w:r>
            <w:r w:rsidRPr="00093EEB">
              <w:rPr>
                <w:b/>
                <w:bCs/>
                <w:szCs w:val="24"/>
              </w:rPr>
              <w:t xml:space="preserve"> de </w:t>
            </w:r>
            <w:r w:rsidR="00C2727F">
              <w:rPr>
                <w:b/>
                <w:bCs/>
                <w:szCs w:val="24"/>
              </w:rPr>
              <w:t>junio</w:t>
            </w:r>
            <w:r w:rsidRPr="00093EEB">
              <w:rPr>
                <w:b/>
                <w:bCs/>
                <w:szCs w:val="24"/>
              </w:rPr>
              <w:t xml:space="preserve"> de 201</w:t>
            </w:r>
            <w:r w:rsidR="00C2727F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0B0D00" w:rsidRDefault="00093EEB" w:rsidP="002E68E5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 w:rsidP="002E68E5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 w:rsidP="002E68E5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 w:rsidP="002E68E5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093EEB" w:rsidP="002E68E5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:rsidR="00093EEB" w:rsidRPr="00093EEB" w:rsidRDefault="00093EEB" w:rsidP="002E68E5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</w:t>
            </w:r>
            <w:r w:rsidR="00C2727F"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</w:rPr>
              <w:t>/</w:t>
            </w:r>
            <w:r w:rsidR="001A4C80">
              <w:rPr>
                <w:b/>
                <w:bCs/>
                <w:szCs w:val="24"/>
              </w:rPr>
              <w:t>112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 w:rsidP="002E68E5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1A4C80" w:rsidP="002E68E5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de junio</w:t>
            </w:r>
            <w:r w:rsidR="00093EEB">
              <w:rPr>
                <w:b/>
                <w:bCs/>
                <w:szCs w:val="24"/>
              </w:rPr>
              <w:t xml:space="preserve"> de 201</w:t>
            </w:r>
            <w:r w:rsidR="00C2727F">
              <w:rPr>
                <w:b/>
                <w:bCs/>
                <w:szCs w:val="24"/>
              </w:rPr>
              <w:t>9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 w:rsidP="002E68E5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2E68E5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093EEB" w:rsidP="002E68E5">
            <w:pPr>
              <w:pStyle w:val="Source"/>
            </w:pPr>
            <w:bookmarkStart w:id="7" w:name="dsource" w:colFirst="0" w:colLast="0"/>
            <w:bookmarkEnd w:id="1"/>
            <w:bookmarkEnd w:id="6"/>
          </w:p>
        </w:tc>
      </w:tr>
      <w:tr w:rsidR="00093EEB" w:rsidRPr="00F63D6A">
        <w:trPr>
          <w:cantSplit/>
        </w:trPr>
        <w:tc>
          <w:tcPr>
            <w:tcW w:w="10173" w:type="dxa"/>
            <w:gridSpan w:val="2"/>
          </w:tcPr>
          <w:p w:rsidR="00E85565" w:rsidRPr="0085200A" w:rsidRDefault="00F63D6A" w:rsidP="002E68E5">
            <w:pPr>
              <w:pStyle w:val="Title1"/>
            </w:pPr>
            <w:bookmarkStart w:id="8" w:name="dtitle1" w:colFirst="0" w:colLast="0"/>
            <w:bookmarkEnd w:id="7"/>
            <w:r>
              <w:t>RESUMEN DE LOS DEBATES</w:t>
            </w:r>
          </w:p>
          <w:p w:rsidR="00E85565" w:rsidRPr="002C603B" w:rsidRDefault="00F63D6A" w:rsidP="002E68E5">
            <w:pPr>
              <w:pStyle w:val="Title1"/>
              <w:rPr>
                <w:lang w:val="es-ES"/>
              </w:rPr>
            </w:pPr>
            <w:r w:rsidRPr="002C603B">
              <w:rPr>
                <w:lang w:val="es-ES"/>
              </w:rPr>
              <w:t>DE LA</w:t>
            </w:r>
          </w:p>
          <w:p w:rsidR="00093EEB" w:rsidRPr="00F63D6A" w:rsidRDefault="00F63D6A" w:rsidP="002E68E5">
            <w:pPr>
              <w:pStyle w:val="Title1"/>
              <w:rPr>
                <w:lang w:val="es-ES"/>
              </w:rPr>
            </w:pPr>
            <w:r w:rsidRPr="00F63D6A">
              <w:rPr>
                <w:lang w:val="es-ES"/>
              </w:rPr>
              <w:t>PRIMERA SESIÓN PLENARIA</w:t>
            </w:r>
            <w:bookmarkStart w:id="9" w:name="_GoBack"/>
            <w:bookmarkEnd w:id="9"/>
          </w:p>
        </w:tc>
      </w:tr>
      <w:tr w:rsidR="00E85565" w:rsidRPr="00F63D6A">
        <w:trPr>
          <w:cantSplit/>
        </w:trPr>
        <w:tc>
          <w:tcPr>
            <w:tcW w:w="10173" w:type="dxa"/>
            <w:gridSpan w:val="2"/>
          </w:tcPr>
          <w:p w:rsidR="00E85565" w:rsidRPr="00F63D6A" w:rsidRDefault="00F63D6A" w:rsidP="002E68E5">
            <w:pPr>
              <w:pStyle w:val="Title1"/>
              <w:rPr>
                <w:lang w:val="es-ES"/>
              </w:rPr>
            </w:pPr>
            <w:r w:rsidRPr="00F63D6A">
              <w:rPr>
                <w:caps w:val="0"/>
                <w:lang w:val="es-ES"/>
              </w:rPr>
              <w:t>Lunes</w:t>
            </w:r>
            <w:r w:rsidR="00E85565" w:rsidRPr="00F63D6A">
              <w:rPr>
                <w:caps w:val="0"/>
                <w:lang w:val="es-ES"/>
              </w:rPr>
              <w:t xml:space="preserve"> 10 </w:t>
            </w:r>
            <w:r w:rsidRPr="00F63D6A">
              <w:rPr>
                <w:caps w:val="0"/>
                <w:lang w:val="es-ES"/>
              </w:rPr>
              <w:t>de junio de</w:t>
            </w:r>
            <w:r w:rsidR="00E85565" w:rsidRPr="00F63D6A">
              <w:rPr>
                <w:caps w:val="0"/>
                <w:lang w:val="es-ES"/>
              </w:rPr>
              <w:t xml:space="preserve"> 2019,</w:t>
            </w:r>
            <w:r w:rsidR="00E85565" w:rsidRPr="00F63D6A">
              <w:rPr>
                <w:lang w:val="es-ES"/>
              </w:rPr>
              <w:t xml:space="preserve"> </w:t>
            </w:r>
            <w:r w:rsidRPr="00F63D6A">
              <w:rPr>
                <w:caps w:val="0"/>
                <w:lang w:val="es-ES"/>
              </w:rPr>
              <w:t>de las</w:t>
            </w:r>
            <w:r w:rsidR="00E85565" w:rsidRPr="00F63D6A">
              <w:rPr>
                <w:caps w:val="0"/>
                <w:lang w:val="es-ES"/>
              </w:rPr>
              <w:t xml:space="preserve"> 14</w:t>
            </w:r>
            <w:r>
              <w:rPr>
                <w:caps w:val="0"/>
                <w:lang w:val="es-ES"/>
              </w:rPr>
              <w:t>.</w:t>
            </w:r>
            <w:r w:rsidR="00E85565" w:rsidRPr="00F63D6A">
              <w:rPr>
                <w:caps w:val="0"/>
                <w:lang w:val="es-ES"/>
              </w:rPr>
              <w:t xml:space="preserve">40 </w:t>
            </w:r>
            <w:r>
              <w:rPr>
                <w:caps w:val="0"/>
                <w:lang w:val="es-ES"/>
              </w:rPr>
              <w:t>horas a las</w:t>
            </w:r>
            <w:r w:rsidR="00E85565" w:rsidRPr="00F63D6A">
              <w:rPr>
                <w:caps w:val="0"/>
                <w:lang w:val="es-ES"/>
              </w:rPr>
              <w:t xml:space="preserve"> 17</w:t>
            </w:r>
            <w:r>
              <w:rPr>
                <w:caps w:val="0"/>
                <w:lang w:val="es-ES"/>
              </w:rPr>
              <w:t>.</w:t>
            </w:r>
            <w:r w:rsidR="00E85565" w:rsidRPr="00F63D6A">
              <w:rPr>
                <w:caps w:val="0"/>
                <w:lang w:val="es-ES"/>
              </w:rPr>
              <w:t>45 ho</w:t>
            </w:r>
            <w:r>
              <w:rPr>
                <w:caps w:val="0"/>
                <w:lang w:val="es-ES"/>
              </w:rPr>
              <w:t>ras</w:t>
            </w:r>
          </w:p>
        </w:tc>
      </w:tr>
      <w:tr w:rsidR="00E85565" w:rsidRPr="00F63D6A">
        <w:trPr>
          <w:cantSplit/>
        </w:trPr>
        <w:tc>
          <w:tcPr>
            <w:tcW w:w="10173" w:type="dxa"/>
            <w:gridSpan w:val="2"/>
          </w:tcPr>
          <w:p w:rsidR="00E85565" w:rsidRPr="00F63D6A" w:rsidRDefault="00F63D6A" w:rsidP="002E68E5">
            <w:pPr>
              <w:jc w:val="center"/>
              <w:rPr>
                <w:caps/>
                <w:lang w:val="es-ES"/>
              </w:rPr>
            </w:pPr>
            <w:r w:rsidRPr="00F63D6A">
              <w:rPr>
                <w:b/>
                <w:bCs/>
                <w:lang w:val="es-ES"/>
              </w:rPr>
              <w:t>Presidente a.i.</w:t>
            </w:r>
            <w:r w:rsidR="00E85565" w:rsidRPr="00F63D6A">
              <w:rPr>
                <w:b/>
                <w:bCs/>
                <w:lang w:val="es-ES"/>
              </w:rPr>
              <w:t>:</w:t>
            </w:r>
            <w:r w:rsidR="00E85565" w:rsidRPr="00F63D6A">
              <w:rPr>
                <w:lang w:val="es-ES"/>
              </w:rPr>
              <w:t xml:space="preserve"> </w:t>
            </w:r>
            <w:r w:rsidRPr="00F63D6A">
              <w:rPr>
                <w:lang w:val="es-ES"/>
              </w:rPr>
              <w:t>S</w:t>
            </w:r>
            <w:r w:rsidR="00E85565" w:rsidRPr="00F63D6A">
              <w:rPr>
                <w:lang w:val="es-ES"/>
              </w:rPr>
              <w:t>r</w:t>
            </w:r>
            <w:r w:rsidRPr="00F63D6A">
              <w:rPr>
                <w:lang w:val="es-ES"/>
              </w:rPr>
              <w:t>.</w:t>
            </w:r>
            <w:r w:rsidR="00E85565" w:rsidRPr="00F63D6A">
              <w:rPr>
                <w:lang w:val="es-ES"/>
              </w:rPr>
              <w:t xml:space="preserve"> F. BIGI (Ital</w:t>
            </w:r>
            <w:r w:rsidRPr="00F63D6A">
              <w:rPr>
                <w:lang w:val="es-ES"/>
              </w:rPr>
              <w:t>ia</w:t>
            </w:r>
            <w:r w:rsidR="00E85565" w:rsidRPr="00F63D6A">
              <w:rPr>
                <w:lang w:val="es-ES"/>
              </w:rPr>
              <w:t>)</w:t>
            </w:r>
          </w:p>
        </w:tc>
      </w:tr>
      <w:bookmarkEnd w:id="8"/>
    </w:tbl>
    <w:p w:rsidR="00093EEB" w:rsidRPr="00F63D6A" w:rsidRDefault="00093EEB" w:rsidP="002E68E5">
      <w:pPr>
        <w:rPr>
          <w:lang w:val="es-ES"/>
        </w:rPr>
      </w:pPr>
    </w:p>
    <w:tbl>
      <w:tblPr>
        <w:tblW w:w="5221" w:type="pct"/>
        <w:tblLook w:val="0000" w:firstRow="0" w:lastRow="0" w:firstColumn="0" w:lastColumn="0" w:noHBand="0" w:noVBand="0"/>
      </w:tblPr>
      <w:tblGrid>
        <w:gridCol w:w="505"/>
        <w:gridCol w:w="7575"/>
        <w:gridCol w:w="1985"/>
      </w:tblGrid>
      <w:tr w:rsidR="00E85565" w:rsidRPr="00224CB8" w:rsidTr="00302434">
        <w:tc>
          <w:tcPr>
            <w:tcW w:w="251" w:type="pct"/>
          </w:tcPr>
          <w:p w:rsidR="00E85565" w:rsidRPr="000402A6" w:rsidRDefault="00E85565" w:rsidP="000402A6">
            <w:pPr>
              <w:spacing w:after="120"/>
              <w:rPr>
                <w:b/>
                <w:bCs/>
              </w:rPr>
            </w:pPr>
            <w:r w:rsidRPr="000402A6">
              <w:rPr>
                <w:b/>
                <w:bCs/>
              </w:rPr>
              <w:br w:type="page"/>
            </w:r>
            <w:r w:rsidRPr="000402A6">
              <w:rPr>
                <w:b/>
                <w:bCs/>
              </w:rPr>
              <w:br w:type="page"/>
            </w:r>
          </w:p>
        </w:tc>
        <w:tc>
          <w:tcPr>
            <w:tcW w:w="3763" w:type="pct"/>
          </w:tcPr>
          <w:p w:rsidR="00E85565" w:rsidRPr="000402A6" w:rsidRDefault="00F63D6A" w:rsidP="000402A6">
            <w:pPr>
              <w:spacing w:after="120"/>
              <w:rPr>
                <w:b/>
                <w:bCs/>
              </w:rPr>
            </w:pPr>
            <w:r w:rsidRPr="000402A6">
              <w:rPr>
                <w:b/>
                <w:bCs/>
              </w:rPr>
              <w:t>Asuntos tratados</w:t>
            </w:r>
          </w:p>
        </w:tc>
        <w:tc>
          <w:tcPr>
            <w:tcW w:w="986" w:type="pct"/>
          </w:tcPr>
          <w:p w:rsidR="00E85565" w:rsidRPr="000402A6" w:rsidRDefault="00E85565" w:rsidP="000402A6">
            <w:pPr>
              <w:jc w:val="center"/>
              <w:rPr>
                <w:b/>
                <w:bCs/>
              </w:rPr>
            </w:pPr>
            <w:r w:rsidRPr="000402A6">
              <w:rPr>
                <w:b/>
                <w:bCs/>
              </w:rPr>
              <w:t>Document</w:t>
            </w:r>
            <w:r w:rsidR="00F63D6A" w:rsidRPr="000402A6">
              <w:rPr>
                <w:b/>
                <w:bCs/>
              </w:rPr>
              <w:t>o</w:t>
            </w:r>
            <w:r w:rsidRPr="000402A6">
              <w:rPr>
                <w:b/>
                <w:bCs/>
              </w:rPr>
              <w:t>s</w:t>
            </w:r>
          </w:p>
        </w:tc>
      </w:tr>
      <w:tr w:rsidR="00E85565" w:rsidRPr="00224CB8" w:rsidTr="00302434">
        <w:tc>
          <w:tcPr>
            <w:tcW w:w="251" w:type="pct"/>
          </w:tcPr>
          <w:p w:rsidR="00E85565" w:rsidRDefault="00E85565" w:rsidP="000402A6">
            <w:r>
              <w:t>1</w:t>
            </w:r>
          </w:p>
        </w:tc>
        <w:tc>
          <w:tcPr>
            <w:tcW w:w="3763" w:type="pct"/>
          </w:tcPr>
          <w:p w:rsidR="00E85565" w:rsidRPr="00F63D6A" w:rsidRDefault="00F63D6A" w:rsidP="000402A6">
            <w:pPr>
              <w:spacing w:after="120"/>
              <w:rPr>
                <w:b/>
                <w:lang w:val="es-ES"/>
              </w:rPr>
            </w:pPr>
            <w:r w:rsidRPr="00F63D6A">
              <w:rPr>
                <w:lang w:val="es-ES"/>
              </w:rPr>
              <w:t>Informe sobre los preparativos de la Asa</w:t>
            </w:r>
            <w:r w:rsidR="003E0887">
              <w:rPr>
                <w:lang w:val="es-ES"/>
              </w:rPr>
              <w:t>mblea de Radiocomunicaciones de </w:t>
            </w:r>
            <w:r w:rsidRPr="00F63D6A">
              <w:rPr>
                <w:lang w:val="es-ES"/>
              </w:rPr>
              <w:t>2019 y la Conferencia Mundial de Radiocomunicaciones de 2019</w:t>
            </w:r>
          </w:p>
        </w:tc>
        <w:tc>
          <w:tcPr>
            <w:tcW w:w="986" w:type="pct"/>
          </w:tcPr>
          <w:p w:rsidR="00E85565" w:rsidRPr="00281A7E" w:rsidRDefault="00E769AE" w:rsidP="000402A6">
            <w:pPr>
              <w:jc w:val="center"/>
            </w:pPr>
            <w:hyperlink r:id="rId8" w:history="1">
              <w:r w:rsidR="00E85565" w:rsidRPr="00263BC1">
                <w:rPr>
                  <w:rStyle w:val="Hyperlink"/>
                </w:rPr>
                <w:t>C19/27</w:t>
              </w:r>
            </w:hyperlink>
          </w:p>
        </w:tc>
      </w:tr>
      <w:tr w:rsidR="00E85565" w:rsidRPr="00224CB8" w:rsidTr="00302434">
        <w:tc>
          <w:tcPr>
            <w:tcW w:w="251" w:type="pct"/>
          </w:tcPr>
          <w:p w:rsidR="00E85565" w:rsidRPr="000402A6" w:rsidRDefault="00E85565" w:rsidP="000402A6">
            <w:pPr>
              <w:spacing w:after="120"/>
            </w:pPr>
            <w:r>
              <w:t>2</w:t>
            </w:r>
          </w:p>
        </w:tc>
        <w:tc>
          <w:tcPr>
            <w:tcW w:w="3763" w:type="pct"/>
          </w:tcPr>
          <w:p w:rsidR="00E85565" w:rsidRPr="000402A6" w:rsidRDefault="00F63D6A" w:rsidP="000402A6">
            <w:pPr>
              <w:spacing w:after="120"/>
              <w:rPr>
                <w:lang w:val="es-ES"/>
              </w:rPr>
            </w:pPr>
            <w:r w:rsidRPr="00F63D6A">
              <w:rPr>
                <w:lang w:val="es-ES"/>
              </w:rPr>
              <w:t>Informe de la Conferencia de Plenipotenciarios de</w:t>
            </w:r>
            <w:r w:rsidR="00E85565" w:rsidRPr="00F63D6A">
              <w:rPr>
                <w:lang w:val="es-ES"/>
              </w:rPr>
              <w:t xml:space="preserve"> 2018 </w:t>
            </w:r>
          </w:p>
        </w:tc>
        <w:tc>
          <w:tcPr>
            <w:tcW w:w="986" w:type="pct"/>
          </w:tcPr>
          <w:p w:rsidR="00E85565" w:rsidRPr="00281A7E" w:rsidRDefault="00E769AE" w:rsidP="000402A6">
            <w:pPr>
              <w:jc w:val="center"/>
            </w:pPr>
            <w:hyperlink r:id="rId9" w:history="1">
              <w:r w:rsidR="00E85565" w:rsidRPr="00263BC1">
                <w:rPr>
                  <w:rStyle w:val="Hyperlink"/>
                </w:rPr>
                <w:t>C19/4</w:t>
              </w:r>
            </w:hyperlink>
            <w:r w:rsidR="00E85565">
              <w:t xml:space="preserve">, </w:t>
            </w:r>
            <w:hyperlink r:id="rId10" w:history="1">
              <w:r w:rsidR="00E85565" w:rsidRPr="00263BC1">
                <w:rPr>
                  <w:rStyle w:val="Hyperlink"/>
                </w:rPr>
                <w:t>C19/101</w:t>
              </w:r>
            </w:hyperlink>
          </w:p>
        </w:tc>
      </w:tr>
      <w:tr w:rsidR="00E85565" w:rsidRPr="00224CB8" w:rsidTr="00302434">
        <w:tc>
          <w:tcPr>
            <w:tcW w:w="251" w:type="pct"/>
          </w:tcPr>
          <w:p w:rsidR="00E85565" w:rsidRPr="000402A6" w:rsidRDefault="00E85565" w:rsidP="000402A6">
            <w:pPr>
              <w:spacing w:after="120"/>
            </w:pPr>
            <w:r>
              <w:t>3</w:t>
            </w:r>
          </w:p>
        </w:tc>
        <w:tc>
          <w:tcPr>
            <w:tcW w:w="3763" w:type="pct"/>
          </w:tcPr>
          <w:p w:rsidR="00E85565" w:rsidRPr="000402A6" w:rsidRDefault="00F63D6A" w:rsidP="000402A6">
            <w:pPr>
              <w:spacing w:after="120"/>
              <w:rPr>
                <w:lang w:val="es-ES"/>
              </w:rPr>
            </w:pPr>
            <w:r w:rsidRPr="000402A6">
              <w:rPr>
                <w:lang w:val="es-ES"/>
              </w:rPr>
              <w:t>Enmiendas al proceso electoral</w:t>
            </w:r>
          </w:p>
        </w:tc>
        <w:tc>
          <w:tcPr>
            <w:tcW w:w="986" w:type="pct"/>
          </w:tcPr>
          <w:p w:rsidR="00E85565" w:rsidRPr="00281A7E" w:rsidRDefault="00E769AE" w:rsidP="000402A6">
            <w:pPr>
              <w:jc w:val="center"/>
            </w:pPr>
            <w:hyperlink r:id="rId11" w:history="1">
              <w:r w:rsidR="00E85565" w:rsidRPr="00263BC1">
                <w:rPr>
                  <w:rStyle w:val="Hyperlink"/>
                </w:rPr>
                <w:t>C19/13</w:t>
              </w:r>
            </w:hyperlink>
            <w:r w:rsidR="00E85565">
              <w:t xml:space="preserve">, </w:t>
            </w:r>
            <w:hyperlink r:id="rId12" w:history="1">
              <w:r w:rsidR="00E85565" w:rsidRPr="00263BC1">
                <w:rPr>
                  <w:rStyle w:val="Hyperlink"/>
                </w:rPr>
                <w:t>C19/67</w:t>
              </w:r>
            </w:hyperlink>
          </w:p>
        </w:tc>
      </w:tr>
      <w:tr w:rsidR="00E85565" w:rsidRPr="00224CB8" w:rsidTr="00302434">
        <w:trPr>
          <w:trHeight w:val="510"/>
        </w:trPr>
        <w:tc>
          <w:tcPr>
            <w:tcW w:w="251" w:type="pct"/>
          </w:tcPr>
          <w:p w:rsidR="00E85565" w:rsidRPr="000402A6" w:rsidRDefault="00E85565" w:rsidP="000402A6">
            <w:pPr>
              <w:spacing w:after="120"/>
            </w:pPr>
            <w:r>
              <w:t>4</w:t>
            </w:r>
          </w:p>
        </w:tc>
        <w:tc>
          <w:tcPr>
            <w:tcW w:w="3763" w:type="pct"/>
          </w:tcPr>
          <w:p w:rsidR="00E85565" w:rsidRPr="000402A6" w:rsidRDefault="00E85565" w:rsidP="000402A6">
            <w:pPr>
              <w:spacing w:after="120"/>
              <w:rPr>
                <w:lang w:val="es-ES"/>
              </w:rPr>
            </w:pPr>
            <w:r w:rsidRPr="00F63D6A">
              <w:rPr>
                <w:lang w:val="es-ES"/>
              </w:rPr>
              <w:t>Prepara</w:t>
            </w:r>
            <w:r w:rsidR="00F63D6A" w:rsidRPr="00F63D6A">
              <w:rPr>
                <w:lang w:val="es-ES"/>
              </w:rPr>
              <w:t>tivos de la Conferencia de Plenipotenciarios de 2022</w:t>
            </w:r>
          </w:p>
        </w:tc>
        <w:tc>
          <w:tcPr>
            <w:tcW w:w="986" w:type="pct"/>
          </w:tcPr>
          <w:p w:rsidR="00E85565" w:rsidRPr="000402A6" w:rsidRDefault="00E769AE" w:rsidP="000402A6">
            <w:pPr>
              <w:jc w:val="center"/>
            </w:pPr>
            <w:hyperlink r:id="rId13" w:history="1">
              <w:r w:rsidR="000402A6" w:rsidRPr="000402A6">
                <w:rPr>
                  <w:rStyle w:val="Hyperlink"/>
                </w:rPr>
                <w:t>C19/55(Rev.1)</w:t>
              </w:r>
            </w:hyperlink>
          </w:p>
        </w:tc>
      </w:tr>
      <w:tr w:rsidR="00E85565" w:rsidRPr="00224CB8" w:rsidTr="00302434">
        <w:trPr>
          <w:trHeight w:val="510"/>
        </w:trPr>
        <w:tc>
          <w:tcPr>
            <w:tcW w:w="251" w:type="pct"/>
          </w:tcPr>
          <w:p w:rsidR="00E85565" w:rsidRPr="000402A6" w:rsidRDefault="00E85565" w:rsidP="000402A6">
            <w:pPr>
              <w:spacing w:after="120"/>
            </w:pPr>
            <w:r>
              <w:t>5</w:t>
            </w:r>
          </w:p>
        </w:tc>
        <w:tc>
          <w:tcPr>
            <w:tcW w:w="3763" w:type="pct"/>
          </w:tcPr>
          <w:p w:rsidR="00E85565" w:rsidRPr="000402A6" w:rsidRDefault="00E85565" w:rsidP="000402A6">
            <w:pPr>
              <w:spacing w:after="120"/>
              <w:rPr>
                <w:lang w:val="es-ES"/>
              </w:rPr>
            </w:pPr>
            <w:r w:rsidRPr="00F63D6A">
              <w:rPr>
                <w:lang w:val="es-ES"/>
              </w:rPr>
              <w:t>Presenta</w:t>
            </w:r>
            <w:r w:rsidR="00F63D6A" w:rsidRPr="00F63D6A">
              <w:rPr>
                <w:lang w:val="es-ES"/>
              </w:rPr>
              <w:t>ción del proyecto de Presupuesto para</w:t>
            </w:r>
            <w:r w:rsidRPr="00F63D6A">
              <w:rPr>
                <w:lang w:val="es-ES"/>
              </w:rPr>
              <w:t xml:space="preserve"> 2020-2021</w:t>
            </w:r>
          </w:p>
        </w:tc>
        <w:tc>
          <w:tcPr>
            <w:tcW w:w="986" w:type="pct"/>
          </w:tcPr>
          <w:p w:rsidR="00E85565" w:rsidRDefault="00E769AE" w:rsidP="000402A6">
            <w:pPr>
              <w:jc w:val="center"/>
            </w:pPr>
            <w:hyperlink r:id="rId14" w:history="1">
              <w:r w:rsidR="00E85565" w:rsidRPr="00263BC1">
                <w:rPr>
                  <w:rStyle w:val="Hyperlink"/>
                </w:rPr>
                <w:t>C19/15 + Add.1</w:t>
              </w:r>
            </w:hyperlink>
          </w:p>
        </w:tc>
      </w:tr>
      <w:tr w:rsidR="00E85565" w:rsidRPr="00224CB8" w:rsidTr="00302434">
        <w:trPr>
          <w:trHeight w:val="510"/>
        </w:trPr>
        <w:tc>
          <w:tcPr>
            <w:tcW w:w="251" w:type="pct"/>
          </w:tcPr>
          <w:p w:rsidR="00E85565" w:rsidRPr="000402A6" w:rsidRDefault="00E85565" w:rsidP="000402A6">
            <w:pPr>
              <w:spacing w:after="120"/>
            </w:pPr>
            <w:r>
              <w:t>6</w:t>
            </w:r>
          </w:p>
        </w:tc>
        <w:tc>
          <w:tcPr>
            <w:tcW w:w="3763" w:type="pct"/>
          </w:tcPr>
          <w:p w:rsidR="00E85565" w:rsidRPr="000402A6" w:rsidRDefault="00E85565" w:rsidP="000402A6">
            <w:pPr>
              <w:spacing w:after="120"/>
              <w:rPr>
                <w:lang w:val="es-ES"/>
              </w:rPr>
            </w:pPr>
            <w:r w:rsidRPr="000402A6">
              <w:rPr>
                <w:lang w:val="es-ES"/>
              </w:rPr>
              <w:t>Preparati</w:t>
            </w:r>
            <w:r w:rsidR="00F63D6A" w:rsidRPr="000402A6">
              <w:rPr>
                <w:lang w:val="es-ES"/>
              </w:rPr>
              <w:t>vos de la Asamblea Mundial de Normalización de las Telecomunicaciones de 2020</w:t>
            </w:r>
          </w:p>
        </w:tc>
        <w:tc>
          <w:tcPr>
            <w:tcW w:w="986" w:type="pct"/>
          </w:tcPr>
          <w:p w:rsidR="00E85565" w:rsidRDefault="00E769AE" w:rsidP="000402A6">
            <w:pPr>
              <w:jc w:val="center"/>
            </w:pPr>
            <w:hyperlink r:id="rId15" w:history="1">
              <w:r w:rsidR="00E85565" w:rsidRPr="00263BC1">
                <w:rPr>
                  <w:rStyle w:val="Hyperlink"/>
                </w:rPr>
                <w:t>C19/24</w:t>
              </w:r>
            </w:hyperlink>
          </w:p>
        </w:tc>
      </w:tr>
    </w:tbl>
    <w:p w:rsidR="00E85565" w:rsidRDefault="00E85565" w:rsidP="000402A6">
      <w:pPr>
        <w:rPr>
          <w:lang w:val="en-GB"/>
        </w:rPr>
      </w:pPr>
      <w:r>
        <w:rPr>
          <w:lang w:val="en-GB"/>
        </w:rPr>
        <w:br w:type="page"/>
      </w:r>
    </w:p>
    <w:p w:rsidR="00C2727F" w:rsidRPr="000402A6" w:rsidRDefault="00E85565" w:rsidP="000402A6">
      <w:pPr>
        <w:pStyle w:val="Heading1"/>
      </w:pPr>
      <w:r w:rsidRPr="000402A6">
        <w:lastRenderedPageBreak/>
        <w:t>1</w:t>
      </w:r>
      <w:r w:rsidRPr="000402A6">
        <w:tab/>
      </w:r>
      <w:r w:rsidR="00F63D6A" w:rsidRPr="000402A6">
        <w:t>Informe sobre los p</w:t>
      </w:r>
      <w:r w:rsidRPr="000402A6">
        <w:t>reparativos de la Asa</w:t>
      </w:r>
      <w:r w:rsidR="003E0887" w:rsidRPr="000402A6">
        <w:t>mblea de Radiocomunicaciones de </w:t>
      </w:r>
      <w:r w:rsidRPr="000402A6">
        <w:t>2019 (AR-19) y la Conferencia Mundial de Radiocomunicaciones de 2019 (CMR-19) (Document</w:t>
      </w:r>
      <w:r w:rsidR="00F63D6A" w:rsidRPr="000402A6">
        <w:t>o</w:t>
      </w:r>
      <w:r w:rsidRPr="000402A6">
        <w:t xml:space="preserve"> </w:t>
      </w:r>
      <w:hyperlink r:id="rId16" w:history="1">
        <w:r w:rsidRPr="000402A6">
          <w:rPr>
            <w:rStyle w:val="Hyperlink"/>
          </w:rPr>
          <w:t>C19/27</w:t>
        </w:r>
      </w:hyperlink>
      <w:r w:rsidRPr="000402A6">
        <w:t>)</w:t>
      </w:r>
    </w:p>
    <w:p w:rsidR="00E85565" w:rsidRPr="00F63D6A" w:rsidRDefault="00E85565" w:rsidP="007A3656">
      <w:r w:rsidRPr="00F63D6A">
        <w:t>1.1</w:t>
      </w:r>
      <w:r w:rsidRPr="00F63D6A">
        <w:tab/>
      </w:r>
      <w:r w:rsidR="00F63D6A" w:rsidRPr="00F63D6A">
        <w:t>El Director de la BR present</w:t>
      </w:r>
      <w:r w:rsidR="00F700AC">
        <w:t>a</w:t>
      </w:r>
      <w:r w:rsidR="00F63D6A" w:rsidRPr="00F63D6A">
        <w:t xml:space="preserve"> el Informe del Documento</w:t>
      </w:r>
      <w:r w:rsidRPr="00F63D6A">
        <w:t xml:space="preserve"> C19/27, </w:t>
      </w:r>
      <w:r w:rsidR="00F63D6A" w:rsidRPr="00F63D6A">
        <w:t>en el que se describen los preparativos logí</w:t>
      </w:r>
      <w:r w:rsidR="00F63D6A">
        <w:t>s</w:t>
      </w:r>
      <w:r w:rsidR="00F63D6A" w:rsidRPr="00F63D6A">
        <w:t xml:space="preserve">ticos y técnicos </w:t>
      </w:r>
      <w:r w:rsidR="00F63D6A">
        <w:t>en curso para la AR</w:t>
      </w:r>
      <w:r w:rsidRPr="00F63D6A">
        <w:t xml:space="preserve">-19, </w:t>
      </w:r>
      <w:r w:rsidR="00F63D6A">
        <w:t>la CMR</w:t>
      </w:r>
      <w:r w:rsidRPr="00F63D6A">
        <w:t xml:space="preserve">-19 </w:t>
      </w:r>
      <w:r w:rsidR="00F63D6A">
        <w:t>y la primera Reunión Preparatoria de la Conferencia para la CMR</w:t>
      </w:r>
      <w:r w:rsidRPr="00F63D6A">
        <w:t xml:space="preserve">-23, </w:t>
      </w:r>
      <w:r w:rsidR="00F63D6A">
        <w:t>que tendrán lugar todas ellas en</w:t>
      </w:r>
      <w:r w:rsidRPr="00F63D6A">
        <w:t xml:space="preserve"> Sharm el-Sheikh (Eg</w:t>
      </w:r>
      <w:r w:rsidR="00F63D6A">
        <w:t>i</w:t>
      </w:r>
      <w:r w:rsidRPr="00F63D6A">
        <w:t>pt</w:t>
      </w:r>
      <w:r w:rsidR="00F63D6A">
        <w:t>o</w:t>
      </w:r>
      <w:r w:rsidRPr="00F63D6A">
        <w:t>).</w:t>
      </w:r>
      <w:r w:rsidR="00CC489A">
        <w:t xml:space="preserve"> Asimismo, alienta a las administraciones</w:t>
      </w:r>
      <w:r w:rsidR="00CC489A" w:rsidRPr="00CC489A">
        <w:t xml:space="preserve"> a</w:t>
      </w:r>
      <w:r w:rsidR="00CC489A">
        <w:t xml:space="preserve"> proceder </w:t>
      </w:r>
      <w:r w:rsidR="007A3656">
        <w:t>con antelación</w:t>
      </w:r>
      <w:r w:rsidR="00CC489A">
        <w:t xml:space="preserve"> a</w:t>
      </w:r>
      <w:r w:rsidR="00CC489A" w:rsidRPr="00CC489A">
        <w:t xml:space="preserve"> </w:t>
      </w:r>
      <w:r w:rsidR="00CC489A">
        <w:t>l</w:t>
      </w:r>
      <w:r w:rsidR="00CC489A" w:rsidRPr="00CC489A">
        <w:t xml:space="preserve">a inscripción en línea </w:t>
      </w:r>
      <w:r w:rsidR="00CC489A">
        <w:t>en</w:t>
      </w:r>
      <w:r w:rsidR="00CC489A" w:rsidRPr="00CC489A">
        <w:t xml:space="preserve"> estos eventos, </w:t>
      </w:r>
      <w:r w:rsidR="00A45C8D">
        <w:t>para</w:t>
      </w:r>
      <w:r w:rsidR="00CC489A">
        <w:t xml:space="preserve"> </w:t>
      </w:r>
      <w:r w:rsidR="00CC489A" w:rsidRPr="00CC489A">
        <w:t xml:space="preserve">que </w:t>
      </w:r>
      <w:r w:rsidR="00CC489A">
        <w:t>l</w:t>
      </w:r>
      <w:r w:rsidR="00CC489A" w:rsidRPr="00CC489A">
        <w:t>os delegados</w:t>
      </w:r>
      <w:r w:rsidR="00CC489A">
        <w:t xml:space="preserve"> puedan acceder </w:t>
      </w:r>
      <w:r w:rsidR="00CC489A" w:rsidRPr="00CC489A">
        <w:t xml:space="preserve">a un visado de mayor duración que el visado </w:t>
      </w:r>
      <w:r w:rsidR="00A45C8D">
        <w:t xml:space="preserve">general </w:t>
      </w:r>
      <w:r w:rsidR="00CC489A" w:rsidRPr="00CC489A">
        <w:t>de turista de 30 días.</w:t>
      </w:r>
    </w:p>
    <w:p w:rsidR="00E85565" w:rsidRPr="000402A6" w:rsidRDefault="00E85565" w:rsidP="002E68E5">
      <w:r w:rsidRPr="00F63D6A">
        <w:t>1.2</w:t>
      </w:r>
      <w:r w:rsidRPr="00F63D6A">
        <w:tab/>
      </w:r>
      <w:r w:rsidR="00F63D6A" w:rsidRPr="00F63D6A">
        <w:t>Un consejero señal</w:t>
      </w:r>
      <w:r w:rsidR="00F700AC">
        <w:t>a</w:t>
      </w:r>
      <w:r w:rsidR="00F63D6A" w:rsidRPr="00F63D6A">
        <w:t xml:space="preserve"> los esfuerzos que se están realizando por coordinar las posturas a nivel subregional en África Oriental en el marco de los preparativos en curso en la Comunidad de Desarrollo del </w:t>
      </w:r>
      <w:r w:rsidR="00F63D6A">
        <w:t>África Meridional</w:t>
      </w:r>
      <w:r w:rsidRPr="00F63D6A">
        <w:t>.</w:t>
      </w:r>
    </w:p>
    <w:p w:rsidR="00E85565" w:rsidRPr="00F63D6A" w:rsidRDefault="00E85565" w:rsidP="002E68E5">
      <w:r w:rsidRPr="00F63D6A">
        <w:t>1.3</w:t>
      </w:r>
      <w:r w:rsidRPr="00F63D6A">
        <w:tab/>
      </w:r>
      <w:r w:rsidR="00F63D6A" w:rsidRPr="00F63D6A">
        <w:t>El consejero de Egipto di</w:t>
      </w:r>
      <w:r w:rsidR="00F700AC">
        <w:t>ce</w:t>
      </w:r>
      <w:r w:rsidR="00F63D6A" w:rsidRPr="00F63D6A">
        <w:t xml:space="preserve"> estar a disposición del Consejo para responder a toda duda sobre la logística de las </w:t>
      </w:r>
      <w:r w:rsidR="00F63D6A">
        <w:t>reuniones y el lugar elegido para su celebración</w:t>
      </w:r>
      <w:r w:rsidRPr="00F63D6A">
        <w:t>.</w:t>
      </w:r>
    </w:p>
    <w:p w:rsidR="00E85565" w:rsidRPr="00F700AC" w:rsidRDefault="00E85565" w:rsidP="000402A6">
      <w:pPr>
        <w:rPr>
          <w:lang w:val="es-ES"/>
        </w:rPr>
      </w:pPr>
      <w:r w:rsidRPr="00F700AC">
        <w:rPr>
          <w:lang w:val="es-ES"/>
        </w:rPr>
        <w:t>1.4</w:t>
      </w:r>
      <w:r w:rsidRPr="00F700AC">
        <w:rPr>
          <w:lang w:val="es-ES"/>
        </w:rPr>
        <w:tab/>
      </w:r>
      <w:r w:rsidR="00F63D6A" w:rsidRPr="00F700AC">
        <w:rPr>
          <w:lang w:val="es-ES"/>
        </w:rPr>
        <w:t xml:space="preserve">El Consejo </w:t>
      </w:r>
      <w:r w:rsidR="00F700AC" w:rsidRPr="00F700AC">
        <w:rPr>
          <w:b/>
          <w:bCs/>
          <w:lang w:val="es-ES"/>
        </w:rPr>
        <w:t xml:space="preserve">toma nota </w:t>
      </w:r>
      <w:r w:rsidR="00F700AC" w:rsidRPr="00F700AC">
        <w:rPr>
          <w:lang w:val="es-ES"/>
        </w:rPr>
        <w:t>del Documento</w:t>
      </w:r>
      <w:r w:rsidRPr="00F700AC">
        <w:rPr>
          <w:lang w:val="es-ES"/>
        </w:rPr>
        <w:t xml:space="preserve"> C19/27.</w:t>
      </w:r>
    </w:p>
    <w:p w:rsidR="00E85565" w:rsidRPr="000402A6" w:rsidRDefault="00827402" w:rsidP="000402A6">
      <w:pPr>
        <w:pStyle w:val="Heading1"/>
      </w:pPr>
      <w:r w:rsidRPr="000402A6">
        <w:t>2</w:t>
      </w:r>
      <w:r w:rsidRPr="000402A6">
        <w:tab/>
        <w:t>Informe sobre la Conferencia de Plenipotenciarios de 2018 (Document</w:t>
      </w:r>
      <w:r w:rsidR="00F700AC" w:rsidRPr="000402A6">
        <w:t>o</w:t>
      </w:r>
      <w:r w:rsidRPr="000402A6">
        <w:t>s</w:t>
      </w:r>
      <w:r w:rsidR="000402A6">
        <w:t> </w:t>
      </w:r>
      <w:hyperlink r:id="rId17" w:history="1">
        <w:r w:rsidRPr="000402A6">
          <w:rPr>
            <w:rStyle w:val="Hyperlink"/>
          </w:rPr>
          <w:t>C19/4</w:t>
        </w:r>
      </w:hyperlink>
      <w:r w:rsidRPr="000402A6">
        <w:t xml:space="preserve"> </w:t>
      </w:r>
      <w:r w:rsidR="00F700AC" w:rsidRPr="000402A6">
        <w:t>y</w:t>
      </w:r>
      <w:r w:rsidRPr="000402A6">
        <w:t xml:space="preserve"> </w:t>
      </w:r>
      <w:hyperlink r:id="rId18" w:history="1">
        <w:r w:rsidRPr="000402A6">
          <w:rPr>
            <w:rStyle w:val="Hyperlink"/>
          </w:rPr>
          <w:t>C19/101</w:t>
        </w:r>
      </w:hyperlink>
      <w:r w:rsidRPr="000402A6">
        <w:t>)</w:t>
      </w:r>
    </w:p>
    <w:p w:rsidR="00827402" w:rsidRPr="00F700AC" w:rsidRDefault="00827402" w:rsidP="002E68E5">
      <w:r w:rsidRPr="00F700AC">
        <w:t>2.1</w:t>
      </w:r>
      <w:r w:rsidRPr="00F700AC">
        <w:tab/>
      </w:r>
      <w:r w:rsidR="00F700AC" w:rsidRPr="00F700AC">
        <w:t>El Secretario de la Plenaria presenta el Informe sobre los preparativos de la PP-18 y su celebración (Documento</w:t>
      </w:r>
      <w:r w:rsidRPr="00F700AC">
        <w:t xml:space="preserve"> C19/4).</w:t>
      </w:r>
    </w:p>
    <w:p w:rsidR="00827402" w:rsidRPr="00F700AC" w:rsidRDefault="00827402" w:rsidP="002E68E5">
      <w:pPr>
        <w:rPr>
          <w:lang w:val="es-ES"/>
        </w:rPr>
      </w:pPr>
      <w:r w:rsidRPr="00F700AC">
        <w:t>2.2</w:t>
      </w:r>
      <w:r w:rsidRPr="00F700AC">
        <w:tab/>
      </w:r>
      <w:r w:rsidR="00F700AC" w:rsidRPr="00F700AC">
        <w:t>El consejero de Emiratos Árabes Unidos presenta el Documento</w:t>
      </w:r>
      <w:r w:rsidRPr="00F700AC">
        <w:t xml:space="preserve"> C19/101</w:t>
      </w:r>
      <w:r w:rsidR="00F700AC" w:rsidRPr="00F700AC">
        <w:t xml:space="preserve">, </w:t>
      </w:r>
      <w:r w:rsidR="00F700AC">
        <w:t xml:space="preserve">que se presenta conjuntamente con Arabia Saudita y </w:t>
      </w:r>
      <w:r w:rsidR="00F700AC" w:rsidRPr="00F700AC">
        <w:t>en el q</w:t>
      </w:r>
      <w:r w:rsidR="00F700AC">
        <w:t xml:space="preserve">ue se sugieren mejoras para el trabajo de la Conferencia de Plenipotenciarios. </w:t>
      </w:r>
      <w:r w:rsidR="00F700AC" w:rsidRPr="00F700AC">
        <w:t>Entre las propuestas se incluye la formalización de la preparación interregional, la reducci</w:t>
      </w:r>
      <w:r w:rsidR="00F700AC">
        <w:t xml:space="preserve">ón de la duración de la Conferencia, la mejor preparación y formación de los delegados y la continuación de los esfuerzos por que la Conferencia sea lo más </w:t>
      </w:r>
      <w:r w:rsidR="003E0887">
        <w:t>"</w:t>
      </w:r>
      <w:r w:rsidR="00F700AC">
        <w:t>ecológica</w:t>
      </w:r>
      <w:r w:rsidR="003E0887">
        <w:t>"</w:t>
      </w:r>
      <w:r w:rsidR="00F700AC">
        <w:t xml:space="preserve"> posible, de conformidad con</w:t>
      </w:r>
      <w:r w:rsidRPr="00F700AC">
        <w:rPr>
          <w:lang w:val="es-ES"/>
        </w:rPr>
        <w:t xml:space="preserve"> ISO 20121:2012 </w:t>
      </w:r>
      <w:r w:rsidR="00F700AC" w:rsidRPr="00F700AC">
        <w:rPr>
          <w:lang w:val="es-ES"/>
        </w:rPr>
        <w:t xml:space="preserve">para </w:t>
      </w:r>
      <w:r w:rsidR="00F700AC">
        <w:rPr>
          <w:lang w:val="es-ES"/>
        </w:rPr>
        <w:t>Eventos sostenibles</w:t>
      </w:r>
      <w:r w:rsidRPr="00F700AC">
        <w:rPr>
          <w:lang w:val="es-ES"/>
        </w:rPr>
        <w:t>.</w:t>
      </w:r>
    </w:p>
    <w:p w:rsidR="00827402" w:rsidRPr="00BA7F0A" w:rsidRDefault="00827402" w:rsidP="00CC489A">
      <w:pPr>
        <w:rPr>
          <w:lang w:val="es-ES"/>
        </w:rPr>
      </w:pPr>
      <w:r w:rsidRPr="00F700AC">
        <w:rPr>
          <w:lang w:val="es-ES"/>
        </w:rPr>
        <w:lastRenderedPageBreak/>
        <w:t>2.3</w:t>
      </w:r>
      <w:r w:rsidRPr="00F700AC">
        <w:rPr>
          <w:lang w:val="es-ES"/>
        </w:rPr>
        <w:tab/>
      </w:r>
      <w:r w:rsidR="00F700AC" w:rsidRPr="00F700AC">
        <w:rPr>
          <w:lang w:val="es-ES"/>
        </w:rPr>
        <w:t>Los Consejeros felicitan a la UIT y a Emiratos Árabes Unidos por el éxito de la</w:t>
      </w:r>
      <w:r w:rsidRPr="00F700AC">
        <w:rPr>
          <w:lang w:val="es-ES"/>
        </w:rPr>
        <w:t xml:space="preserve"> PP-18</w:t>
      </w:r>
      <w:r w:rsidR="00CC489A">
        <w:rPr>
          <w:lang w:val="es-ES"/>
        </w:rPr>
        <w:t>,</w:t>
      </w:r>
      <w:r w:rsidR="00F700AC" w:rsidRPr="00F700AC">
        <w:rPr>
          <w:lang w:val="es-ES"/>
        </w:rPr>
        <w:t xml:space="preserve"> </w:t>
      </w:r>
      <w:r w:rsidR="00CC489A">
        <w:rPr>
          <w:lang w:val="es-ES"/>
        </w:rPr>
        <w:t xml:space="preserve">agradecen a la </w:t>
      </w:r>
      <w:r w:rsidR="003A125E">
        <w:rPr>
          <w:lang w:val="es-ES"/>
        </w:rPr>
        <w:t>S</w:t>
      </w:r>
      <w:r w:rsidR="00CC489A">
        <w:rPr>
          <w:lang w:val="es-ES"/>
        </w:rPr>
        <w:t>ecretaría</w:t>
      </w:r>
      <w:r w:rsidR="00F700AC" w:rsidRPr="00F700AC">
        <w:rPr>
          <w:lang w:val="es-ES"/>
        </w:rPr>
        <w:t xml:space="preserve"> las mejoras</w:t>
      </w:r>
      <w:r w:rsidR="00CC489A">
        <w:rPr>
          <w:lang w:val="es-ES"/>
        </w:rPr>
        <w:t xml:space="preserve"> introducidas</w:t>
      </w:r>
      <w:r w:rsidR="00F700AC" w:rsidRPr="00F700AC">
        <w:rPr>
          <w:lang w:val="es-ES"/>
        </w:rPr>
        <w:t xml:space="preserve"> </w:t>
      </w:r>
      <w:r w:rsidR="00CC489A">
        <w:rPr>
          <w:lang w:val="es-ES"/>
        </w:rPr>
        <w:t xml:space="preserve">en </w:t>
      </w:r>
      <w:r w:rsidR="00F700AC" w:rsidRPr="00F700AC">
        <w:rPr>
          <w:lang w:val="es-ES"/>
        </w:rPr>
        <w:t>el trabajo de</w:t>
      </w:r>
      <w:r w:rsidR="00F700AC">
        <w:rPr>
          <w:lang w:val="es-ES"/>
        </w:rPr>
        <w:t xml:space="preserve"> la Conferencia</w:t>
      </w:r>
      <w:r w:rsidR="00CC489A">
        <w:rPr>
          <w:lang w:val="es-ES"/>
        </w:rPr>
        <w:t xml:space="preserve"> y celebran las demás propuestas de mejora</w:t>
      </w:r>
      <w:r w:rsidR="00F700AC">
        <w:rPr>
          <w:lang w:val="es-ES"/>
        </w:rPr>
        <w:t xml:space="preserve">, en particular la destinada a </w:t>
      </w:r>
      <w:r w:rsidR="00CC489A">
        <w:rPr>
          <w:lang w:val="es-ES"/>
        </w:rPr>
        <w:t>reforzar</w:t>
      </w:r>
      <w:r w:rsidR="00F700AC">
        <w:rPr>
          <w:lang w:val="es-ES"/>
        </w:rPr>
        <w:t xml:space="preserve"> los preparativos interregionales</w:t>
      </w:r>
      <w:r w:rsidRPr="00BA7F0A">
        <w:rPr>
          <w:lang w:val="es-ES"/>
        </w:rPr>
        <w:t xml:space="preserve">. </w:t>
      </w:r>
      <w:r w:rsidR="00BA7F0A" w:rsidRPr="00BA7F0A">
        <w:rPr>
          <w:lang w:val="es-ES"/>
        </w:rPr>
        <w:t>Un consejero manifiesta su descontento por la celebración paralela</w:t>
      </w:r>
      <w:r w:rsidR="00BA7F0A">
        <w:rPr>
          <w:lang w:val="es-ES"/>
        </w:rPr>
        <w:t xml:space="preserve"> durante la PP-18</w:t>
      </w:r>
      <w:r w:rsidR="00BA7F0A" w:rsidRPr="00BA7F0A">
        <w:rPr>
          <w:lang w:val="es-ES"/>
        </w:rPr>
        <w:t xml:space="preserve"> de reuniones de Comisiones y de las elecciones en la Plenaria</w:t>
      </w:r>
      <w:r w:rsidR="00BA7F0A">
        <w:rPr>
          <w:lang w:val="es-ES"/>
        </w:rPr>
        <w:t xml:space="preserve"> y considera que es algo que debería evitarse en el futuro. </w:t>
      </w:r>
      <w:r w:rsidR="00BA7F0A" w:rsidRPr="00BA7F0A">
        <w:rPr>
          <w:lang w:val="es-ES"/>
        </w:rPr>
        <w:t>Si bien algunos consejeros consideran que sería conveniente acortar la duración de la Conferencia, otros se preguntan si ser</w:t>
      </w:r>
      <w:r w:rsidR="00BA7F0A">
        <w:rPr>
          <w:lang w:val="es-ES"/>
        </w:rPr>
        <w:t xml:space="preserve">ía viable, pues probablemente la carga de trabajo aumente. </w:t>
      </w:r>
      <w:r w:rsidR="00BA7F0A" w:rsidRPr="00BA7F0A">
        <w:rPr>
          <w:lang w:val="es-ES"/>
        </w:rPr>
        <w:t xml:space="preserve">Por </w:t>
      </w:r>
      <w:r w:rsidR="00E2196F">
        <w:rPr>
          <w:lang w:val="es-ES"/>
        </w:rPr>
        <w:t>ú</w:t>
      </w:r>
      <w:r w:rsidR="00BA7F0A" w:rsidRPr="00BA7F0A">
        <w:rPr>
          <w:lang w:val="es-ES"/>
        </w:rPr>
        <w:t xml:space="preserve">ltimo, la </w:t>
      </w:r>
      <w:r w:rsidR="003E0887">
        <w:rPr>
          <w:lang w:val="es-ES"/>
        </w:rPr>
        <w:t>"</w:t>
      </w:r>
      <w:r w:rsidR="00BA7F0A" w:rsidRPr="00BA7F0A">
        <w:rPr>
          <w:lang w:val="es-ES"/>
        </w:rPr>
        <w:t>ecologización</w:t>
      </w:r>
      <w:r w:rsidR="003E0887">
        <w:rPr>
          <w:lang w:val="es-ES"/>
        </w:rPr>
        <w:t>"</w:t>
      </w:r>
      <w:r w:rsidR="00BA7F0A" w:rsidRPr="00BA7F0A">
        <w:rPr>
          <w:lang w:val="es-ES"/>
        </w:rPr>
        <w:t xml:space="preserve"> de la Conferencia debería ser algo más que celebrar reuniones sin papel</w:t>
      </w:r>
      <w:r w:rsidRPr="00BA7F0A">
        <w:rPr>
          <w:lang w:val="es-ES"/>
        </w:rPr>
        <w:t>.</w:t>
      </w:r>
    </w:p>
    <w:p w:rsidR="00827402" w:rsidRPr="00BA7F0A" w:rsidRDefault="00827402" w:rsidP="00CC489A">
      <w:pPr>
        <w:rPr>
          <w:lang w:val="es-ES"/>
        </w:rPr>
      </w:pPr>
      <w:r w:rsidRPr="00BA7F0A">
        <w:rPr>
          <w:lang w:val="es-ES"/>
        </w:rPr>
        <w:t>2.4</w:t>
      </w:r>
      <w:r w:rsidRPr="00BA7F0A">
        <w:rPr>
          <w:lang w:val="es-ES"/>
        </w:rPr>
        <w:tab/>
      </w:r>
      <w:r w:rsidR="00BA7F0A" w:rsidRPr="00BA7F0A">
        <w:rPr>
          <w:lang w:val="es-ES"/>
        </w:rPr>
        <w:t xml:space="preserve">El Consejo </w:t>
      </w:r>
      <w:r w:rsidR="00BA7F0A" w:rsidRPr="00BA7F0A">
        <w:rPr>
          <w:b/>
          <w:bCs/>
          <w:lang w:val="es-ES"/>
        </w:rPr>
        <w:t xml:space="preserve">toma nota </w:t>
      </w:r>
      <w:r w:rsidR="00BA7F0A" w:rsidRPr="00BA7F0A">
        <w:rPr>
          <w:lang w:val="es-ES"/>
        </w:rPr>
        <w:t>del Documento</w:t>
      </w:r>
      <w:r w:rsidRPr="00BA7F0A">
        <w:rPr>
          <w:lang w:val="es-ES"/>
        </w:rPr>
        <w:t xml:space="preserve"> C19/4 </w:t>
      </w:r>
      <w:r w:rsidR="00BA7F0A" w:rsidRPr="00BA7F0A">
        <w:rPr>
          <w:lang w:val="es-ES"/>
        </w:rPr>
        <w:t xml:space="preserve">y </w:t>
      </w:r>
      <w:r w:rsidR="00BA7F0A" w:rsidRPr="00BA7F0A">
        <w:rPr>
          <w:b/>
          <w:bCs/>
          <w:lang w:val="es-ES"/>
        </w:rPr>
        <w:t xml:space="preserve">solicita </w:t>
      </w:r>
      <w:r w:rsidR="00BA7F0A" w:rsidRPr="00BA7F0A">
        <w:rPr>
          <w:lang w:val="es-ES"/>
        </w:rPr>
        <w:t xml:space="preserve">a la Secretaría que estudie </w:t>
      </w:r>
      <w:r w:rsidR="00CC489A">
        <w:rPr>
          <w:lang w:val="es-ES"/>
        </w:rPr>
        <w:t>métodos para re</w:t>
      </w:r>
      <w:r w:rsidR="00CC489A">
        <w:t>forzar aún más</w:t>
      </w:r>
      <w:r w:rsidR="00CC489A" w:rsidRPr="00CC489A">
        <w:rPr>
          <w:lang w:val="es-ES"/>
        </w:rPr>
        <w:t xml:space="preserve"> los preparativos interregionales y</w:t>
      </w:r>
      <w:r w:rsidR="00BA7F0A" w:rsidRPr="00BA7F0A">
        <w:rPr>
          <w:lang w:val="es-ES"/>
        </w:rPr>
        <w:t xml:space="preserve"> aumentar la eficacia de la Conferencia de Plenipotenciarios, incluida la viabilidad de su acortamiento, y rinda informe al Consejo acerca de las maneras de racionalizar el trabajo de la Conferencia y cu</w:t>
      </w:r>
      <w:r w:rsidR="00BA7F0A">
        <w:rPr>
          <w:lang w:val="es-ES"/>
        </w:rPr>
        <w:t>áles serían las consecuencias económicas</w:t>
      </w:r>
      <w:r w:rsidR="00612A8A">
        <w:rPr>
          <w:lang w:val="es-ES"/>
        </w:rPr>
        <w:t>.</w:t>
      </w:r>
    </w:p>
    <w:p w:rsidR="00827402" w:rsidRPr="000402A6" w:rsidRDefault="006B3337" w:rsidP="000402A6">
      <w:pPr>
        <w:pStyle w:val="Heading1"/>
      </w:pPr>
      <w:r w:rsidRPr="000402A6">
        <w:t>3</w:t>
      </w:r>
      <w:r w:rsidRPr="000402A6">
        <w:tab/>
        <w:t>Enmiendas al proceso electoral (Document</w:t>
      </w:r>
      <w:r w:rsidR="00BA7F0A" w:rsidRPr="000402A6">
        <w:t>o</w:t>
      </w:r>
      <w:r w:rsidRPr="000402A6">
        <w:t xml:space="preserve">s </w:t>
      </w:r>
      <w:hyperlink r:id="rId19" w:history="1">
        <w:r w:rsidRPr="000402A6">
          <w:rPr>
            <w:rStyle w:val="Hyperlink"/>
          </w:rPr>
          <w:t>C19/13</w:t>
        </w:r>
      </w:hyperlink>
      <w:r w:rsidRPr="000402A6">
        <w:t xml:space="preserve"> </w:t>
      </w:r>
      <w:r w:rsidR="00BA7F0A" w:rsidRPr="000402A6">
        <w:t>y</w:t>
      </w:r>
      <w:r w:rsidRPr="000402A6">
        <w:t xml:space="preserve"> </w:t>
      </w:r>
      <w:hyperlink r:id="rId20" w:history="1">
        <w:r w:rsidRPr="000402A6">
          <w:rPr>
            <w:rStyle w:val="Hyperlink"/>
          </w:rPr>
          <w:t>C19/67</w:t>
        </w:r>
      </w:hyperlink>
      <w:r w:rsidRPr="000402A6">
        <w:t>)</w:t>
      </w:r>
    </w:p>
    <w:p w:rsidR="006B3337" w:rsidRPr="00BA7F0A" w:rsidRDefault="006B3337" w:rsidP="002E68E5">
      <w:pPr>
        <w:rPr>
          <w:lang w:val="es-ES"/>
        </w:rPr>
      </w:pPr>
      <w:r w:rsidRPr="00BA7F0A">
        <w:t>3.1</w:t>
      </w:r>
      <w:r w:rsidRPr="00BA7F0A">
        <w:tab/>
      </w:r>
      <w:r w:rsidR="00BA7F0A" w:rsidRPr="00BA7F0A">
        <w:t>El Secretario de la Plenaria presenta el Documento</w:t>
      </w:r>
      <w:r w:rsidRPr="00BA7F0A">
        <w:t xml:space="preserve"> C19/13, </w:t>
      </w:r>
      <w:r w:rsidR="00BA7F0A" w:rsidRPr="00BA7F0A">
        <w:t>en el que se resumen los debates sostenidos acerca de la mejora del proceso electoral de la Uni</w:t>
      </w:r>
      <w:r w:rsidR="00BA7F0A">
        <w:t xml:space="preserve">ón y las recomendaciones aprobadas por la PP-18 a ese respecto. </w:t>
      </w:r>
      <w:r w:rsidR="00BA7F0A" w:rsidRPr="00BA7F0A">
        <w:rPr>
          <w:lang w:val="es-ES"/>
        </w:rPr>
        <w:t>Se solicita al Consejo su asesoría acerca de la manera de aplicar esas recomendaciones</w:t>
      </w:r>
      <w:r w:rsidRPr="00BA7F0A">
        <w:rPr>
          <w:lang w:val="es-ES"/>
        </w:rPr>
        <w:t>.</w:t>
      </w:r>
    </w:p>
    <w:p w:rsidR="006B3337" w:rsidRPr="00BA7F0A" w:rsidRDefault="006B3337" w:rsidP="002E68E5">
      <w:pPr>
        <w:rPr>
          <w:lang w:val="es-ES"/>
        </w:rPr>
      </w:pPr>
      <w:r w:rsidRPr="00BA7F0A">
        <w:rPr>
          <w:lang w:val="es-ES"/>
        </w:rPr>
        <w:t>3.2</w:t>
      </w:r>
      <w:r w:rsidRPr="00BA7F0A">
        <w:rPr>
          <w:lang w:val="es-ES"/>
        </w:rPr>
        <w:tab/>
      </w:r>
      <w:r w:rsidR="00BA7F0A">
        <w:rPr>
          <w:lang w:val="es-ES"/>
        </w:rPr>
        <w:t>La</w:t>
      </w:r>
      <w:r w:rsidR="00BA7F0A" w:rsidRPr="00BA7F0A">
        <w:rPr>
          <w:lang w:val="es-ES"/>
        </w:rPr>
        <w:t xml:space="preserve"> consejer</w:t>
      </w:r>
      <w:r w:rsidR="00BA7F0A">
        <w:rPr>
          <w:lang w:val="es-ES"/>
        </w:rPr>
        <w:t>a</w:t>
      </w:r>
      <w:r w:rsidR="00BA7F0A" w:rsidRPr="00BA7F0A">
        <w:rPr>
          <w:lang w:val="es-ES"/>
        </w:rPr>
        <w:t xml:space="preserve"> de Brasil presenta el Documento</w:t>
      </w:r>
      <w:r w:rsidRPr="00BA7F0A">
        <w:rPr>
          <w:lang w:val="es-ES"/>
        </w:rPr>
        <w:t xml:space="preserve"> C19/67, </w:t>
      </w:r>
      <w:r w:rsidR="00BA7F0A" w:rsidRPr="00BA7F0A">
        <w:rPr>
          <w:lang w:val="es-ES"/>
        </w:rPr>
        <w:t>que tambi</w:t>
      </w:r>
      <w:r w:rsidR="00BA7F0A">
        <w:rPr>
          <w:lang w:val="es-ES"/>
        </w:rPr>
        <w:t>én presentan</w:t>
      </w:r>
      <w:r w:rsidR="00BA7F0A" w:rsidRPr="00BA7F0A">
        <w:rPr>
          <w:lang w:val="es-ES"/>
        </w:rPr>
        <w:t xml:space="preserve"> Canadá y Paraguay</w:t>
      </w:r>
      <w:r w:rsidR="00BA7F0A">
        <w:rPr>
          <w:lang w:val="es-ES"/>
        </w:rPr>
        <w:t>, que contiene un proyecto de nuevo Acuerdo para adoptar directrices sobre los aspectos éticos de algunas actividades de campaña anteriores a las Conferen</w:t>
      </w:r>
      <w:r w:rsidR="002471E4">
        <w:rPr>
          <w:lang w:val="es-ES"/>
        </w:rPr>
        <w:t>cias de Plenipotenciarios de la </w:t>
      </w:r>
      <w:r w:rsidR="00BA7F0A">
        <w:rPr>
          <w:lang w:val="es-ES"/>
        </w:rPr>
        <w:t xml:space="preserve">UIT. </w:t>
      </w:r>
      <w:r w:rsidR="00BA7F0A" w:rsidRPr="00BA7F0A">
        <w:rPr>
          <w:lang w:val="es-ES"/>
        </w:rPr>
        <w:t>Dice que las directrices, presentadas de conformidad el</w:t>
      </w:r>
      <w:r w:rsidRPr="00BA7F0A">
        <w:rPr>
          <w:lang w:val="es-ES"/>
        </w:rPr>
        <w:t xml:space="preserve"> </w:t>
      </w:r>
      <w:r w:rsidRPr="00BA7F0A">
        <w:rPr>
          <w:rFonts w:cs="Calibri"/>
          <w:lang w:val="es-ES"/>
        </w:rPr>
        <w:t>§</w:t>
      </w:r>
      <w:r w:rsidR="00612A8A">
        <w:rPr>
          <w:rFonts w:cs="Calibri"/>
          <w:lang w:val="es-ES"/>
        </w:rPr>
        <w:t> </w:t>
      </w:r>
      <w:r w:rsidRPr="00BA7F0A">
        <w:rPr>
          <w:lang w:val="es-ES"/>
        </w:rPr>
        <w:t xml:space="preserve">5 </w:t>
      </w:r>
      <w:r w:rsidR="00BA7F0A" w:rsidRPr="00BA7F0A">
        <w:rPr>
          <w:lang w:val="es-ES"/>
        </w:rPr>
        <w:t>de la recomendación 6 formulada por la Comisión 5 y adoptada por la</w:t>
      </w:r>
      <w:r w:rsidRPr="00BA7F0A">
        <w:rPr>
          <w:lang w:val="es-ES"/>
        </w:rPr>
        <w:t xml:space="preserve"> PP-18 </w:t>
      </w:r>
      <w:r w:rsidR="00BA7F0A" w:rsidRPr="00BA7F0A">
        <w:rPr>
          <w:lang w:val="es-ES"/>
        </w:rPr>
        <w:t xml:space="preserve">en su </w:t>
      </w:r>
      <w:r w:rsidR="003E0887" w:rsidRPr="00BA7F0A">
        <w:rPr>
          <w:lang w:val="es-ES"/>
        </w:rPr>
        <w:t>d</w:t>
      </w:r>
      <w:r w:rsidR="003E0887">
        <w:rPr>
          <w:lang w:val="es-ES"/>
        </w:rPr>
        <w:t>ecimosexta</w:t>
      </w:r>
      <w:r w:rsidR="00BA7F0A">
        <w:rPr>
          <w:lang w:val="es-ES"/>
        </w:rPr>
        <w:t xml:space="preserve"> </w:t>
      </w:r>
      <w:r w:rsidR="00BA7F0A">
        <w:rPr>
          <w:lang w:val="es-ES"/>
        </w:rPr>
        <w:lastRenderedPageBreak/>
        <w:t>Sesión Plenaria, se basan en tres principios generales, como se expone en el Anexo 1 al proyecto de Acuerdo</w:t>
      </w:r>
      <w:r w:rsidRPr="00BA7F0A">
        <w:rPr>
          <w:lang w:val="es-ES"/>
        </w:rPr>
        <w:t>.</w:t>
      </w:r>
    </w:p>
    <w:p w:rsidR="006B3337" w:rsidRPr="00C67D85" w:rsidRDefault="006B3337" w:rsidP="002E68E5">
      <w:pPr>
        <w:rPr>
          <w:lang w:val="es-ES"/>
        </w:rPr>
      </w:pPr>
      <w:r w:rsidRPr="00BA7F0A">
        <w:rPr>
          <w:lang w:val="es-ES"/>
        </w:rPr>
        <w:t>3.3</w:t>
      </w:r>
      <w:r w:rsidRPr="00BA7F0A">
        <w:rPr>
          <w:lang w:val="es-ES"/>
        </w:rPr>
        <w:tab/>
      </w:r>
      <w:r w:rsidR="00BA7F0A" w:rsidRPr="00BA7F0A">
        <w:rPr>
          <w:lang w:val="es-ES"/>
        </w:rPr>
        <w:t>Durante el subsiguiente debate, los consejeros se felicitan de las recomendaciones adoptadas por la</w:t>
      </w:r>
      <w:r w:rsidRPr="00BA7F0A">
        <w:rPr>
          <w:lang w:val="es-ES"/>
        </w:rPr>
        <w:t xml:space="preserve"> PP-18, </w:t>
      </w:r>
      <w:r w:rsidR="00BA7F0A" w:rsidRPr="00BA7F0A">
        <w:rPr>
          <w:lang w:val="es-ES"/>
        </w:rPr>
        <w:t>en particular la</w:t>
      </w:r>
      <w:r w:rsidR="00BA7F0A">
        <w:rPr>
          <w:lang w:val="es-ES"/>
        </w:rPr>
        <w:t>s</w:t>
      </w:r>
      <w:r w:rsidR="00BA7F0A" w:rsidRPr="00BA7F0A">
        <w:rPr>
          <w:lang w:val="es-ES"/>
        </w:rPr>
        <w:t xml:space="preserve"> </w:t>
      </w:r>
      <w:r w:rsidR="00BA7F0A">
        <w:rPr>
          <w:lang w:val="es-ES"/>
        </w:rPr>
        <w:t xml:space="preserve">relativas a aumentar la participación de las mujeres en los trabajos de la UIT y a celebrar mítines. </w:t>
      </w:r>
      <w:r w:rsidR="00BA7F0A" w:rsidRPr="00C67D85">
        <w:rPr>
          <w:lang w:val="es-ES"/>
        </w:rPr>
        <w:t xml:space="preserve">Si bien algunos consejeros se </w:t>
      </w:r>
      <w:r w:rsidR="00C67D85" w:rsidRPr="00C67D85">
        <w:rPr>
          <w:lang w:val="es-ES"/>
        </w:rPr>
        <w:t>felicitan de las directrices éticas para las actividades de campaña, cuyos principios subyacentes ya han demostrado su pertinencia, otros</w:t>
      </w:r>
      <w:r w:rsidR="00C67D85">
        <w:rPr>
          <w:lang w:val="es-ES"/>
        </w:rPr>
        <w:t xml:space="preserve"> consideran que hay que actuar con prudencia para garantizar que las directrices carecen de todo sesgo y no pueden malinterpretarse. </w:t>
      </w:r>
      <w:r w:rsidR="00C67D85" w:rsidRPr="00C67D85">
        <w:rPr>
          <w:lang w:val="es-ES"/>
        </w:rPr>
        <w:t>Además, se han de consider</w:t>
      </w:r>
      <w:r w:rsidR="00C67D85">
        <w:rPr>
          <w:lang w:val="es-ES"/>
        </w:rPr>
        <w:t>a</w:t>
      </w:r>
      <w:r w:rsidR="00C67D85" w:rsidRPr="00C67D85">
        <w:rPr>
          <w:lang w:val="es-ES"/>
        </w:rPr>
        <w:t>r todos los detalles y determin</w:t>
      </w:r>
      <w:r w:rsidR="00C67D85">
        <w:rPr>
          <w:lang w:val="es-ES"/>
        </w:rPr>
        <w:t>a</w:t>
      </w:r>
      <w:r w:rsidR="00C67D85" w:rsidRPr="00C67D85">
        <w:rPr>
          <w:lang w:val="es-ES"/>
        </w:rPr>
        <w:t>r si se necesitará un mecanismo para velar por la estricta aplicaci</w:t>
      </w:r>
      <w:r w:rsidR="00C67D85">
        <w:rPr>
          <w:lang w:val="es-ES"/>
        </w:rPr>
        <w:t>ón de las directrices</w:t>
      </w:r>
      <w:r w:rsidRPr="00C67D85">
        <w:rPr>
          <w:lang w:val="es-ES"/>
        </w:rPr>
        <w:t xml:space="preserve">. </w:t>
      </w:r>
      <w:r w:rsidR="00C67D85" w:rsidRPr="00C67D85">
        <w:rPr>
          <w:lang w:val="es-ES"/>
        </w:rPr>
        <w:t>También habrán de tenerse en cuenta las repercusiones, en términos econ</w:t>
      </w:r>
      <w:r w:rsidR="00C67D85">
        <w:rPr>
          <w:lang w:val="es-ES"/>
        </w:rPr>
        <w:t>ómicos y de recursos humanos, de su aplicación</w:t>
      </w:r>
      <w:r w:rsidR="000402A6">
        <w:rPr>
          <w:lang w:val="es-ES"/>
        </w:rPr>
        <w:t>.</w:t>
      </w:r>
    </w:p>
    <w:p w:rsidR="006B3337" w:rsidRPr="00C67D85" w:rsidRDefault="006B3337" w:rsidP="002E68E5">
      <w:pPr>
        <w:rPr>
          <w:lang w:val="es-ES"/>
        </w:rPr>
      </w:pPr>
      <w:r w:rsidRPr="00C67D85">
        <w:rPr>
          <w:lang w:val="es-ES"/>
        </w:rPr>
        <w:t>3.4</w:t>
      </w:r>
      <w:r w:rsidRPr="00C67D85">
        <w:rPr>
          <w:lang w:val="es-ES"/>
        </w:rPr>
        <w:tab/>
      </w:r>
      <w:r w:rsidR="00C67D85" w:rsidRPr="00C67D85">
        <w:rPr>
          <w:lang w:val="es-ES"/>
        </w:rPr>
        <w:t xml:space="preserve">Previa solicitud del Presidente </w:t>
      </w:r>
      <w:r w:rsidR="00C67D85" w:rsidRPr="00C67D85">
        <w:rPr>
          <w:i/>
          <w:iCs/>
          <w:lang w:val="es-ES"/>
        </w:rPr>
        <w:t>ad interim</w:t>
      </w:r>
      <w:r w:rsidR="00C67D85" w:rsidRPr="00C67D85">
        <w:rPr>
          <w:lang w:val="es-ES"/>
        </w:rPr>
        <w:t>, el Asesor Jurídico de la UIT aclara que el objetivo y el fin último de las directrices adoptadas en 2018 era encarnar los principios generales, concienciar y foment</w:t>
      </w:r>
      <w:r w:rsidR="00C67D85">
        <w:rPr>
          <w:lang w:val="es-ES"/>
        </w:rPr>
        <w:t>a</w:t>
      </w:r>
      <w:r w:rsidR="00C67D85" w:rsidRPr="00C67D85">
        <w:rPr>
          <w:lang w:val="es-ES"/>
        </w:rPr>
        <w:t>r un comportamiento ejemplar que reflejara positivamente los valores de la Uni</w:t>
      </w:r>
      <w:r w:rsidR="00C67D85">
        <w:rPr>
          <w:lang w:val="es-ES"/>
        </w:rPr>
        <w:t xml:space="preserve">ón. </w:t>
      </w:r>
      <w:r w:rsidR="00C67D85" w:rsidRPr="00C67D85">
        <w:rPr>
          <w:lang w:val="es-ES"/>
        </w:rPr>
        <w:t>Por consiguiente, de adoptarse, las directrices no serían jurídicamente vinculantes, pero tendrían un fuerte efecto incentivador</w:t>
      </w:r>
      <w:r w:rsidRPr="00C67D85">
        <w:rPr>
          <w:lang w:val="es-ES"/>
        </w:rPr>
        <w:t>.</w:t>
      </w:r>
    </w:p>
    <w:p w:rsidR="006B3337" w:rsidRPr="00C67D85" w:rsidRDefault="006B3337" w:rsidP="002E68E5">
      <w:pPr>
        <w:rPr>
          <w:lang w:val="es-ES"/>
        </w:rPr>
      </w:pPr>
      <w:r w:rsidRPr="00C67D85">
        <w:rPr>
          <w:lang w:val="es-ES"/>
        </w:rPr>
        <w:t>3.5</w:t>
      </w:r>
      <w:r w:rsidRPr="00C67D85">
        <w:rPr>
          <w:lang w:val="es-ES"/>
        </w:rPr>
        <w:tab/>
      </w:r>
      <w:r w:rsidR="00C67D85" w:rsidRPr="00C67D85">
        <w:rPr>
          <w:lang w:val="es-ES"/>
        </w:rPr>
        <w:t>El Secretario General añade que la Secretaría prepar</w:t>
      </w:r>
      <w:r w:rsidR="00C67D85">
        <w:rPr>
          <w:lang w:val="es-ES"/>
        </w:rPr>
        <w:t>ó</w:t>
      </w:r>
      <w:r w:rsidR="00C67D85" w:rsidRPr="00C67D85">
        <w:rPr>
          <w:lang w:val="es-ES"/>
        </w:rPr>
        <w:t xml:space="preserve"> unas directrices éticas para los candidatos internos, que se aplicaron satisfactoriamente antes de la PP-18, y que seguir</w:t>
      </w:r>
      <w:r w:rsidR="00C67D85">
        <w:rPr>
          <w:lang w:val="es-ES"/>
        </w:rPr>
        <w:t>án mejorándose</w:t>
      </w:r>
      <w:r w:rsidRPr="00C67D85">
        <w:rPr>
          <w:lang w:val="es-ES"/>
        </w:rPr>
        <w:t>.</w:t>
      </w:r>
    </w:p>
    <w:p w:rsidR="006B3337" w:rsidRPr="00C67D85" w:rsidRDefault="000402A6" w:rsidP="002E68E5">
      <w:pPr>
        <w:rPr>
          <w:lang w:val="es-ES"/>
        </w:rPr>
      </w:pPr>
      <w:r>
        <w:rPr>
          <w:lang w:val="es-ES"/>
        </w:rPr>
        <w:t>3.6</w:t>
      </w:r>
      <w:r w:rsidR="006B3337" w:rsidRPr="00C67D85">
        <w:rPr>
          <w:lang w:val="es-ES"/>
        </w:rPr>
        <w:tab/>
        <w:t>A</w:t>
      </w:r>
      <w:r w:rsidR="00C67D85" w:rsidRPr="00C67D85">
        <w:rPr>
          <w:lang w:val="es-ES"/>
        </w:rPr>
        <w:t>unque algunos consejeros están a favor de adoptar las directrices y señalan que son las mismas que adoptó el Consejo</w:t>
      </w:r>
      <w:r w:rsidR="006B3337" w:rsidRPr="00C67D85">
        <w:rPr>
          <w:lang w:val="es-ES"/>
        </w:rPr>
        <w:t xml:space="preserve">-18 </w:t>
      </w:r>
      <w:r w:rsidR="00C67D85" w:rsidRPr="00C67D85">
        <w:rPr>
          <w:lang w:val="es-ES"/>
        </w:rPr>
        <w:t>para la</w:t>
      </w:r>
      <w:r w:rsidR="006B3337" w:rsidRPr="00C67D85">
        <w:rPr>
          <w:lang w:val="es-ES"/>
        </w:rPr>
        <w:t xml:space="preserve"> PP-18, </w:t>
      </w:r>
      <w:r w:rsidR="00C67D85" w:rsidRPr="00C67D85">
        <w:rPr>
          <w:lang w:val="es-ES"/>
        </w:rPr>
        <w:t>dado que ser</w:t>
      </w:r>
      <w:r w:rsidR="00C67D85">
        <w:rPr>
          <w:lang w:val="es-ES"/>
        </w:rPr>
        <w:t xml:space="preserve">á posible examinarlas y revisarlas en posteriores reuniones del consejo, otros </w:t>
      </w:r>
      <w:r w:rsidR="007A2E4C">
        <w:rPr>
          <w:lang w:val="es-ES"/>
        </w:rPr>
        <w:t>se mostraron recelosos de adoptar un documento que aún se ha de perfilar</w:t>
      </w:r>
      <w:r w:rsidR="006B3337" w:rsidRPr="00C67D85">
        <w:rPr>
          <w:lang w:val="es-ES"/>
        </w:rPr>
        <w:t>.</w:t>
      </w:r>
    </w:p>
    <w:p w:rsidR="006B3337" w:rsidRPr="007A2E4C" w:rsidRDefault="006B3337" w:rsidP="002E68E5">
      <w:pPr>
        <w:rPr>
          <w:lang w:val="es-ES"/>
        </w:rPr>
      </w:pPr>
      <w:r w:rsidRPr="007A2E4C">
        <w:rPr>
          <w:lang w:val="es-ES"/>
        </w:rPr>
        <w:t>3.7</w:t>
      </w:r>
      <w:r w:rsidRPr="007A2E4C">
        <w:rPr>
          <w:lang w:val="es-ES"/>
        </w:rPr>
        <w:tab/>
      </w:r>
      <w:r w:rsidR="007A2E4C" w:rsidRPr="007A2E4C">
        <w:rPr>
          <w:lang w:val="es-ES"/>
        </w:rPr>
        <w:t xml:space="preserve">El Consejo </w:t>
      </w:r>
      <w:r w:rsidR="007A2E4C" w:rsidRPr="007A2E4C">
        <w:rPr>
          <w:b/>
          <w:bCs/>
          <w:lang w:val="es-ES"/>
        </w:rPr>
        <w:t>toma nota</w:t>
      </w:r>
      <w:r w:rsidRPr="007A2E4C">
        <w:rPr>
          <w:b/>
          <w:lang w:val="es-ES"/>
        </w:rPr>
        <w:t xml:space="preserve"> </w:t>
      </w:r>
      <w:r w:rsidR="007A2E4C" w:rsidRPr="007A2E4C">
        <w:rPr>
          <w:bCs/>
          <w:lang w:val="es-ES"/>
        </w:rPr>
        <w:t xml:space="preserve">del </w:t>
      </w:r>
      <w:r w:rsidRPr="007A2E4C">
        <w:rPr>
          <w:lang w:val="es-ES"/>
        </w:rPr>
        <w:t>Document</w:t>
      </w:r>
      <w:r w:rsidR="007A2E4C" w:rsidRPr="007A2E4C">
        <w:rPr>
          <w:lang w:val="es-ES"/>
        </w:rPr>
        <w:t>o</w:t>
      </w:r>
      <w:r w:rsidRPr="007A2E4C">
        <w:rPr>
          <w:lang w:val="es-ES"/>
        </w:rPr>
        <w:t xml:space="preserve"> C19/13 </w:t>
      </w:r>
      <w:r w:rsidR="007A2E4C" w:rsidRPr="007A2E4C">
        <w:rPr>
          <w:lang w:val="es-ES"/>
        </w:rPr>
        <w:t xml:space="preserve">y </w:t>
      </w:r>
      <w:r w:rsidR="007A2E4C" w:rsidRPr="007A2E4C">
        <w:rPr>
          <w:b/>
          <w:bCs/>
          <w:lang w:val="es-ES"/>
        </w:rPr>
        <w:t xml:space="preserve">encarga </w:t>
      </w:r>
      <w:r w:rsidR="007A2E4C" w:rsidRPr="007A2E4C">
        <w:rPr>
          <w:lang w:val="es-ES"/>
        </w:rPr>
        <w:t>al Secretario General que tome en consideración los debates sostenidos y prepare un informe sobre la aplicación de las recomendaciones 6 y 7 formuladas por la Comisi</w:t>
      </w:r>
      <w:r w:rsidR="007A2E4C">
        <w:rPr>
          <w:lang w:val="es-ES"/>
        </w:rPr>
        <w:t>ón 5 en la PP-18, y adoptadas por la Conferencia, para la reunión de 20</w:t>
      </w:r>
      <w:r w:rsidR="00CC489A">
        <w:rPr>
          <w:lang w:val="es-ES"/>
        </w:rPr>
        <w:t>20</w:t>
      </w:r>
      <w:r w:rsidR="007A2E4C">
        <w:rPr>
          <w:lang w:val="es-ES"/>
        </w:rPr>
        <w:t xml:space="preserve"> del Consejo</w:t>
      </w:r>
      <w:r w:rsidR="00612A8A">
        <w:rPr>
          <w:lang w:val="es-ES"/>
        </w:rPr>
        <w:t>.</w:t>
      </w:r>
    </w:p>
    <w:p w:rsidR="006B3337" w:rsidRPr="007A2E4C" w:rsidRDefault="006B3337" w:rsidP="00CC489A">
      <w:pPr>
        <w:rPr>
          <w:lang w:val="es-ES"/>
        </w:rPr>
      </w:pPr>
      <w:r w:rsidRPr="007A2E4C">
        <w:rPr>
          <w:lang w:val="es-ES"/>
        </w:rPr>
        <w:lastRenderedPageBreak/>
        <w:t>3.8</w:t>
      </w:r>
      <w:r w:rsidRPr="007A2E4C">
        <w:rPr>
          <w:lang w:val="es-ES"/>
        </w:rPr>
        <w:tab/>
      </w:r>
      <w:r w:rsidR="007A2E4C" w:rsidRPr="007A2E4C">
        <w:rPr>
          <w:lang w:val="es-ES"/>
        </w:rPr>
        <w:t xml:space="preserve">El Consejo </w:t>
      </w:r>
      <w:r w:rsidR="007A2E4C" w:rsidRPr="007A2E4C">
        <w:rPr>
          <w:b/>
          <w:bCs/>
          <w:lang w:val="es-ES"/>
        </w:rPr>
        <w:t xml:space="preserve">toma nota </w:t>
      </w:r>
      <w:r w:rsidR="007A2E4C" w:rsidRPr="007A2E4C">
        <w:rPr>
          <w:lang w:val="es-ES"/>
        </w:rPr>
        <w:t>asimismo del amplio apoyo recabado por el Documento</w:t>
      </w:r>
      <w:r w:rsidRPr="007A2E4C">
        <w:rPr>
          <w:lang w:val="es-ES"/>
        </w:rPr>
        <w:t xml:space="preserve"> C19/67 </w:t>
      </w:r>
      <w:r w:rsidR="007A2E4C" w:rsidRPr="007A2E4C">
        <w:rPr>
          <w:lang w:val="es-ES"/>
        </w:rPr>
        <w:t xml:space="preserve">sobre los aspectos éticos de las actividades de campaña previas a la Conferencia de Plenipotenciarios de la UIT y </w:t>
      </w:r>
      <w:r w:rsidR="007A2E4C">
        <w:rPr>
          <w:b/>
          <w:bCs/>
          <w:lang w:val="es-ES"/>
        </w:rPr>
        <w:t xml:space="preserve">refrenda </w:t>
      </w:r>
      <w:r w:rsidR="007A2E4C">
        <w:rPr>
          <w:lang w:val="es-ES"/>
        </w:rPr>
        <w:t>los principios básicos recogidos en el proyecto de Acuerdo anexo al Documento, cuyo texto habrá de finalizar el Consejo</w:t>
      </w:r>
      <w:r w:rsidR="00CC489A">
        <w:rPr>
          <w:lang w:val="es-ES"/>
        </w:rPr>
        <w:t xml:space="preserve"> en </w:t>
      </w:r>
      <w:r w:rsidR="00A45C8D">
        <w:rPr>
          <w:lang w:val="es-ES"/>
        </w:rPr>
        <w:t xml:space="preserve">su reunión de </w:t>
      </w:r>
      <w:r w:rsidR="00CC489A">
        <w:rPr>
          <w:lang w:val="es-ES"/>
        </w:rPr>
        <w:t>2020</w:t>
      </w:r>
      <w:r w:rsidR="007A2E4C">
        <w:rPr>
          <w:lang w:val="es-ES"/>
        </w:rPr>
        <w:t xml:space="preserve"> a partir de las contribuciones de los Estados Miembros</w:t>
      </w:r>
      <w:r w:rsidRPr="007A2E4C">
        <w:rPr>
          <w:lang w:val="es-ES"/>
        </w:rPr>
        <w:t>.</w:t>
      </w:r>
    </w:p>
    <w:p w:rsidR="006B3337" w:rsidRPr="000402A6" w:rsidRDefault="003028B6" w:rsidP="000402A6">
      <w:pPr>
        <w:pStyle w:val="Heading1"/>
      </w:pPr>
      <w:r w:rsidRPr="000402A6">
        <w:t>4</w:t>
      </w:r>
      <w:r w:rsidRPr="000402A6">
        <w:tab/>
        <w:t>Preparativos para la Conferencia de Plenipotenciarios de 2022 (PP-22)</w:t>
      </w:r>
      <w:r w:rsidR="005A67BE" w:rsidRPr="000402A6">
        <w:t xml:space="preserve"> (Document</w:t>
      </w:r>
      <w:r w:rsidR="007A2E4C" w:rsidRPr="000402A6">
        <w:t>o</w:t>
      </w:r>
      <w:r w:rsidR="005A67BE" w:rsidRPr="000402A6">
        <w:t xml:space="preserve"> </w:t>
      </w:r>
      <w:hyperlink r:id="rId21" w:history="1">
        <w:r w:rsidR="000402A6" w:rsidRPr="000402A6">
          <w:rPr>
            <w:rStyle w:val="Hyperlink"/>
          </w:rPr>
          <w:t>C19/55(Rev.1)</w:t>
        </w:r>
      </w:hyperlink>
      <w:r w:rsidR="005A67BE" w:rsidRPr="000402A6">
        <w:t>)</w:t>
      </w:r>
    </w:p>
    <w:p w:rsidR="005A67BE" w:rsidRPr="002C603B" w:rsidRDefault="005A67BE" w:rsidP="002E68E5">
      <w:pPr>
        <w:rPr>
          <w:lang w:val="es-ES"/>
        </w:rPr>
      </w:pPr>
      <w:r w:rsidRPr="002C603B">
        <w:rPr>
          <w:lang w:val="es-ES"/>
        </w:rPr>
        <w:t>4.1</w:t>
      </w:r>
      <w:r w:rsidRPr="002C603B">
        <w:rPr>
          <w:lang w:val="es-ES"/>
        </w:rPr>
        <w:tab/>
      </w:r>
      <w:r w:rsidR="002C603B" w:rsidRPr="002C603B">
        <w:rPr>
          <w:lang w:val="es-ES"/>
        </w:rPr>
        <w:t>El Secretario de la Plenaria presenta el Documento</w:t>
      </w:r>
      <w:r w:rsidR="000402A6">
        <w:rPr>
          <w:lang w:val="es-ES"/>
        </w:rPr>
        <w:t xml:space="preserve"> C19/55</w:t>
      </w:r>
      <w:r w:rsidRPr="002C603B">
        <w:rPr>
          <w:lang w:val="es-ES"/>
        </w:rPr>
        <w:t xml:space="preserve">(Rev.1), </w:t>
      </w:r>
      <w:r w:rsidR="002C603B" w:rsidRPr="002C603B">
        <w:rPr>
          <w:lang w:val="es-ES"/>
        </w:rPr>
        <w:t>en el que se informa al Consejo de la invitación recibida del Gobierno de Rumania para celebrar la</w:t>
      </w:r>
      <w:r w:rsidRPr="002C603B">
        <w:rPr>
          <w:lang w:val="es-ES"/>
        </w:rPr>
        <w:t xml:space="preserve"> PP-22 </w:t>
      </w:r>
      <w:r w:rsidR="002C603B" w:rsidRPr="002C603B">
        <w:rPr>
          <w:lang w:val="es-ES"/>
        </w:rPr>
        <w:t>e</w:t>
      </w:r>
      <w:r w:rsidRPr="002C603B">
        <w:rPr>
          <w:lang w:val="es-ES"/>
        </w:rPr>
        <w:t xml:space="preserve">n Bucarest </w:t>
      </w:r>
      <w:r w:rsidR="002C603B" w:rsidRPr="002C603B">
        <w:rPr>
          <w:lang w:val="es-ES"/>
        </w:rPr>
        <w:t>durante tres semanas a partir del</w:t>
      </w:r>
      <w:r w:rsidRPr="002C603B">
        <w:rPr>
          <w:lang w:val="es-ES"/>
        </w:rPr>
        <w:t xml:space="preserve"> 26 </w:t>
      </w:r>
      <w:r w:rsidR="002C603B">
        <w:rPr>
          <w:lang w:val="es-ES"/>
        </w:rPr>
        <w:t>de septiembre, el 3 de octubre o el 10 de octubre de</w:t>
      </w:r>
      <w:r w:rsidRPr="002C603B">
        <w:rPr>
          <w:lang w:val="es-ES"/>
        </w:rPr>
        <w:t xml:space="preserve"> 2022, </w:t>
      </w:r>
      <w:r w:rsidR="002C603B">
        <w:rPr>
          <w:lang w:val="es-ES"/>
        </w:rPr>
        <w:t>y que incluye un proyecto de Acuerdo para su adopción una vez que el Consejo haya decidido que fechas prefiere</w:t>
      </w:r>
      <w:r w:rsidRPr="002C603B">
        <w:rPr>
          <w:lang w:val="es-ES"/>
        </w:rPr>
        <w:t>.</w:t>
      </w:r>
    </w:p>
    <w:p w:rsidR="005A67BE" w:rsidRPr="002C603B" w:rsidRDefault="005A67BE" w:rsidP="002E68E5">
      <w:pPr>
        <w:rPr>
          <w:lang w:val="es-ES"/>
        </w:rPr>
      </w:pPr>
      <w:r w:rsidRPr="002C603B">
        <w:rPr>
          <w:lang w:val="es-ES"/>
        </w:rPr>
        <w:t>4.2</w:t>
      </w:r>
      <w:r w:rsidRPr="002C603B">
        <w:rPr>
          <w:lang w:val="es-ES"/>
        </w:rPr>
        <w:tab/>
      </w:r>
      <w:r w:rsidR="002C603B" w:rsidRPr="002C603B">
        <w:rPr>
          <w:lang w:val="es-ES"/>
        </w:rPr>
        <w:t>El Consejero de Rumania dice que, en tanto que Estado Miembro de la UIT desde</w:t>
      </w:r>
      <w:r w:rsidRPr="002C603B">
        <w:rPr>
          <w:lang w:val="es-ES"/>
        </w:rPr>
        <w:t xml:space="preserve"> 1866 </w:t>
      </w:r>
      <w:r w:rsidR="002C603B" w:rsidRPr="002C603B">
        <w:rPr>
          <w:lang w:val="es-ES"/>
        </w:rPr>
        <w:t>y dec</w:t>
      </w:r>
      <w:r w:rsidR="002C603B">
        <w:rPr>
          <w:lang w:val="es-ES"/>
        </w:rPr>
        <w:t>idido defensor de las TIC, para su país sería un honor acoger la</w:t>
      </w:r>
      <w:r w:rsidRPr="002C603B">
        <w:rPr>
          <w:lang w:val="es-ES"/>
        </w:rPr>
        <w:t xml:space="preserve"> PP-22. </w:t>
      </w:r>
      <w:r w:rsidR="002C603B" w:rsidRPr="002C603B">
        <w:rPr>
          <w:lang w:val="es-ES"/>
        </w:rPr>
        <w:t>Habida cuenta de</w:t>
      </w:r>
      <w:r w:rsidR="002C603B">
        <w:rPr>
          <w:lang w:val="es-ES"/>
        </w:rPr>
        <w:t xml:space="preserve"> </w:t>
      </w:r>
      <w:r w:rsidR="002C603B" w:rsidRPr="002C603B">
        <w:rPr>
          <w:lang w:val="es-ES"/>
        </w:rPr>
        <w:t>la información recibida desde que se publicara el Documento</w:t>
      </w:r>
      <w:r w:rsidR="003A125E">
        <w:rPr>
          <w:lang w:val="es-ES"/>
        </w:rPr>
        <w:t xml:space="preserve"> C19/55</w:t>
      </w:r>
      <w:r w:rsidRPr="002C603B">
        <w:rPr>
          <w:lang w:val="es-ES"/>
        </w:rPr>
        <w:t xml:space="preserve">(Rev.1), </w:t>
      </w:r>
      <w:r w:rsidR="002C603B" w:rsidRPr="002C603B">
        <w:rPr>
          <w:lang w:val="es-ES"/>
        </w:rPr>
        <w:t xml:space="preserve">considera que el </w:t>
      </w:r>
      <w:r w:rsidR="002C603B">
        <w:rPr>
          <w:lang w:val="es-ES"/>
        </w:rPr>
        <w:t xml:space="preserve">periodo más conveniente sería el comprendido entre el 26 de septiembre y el 14 de </w:t>
      </w:r>
      <w:r w:rsidR="003E0887">
        <w:rPr>
          <w:lang w:val="es-ES"/>
        </w:rPr>
        <w:t>octubre de </w:t>
      </w:r>
      <w:r w:rsidR="002C603B">
        <w:rPr>
          <w:lang w:val="es-ES"/>
        </w:rPr>
        <w:t>2022</w:t>
      </w:r>
      <w:r w:rsidRPr="002C603B">
        <w:rPr>
          <w:lang w:val="es-ES"/>
        </w:rPr>
        <w:t>.</w:t>
      </w:r>
    </w:p>
    <w:p w:rsidR="005A67BE" w:rsidRPr="002C603B" w:rsidRDefault="005A67BE" w:rsidP="002E68E5">
      <w:pPr>
        <w:rPr>
          <w:lang w:val="es-ES"/>
        </w:rPr>
      </w:pPr>
      <w:r w:rsidRPr="002C603B">
        <w:rPr>
          <w:lang w:val="es-ES"/>
        </w:rPr>
        <w:t>4.3</w:t>
      </w:r>
      <w:r w:rsidRPr="002C603B">
        <w:rPr>
          <w:lang w:val="es-ES"/>
        </w:rPr>
        <w:tab/>
      </w:r>
      <w:r w:rsidR="002C603B" w:rsidRPr="002C603B">
        <w:rPr>
          <w:lang w:val="es-ES"/>
        </w:rPr>
        <w:t>Se muestran a los presentes en un breve vídeo los puntos m</w:t>
      </w:r>
      <w:r w:rsidR="002C603B">
        <w:rPr>
          <w:lang w:val="es-ES"/>
        </w:rPr>
        <w:t>ás destacados de Rumania y Bucarest</w:t>
      </w:r>
      <w:r w:rsidRPr="002C603B">
        <w:rPr>
          <w:lang w:val="es-ES"/>
        </w:rPr>
        <w:t>.</w:t>
      </w:r>
    </w:p>
    <w:p w:rsidR="005A67BE" w:rsidRPr="002C603B" w:rsidRDefault="005A67BE" w:rsidP="002E68E5">
      <w:pPr>
        <w:rPr>
          <w:lang w:val="es-ES"/>
        </w:rPr>
      </w:pPr>
      <w:r w:rsidRPr="002C603B">
        <w:rPr>
          <w:lang w:val="es-ES"/>
        </w:rPr>
        <w:t>4.4</w:t>
      </w:r>
      <w:r w:rsidRPr="002C603B">
        <w:rPr>
          <w:lang w:val="es-ES"/>
        </w:rPr>
        <w:tab/>
      </w:r>
      <w:r w:rsidR="002C603B" w:rsidRPr="002C603B">
        <w:rPr>
          <w:lang w:val="es-ES"/>
        </w:rPr>
        <w:t>Los consejeros agradecen la generosa oferta del Gobierno de Rumania, que se complacen en aceptar. Se señala que</w:t>
      </w:r>
      <w:r w:rsidR="002C603B">
        <w:rPr>
          <w:lang w:val="es-ES"/>
        </w:rPr>
        <w:t>, de ser posible,</w:t>
      </w:r>
      <w:r w:rsidR="002C603B" w:rsidRPr="002C603B">
        <w:rPr>
          <w:lang w:val="es-ES"/>
        </w:rPr>
        <w:t xml:space="preserve"> sería conveniente evitar todo solapamiento con el septuagésimo séptimo Periodo de Sesiones de la Asamblea General de las Naciones Unidas o cualquier otro evento</w:t>
      </w:r>
      <w:r w:rsidR="002C603B">
        <w:rPr>
          <w:lang w:val="es-ES"/>
        </w:rPr>
        <w:t xml:space="preserve">. Una consejera manifiesta su preferencia por el periodo comprendido entre el 10 y el 28 de octubre, que dejaría más tiempo para los preparativos. </w:t>
      </w:r>
      <w:r w:rsidR="002C603B" w:rsidRPr="002C603B">
        <w:rPr>
          <w:lang w:val="es-ES"/>
        </w:rPr>
        <w:t>Otros consejeros están de acuerdo con las fechas propuestas por Rumania</w:t>
      </w:r>
      <w:r w:rsidRPr="002C603B">
        <w:rPr>
          <w:lang w:val="es-ES"/>
        </w:rPr>
        <w:t>.</w:t>
      </w:r>
    </w:p>
    <w:p w:rsidR="005A67BE" w:rsidRPr="002C603B" w:rsidRDefault="005A67BE" w:rsidP="002E68E5">
      <w:pPr>
        <w:rPr>
          <w:lang w:val="es-ES"/>
        </w:rPr>
      </w:pPr>
      <w:r w:rsidRPr="002C603B">
        <w:rPr>
          <w:lang w:val="es-ES"/>
        </w:rPr>
        <w:lastRenderedPageBreak/>
        <w:t>4.5</w:t>
      </w:r>
      <w:r w:rsidRPr="002C603B">
        <w:rPr>
          <w:lang w:val="es-ES"/>
        </w:rPr>
        <w:tab/>
      </w:r>
      <w:r w:rsidR="002C603B" w:rsidRPr="002C603B">
        <w:rPr>
          <w:lang w:val="es-ES"/>
        </w:rPr>
        <w:t xml:space="preserve">Se </w:t>
      </w:r>
      <w:r w:rsidR="002C603B" w:rsidRPr="002C603B">
        <w:rPr>
          <w:b/>
          <w:bCs/>
          <w:lang w:val="es-ES"/>
        </w:rPr>
        <w:t xml:space="preserve">adopta </w:t>
      </w:r>
      <w:r w:rsidR="002C603B" w:rsidRPr="002C603B">
        <w:rPr>
          <w:lang w:val="es-ES"/>
        </w:rPr>
        <w:t>el proyecto de Acuerdo del Anexo C al Documento</w:t>
      </w:r>
      <w:r w:rsidR="003A125E">
        <w:rPr>
          <w:lang w:val="es-ES"/>
        </w:rPr>
        <w:t xml:space="preserve"> C19/55</w:t>
      </w:r>
      <w:r w:rsidRPr="002C603B">
        <w:rPr>
          <w:lang w:val="es-ES"/>
        </w:rPr>
        <w:t xml:space="preserve">(Rev.1) </w:t>
      </w:r>
      <w:r w:rsidR="002C603B" w:rsidRPr="002C603B">
        <w:rPr>
          <w:lang w:val="es-ES"/>
        </w:rPr>
        <w:t>a falta de que se confirmen las fechas definitivas antes del final de la presente reuni</w:t>
      </w:r>
      <w:r w:rsidR="002C603B">
        <w:rPr>
          <w:lang w:val="es-ES"/>
        </w:rPr>
        <w:t>ón del Consejo</w:t>
      </w:r>
      <w:r w:rsidRPr="002C603B">
        <w:rPr>
          <w:lang w:val="es-ES"/>
        </w:rPr>
        <w:t>.</w:t>
      </w:r>
    </w:p>
    <w:p w:rsidR="005A67BE" w:rsidRPr="000402A6" w:rsidRDefault="00221394" w:rsidP="000402A6">
      <w:pPr>
        <w:pStyle w:val="Heading1"/>
      </w:pPr>
      <w:r w:rsidRPr="000402A6">
        <w:t>5</w:t>
      </w:r>
      <w:r w:rsidRPr="000402A6">
        <w:tab/>
        <w:t xml:space="preserve">Proyecto de presupuesto de la </w:t>
      </w:r>
      <w:r w:rsidR="002C603B" w:rsidRPr="000402A6">
        <w:t>U</w:t>
      </w:r>
      <w:r w:rsidRPr="000402A6">
        <w:t>nión para 2020-2021 (Document</w:t>
      </w:r>
      <w:r w:rsidR="002C603B" w:rsidRPr="000402A6">
        <w:t>o</w:t>
      </w:r>
      <w:r w:rsidRPr="000402A6">
        <w:t xml:space="preserve"> </w:t>
      </w:r>
      <w:hyperlink r:id="rId22" w:history="1">
        <w:r w:rsidRPr="000402A6">
          <w:rPr>
            <w:rStyle w:val="Hyperlink"/>
          </w:rPr>
          <w:t xml:space="preserve">C19/15 </w:t>
        </w:r>
        <w:r w:rsidR="002C603B" w:rsidRPr="000402A6">
          <w:rPr>
            <w:rStyle w:val="Hyperlink"/>
          </w:rPr>
          <w:t>y</w:t>
        </w:r>
        <w:r w:rsidRPr="000402A6">
          <w:rPr>
            <w:rStyle w:val="Hyperlink"/>
          </w:rPr>
          <w:t xml:space="preserve"> Add</w:t>
        </w:r>
        <w:r w:rsidR="002C603B" w:rsidRPr="000402A6">
          <w:rPr>
            <w:rStyle w:val="Hyperlink"/>
          </w:rPr>
          <w:t>é</w:t>
        </w:r>
        <w:r w:rsidRPr="000402A6">
          <w:rPr>
            <w:rStyle w:val="Hyperlink"/>
          </w:rPr>
          <w:t>ndum 1</w:t>
        </w:r>
      </w:hyperlink>
      <w:r w:rsidRPr="000402A6">
        <w:t>)</w:t>
      </w:r>
    </w:p>
    <w:p w:rsidR="00221394" w:rsidRPr="003A699F" w:rsidRDefault="00221394" w:rsidP="00612A8A">
      <w:pPr>
        <w:rPr>
          <w:lang w:val="es-ES"/>
        </w:rPr>
      </w:pPr>
      <w:r w:rsidRPr="003A699F">
        <w:rPr>
          <w:lang w:val="es-ES"/>
        </w:rPr>
        <w:t>5.1</w:t>
      </w:r>
      <w:r w:rsidRPr="003A699F">
        <w:rPr>
          <w:lang w:val="es-ES"/>
        </w:rPr>
        <w:tab/>
      </w:r>
      <w:r w:rsidR="002C603B" w:rsidRPr="003A699F">
        <w:rPr>
          <w:lang w:val="es-ES"/>
        </w:rPr>
        <w:t xml:space="preserve">El Jefe del Departamento de Gestión de Recursos Financieros presenta </w:t>
      </w:r>
      <w:r w:rsidR="003A699F" w:rsidRPr="003A699F">
        <w:rPr>
          <w:lang w:val="es-ES"/>
        </w:rPr>
        <w:t xml:space="preserve">con diapositivas </w:t>
      </w:r>
      <w:r w:rsidR="002C603B" w:rsidRPr="003A699F">
        <w:rPr>
          <w:lang w:val="es-ES"/>
        </w:rPr>
        <w:t>el proyecto de Presupuesto de la Unión para</w:t>
      </w:r>
      <w:r w:rsidRPr="003A699F">
        <w:rPr>
          <w:lang w:val="es-ES"/>
        </w:rPr>
        <w:t xml:space="preserve"> 2020-2021</w:t>
      </w:r>
      <w:r w:rsidR="003A699F">
        <w:rPr>
          <w:lang w:val="es-ES"/>
        </w:rPr>
        <w:t xml:space="preserve">, subrayando, entre otras cosas, los siguientes puntos. </w:t>
      </w:r>
      <w:r w:rsidR="003A699F" w:rsidRPr="003A699F">
        <w:rPr>
          <w:lang w:val="es-ES"/>
        </w:rPr>
        <w:t>El presupuesto total proyectado es de</w:t>
      </w:r>
      <w:r w:rsidRPr="003A699F">
        <w:rPr>
          <w:lang w:val="es-ES"/>
        </w:rPr>
        <w:t> 330 969 000</w:t>
      </w:r>
      <w:r w:rsidR="003A699F" w:rsidRPr="003A699F">
        <w:rPr>
          <w:lang w:val="es-ES"/>
        </w:rPr>
        <w:t xml:space="preserve"> CHF</w:t>
      </w:r>
      <w:r w:rsidRPr="003A699F">
        <w:rPr>
          <w:lang w:val="es-ES"/>
        </w:rPr>
        <w:t xml:space="preserve">, </w:t>
      </w:r>
      <w:r w:rsidR="003A699F" w:rsidRPr="003A699F">
        <w:rPr>
          <w:lang w:val="es-ES"/>
        </w:rPr>
        <w:t>lo que representa un aumento de unos</w:t>
      </w:r>
      <w:r w:rsidRPr="003A699F">
        <w:rPr>
          <w:lang w:val="es-ES"/>
        </w:rPr>
        <w:t xml:space="preserve"> 6 300 000 </w:t>
      </w:r>
      <w:r w:rsidR="003A699F" w:rsidRPr="003A699F">
        <w:rPr>
          <w:lang w:val="es-ES"/>
        </w:rPr>
        <w:t>CHF con respecto al periodo</w:t>
      </w:r>
      <w:r w:rsidRPr="003A699F">
        <w:rPr>
          <w:lang w:val="es-ES"/>
        </w:rPr>
        <w:t xml:space="preserve"> 2018-2019</w:t>
      </w:r>
      <w:r w:rsidR="00CC489A">
        <w:rPr>
          <w:lang w:val="es-ES"/>
        </w:rPr>
        <w:t>;</w:t>
      </w:r>
      <w:r w:rsidR="003A699F" w:rsidRPr="003A699F">
        <w:rPr>
          <w:lang w:val="es-ES"/>
        </w:rPr>
        <w:t xml:space="preserve"> el importe de la unidad contributiv</w:t>
      </w:r>
      <w:r w:rsidR="003A699F">
        <w:rPr>
          <w:lang w:val="es-ES"/>
        </w:rPr>
        <w:t>a</w:t>
      </w:r>
      <w:r w:rsidR="003A699F" w:rsidRPr="003A699F">
        <w:rPr>
          <w:lang w:val="es-ES"/>
        </w:rPr>
        <w:t xml:space="preserve"> se mantiene en</w:t>
      </w:r>
      <w:r w:rsidRPr="003A699F">
        <w:rPr>
          <w:lang w:val="es-ES"/>
        </w:rPr>
        <w:t> 318 000</w:t>
      </w:r>
      <w:r w:rsidR="003A699F">
        <w:rPr>
          <w:lang w:val="es-ES"/>
        </w:rPr>
        <w:t xml:space="preserve"> CHF</w:t>
      </w:r>
      <w:r w:rsidR="00CC489A">
        <w:rPr>
          <w:lang w:val="es-ES"/>
        </w:rPr>
        <w:t>. El proyecto de presupuesto se basa en</w:t>
      </w:r>
      <w:r w:rsidR="003A699F">
        <w:rPr>
          <w:lang w:val="es-ES"/>
        </w:rPr>
        <w:t xml:space="preserve"> los tipos de cambio y las condiciones laborales a enero de </w:t>
      </w:r>
      <w:r w:rsidRPr="003A699F">
        <w:rPr>
          <w:lang w:val="es-ES"/>
        </w:rPr>
        <w:t xml:space="preserve">2019. </w:t>
      </w:r>
      <w:r w:rsidR="003A699F">
        <w:rPr>
          <w:lang w:val="es-ES"/>
        </w:rPr>
        <w:t xml:space="preserve">Se ha mantenido la tasa de puestos vacantes al 5 por ciento. </w:t>
      </w:r>
      <w:r w:rsidR="003A699F" w:rsidRPr="003A699F">
        <w:rPr>
          <w:lang w:val="es-ES"/>
        </w:rPr>
        <w:t>Se ha integrado una provisi</w:t>
      </w:r>
      <w:r w:rsidR="003A699F">
        <w:rPr>
          <w:lang w:val="es-ES"/>
        </w:rPr>
        <w:t>ó</w:t>
      </w:r>
      <w:r w:rsidR="003A699F" w:rsidRPr="003A699F">
        <w:rPr>
          <w:lang w:val="es-ES"/>
        </w:rPr>
        <w:t>n de</w:t>
      </w:r>
      <w:r w:rsidRPr="003A699F">
        <w:rPr>
          <w:lang w:val="es-ES"/>
        </w:rPr>
        <w:t xml:space="preserve"> 5 400 000 </w:t>
      </w:r>
      <w:r w:rsidR="003A699F" w:rsidRPr="003A699F">
        <w:rPr>
          <w:lang w:val="es-ES"/>
        </w:rPr>
        <w:t>CHF para cubrir las potenciales consecuencias económicas de las apelaciones formuladas contra la decisi</w:t>
      </w:r>
      <w:r w:rsidR="003A699F">
        <w:rPr>
          <w:lang w:val="es-ES"/>
        </w:rPr>
        <w:t>ón de la Comisión de la Administración Pública Internacional de reducir el multiplicador de ajuste de destino al personal con sede en Ginebra.</w:t>
      </w:r>
      <w:r w:rsidRPr="003A699F">
        <w:rPr>
          <w:lang w:val="es-ES"/>
        </w:rPr>
        <w:t xml:space="preserve"> </w:t>
      </w:r>
      <w:r w:rsidR="003A699F" w:rsidRPr="003A699F">
        <w:rPr>
          <w:lang w:val="es-ES"/>
        </w:rPr>
        <w:t xml:space="preserve">En comparación con el Plan Financiero, el proyecto de </w:t>
      </w:r>
      <w:r w:rsidR="003E0887" w:rsidRPr="003A699F">
        <w:rPr>
          <w:lang w:val="es-ES"/>
        </w:rPr>
        <w:t>Presupuesto</w:t>
      </w:r>
      <w:r w:rsidR="003A699F" w:rsidRPr="003A699F">
        <w:rPr>
          <w:lang w:val="es-ES"/>
        </w:rPr>
        <w:t xml:space="preserve"> para</w:t>
      </w:r>
      <w:r w:rsidRPr="003A699F">
        <w:rPr>
          <w:lang w:val="es-ES"/>
        </w:rPr>
        <w:t xml:space="preserve"> 2020-2021 </w:t>
      </w:r>
      <w:r w:rsidR="003A699F" w:rsidRPr="003A699F">
        <w:rPr>
          <w:lang w:val="es-ES"/>
        </w:rPr>
        <w:t>es inferior en</w:t>
      </w:r>
      <w:r w:rsidRPr="003A699F">
        <w:rPr>
          <w:lang w:val="es-ES"/>
        </w:rPr>
        <w:t xml:space="preserve"> 590 000 </w:t>
      </w:r>
      <w:r w:rsidR="003A699F">
        <w:rPr>
          <w:lang w:val="es-ES"/>
        </w:rPr>
        <w:t>CHF, pero comprende</w:t>
      </w:r>
      <w:r w:rsidRPr="003A699F">
        <w:rPr>
          <w:lang w:val="es-ES"/>
        </w:rPr>
        <w:t xml:space="preserve"> 218 000 </w:t>
      </w:r>
      <w:r w:rsidR="003A699F">
        <w:rPr>
          <w:lang w:val="es-ES"/>
        </w:rPr>
        <w:t>CHF para el Foro Mundial de Política de las Telecomunicaciones, inicialmente previsto para</w:t>
      </w:r>
      <w:r w:rsidRPr="003A699F">
        <w:rPr>
          <w:lang w:val="es-ES"/>
        </w:rPr>
        <w:t xml:space="preserve"> 2022. </w:t>
      </w:r>
      <w:r w:rsidR="003A699F" w:rsidRPr="003A699F">
        <w:rPr>
          <w:lang w:val="es-ES"/>
        </w:rPr>
        <w:t>En general, el Presupuesto está equilibrado y no es necesario proceder a detracciones de la Cuenta de Provisi</w:t>
      </w:r>
      <w:r w:rsidR="003A699F">
        <w:rPr>
          <w:lang w:val="es-ES"/>
        </w:rPr>
        <w:t xml:space="preserve">ón. Las contribuciones previstas de los Estados Miembros han aumentado notablemente y, al mismo tiempo, han descendido drásticamente las contribuciones de los Miembros de Sector. En aras de la transparencia y la eficacia, se ha creado un centro de costos para los gastos comunes de la UIT en el que se aúnan la mayoría de gastos comunes y centrales. </w:t>
      </w:r>
      <w:r w:rsidR="003A699F" w:rsidRPr="003A699F">
        <w:rPr>
          <w:lang w:val="es-ES"/>
        </w:rPr>
        <w:t>La presupuestación basada en resultados y la metodología de atribuci</w:t>
      </w:r>
      <w:r w:rsidR="003A699F">
        <w:rPr>
          <w:lang w:val="es-ES"/>
        </w:rPr>
        <w:t xml:space="preserve">ón de costos ha permitido </w:t>
      </w:r>
      <w:r w:rsidR="00A45C8D">
        <w:rPr>
          <w:lang w:val="es-ES"/>
        </w:rPr>
        <w:t xml:space="preserve">atribuir </w:t>
      </w:r>
      <w:r w:rsidR="003A699F">
        <w:rPr>
          <w:lang w:val="es-ES"/>
        </w:rPr>
        <w:t xml:space="preserve">recursos </w:t>
      </w:r>
      <w:r w:rsidR="00CC489A">
        <w:rPr>
          <w:lang w:val="es-ES"/>
        </w:rPr>
        <w:t xml:space="preserve">a </w:t>
      </w:r>
      <w:r w:rsidR="003A699F">
        <w:rPr>
          <w:lang w:val="es-ES"/>
        </w:rPr>
        <w:t>los 17</w:t>
      </w:r>
      <w:r w:rsidR="00612A8A">
        <w:rPr>
          <w:lang w:val="es-ES"/>
        </w:rPr>
        <w:t> </w:t>
      </w:r>
      <w:r w:rsidR="003A699F">
        <w:rPr>
          <w:lang w:val="es-ES"/>
        </w:rPr>
        <w:t xml:space="preserve">Objetivos de Desarrollo Sostenible. </w:t>
      </w:r>
      <w:r w:rsidR="003A699F" w:rsidRPr="003A699F">
        <w:rPr>
          <w:lang w:val="es-ES"/>
        </w:rPr>
        <w:t>El presupuesto de la Secretaría de ITU Telecom, cuyos detalles pueden consultarse en el Documento</w:t>
      </w:r>
      <w:r w:rsidR="00612A8A">
        <w:rPr>
          <w:lang w:val="es-ES"/>
        </w:rPr>
        <w:t xml:space="preserve"> C19/15</w:t>
      </w:r>
      <w:r w:rsidRPr="003A699F">
        <w:rPr>
          <w:lang w:val="es-ES"/>
        </w:rPr>
        <w:t xml:space="preserve">(Add.1), </w:t>
      </w:r>
      <w:r w:rsidR="003A699F" w:rsidRPr="003A699F">
        <w:rPr>
          <w:lang w:val="es-ES"/>
        </w:rPr>
        <w:t xml:space="preserve">asciende </w:t>
      </w:r>
      <w:r w:rsidR="003A699F" w:rsidRPr="003A699F">
        <w:rPr>
          <w:lang w:val="es-ES"/>
        </w:rPr>
        <w:lastRenderedPageBreak/>
        <w:t>a</w:t>
      </w:r>
      <w:r w:rsidRPr="003A699F">
        <w:rPr>
          <w:lang w:val="es-ES"/>
        </w:rPr>
        <w:t> 10 200 000</w:t>
      </w:r>
      <w:r w:rsidR="003A699F">
        <w:rPr>
          <w:lang w:val="es-ES"/>
        </w:rPr>
        <w:t xml:space="preserve"> CHF</w:t>
      </w:r>
      <w:r w:rsidRPr="003A699F">
        <w:rPr>
          <w:lang w:val="es-ES"/>
        </w:rPr>
        <w:t xml:space="preserve">. </w:t>
      </w:r>
      <w:r w:rsidR="003A699F" w:rsidRPr="003A699F">
        <w:rPr>
          <w:lang w:val="es-ES"/>
        </w:rPr>
        <w:t>El proyecto de Resolución para la aprobación del Presupuesto bienal para</w:t>
      </w:r>
      <w:r w:rsidRPr="003A699F">
        <w:rPr>
          <w:lang w:val="es-ES"/>
        </w:rPr>
        <w:t xml:space="preserve"> 2020</w:t>
      </w:r>
      <w:r w:rsidR="00612A8A">
        <w:rPr>
          <w:lang w:val="es-ES"/>
        </w:rPr>
        <w:noBreakHyphen/>
      </w:r>
      <w:r w:rsidRPr="003A699F">
        <w:rPr>
          <w:lang w:val="es-ES"/>
        </w:rPr>
        <w:t xml:space="preserve">2021 </w:t>
      </w:r>
      <w:r w:rsidR="00A62D10">
        <w:rPr>
          <w:lang w:val="es-ES"/>
        </w:rPr>
        <w:t>se presenta en la Parte</w:t>
      </w:r>
      <w:r w:rsidRPr="003A699F">
        <w:rPr>
          <w:lang w:val="es-ES"/>
        </w:rPr>
        <w:t xml:space="preserve"> III </w:t>
      </w:r>
      <w:r w:rsidR="00A62D10">
        <w:rPr>
          <w:lang w:val="es-ES"/>
        </w:rPr>
        <w:t>del</w:t>
      </w:r>
      <w:r w:rsidRPr="003A699F">
        <w:rPr>
          <w:lang w:val="es-ES"/>
        </w:rPr>
        <w:t xml:space="preserve"> Document</w:t>
      </w:r>
      <w:r w:rsidR="00A62D10">
        <w:rPr>
          <w:lang w:val="es-ES"/>
        </w:rPr>
        <w:t>o</w:t>
      </w:r>
      <w:r w:rsidRPr="003A699F">
        <w:rPr>
          <w:lang w:val="es-ES"/>
        </w:rPr>
        <w:t xml:space="preserve"> C19/15.</w:t>
      </w:r>
    </w:p>
    <w:p w:rsidR="00221394" w:rsidRPr="00DD2D2F" w:rsidRDefault="00221394" w:rsidP="00CC489A">
      <w:pPr>
        <w:rPr>
          <w:lang w:val="es-ES"/>
        </w:rPr>
      </w:pPr>
      <w:r w:rsidRPr="00DD2D2F">
        <w:rPr>
          <w:lang w:val="es-ES"/>
        </w:rPr>
        <w:t>5.2</w:t>
      </w:r>
      <w:r w:rsidRPr="00DD2D2F">
        <w:rPr>
          <w:lang w:val="es-ES"/>
        </w:rPr>
        <w:tab/>
      </w:r>
      <w:r w:rsidR="008707C0" w:rsidRPr="00DD2D2F">
        <w:rPr>
          <w:lang w:val="es-ES"/>
        </w:rPr>
        <w:t xml:space="preserve">Un consejero teme que el elevado nivel de ahorro identificado sea indicio de </w:t>
      </w:r>
      <w:r w:rsidR="00DD2D2F" w:rsidRPr="00DD2D2F">
        <w:rPr>
          <w:lang w:val="es-ES"/>
        </w:rPr>
        <w:t>exceso presupuestario, a pesar de que se garantice que el Presupuesto est</w:t>
      </w:r>
      <w:r w:rsidR="00DD2D2F">
        <w:rPr>
          <w:lang w:val="es-ES"/>
        </w:rPr>
        <w:t xml:space="preserve">á equilibrado. </w:t>
      </w:r>
      <w:r w:rsidR="00DD2D2F" w:rsidRPr="00DD2D2F">
        <w:rPr>
          <w:lang w:val="es-ES"/>
        </w:rPr>
        <w:t>Otro pregunta por qué han disminuido alarmantemente las contribuciones de los Miembros de Sector y pide aclaraciones sobre el aumento de la estimaci</w:t>
      </w:r>
      <w:r w:rsidR="00DD2D2F">
        <w:rPr>
          <w:lang w:val="es-ES"/>
        </w:rPr>
        <w:t xml:space="preserve">ón de los gastos de mecanografía indicados en el Cuadro </w:t>
      </w:r>
      <w:r w:rsidRPr="00DD2D2F">
        <w:rPr>
          <w:lang w:val="es-ES"/>
        </w:rPr>
        <w:t xml:space="preserve">O </w:t>
      </w:r>
      <w:r w:rsidR="00DD2D2F" w:rsidRPr="00DD2D2F">
        <w:rPr>
          <w:lang w:val="es-ES"/>
        </w:rPr>
        <w:t>del</w:t>
      </w:r>
      <w:r w:rsidRPr="00DD2D2F">
        <w:rPr>
          <w:lang w:val="es-ES"/>
        </w:rPr>
        <w:t xml:space="preserve"> Document</w:t>
      </w:r>
      <w:r w:rsidR="00DD2D2F" w:rsidRPr="00DD2D2F">
        <w:rPr>
          <w:lang w:val="es-ES"/>
        </w:rPr>
        <w:t>o</w:t>
      </w:r>
      <w:r w:rsidRPr="00DD2D2F">
        <w:rPr>
          <w:lang w:val="es-ES"/>
        </w:rPr>
        <w:t xml:space="preserve"> C19/15. </w:t>
      </w:r>
      <w:r w:rsidR="00DD2D2F" w:rsidRPr="00DD2D2F">
        <w:rPr>
          <w:lang w:val="es-ES"/>
        </w:rPr>
        <w:t xml:space="preserve">Una consejera </w:t>
      </w:r>
      <w:r w:rsidR="00CC489A">
        <w:rPr>
          <w:lang w:val="es-ES"/>
        </w:rPr>
        <w:t>p</w:t>
      </w:r>
      <w:r w:rsidR="00DD2D2F" w:rsidRPr="00DD2D2F">
        <w:rPr>
          <w:lang w:val="es-ES"/>
        </w:rPr>
        <w:t xml:space="preserve">ide aclaraciones sobre el </w:t>
      </w:r>
      <w:r w:rsidR="00DD2D2F" w:rsidRPr="00DD2D2F">
        <w:rPr>
          <w:i/>
          <w:iCs/>
          <w:lang w:val="es-ES"/>
        </w:rPr>
        <w:t>resuelve además</w:t>
      </w:r>
      <w:r w:rsidRPr="00DD2D2F">
        <w:rPr>
          <w:i/>
          <w:iCs/>
          <w:lang w:val="es-ES"/>
        </w:rPr>
        <w:t xml:space="preserve"> </w:t>
      </w:r>
      <w:r w:rsidRPr="00DD2D2F">
        <w:rPr>
          <w:lang w:val="es-ES"/>
        </w:rPr>
        <w:t xml:space="preserve">5 </w:t>
      </w:r>
      <w:r w:rsidR="00DD2D2F" w:rsidRPr="00DD2D2F">
        <w:rPr>
          <w:lang w:val="es-ES"/>
        </w:rPr>
        <w:t>del proyecto de Resolución para la aprobación del Presupuesto, que autoriza al Secretario General a ajustar las consignaciones de ciertas partidas de gastos recurriendo a la Cuenta de Provisión, y pregunta cómo se van a cubrir los gastos de las Oficinas Regionales y Zonales de la UIT y los gastos de capital señalados en los Cuadros 11 y 12 del proyecto de Resoluci</w:t>
      </w:r>
      <w:r w:rsidR="00DD2D2F">
        <w:rPr>
          <w:lang w:val="es-ES"/>
        </w:rPr>
        <w:t>ón</w:t>
      </w:r>
      <w:r w:rsidRPr="00DD2D2F">
        <w:rPr>
          <w:lang w:val="es-ES"/>
        </w:rPr>
        <w:t>.</w:t>
      </w:r>
    </w:p>
    <w:p w:rsidR="00221394" w:rsidRPr="00E94B9B" w:rsidRDefault="00221394" w:rsidP="00CC489A">
      <w:pPr>
        <w:rPr>
          <w:lang w:val="es-ES"/>
        </w:rPr>
      </w:pPr>
      <w:r w:rsidRPr="00DD2D2F">
        <w:rPr>
          <w:lang w:val="es-ES"/>
        </w:rPr>
        <w:t>5.3</w:t>
      </w:r>
      <w:r w:rsidRPr="00DD2D2F">
        <w:rPr>
          <w:lang w:val="es-ES"/>
        </w:rPr>
        <w:tab/>
      </w:r>
      <w:r w:rsidR="00DD2D2F" w:rsidRPr="00DD2D2F">
        <w:rPr>
          <w:lang w:val="es-ES"/>
        </w:rPr>
        <w:t>El Jefe del Departamento de Gestión de Recursos Financieros explica que el número de Miembros de Sector se ha reducido, pero que la reducci</w:t>
      </w:r>
      <w:r w:rsidR="00DD2D2F">
        <w:rPr>
          <w:lang w:val="es-ES"/>
        </w:rPr>
        <w:t xml:space="preserve">ón de esas contribuciones se ve compensada por un aumento de las contribuciones de los Estados Miembros. </w:t>
      </w:r>
      <w:r w:rsidR="00E94B9B" w:rsidRPr="00E94B9B">
        <w:rPr>
          <w:lang w:val="es-ES"/>
        </w:rPr>
        <w:t>La mayor estimación de los gastos de mecan</w:t>
      </w:r>
      <w:r w:rsidR="00E94B9B">
        <w:rPr>
          <w:lang w:val="es-ES"/>
        </w:rPr>
        <w:t>o</w:t>
      </w:r>
      <w:r w:rsidR="00E94B9B" w:rsidRPr="00E94B9B">
        <w:rPr>
          <w:lang w:val="es-ES"/>
        </w:rPr>
        <w:t>grafía para</w:t>
      </w:r>
      <w:r w:rsidRPr="00E94B9B">
        <w:rPr>
          <w:lang w:val="es-ES"/>
        </w:rPr>
        <w:t xml:space="preserve"> 2020-2021</w:t>
      </w:r>
      <w:r w:rsidR="00E94B9B" w:rsidRPr="00E94B9B">
        <w:rPr>
          <w:lang w:val="es-ES"/>
        </w:rPr>
        <w:t>, en comparación con</w:t>
      </w:r>
      <w:r w:rsidRPr="00E94B9B">
        <w:rPr>
          <w:lang w:val="es-ES"/>
        </w:rPr>
        <w:t xml:space="preserve"> 2018-2019</w:t>
      </w:r>
      <w:r w:rsidR="00E94B9B" w:rsidRPr="00E94B9B">
        <w:rPr>
          <w:lang w:val="es-ES"/>
        </w:rPr>
        <w:t>, se debe a la celebraci</w:t>
      </w:r>
      <w:r w:rsidR="00E94B9B">
        <w:rPr>
          <w:lang w:val="es-ES"/>
        </w:rPr>
        <w:t>ón de dos grandes eventos durante el periodo presupuestado: la AMNT</w:t>
      </w:r>
      <w:r w:rsidRPr="00E94B9B">
        <w:rPr>
          <w:lang w:val="es-ES"/>
        </w:rPr>
        <w:t xml:space="preserve">-20 </w:t>
      </w:r>
      <w:r w:rsidR="00E94B9B">
        <w:rPr>
          <w:lang w:val="es-ES"/>
        </w:rPr>
        <w:t>y la CMDT</w:t>
      </w:r>
      <w:r w:rsidRPr="00E94B9B">
        <w:rPr>
          <w:lang w:val="es-ES"/>
        </w:rPr>
        <w:t xml:space="preserve">-21. </w:t>
      </w:r>
      <w:r w:rsidR="00E94B9B" w:rsidRPr="00E94B9B">
        <w:rPr>
          <w:lang w:val="es-ES"/>
        </w:rPr>
        <w:t>Es costumbre que el Secretario General esté autorizado a ajustar las consignaciones presupuestarias cuando resu</w:t>
      </w:r>
      <w:r w:rsidR="00E94B9B">
        <w:rPr>
          <w:lang w:val="es-ES"/>
        </w:rPr>
        <w:t xml:space="preserve">lta necesario en interés de la Unión. </w:t>
      </w:r>
      <w:r w:rsidR="00E94B9B" w:rsidRPr="00E94B9B">
        <w:rPr>
          <w:lang w:val="es-ES"/>
        </w:rPr>
        <w:t>Los gastos indicados en los Cuadros 11 y 12 del proyecto de Resolución forman parte integrante del proyecto de Presupuesto</w:t>
      </w:r>
      <w:r w:rsidRPr="00E94B9B">
        <w:rPr>
          <w:lang w:val="es-ES"/>
        </w:rPr>
        <w:t>.</w:t>
      </w:r>
    </w:p>
    <w:p w:rsidR="00221394" w:rsidRPr="00E94B9B" w:rsidRDefault="00221394" w:rsidP="002E68E5">
      <w:pPr>
        <w:rPr>
          <w:lang w:val="es-ES"/>
        </w:rPr>
      </w:pPr>
      <w:r w:rsidRPr="00E94B9B">
        <w:rPr>
          <w:lang w:val="es-ES"/>
        </w:rPr>
        <w:t>5.4</w:t>
      </w:r>
      <w:r w:rsidRPr="00E94B9B">
        <w:rPr>
          <w:lang w:val="es-ES"/>
        </w:rPr>
        <w:tab/>
      </w:r>
      <w:r w:rsidR="00E94B9B" w:rsidRPr="00E94B9B">
        <w:rPr>
          <w:lang w:val="es-ES"/>
        </w:rPr>
        <w:t>El Presidente a.i. dice que el debate sobre el proyecto de Presupuesto se proseguirá en el seno de la Comisi</w:t>
      </w:r>
      <w:r w:rsidR="00E94B9B">
        <w:rPr>
          <w:lang w:val="es-ES"/>
        </w:rPr>
        <w:t>ón Permanente de Administración y Gestión</w:t>
      </w:r>
      <w:r w:rsidRPr="00E94B9B">
        <w:rPr>
          <w:lang w:val="es-ES"/>
        </w:rPr>
        <w:t>.</w:t>
      </w:r>
    </w:p>
    <w:p w:rsidR="00221394" w:rsidRPr="000402A6" w:rsidRDefault="00EA654E" w:rsidP="000402A6">
      <w:pPr>
        <w:pStyle w:val="Heading1"/>
      </w:pPr>
      <w:r w:rsidRPr="000402A6">
        <w:lastRenderedPageBreak/>
        <w:t>6</w:t>
      </w:r>
      <w:r w:rsidRPr="000402A6">
        <w:tab/>
        <w:t>Preparativos para la Asamblea Mundial de Normalización de las Telecomunicaciones (AMNT-20) (Document</w:t>
      </w:r>
      <w:r w:rsidR="00E94B9B" w:rsidRPr="000402A6">
        <w:t>o</w:t>
      </w:r>
      <w:r w:rsidRPr="000402A6">
        <w:t> </w:t>
      </w:r>
      <w:hyperlink r:id="rId23" w:history="1">
        <w:r w:rsidRPr="000402A6">
          <w:rPr>
            <w:rStyle w:val="Hyperlink"/>
          </w:rPr>
          <w:t>C19/24</w:t>
        </w:r>
      </w:hyperlink>
      <w:r w:rsidRPr="000402A6">
        <w:t>)</w:t>
      </w:r>
    </w:p>
    <w:p w:rsidR="00262689" w:rsidRPr="001E3848" w:rsidRDefault="00262689" w:rsidP="00A45C8D">
      <w:pPr>
        <w:rPr>
          <w:lang w:val="es-ES"/>
        </w:rPr>
      </w:pPr>
      <w:r w:rsidRPr="001E3848">
        <w:rPr>
          <w:lang w:val="es-ES"/>
        </w:rPr>
        <w:t>6.1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>El V</w:t>
      </w:r>
      <w:r w:rsidR="004237D8">
        <w:rPr>
          <w:lang w:val="es-ES"/>
        </w:rPr>
        <w:t xml:space="preserve">icesecretario General presenta </w:t>
      </w:r>
      <w:r w:rsidR="001E3848" w:rsidRPr="001E3848">
        <w:rPr>
          <w:lang w:val="es-ES"/>
        </w:rPr>
        <w:t>el Documento</w:t>
      </w:r>
      <w:r w:rsidRPr="001E3848">
        <w:rPr>
          <w:lang w:val="es-ES"/>
        </w:rPr>
        <w:t xml:space="preserve"> C19/24, </w:t>
      </w:r>
      <w:r w:rsidR="001E3848" w:rsidRPr="001E3848">
        <w:rPr>
          <w:lang w:val="es-ES"/>
        </w:rPr>
        <w:t>en el que se informa al Consejo de la invitación recibida del Gobierno de India para celebrar la AMNT</w:t>
      </w:r>
      <w:r w:rsidRPr="001E3848">
        <w:rPr>
          <w:lang w:val="es-ES"/>
        </w:rPr>
        <w:t xml:space="preserve">-20 </w:t>
      </w:r>
      <w:r w:rsidR="001E3848" w:rsidRPr="001E3848">
        <w:rPr>
          <w:lang w:val="es-ES"/>
        </w:rPr>
        <w:t xml:space="preserve">en Nueva </w:t>
      </w:r>
      <w:r w:rsidRPr="001E3848">
        <w:rPr>
          <w:lang w:val="es-ES"/>
        </w:rPr>
        <w:t>Delhi o</w:t>
      </w:r>
      <w:r w:rsidR="001E3848">
        <w:rPr>
          <w:lang w:val="es-ES"/>
        </w:rPr>
        <w:t xml:space="preserve"> en Hyderabad, y que incluye un proyecto de Acuerdo para su adopción una vez se hayan seleccionado el lugar y las fechas de celebración preferidas. </w:t>
      </w:r>
      <w:r w:rsidR="001E3848" w:rsidRPr="001E3848">
        <w:rPr>
          <w:lang w:val="es-ES"/>
        </w:rPr>
        <w:t xml:space="preserve">De optarse por Nueva Delhi, la Secretaría </w:t>
      </w:r>
      <w:r w:rsidR="00A45C8D">
        <w:rPr>
          <w:lang w:val="es-ES"/>
        </w:rPr>
        <w:t>habría de</w:t>
      </w:r>
      <w:r w:rsidR="00CC489A" w:rsidRPr="001E3848">
        <w:rPr>
          <w:lang w:val="es-ES"/>
        </w:rPr>
        <w:t xml:space="preserve"> </w:t>
      </w:r>
      <w:r w:rsidR="001E3848" w:rsidRPr="001E3848">
        <w:rPr>
          <w:lang w:val="es-ES"/>
        </w:rPr>
        <w:t>proceder a una misi</w:t>
      </w:r>
      <w:r w:rsidR="001E3848">
        <w:rPr>
          <w:lang w:val="es-ES"/>
        </w:rPr>
        <w:t>ón para evaluar las instalaciones, una vez concluida su construcción</w:t>
      </w:r>
      <w:r w:rsidR="00CC489A" w:rsidRPr="00CC489A">
        <w:rPr>
          <w:lang w:val="es-ES"/>
        </w:rPr>
        <w:t xml:space="preserve"> en unos 12 meses, lo que retrasaría </w:t>
      </w:r>
      <w:r w:rsidR="00CC489A">
        <w:rPr>
          <w:lang w:val="es-ES"/>
        </w:rPr>
        <w:t>con creces</w:t>
      </w:r>
      <w:r w:rsidR="00CC489A" w:rsidRPr="00CC489A">
        <w:rPr>
          <w:lang w:val="es-ES"/>
        </w:rPr>
        <w:t xml:space="preserve"> la</w:t>
      </w:r>
      <w:r w:rsidR="00A45C8D">
        <w:rPr>
          <w:lang w:val="es-ES"/>
        </w:rPr>
        <w:t>s</w:t>
      </w:r>
      <w:r w:rsidR="00CC489A" w:rsidRPr="00CC489A">
        <w:rPr>
          <w:lang w:val="es-ES"/>
        </w:rPr>
        <w:t xml:space="preserve"> consulta</w:t>
      </w:r>
      <w:r w:rsidR="00A45C8D">
        <w:rPr>
          <w:lang w:val="es-ES"/>
        </w:rPr>
        <w:t>s</w:t>
      </w:r>
      <w:r w:rsidR="00CC489A" w:rsidRPr="00CC489A">
        <w:rPr>
          <w:lang w:val="es-ES"/>
        </w:rPr>
        <w:t xml:space="preserve"> </w:t>
      </w:r>
      <w:r w:rsidR="00A45C8D">
        <w:rPr>
          <w:lang w:val="es-ES"/>
        </w:rPr>
        <w:t>con</w:t>
      </w:r>
      <w:r w:rsidR="00CC489A" w:rsidRPr="00CC489A">
        <w:rPr>
          <w:lang w:val="es-ES"/>
        </w:rPr>
        <w:t xml:space="preserve"> los Estados Miembros. </w:t>
      </w:r>
      <w:r w:rsidR="00A45C8D">
        <w:rPr>
          <w:lang w:val="es-ES"/>
        </w:rPr>
        <w:t>En cambio</w:t>
      </w:r>
      <w:r w:rsidR="00CC489A" w:rsidRPr="00CC489A">
        <w:rPr>
          <w:lang w:val="es-ES"/>
        </w:rPr>
        <w:t xml:space="preserve">, si se </w:t>
      </w:r>
      <w:r w:rsidR="00CC489A">
        <w:rPr>
          <w:lang w:val="es-ES"/>
        </w:rPr>
        <w:t>optara por</w:t>
      </w:r>
      <w:r w:rsidR="00CC489A" w:rsidRPr="00CC489A">
        <w:rPr>
          <w:lang w:val="es-ES"/>
        </w:rPr>
        <w:t xml:space="preserve"> Hyderabad, </w:t>
      </w:r>
      <w:r w:rsidR="00CC489A">
        <w:rPr>
          <w:lang w:val="es-ES"/>
        </w:rPr>
        <w:t xml:space="preserve">el evento se celebraría en el mismo lugar que </w:t>
      </w:r>
      <w:r w:rsidR="00CC489A" w:rsidRPr="00CC489A">
        <w:rPr>
          <w:lang w:val="es-ES"/>
        </w:rPr>
        <w:t>la CMDT-2010</w:t>
      </w:r>
      <w:r w:rsidR="00A45C8D">
        <w:rPr>
          <w:lang w:val="es-ES"/>
        </w:rPr>
        <w:t xml:space="preserve"> y</w:t>
      </w:r>
      <w:r w:rsidR="00CC489A" w:rsidRPr="00CC489A">
        <w:rPr>
          <w:lang w:val="es-ES"/>
        </w:rPr>
        <w:t>,</w:t>
      </w:r>
      <w:r w:rsidR="00A45C8D">
        <w:rPr>
          <w:lang w:val="es-ES"/>
        </w:rPr>
        <w:t xml:space="preserve"> en consecuencia,</w:t>
      </w:r>
      <w:r w:rsidR="00CC489A" w:rsidRPr="00CC489A">
        <w:rPr>
          <w:lang w:val="es-ES"/>
        </w:rPr>
        <w:t xml:space="preserve"> </w:t>
      </w:r>
      <w:r w:rsidR="00A45C8D">
        <w:rPr>
          <w:lang w:val="es-ES"/>
        </w:rPr>
        <w:t>la</w:t>
      </w:r>
      <w:r w:rsidR="00CC489A" w:rsidRPr="00CC489A">
        <w:rPr>
          <w:lang w:val="es-ES"/>
        </w:rPr>
        <w:t xml:space="preserve"> inspección </w:t>
      </w:r>
      <w:r w:rsidR="00A45C8D">
        <w:rPr>
          <w:lang w:val="es-ES"/>
        </w:rPr>
        <w:t xml:space="preserve">no sería necesaria </w:t>
      </w:r>
      <w:r w:rsidR="00CC489A" w:rsidRPr="00CC489A">
        <w:rPr>
          <w:lang w:val="es-ES"/>
        </w:rPr>
        <w:t>y las consultas podrían comenzar</w:t>
      </w:r>
      <w:r w:rsidR="00CC489A">
        <w:rPr>
          <w:lang w:val="es-ES"/>
        </w:rPr>
        <w:t xml:space="preserve"> de</w:t>
      </w:r>
      <w:r w:rsidR="00CC489A" w:rsidRPr="00CC489A">
        <w:rPr>
          <w:lang w:val="es-ES"/>
        </w:rPr>
        <w:t xml:space="preserve"> inmediat</w:t>
      </w:r>
      <w:r w:rsidR="00CC489A">
        <w:rPr>
          <w:lang w:val="es-ES"/>
        </w:rPr>
        <w:t>o</w:t>
      </w:r>
      <w:r w:rsidRPr="001E3848">
        <w:rPr>
          <w:lang w:val="es-ES"/>
        </w:rPr>
        <w:t>.</w:t>
      </w:r>
    </w:p>
    <w:p w:rsidR="00262689" w:rsidRPr="001E3848" w:rsidRDefault="00262689" w:rsidP="002E68E5">
      <w:pPr>
        <w:rPr>
          <w:lang w:val="es-ES"/>
        </w:rPr>
      </w:pPr>
      <w:r w:rsidRPr="001E3848">
        <w:rPr>
          <w:lang w:val="es-ES"/>
        </w:rPr>
        <w:t>6.2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>El consejero de India</w:t>
      </w:r>
      <w:r w:rsidR="001E3F95">
        <w:rPr>
          <w:lang w:val="es-ES"/>
        </w:rPr>
        <w:t xml:space="preserve"> reconoce lo anterior y</w:t>
      </w:r>
      <w:r w:rsidR="001E3848" w:rsidRPr="001E3848">
        <w:rPr>
          <w:lang w:val="es-ES"/>
        </w:rPr>
        <w:t xml:space="preserve"> sugiere que el Consejo acuerde que la AMNT</w:t>
      </w:r>
      <w:r w:rsidRPr="001E3848">
        <w:rPr>
          <w:lang w:val="es-ES"/>
        </w:rPr>
        <w:t xml:space="preserve">-20 </w:t>
      </w:r>
      <w:r w:rsidR="001E3848">
        <w:rPr>
          <w:lang w:val="es-ES"/>
        </w:rPr>
        <w:t>tenga lugar en</w:t>
      </w:r>
      <w:r w:rsidR="00FA65B5">
        <w:rPr>
          <w:lang w:val="es-ES"/>
        </w:rPr>
        <w:t xml:space="preserve"> Hyderabad</w:t>
      </w:r>
      <w:r w:rsidRPr="001E3848">
        <w:rPr>
          <w:lang w:val="es-ES"/>
        </w:rPr>
        <w:t xml:space="preserve"> </w:t>
      </w:r>
      <w:r w:rsidR="00FA65B5">
        <w:rPr>
          <w:lang w:val="es-ES"/>
        </w:rPr>
        <w:t>(</w:t>
      </w:r>
      <w:r w:rsidRPr="001E3848">
        <w:rPr>
          <w:lang w:val="es-ES"/>
        </w:rPr>
        <w:t>India</w:t>
      </w:r>
      <w:r w:rsidR="00FA65B5">
        <w:rPr>
          <w:lang w:val="es-ES"/>
        </w:rPr>
        <w:t>)</w:t>
      </w:r>
      <w:r w:rsidRPr="001E3848">
        <w:rPr>
          <w:lang w:val="es-ES"/>
        </w:rPr>
        <w:t xml:space="preserve">, </w:t>
      </w:r>
      <w:r w:rsidR="001E3848">
        <w:rPr>
          <w:lang w:val="es-ES"/>
        </w:rPr>
        <w:t>del</w:t>
      </w:r>
      <w:r w:rsidRPr="001E3848">
        <w:rPr>
          <w:lang w:val="es-ES"/>
        </w:rPr>
        <w:t xml:space="preserve"> 16 </w:t>
      </w:r>
      <w:r w:rsidR="001E3848">
        <w:rPr>
          <w:lang w:val="es-ES"/>
        </w:rPr>
        <w:t>al</w:t>
      </w:r>
      <w:r w:rsidRPr="001E3848">
        <w:rPr>
          <w:lang w:val="es-ES"/>
        </w:rPr>
        <w:t xml:space="preserve"> 27 </w:t>
      </w:r>
      <w:r w:rsidR="001E3848">
        <w:rPr>
          <w:lang w:val="es-ES"/>
        </w:rPr>
        <w:t>de noviembre de</w:t>
      </w:r>
      <w:r w:rsidRPr="001E3848">
        <w:rPr>
          <w:lang w:val="es-ES"/>
        </w:rPr>
        <w:t xml:space="preserve"> 2020.</w:t>
      </w:r>
    </w:p>
    <w:p w:rsidR="00262689" w:rsidRPr="001E3848" w:rsidRDefault="00262689" w:rsidP="002E68E5">
      <w:pPr>
        <w:rPr>
          <w:lang w:val="es-ES"/>
        </w:rPr>
      </w:pPr>
      <w:r w:rsidRPr="001E3848">
        <w:rPr>
          <w:lang w:val="es-ES"/>
        </w:rPr>
        <w:t>6.3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>Varios consejeros están de acuerdo con esa sugerencia. Una consejera, observando que la selección de Nueva</w:t>
      </w:r>
      <w:r w:rsidRPr="001E3848">
        <w:rPr>
          <w:lang w:val="es-ES"/>
        </w:rPr>
        <w:t xml:space="preserve"> Delhi </w:t>
      </w:r>
      <w:r w:rsidR="001E3848" w:rsidRPr="001E3848">
        <w:rPr>
          <w:lang w:val="es-ES"/>
        </w:rPr>
        <w:t>como lugar de celebración entrañaría los gastos adicionales de</w:t>
      </w:r>
      <w:r w:rsidR="001E3848">
        <w:rPr>
          <w:lang w:val="es-ES"/>
        </w:rPr>
        <w:t xml:space="preserve"> </w:t>
      </w:r>
      <w:r w:rsidR="001E3848" w:rsidRPr="001E3848">
        <w:rPr>
          <w:lang w:val="es-ES"/>
        </w:rPr>
        <w:t>una misi</w:t>
      </w:r>
      <w:r w:rsidR="001E3848">
        <w:rPr>
          <w:lang w:val="es-ES"/>
        </w:rPr>
        <w:t>ó</w:t>
      </w:r>
      <w:r w:rsidR="001E3848" w:rsidRPr="001E3848">
        <w:rPr>
          <w:lang w:val="es-ES"/>
        </w:rPr>
        <w:t>n, dice que convendría realizar una evaluación objetiva de las dos alternativas a fin de que todos los Estados Miembros puedan tomar una decisi</w:t>
      </w:r>
      <w:r w:rsidR="001E3848">
        <w:rPr>
          <w:lang w:val="es-ES"/>
        </w:rPr>
        <w:t xml:space="preserve">ón con conocimiento de causa. </w:t>
      </w:r>
      <w:r w:rsidR="001E3848" w:rsidRPr="001E3848">
        <w:rPr>
          <w:lang w:val="es-ES"/>
        </w:rPr>
        <w:t>Insiste, además, en que es necesario aplicar los principios de eficacia y eficiencia en la organización de la Asamblea</w:t>
      </w:r>
      <w:r w:rsidRPr="001E3848">
        <w:rPr>
          <w:lang w:val="es-ES"/>
        </w:rPr>
        <w:t>.</w:t>
      </w:r>
    </w:p>
    <w:p w:rsidR="00262689" w:rsidRPr="001E3848" w:rsidRDefault="00262689" w:rsidP="00FA65B5">
      <w:pPr>
        <w:keepNext/>
        <w:keepLines/>
        <w:rPr>
          <w:lang w:val="es-ES"/>
        </w:rPr>
      </w:pPr>
      <w:r w:rsidRPr="001E3848">
        <w:rPr>
          <w:lang w:val="es-ES"/>
        </w:rPr>
        <w:t>6.4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>El Presidente a.i. sugiere que el Consejo concluya que, dado que la selección de Hyderabad obviaría la necesidad de que la Secretaría realice una misión, la AMNT</w:t>
      </w:r>
      <w:r w:rsidRPr="001E3848">
        <w:rPr>
          <w:lang w:val="es-ES"/>
        </w:rPr>
        <w:t xml:space="preserve">-20 </w:t>
      </w:r>
      <w:r w:rsidR="001E3848" w:rsidRPr="001E3848">
        <w:rPr>
          <w:lang w:val="es-ES"/>
        </w:rPr>
        <w:t>se celebre en esa ci</w:t>
      </w:r>
      <w:r w:rsidR="001E3848">
        <w:rPr>
          <w:lang w:val="es-ES"/>
        </w:rPr>
        <w:t>u</w:t>
      </w:r>
      <w:r w:rsidR="001E3848" w:rsidRPr="001E3848">
        <w:rPr>
          <w:lang w:val="es-ES"/>
        </w:rPr>
        <w:t>dad en las fechas propuestas, siempre y cuando as</w:t>
      </w:r>
      <w:r w:rsidR="001E3848">
        <w:rPr>
          <w:lang w:val="es-ES"/>
        </w:rPr>
        <w:t>í lo respalden la mayoría de los Estados Miembros de la UIT</w:t>
      </w:r>
      <w:r w:rsidR="000402A6">
        <w:rPr>
          <w:lang w:val="es-ES"/>
        </w:rPr>
        <w:t>.</w:t>
      </w:r>
    </w:p>
    <w:p w:rsidR="00262689" w:rsidRPr="001E3848" w:rsidRDefault="00262689" w:rsidP="002E68E5">
      <w:pPr>
        <w:rPr>
          <w:lang w:val="es-ES"/>
        </w:rPr>
      </w:pPr>
      <w:r w:rsidRPr="001E3848">
        <w:rPr>
          <w:lang w:val="es-ES"/>
        </w:rPr>
        <w:t>6.5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 xml:space="preserve">Se </w:t>
      </w:r>
      <w:r w:rsidR="001E3848" w:rsidRPr="001E3848">
        <w:rPr>
          <w:b/>
          <w:bCs/>
          <w:lang w:val="es-ES"/>
        </w:rPr>
        <w:t xml:space="preserve">adopta </w:t>
      </w:r>
      <w:r w:rsidR="001E3848" w:rsidRPr="001E3848">
        <w:rPr>
          <w:lang w:val="es-ES"/>
        </w:rPr>
        <w:t>el proyecto de decisi</w:t>
      </w:r>
      <w:r w:rsidR="001E3848">
        <w:rPr>
          <w:lang w:val="es-ES"/>
        </w:rPr>
        <w:t>ó</w:t>
      </w:r>
      <w:r w:rsidR="001E3848" w:rsidRPr="001E3848">
        <w:rPr>
          <w:lang w:val="es-ES"/>
        </w:rPr>
        <w:t>n del Anexo 2 al Documento</w:t>
      </w:r>
      <w:r w:rsidRPr="001E3848">
        <w:rPr>
          <w:lang w:val="es-ES"/>
        </w:rPr>
        <w:t xml:space="preserve"> C19/24 </w:t>
      </w:r>
      <w:r w:rsidR="001E3848">
        <w:rPr>
          <w:lang w:val="es-ES"/>
        </w:rPr>
        <w:t>con esa premisa</w:t>
      </w:r>
      <w:r w:rsidRPr="001E3848">
        <w:rPr>
          <w:lang w:val="es-ES"/>
        </w:rPr>
        <w:t>.</w:t>
      </w:r>
    </w:p>
    <w:p w:rsidR="00262689" w:rsidRPr="001E3848" w:rsidRDefault="00262689" w:rsidP="002E68E5">
      <w:pPr>
        <w:rPr>
          <w:lang w:val="es-ES"/>
        </w:rPr>
      </w:pPr>
      <w:r w:rsidRPr="001E3848">
        <w:rPr>
          <w:lang w:val="es-ES"/>
        </w:rPr>
        <w:t>6.6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 xml:space="preserve">El consejero de Pakistán pide que se garantice que los delegados de su país no encontrarán dificultades a la hora de obtener visados para asistir al </w:t>
      </w:r>
      <w:r w:rsidR="001E3848" w:rsidRPr="001E3848">
        <w:rPr>
          <w:lang w:val="es-ES"/>
        </w:rPr>
        <w:lastRenderedPageBreak/>
        <w:t>evento. El Presidente a.i. dice que ese punto se tendrá en cuenta a la hora de preparar el Acuerdo de Pa</w:t>
      </w:r>
      <w:r w:rsidR="001E3848">
        <w:rPr>
          <w:lang w:val="es-ES"/>
        </w:rPr>
        <w:t>ís Anfitrión</w:t>
      </w:r>
      <w:r w:rsidRPr="001E3848">
        <w:rPr>
          <w:lang w:val="es-ES"/>
        </w:rPr>
        <w:t>.</w:t>
      </w:r>
    </w:p>
    <w:p w:rsidR="00262689" w:rsidRPr="001E3848" w:rsidRDefault="00262689" w:rsidP="002E68E5">
      <w:pPr>
        <w:rPr>
          <w:lang w:val="es-ES"/>
        </w:rPr>
      </w:pPr>
      <w:r w:rsidRPr="001E3848">
        <w:rPr>
          <w:lang w:val="es-ES"/>
        </w:rPr>
        <w:t>6.7</w:t>
      </w:r>
      <w:r w:rsidRPr="001E3848">
        <w:rPr>
          <w:lang w:val="es-ES"/>
        </w:rPr>
        <w:tab/>
      </w:r>
      <w:r w:rsidR="001E3848" w:rsidRPr="001E3848">
        <w:rPr>
          <w:lang w:val="es-ES"/>
        </w:rPr>
        <w:t>El Director de la TSB dice que la previsión de gastos de la AMNT-20 se detalla en el Documento</w:t>
      </w:r>
      <w:r w:rsidRPr="001E3848">
        <w:rPr>
          <w:lang w:val="es-ES"/>
        </w:rPr>
        <w:t xml:space="preserve"> C19/15. </w:t>
      </w:r>
      <w:r w:rsidR="001E3848" w:rsidRPr="001E3848">
        <w:rPr>
          <w:lang w:val="es-ES"/>
        </w:rPr>
        <w:t>Se prevé que el GANT celebre dos reuniones en</w:t>
      </w:r>
      <w:r w:rsidRPr="001E3848">
        <w:rPr>
          <w:lang w:val="es-ES"/>
        </w:rPr>
        <w:t xml:space="preserve"> 2020, </w:t>
      </w:r>
      <w:r w:rsidR="001E3848" w:rsidRPr="001E3848">
        <w:rPr>
          <w:lang w:val="es-ES"/>
        </w:rPr>
        <w:t>ofreciendo así una oportunidad para el debate interregional que facilite la coordinaci</w:t>
      </w:r>
      <w:r w:rsidR="006B3B84">
        <w:rPr>
          <w:lang w:val="es-ES"/>
        </w:rPr>
        <w:t>ón de los preparativos de la </w:t>
      </w:r>
      <w:r w:rsidR="001E3848">
        <w:rPr>
          <w:lang w:val="es-ES"/>
        </w:rPr>
        <w:t>AMNT</w:t>
      </w:r>
      <w:r w:rsidRPr="001E3848">
        <w:rPr>
          <w:lang w:val="es-ES"/>
        </w:rPr>
        <w:t>-20.</w:t>
      </w:r>
    </w:p>
    <w:p w:rsidR="00262689" w:rsidRPr="001E3848" w:rsidRDefault="001E3848" w:rsidP="002E68E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before="600"/>
        <w:jc w:val="both"/>
        <w:rPr>
          <w:szCs w:val="24"/>
          <w:lang w:val="es-ES"/>
        </w:rPr>
      </w:pPr>
      <w:r w:rsidRPr="001E3848">
        <w:rPr>
          <w:szCs w:val="24"/>
          <w:lang w:val="es-ES"/>
        </w:rPr>
        <w:t>El Secretario General</w:t>
      </w:r>
      <w:r w:rsidR="00262689" w:rsidRPr="001E3848">
        <w:rPr>
          <w:szCs w:val="24"/>
          <w:lang w:val="es-ES"/>
        </w:rPr>
        <w:t>:</w:t>
      </w:r>
      <w:r w:rsidR="00262689" w:rsidRPr="001E3848">
        <w:rPr>
          <w:szCs w:val="24"/>
          <w:lang w:val="es-ES"/>
        </w:rPr>
        <w:tab/>
      </w:r>
      <w:r w:rsidRPr="001E3848">
        <w:rPr>
          <w:szCs w:val="24"/>
          <w:lang w:val="es-ES"/>
        </w:rPr>
        <w:t>El Presidente a.i.</w:t>
      </w:r>
      <w:r w:rsidR="00262689" w:rsidRPr="001E3848">
        <w:rPr>
          <w:szCs w:val="24"/>
          <w:lang w:val="es-ES"/>
        </w:rPr>
        <w:t>:</w:t>
      </w:r>
    </w:p>
    <w:p w:rsidR="002C12A3" w:rsidRDefault="00262689" w:rsidP="000402A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before="0" w:after="120"/>
        <w:jc w:val="both"/>
        <w:rPr>
          <w:szCs w:val="24"/>
        </w:rPr>
      </w:pPr>
      <w:r w:rsidRPr="00C13907">
        <w:rPr>
          <w:szCs w:val="24"/>
        </w:rPr>
        <w:t>H. ZHAO</w:t>
      </w:r>
      <w:r w:rsidRPr="00C13907">
        <w:rPr>
          <w:szCs w:val="24"/>
        </w:rPr>
        <w:tab/>
      </w:r>
      <w:r>
        <w:rPr>
          <w:szCs w:val="24"/>
        </w:rPr>
        <w:t>F. BIGI</w:t>
      </w:r>
    </w:p>
    <w:p w:rsidR="00E769AE" w:rsidRPr="000402A6" w:rsidRDefault="00E769AE" w:rsidP="00E769A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before="840"/>
        <w:jc w:val="center"/>
        <w:rPr>
          <w:szCs w:val="24"/>
        </w:rPr>
      </w:pPr>
      <w:r>
        <w:rPr>
          <w:szCs w:val="24"/>
        </w:rPr>
        <w:t>_______________</w:t>
      </w:r>
    </w:p>
    <w:sectPr w:rsidR="00E769AE" w:rsidRPr="000402A6" w:rsidSect="006710F6">
      <w:headerReference w:type="default" r:id="rId24"/>
      <w:footerReference w:type="default" r:id="rId25"/>
      <w:footerReference w:type="first" r:id="rId2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80" w:rsidRDefault="001A4C80">
      <w:r>
        <w:separator/>
      </w:r>
    </w:p>
  </w:endnote>
  <w:endnote w:type="continuationSeparator" w:id="0">
    <w:p w:rsidR="001A4C80" w:rsidRDefault="001A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E769AE" w:rsidRDefault="000402A6" w:rsidP="000402A6">
    <w:pPr>
      <w:pStyle w:val="Footer"/>
      <w:rPr>
        <w:color w:val="D9D9D9" w:themeColor="background1" w:themeShade="D9"/>
        <w:lang w:val="fr-CH"/>
      </w:rPr>
    </w:pPr>
    <w:r w:rsidRPr="00E769AE">
      <w:rPr>
        <w:color w:val="D9D9D9" w:themeColor="background1" w:themeShade="D9"/>
        <w:lang w:val="en-US"/>
      </w:rPr>
      <w:fldChar w:fldCharType="begin"/>
    </w:r>
    <w:r w:rsidRPr="00E769AE">
      <w:rPr>
        <w:color w:val="D9D9D9" w:themeColor="background1" w:themeShade="D9"/>
        <w:lang w:val="fr-CH"/>
      </w:rPr>
      <w:instrText xml:space="preserve"> FILENAME \p  \* MERGEFORMAT </w:instrText>
    </w:r>
    <w:r w:rsidRPr="00E769AE">
      <w:rPr>
        <w:color w:val="D9D9D9" w:themeColor="background1" w:themeShade="D9"/>
        <w:lang w:val="en-US"/>
      </w:rPr>
      <w:fldChar w:fldCharType="separate"/>
    </w:r>
    <w:r w:rsidR="003A125E" w:rsidRPr="00E769AE">
      <w:rPr>
        <w:color w:val="D9D9D9" w:themeColor="background1" w:themeShade="D9"/>
        <w:lang w:val="fr-CH"/>
      </w:rPr>
      <w:t>P:\ESP\SG\CONSEIL\C19\100\112V2S.docx</w:t>
    </w:r>
    <w:r w:rsidRPr="00E769AE">
      <w:rPr>
        <w:color w:val="D9D9D9" w:themeColor="background1" w:themeShade="D9"/>
        <w:lang w:val="en-US"/>
      </w:rPr>
      <w:fldChar w:fldCharType="end"/>
    </w:r>
    <w:r w:rsidRPr="00E769AE">
      <w:rPr>
        <w:color w:val="D9D9D9" w:themeColor="background1" w:themeShade="D9"/>
        <w:lang w:val="fr-CH"/>
      </w:rPr>
      <w:t xml:space="preserve"> (456923)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E85565" w:rsidRDefault="00760F1C" w:rsidP="00E8556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80" w:rsidRDefault="001A4C80">
      <w:r>
        <w:t>____________________</w:t>
      </w:r>
    </w:p>
  </w:footnote>
  <w:footnote w:type="continuationSeparator" w:id="0">
    <w:p w:rsidR="001A4C80" w:rsidRDefault="001A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E769AE">
      <w:rPr>
        <w:noProof/>
      </w:rPr>
      <w:t>2</w:t>
    </w:r>
    <w:r>
      <w:rPr>
        <w:noProof/>
      </w:rPr>
      <w:fldChar w:fldCharType="end"/>
    </w:r>
  </w:p>
  <w:p w:rsidR="00760F1C" w:rsidRDefault="00760F1C" w:rsidP="00C2727F">
    <w:pPr>
      <w:pStyle w:val="Header"/>
    </w:pPr>
    <w:r>
      <w:t>C</w:t>
    </w:r>
    <w:r w:rsidR="007F350B">
      <w:t>1</w:t>
    </w:r>
    <w:r w:rsidR="00C2727F">
      <w:t>9</w:t>
    </w:r>
    <w:r w:rsidR="00E85565">
      <w:t>/112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80"/>
    <w:rsid w:val="000313B7"/>
    <w:rsid w:val="000402A6"/>
    <w:rsid w:val="00093EEB"/>
    <w:rsid w:val="000B0D00"/>
    <w:rsid w:val="000B7C15"/>
    <w:rsid w:val="000D1D0F"/>
    <w:rsid w:val="000F5290"/>
    <w:rsid w:val="0010165C"/>
    <w:rsid w:val="00146BFB"/>
    <w:rsid w:val="001A4C80"/>
    <w:rsid w:val="001E3848"/>
    <w:rsid w:val="001E3F95"/>
    <w:rsid w:val="001F14A2"/>
    <w:rsid w:val="00221394"/>
    <w:rsid w:val="002471E4"/>
    <w:rsid w:val="00262689"/>
    <w:rsid w:val="002801AA"/>
    <w:rsid w:val="002C12A3"/>
    <w:rsid w:val="002C4676"/>
    <w:rsid w:val="002C603B"/>
    <w:rsid w:val="002C70B0"/>
    <w:rsid w:val="002E68E5"/>
    <w:rsid w:val="002F3CC4"/>
    <w:rsid w:val="003028B6"/>
    <w:rsid w:val="003A125E"/>
    <w:rsid w:val="003A699F"/>
    <w:rsid w:val="003E0887"/>
    <w:rsid w:val="004052AD"/>
    <w:rsid w:val="00414511"/>
    <w:rsid w:val="004237D8"/>
    <w:rsid w:val="00513630"/>
    <w:rsid w:val="00560125"/>
    <w:rsid w:val="00585553"/>
    <w:rsid w:val="005A67BE"/>
    <w:rsid w:val="005B34D9"/>
    <w:rsid w:val="005D0CCF"/>
    <w:rsid w:val="005F3BCB"/>
    <w:rsid w:val="005F410F"/>
    <w:rsid w:val="0060149A"/>
    <w:rsid w:val="00601924"/>
    <w:rsid w:val="00612A8A"/>
    <w:rsid w:val="006447EA"/>
    <w:rsid w:val="0064731F"/>
    <w:rsid w:val="006710F6"/>
    <w:rsid w:val="006B3337"/>
    <w:rsid w:val="006B3B84"/>
    <w:rsid w:val="006C1B56"/>
    <w:rsid w:val="006D4761"/>
    <w:rsid w:val="00726872"/>
    <w:rsid w:val="00760F1C"/>
    <w:rsid w:val="007657F0"/>
    <w:rsid w:val="0077252D"/>
    <w:rsid w:val="007A2E4C"/>
    <w:rsid w:val="007A3656"/>
    <w:rsid w:val="007E5DD3"/>
    <w:rsid w:val="007F350B"/>
    <w:rsid w:val="00820BE4"/>
    <w:rsid w:val="00827402"/>
    <w:rsid w:val="008451E8"/>
    <w:rsid w:val="008707C0"/>
    <w:rsid w:val="00913B9C"/>
    <w:rsid w:val="00914FB6"/>
    <w:rsid w:val="00956E77"/>
    <w:rsid w:val="009F4811"/>
    <w:rsid w:val="009F6166"/>
    <w:rsid w:val="00A2552E"/>
    <w:rsid w:val="00A45C8D"/>
    <w:rsid w:val="00A62D10"/>
    <w:rsid w:val="00AA390C"/>
    <w:rsid w:val="00B0200A"/>
    <w:rsid w:val="00B574DB"/>
    <w:rsid w:val="00B826C2"/>
    <w:rsid w:val="00B8298E"/>
    <w:rsid w:val="00BA7F0A"/>
    <w:rsid w:val="00BD0723"/>
    <w:rsid w:val="00BD2518"/>
    <w:rsid w:val="00BF1D1C"/>
    <w:rsid w:val="00C20C59"/>
    <w:rsid w:val="00C2727F"/>
    <w:rsid w:val="00C55B1F"/>
    <w:rsid w:val="00C67D85"/>
    <w:rsid w:val="00CC489A"/>
    <w:rsid w:val="00CF1A67"/>
    <w:rsid w:val="00D2750E"/>
    <w:rsid w:val="00D62446"/>
    <w:rsid w:val="00DA4EA2"/>
    <w:rsid w:val="00DC3D3E"/>
    <w:rsid w:val="00DD2D2F"/>
    <w:rsid w:val="00DE2C90"/>
    <w:rsid w:val="00DE3B24"/>
    <w:rsid w:val="00E06947"/>
    <w:rsid w:val="00E2196F"/>
    <w:rsid w:val="00E3592D"/>
    <w:rsid w:val="00E769AE"/>
    <w:rsid w:val="00E85565"/>
    <w:rsid w:val="00E92DE8"/>
    <w:rsid w:val="00E94B9B"/>
    <w:rsid w:val="00EA654E"/>
    <w:rsid w:val="00EB1212"/>
    <w:rsid w:val="00ED65AB"/>
    <w:rsid w:val="00F12850"/>
    <w:rsid w:val="00F33BF4"/>
    <w:rsid w:val="00F63D6A"/>
    <w:rsid w:val="00F700AC"/>
    <w:rsid w:val="00F7105E"/>
    <w:rsid w:val="00F75F57"/>
    <w:rsid w:val="00F82FEE"/>
    <w:rsid w:val="00FA65B5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9BE182D-645A-47DC-8A46-6A2C068B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C489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89A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027/es" TargetMode="External"/><Relationship Id="rId13" Type="http://schemas.openxmlformats.org/officeDocument/2006/relationships/hyperlink" Target="https://www.itu.int/md/S19-CL-C-0055/es" TargetMode="External"/><Relationship Id="rId18" Type="http://schemas.openxmlformats.org/officeDocument/2006/relationships/hyperlink" Target="https://www.itu.int/md/S19-CL-C-0101/es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itu.int/md/S19-CL-C-0055/e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9-CL-C-0067/es" TargetMode="External"/><Relationship Id="rId17" Type="http://schemas.openxmlformats.org/officeDocument/2006/relationships/hyperlink" Target="https://www.itu.int/md/S19-CL-C-0004/e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tu.int/md/S19-CL-C-0027/es" TargetMode="External"/><Relationship Id="rId20" Type="http://schemas.openxmlformats.org/officeDocument/2006/relationships/hyperlink" Target="https://www.itu.int/md/S19-CL-C-0067/e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9-CL-C-0013/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9-CL-C-0024/es" TargetMode="External"/><Relationship Id="rId23" Type="http://schemas.openxmlformats.org/officeDocument/2006/relationships/hyperlink" Target="https://www.itu.int/md/S19-CL-C-0024/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tu.int/md/S19-CL-C-0101/es" TargetMode="External"/><Relationship Id="rId19" Type="http://schemas.openxmlformats.org/officeDocument/2006/relationships/hyperlink" Target="https://www.itu.int/md/S19-CL-C-0013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9-CL-C-0004/es" TargetMode="External"/><Relationship Id="rId14" Type="http://schemas.openxmlformats.org/officeDocument/2006/relationships/hyperlink" Target="https://www.itu.int/md/S19-CL-C-0015/es" TargetMode="External"/><Relationship Id="rId22" Type="http://schemas.openxmlformats.org/officeDocument/2006/relationships/hyperlink" Target="https://www.itu.int/md/S19-CL-C-0015/es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0662-4723-4B10-82D0-FB452E8B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PS_C19.dotx</Template>
  <TotalTime>1</TotalTime>
  <Pages>6</Pages>
  <Words>2451</Words>
  <Characters>13624</Characters>
  <Application>Microsoft Office Word</Application>
  <DocSecurity>4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16043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 los debates de la primera sesión plenaria</dc:title>
  <dc:subject>Consejo 2018</dc:subject>
  <dc:creator>Spanish</dc:creator>
  <cp:keywords>C2019, C19</cp:keywords>
  <dc:description/>
  <cp:lastModifiedBy>Brouard, Ricarda</cp:lastModifiedBy>
  <cp:revision>2</cp:revision>
  <cp:lastPrinted>2019-06-27T12:46:00Z</cp:lastPrinted>
  <dcterms:created xsi:type="dcterms:W3CDTF">2019-07-08T08:58:00Z</dcterms:created>
  <dcterms:modified xsi:type="dcterms:W3CDTF">2019-07-08T08:58:00Z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