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7772B8">
            <w:pPr>
              <w:tabs>
                <w:tab w:val="left" w:pos="851"/>
              </w:tabs>
              <w:spacing w:before="0" w:line="240" w:lineRule="atLeast"/>
              <w:rPr>
                <w:b/>
              </w:rPr>
            </w:pPr>
            <w:bookmarkStart w:id="2" w:name="dmeeting" w:colFirst="0" w:colLast="0"/>
            <w:bookmarkStart w:id="3" w:name="dnum" w:colFirst="1" w:colLast="1"/>
            <w:r>
              <w:rPr>
                <w:b/>
              </w:rPr>
              <w:t xml:space="preserve">Agenda item: </w:t>
            </w:r>
            <w:r w:rsidR="00562167">
              <w:rPr>
                <w:b/>
              </w:rPr>
              <w:t>PL 1.5</w:t>
            </w:r>
          </w:p>
        </w:tc>
        <w:tc>
          <w:tcPr>
            <w:tcW w:w="3120" w:type="dxa"/>
          </w:tcPr>
          <w:p w:rsidR="002A2188" w:rsidRPr="00E85629" w:rsidRDefault="002A2188" w:rsidP="00562167">
            <w:pPr>
              <w:tabs>
                <w:tab w:val="left" w:pos="851"/>
              </w:tabs>
              <w:spacing w:before="0" w:line="240" w:lineRule="atLeast"/>
              <w:rPr>
                <w:b/>
              </w:rPr>
            </w:pPr>
            <w:r>
              <w:rPr>
                <w:b/>
              </w:rPr>
              <w:t>Document C1</w:t>
            </w:r>
            <w:r w:rsidR="00FA4575">
              <w:rPr>
                <w:b/>
              </w:rPr>
              <w:t>9</w:t>
            </w:r>
            <w:r>
              <w:rPr>
                <w:b/>
              </w:rPr>
              <w:t>/</w:t>
            </w:r>
            <w:r w:rsidR="00DF5883">
              <w:rPr>
                <w:b/>
              </w:rPr>
              <w:t>10</w:t>
            </w:r>
            <w:r w:rsidR="00562167">
              <w:rPr>
                <w:b/>
              </w:rPr>
              <w:t>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182367" w:rsidP="00F76111">
            <w:pPr>
              <w:tabs>
                <w:tab w:val="left" w:pos="993"/>
              </w:tabs>
              <w:spacing w:before="0"/>
              <w:rPr>
                <w:b/>
              </w:rPr>
            </w:pPr>
            <w:r>
              <w:rPr>
                <w:b/>
              </w:rPr>
              <w:t>2</w:t>
            </w:r>
            <w:r w:rsidR="00F76111">
              <w:rPr>
                <w:b/>
              </w:rPr>
              <w:t>7</w:t>
            </w:r>
            <w:r>
              <w:rPr>
                <w:b/>
              </w:rPr>
              <w:t xml:space="preserve">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182367" w:rsidP="00464B6C">
            <w:pPr>
              <w:pStyle w:val="Source"/>
            </w:pPr>
            <w:bookmarkStart w:id="6" w:name="dsource" w:colFirst="0" w:colLast="0"/>
            <w:bookmarkEnd w:id="5"/>
            <w:r>
              <w:t>Note</w:t>
            </w:r>
            <w:r w:rsidRPr="00D04E39">
              <w:t xml:space="preserve"> by the Secretary-General</w:t>
            </w:r>
          </w:p>
        </w:tc>
      </w:tr>
      <w:tr w:rsidR="002A2188" w:rsidRPr="00813E5E" w:rsidTr="00464B6C">
        <w:trPr>
          <w:cantSplit/>
        </w:trPr>
        <w:tc>
          <w:tcPr>
            <w:tcW w:w="10031" w:type="dxa"/>
            <w:gridSpan w:val="2"/>
          </w:tcPr>
          <w:p w:rsidR="00182367" w:rsidRPr="00517BEC" w:rsidRDefault="00182367" w:rsidP="00A814BE">
            <w:pPr>
              <w:pStyle w:val="Title1"/>
              <w:rPr>
                <w:szCs w:val="28"/>
              </w:rPr>
            </w:pPr>
            <w:bookmarkStart w:id="7" w:name="dtitle1" w:colFirst="0" w:colLast="0"/>
            <w:bookmarkEnd w:id="6"/>
            <w:r w:rsidRPr="00517BEC">
              <w:rPr>
                <w:szCs w:val="28"/>
              </w:rPr>
              <w:t xml:space="preserve">CONTRIBUTION FROM the </w:t>
            </w:r>
            <w:r w:rsidR="000350C2">
              <w:rPr>
                <w:szCs w:val="28"/>
              </w:rPr>
              <w:t xml:space="preserve">UNITED ARAB EMIRATES AND </w:t>
            </w:r>
            <w:r w:rsidR="00A814BE">
              <w:rPr>
                <w:szCs w:val="28"/>
              </w:rPr>
              <w:br/>
            </w:r>
            <w:r w:rsidR="000350C2">
              <w:rPr>
                <w:szCs w:val="28"/>
              </w:rPr>
              <w:t xml:space="preserve">THE </w:t>
            </w:r>
            <w:r w:rsidR="00F76111" w:rsidRPr="00517BEC">
              <w:rPr>
                <w:szCs w:val="28"/>
              </w:rPr>
              <w:t>KINGDOM OF SAUDI ARABIA</w:t>
            </w:r>
          </w:p>
          <w:p w:rsidR="002A2188" w:rsidRPr="00813E5E" w:rsidRDefault="00562167" w:rsidP="000350C2">
            <w:pPr>
              <w:pStyle w:val="Title2"/>
            </w:pPr>
            <w:r>
              <w:t>Updating the child online protection guidelines</w:t>
            </w:r>
          </w:p>
        </w:tc>
      </w:tr>
      <w:bookmarkEnd w:id="7"/>
    </w:tbl>
    <w:p w:rsidR="002A2188" w:rsidRDefault="002A2188" w:rsidP="002A2188"/>
    <w:p w:rsidR="00182367" w:rsidRDefault="00182367" w:rsidP="002A2188"/>
    <w:p w:rsidR="00182367" w:rsidRDefault="00182367" w:rsidP="00A814BE">
      <w:r>
        <w:t>I have the honour to transmit to the Member States of the Council a contribution submitted by the</w:t>
      </w:r>
      <w:r w:rsidR="000350C2">
        <w:t xml:space="preserve"> United Arab Emirates and the </w:t>
      </w:r>
      <w:r w:rsidR="00F76111">
        <w:t>Kingdom of Saudi Arabia.</w:t>
      </w:r>
    </w:p>
    <w:p w:rsidR="00182367" w:rsidRDefault="00182367" w:rsidP="00182367">
      <w:pPr>
        <w:tabs>
          <w:tab w:val="clear" w:pos="567"/>
          <w:tab w:val="clear" w:pos="1134"/>
          <w:tab w:val="clear" w:pos="1701"/>
          <w:tab w:val="clear" w:pos="2268"/>
          <w:tab w:val="clear" w:pos="2835"/>
          <w:tab w:val="left" w:pos="6237"/>
        </w:tabs>
        <w:spacing w:before="1080"/>
      </w:pPr>
      <w:r>
        <w:tab/>
        <w:t>Houlin ZHAO</w:t>
      </w:r>
    </w:p>
    <w:p w:rsidR="00182367" w:rsidRPr="00813E5E" w:rsidRDefault="00182367" w:rsidP="00182367">
      <w:pPr>
        <w:tabs>
          <w:tab w:val="clear" w:pos="567"/>
          <w:tab w:val="clear" w:pos="1134"/>
          <w:tab w:val="clear" w:pos="1701"/>
          <w:tab w:val="clear" w:pos="2268"/>
          <w:tab w:val="clear" w:pos="2835"/>
          <w:tab w:val="left" w:pos="6096"/>
        </w:tabs>
        <w:spacing w:before="0"/>
      </w:pPr>
      <w:r>
        <w:tab/>
        <w:t>Secretary-General</w:t>
      </w:r>
    </w:p>
    <w:p w:rsidR="00182367" w:rsidRDefault="00182367" w:rsidP="002A2188"/>
    <w:p w:rsidR="00182367" w:rsidRDefault="00182367">
      <w:pPr>
        <w:tabs>
          <w:tab w:val="clear" w:pos="567"/>
          <w:tab w:val="clear" w:pos="1134"/>
          <w:tab w:val="clear" w:pos="1701"/>
          <w:tab w:val="clear" w:pos="2268"/>
          <w:tab w:val="clear" w:pos="2835"/>
        </w:tabs>
        <w:overflowPunct/>
        <w:autoSpaceDE/>
        <w:autoSpaceDN/>
        <w:adjustRightInd/>
        <w:spacing w:before="0"/>
        <w:textAlignment w:val="auto"/>
      </w:pPr>
      <w:r>
        <w:br w:type="page"/>
      </w:r>
    </w:p>
    <w:p w:rsidR="00182367" w:rsidRDefault="00182367" w:rsidP="00A814BE">
      <w:pPr>
        <w:pStyle w:val="Source"/>
      </w:pPr>
      <w:r>
        <w:lastRenderedPageBreak/>
        <w:t xml:space="preserve">Contribution from the </w:t>
      </w:r>
      <w:r w:rsidR="000350C2">
        <w:t>United Arab Emirates and the Kingdom of Saudi Arabia</w:t>
      </w:r>
    </w:p>
    <w:p w:rsidR="000350C2" w:rsidRDefault="00562167" w:rsidP="000350C2">
      <w:pPr>
        <w:pStyle w:val="Title2"/>
        <w:rPr>
          <w:lang w:eastAsia="zh-CN"/>
        </w:rPr>
      </w:pPr>
      <w:r>
        <w:t>Updating the child online protection guidelines</w:t>
      </w:r>
    </w:p>
    <w:p w:rsidR="002A4458" w:rsidRPr="002A4458" w:rsidRDefault="002A4458" w:rsidP="002A4458">
      <w:pPr>
        <w:pStyle w:val="Title3"/>
        <w:rPr>
          <w:lang w:eastAsia="zh-CN"/>
        </w:rPr>
      </w:pPr>
    </w:p>
    <w:tbl>
      <w:tblPr>
        <w:tblStyle w:val="TableGrid"/>
        <w:tblW w:w="8080" w:type="dxa"/>
        <w:jc w:val="center"/>
        <w:tblLayout w:type="fixed"/>
        <w:tblLook w:val="0000" w:firstRow="0" w:lastRow="0" w:firstColumn="0" w:lastColumn="0" w:noHBand="0" w:noVBand="0"/>
      </w:tblPr>
      <w:tblGrid>
        <w:gridCol w:w="8080"/>
      </w:tblGrid>
      <w:tr w:rsidR="00A814BE" w:rsidRPr="00895626" w:rsidTr="003F3B90">
        <w:trPr>
          <w:trHeight w:val="3372"/>
          <w:jc w:val="center"/>
        </w:trPr>
        <w:tc>
          <w:tcPr>
            <w:tcW w:w="8080" w:type="dxa"/>
          </w:tcPr>
          <w:p w:rsidR="00A814BE" w:rsidRPr="00D65854" w:rsidRDefault="00A814BE" w:rsidP="003F3B90">
            <w:pPr>
              <w:pStyle w:val="Headingb"/>
              <w:spacing w:before="120" w:after="120"/>
              <w:rPr>
                <w:szCs w:val="24"/>
              </w:rPr>
            </w:pPr>
            <w:r w:rsidRPr="00D65854">
              <w:rPr>
                <w:szCs w:val="24"/>
              </w:rPr>
              <w:t>Summary</w:t>
            </w:r>
          </w:p>
          <w:p w:rsidR="00A814BE" w:rsidRPr="0029455F" w:rsidRDefault="00562167" w:rsidP="002A4458">
            <w:pPr>
              <w:spacing w:after="120"/>
              <w:jc w:val="both"/>
              <w:rPr>
                <w:szCs w:val="24"/>
                <w:lang w:val="en-US"/>
              </w:rPr>
            </w:pPr>
            <w:r>
              <w:t>This document provides an overview of ITU efforts on Child Online Protection including the guidelines that were developed couple of years ago, and the safe listening initiative</w:t>
            </w:r>
            <w:r w:rsidR="002A4458">
              <w:t>.</w:t>
            </w:r>
          </w:p>
          <w:p w:rsidR="00A814BE" w:rsidRPr="006C3EC7" w:rsidRDefault="00A814BE" w:rsidP="003F3B90">
            <w:pPr>
              <w:pStyle w:val="Headingb"/>
              <w:spacing w:before="120" w:after="120"/>
              <w:jc w:val="both"/>
              <w:rPr>
                <w:b w:val="0"/>
                <w:bCs/>
                <w:szCs w:val="24"/>
              </w:rPr>
            </w:pPr>
            <w:r w:rsidRPr="0029455F">
              <w:rPr>
                <w:szCs w:val="24"/>
              </w:rPr>
              <w:t>Action</w:t>
            </w:r>
            <w:r w:rsidRPr="0029455F">
              <w:rPr>
                <w:bCs/>
                <w:szCs w:val="24"/>
              </w:rPr>
              <w:t xml:space="preserve"> </w:t>
            </w:r>
            <w:r w:rsidRPr="0029455F">
              <w:rPr>
                <w:szCs w:val="24"/>
              </w:rPr>
              <w:t>required</w:t>
            </w:r>
          </w:p>
          <w:p w:rsidR="00A814BE" w:rsidRPr="0029455F" w:rsidRDefault="00562167" w:rsidP="00562167">
            <w:pPr>
              <w:tabs>
                <w:tab w:val="left" w:pos="794"/>
                <w:tab w:val="left" w:pos="1191"/>
                <w:tab w:val="left" w:pos="1588"/>
                <w:tab w:val="left" w:pos="1985"/>
              </w:tabs>
              <w:spacing w:after="120"/>
              <w:ind w:left="34"/>
              <w:jc w:val="both"/>
              <w:rPr>
                <w:rFonts w:asciiTheme="minorHAnsi" w:hAnsiTheme="minorHAnsi"/>
                <w:szCs w:val="24"/>
              </w:rPr>
            </w:pPr>
            <w:r>
              <w:t>To request BDT to update the guidelines to include challenges related to new technologies, including the “Safe Listening” topic.</w:t>
            </w:r>
          </w:p>
          <w:p w:rsidR="00A814BE" w:rsidRPr="0029455F" w:rsidRDefault="00A814BE" w:rsidP="003F3B90">
            <w:pPr>
              <w:pStyle w:val="Table"/>
              <w:keepNext w:val="0"/>
              <w:adjustRightInd w:val="0"/>
              <w:snapToGrid w:val="0"/>
              <w:spacing w:before="120"/>
              <w:jc w:val="both"/>
              <w:rPr>
                <w:rFonts w:asciiTheme="minorHAnsi" w:hAnsiTheme="minorHAnsi"/>
                <w:caps w:val="0"/>
                <w:szCs w:val="24"/>
                <w:lang w:val="en-US"/>
              </w:rPr>
            </w:pPr>
            <w:r w:rsidRPr="0029455F">
              <w:rPr>
                <w:rFonts w:asciiTheme="minorHAnsi" w:hAnsiTheme="minorHAnsi"/>
                <w:caps w:val="0"/>
                <w:szCs w:val="24"/>
                <w:lang w:val="en-US"/>
              </w:rPr>
              <w:t>____________</w:t>
            </w:r>
          </w:p>
          <w:p w:rsidR="00A814BE" w:rsidRPr="006C3EC7" w:rsidRDefault="00A814BE" w:rsidP="003F3B90">
            <w:pPr>
              <w:pStyle w:val="Headingb"/>
              <w:spacing w:before="120" w:after="120"/>
              <w:jc w:val="both"/>
              <w:rPr>
                <w:szCs w:val="24"/>
                <w:lang w:val="en-US"/>
              </w:rPr>
            </w:pPr>
            <w:r w:rsidRPr="006C3EC7">
              <w:rPr>
                <w:szCs w:val="24"/>
                <w:lang w:val="en-US"/>
              </w:rPr>
              <w:t>References</w:t>
            </w:r>
          </w:p>
          <w:p w:rsidR="00A814BE" w:rsidRPr="0029455F" w:rsidRDefault="00A9307F" w:rsidP="00A9307F">
            <w:pPr>
              <w:snapToGrid w:val="0"/>
              <w:spacing w:after="120"/>
              <w:jc w:val="both"/>
              <w:rPr>
                <w:rFonts w:asciiTheme="minorHAnsi" w:hAnsiTheme="minorHAnsi" w:cs="Arial"/>
                <w:color w:val="0000FF"/>
                <w:sz w:val="22"/>
                <w:szCs w:val="22"/>
                <w:lang w:val="en-US"/>
              </w:rPr>
            </w:pPr>
            <w:hyperlink r:id="rId12" w:history="1">
              <w:r w:rsidR="00562167" w:rsidRPr="00A9307F">
                <w:rPr>
                  <w:rStyle w:val="Hyperlink"/>
                </w:rPr>
                <w:t>Resolution 179 (</w:t>
              </w:r>
              <w:r w:rsidRPr="00A9307F">
                <w:rPr>
                  <w:rStyle w:val="Hyperlink"/>
                </w:rPr>
                <w:t xml:space="preserve">Rev. </w:t>
              </w:r>
              <w:r w:rsidR="00562167" w:rsidRPr="00A9307F">
                <w:rPr>
                  <w:rStyle w:val="Hyperlink"/>
                </w:rPr>
                <w:t>Dubai, 2018)</w:t>
              </w:r>
            </w:hyperlink>
            <w:r w:rsidR="00562167">
              <w:t xml:space="preserve">, </w:t>
            </w:r>
            <w:hyperlink r:id="rId13" w:history="1">
              <w:r w:rsidR="00562167" w:rsidRPr="00A9307F">
                <w:rPr>
                  <w:rStyle w:val="Hyperlink"/>
                </w:rPr>
                <w:t>Council Resolution 1306 (</w:t>
              </w:r>
              <w:r>
                <w:rPr>
                  <w:rStyle w:val="Hyperlink"/>
                </w:rPr>
                <w:t>MOD</w:t>
              </w:r>
              <w:r w:rsidR="00562167" w:rsidRPr="00A9307F">
                <w:rPr>
                  <w:rStyle w:val="Hyperlink"/>
                </w:rPr>
                <w:t xml:space="preserve"> 2015)</w:t>
              </w:r>
            </w:hyperlink>
            <w:r w:rsidR="00562167">
              <w:t xml:space="preserve">, and </w:t>
            </w:r>
            <w:hyperlink r:id="rId14" w:history="1">
              <w:r w:rsidR="00562167" w:rsidRPr="00A9307F">
                <w:rPr>
                  <w:rStyle w:val="Hyperlink"/>
                </w:rPr>
                <w:t>WTDC Resolution 67 (Rev. Buenos Aires, 2017)</w:t>
              </w:r>
            </w:hyperlink>
            <w:r w:rsidR="00562167">
              <w:t xml:space="preserve">, </w:t>
            </w:r>
            <w:hyperlink r:id="rId15" w:history="1">
              <w:r w:rsidR="00562167">
                <w:rPr>
                  <w:rStyle w:val="Hyperlink"/>
                </w:rPr>
                <w:t>ITU-T H</w:t>
              </w:r>
              <w:r w:rsidR="00562167" w:rsidRPr="00821C52">
                <w:rPr>
                  <w:rStyle w:val="Hyperlink"/>
                </w:rPr>
                <w:t>.870</w:t>
              </w:r>
            </w:hyperlink>
          </w:p>
        </w:tc>
      </w:tr>
    </w:tbl>
    <w:p w:rsidR="00562167" w:rsidRPr="00A9307F" w:rsidRDefault="00562167" w:rsidP="00562167">
      <w:pPr>
        <w:pStyle w:val="Normalaftertitle"/>
        <w:rPr>
          <w:rFonts w:asciiTheme="minorHAnsi" w:hAnsiTheme="minorHAnsi" w:cstheme="minorHAnsi"/>
          <w:b/>
          <w:sz w:val="28"/>
          <w:szCs w:val="28"/>
          <w:rtl/>
          <w:lang w:bidi="ar-AE"/>
        </w:rPr>
      </w:pPr>
      <w:r w:rsidRPr="00A9307F">
        <w:rPr>
          <w:rFonts w:asciiTheme="minorHAnsi" w:hAnsiTheme="minorHAnsi" w:cstheme="minorHAnsi"/>
          <w:b/>
          <w:sz w:val="28"/>
          <w:szCs w:val="28"/>
        </w:rPr>
        <w:t>Introduction</w:t>
      </w:r>
    </w:p>
    <w:p w:rsidR="00562167" w:rsidRPr="0043108A" w:rsidRDefault="00562167" w:rsidP="00A9307F">
      <w:pPr>
        <w:jc w:val="both"/>
      </w:pPr>
      <w:r w:rsidRPr="00F167C6">
        <w:rPr>
          <w:rFonts w:asciiTheme="minorHAnsi" w:hAnsiTheme="minorHAnsi" w:cstheme="minorHAnsi"/>
          <w:szCs w:val="24"/>
        </w:rPr>
        <w:t>T</w:t>
      </w:r>
      <w:r>
        <w:t xml:space="preserve">he ITU plays a key role in protecting children online. Plenipotentiary </w:t>
      </w:r>
      <w:r w:rsidRPr="002A0CD4">
        <w:t>Resolution 179 (</w:t>
      </w:r>
      <w:r w:rsidR="00A9307F">
        <w:t xml:space="preserve">Rev. </w:t>
      </w:r>
      <w:r>
        <w:t>Dubai</w:t>
      </w:r>
      <w:r w:rsidRPr="002A0CD4">
        <w:t>, 201</w:t>
      </w:r>
      <w:r>
        <w:t>8</w:t>
      </w:r>
      <w:r w:rsidRPr="002A0CD4">
        <w:t>)</w:t>
      </w:r>
      <w:r>
        <w:t xml:space="preserve">, Council </w:t>
      </w:r>
      <w:r w:rsidRPr="002A0CD4">
        <w:t>Resolution</w:t>
      </w:r>
      <w:r>
        <w:t xml:space="preserve"> </w:t>
      </w:r>
      <w:r w:rsidRPr="002A0CD4">
        <w:t>1306 (</w:t>
      </w:r>
      <w:r w:rsidR="00A9307F">
        <w:t>Mod.</w:t>
      </w:r>
      <w:r w:rsidRPr="002A0CD4">
        <w:t xml:space="preserve"> 2015)</w:t>
      </w:r>
      <w:r>
        <w:t xml:space="preserve">, and WTDC </w:t>
      </w:r>
      <w:r w:rsidRPr="00C53C40">
        <w:t>Resolution 67 (Rev. Buenos Aires, 2017)</w:t>
      </w:r>
      <w:r>
        <w:t xml:space="preserve"> clearly show how ITU is committed to protect children from risks related to their usage of ICT. ITU launched the Child Online Protection (COP) initiative in 2008 to bring together partners from around the globe with the aim of creating a safer online environment and experience for the children. This initiative resulted in four international guidelines being created on child online protection that are directed to children, parents &amp; educators, industry, and policy makers, most of which are in the six official languages. </w:t>
      </w:r>
    </w:p>
    <w:p w:rsidR="00562167" w:rsidRPr="00A9307F" w:rsidRDefault="00562167" w:rsidP="00562167">
      <w:pPr>
        <w:rPr>
          <w:rFonts w:asciiTheme="minorHAnsi" w:hAnsiTheme="minorHAnsi" w:cstheme="minorHAnsi"/>
          <w:b/>
          <w:sz w:val="28"/>
          <w:szCs w:val="28"/>
        </w:rPr>
      </w:pPr>
      <w:r w:rsidRPr="00A9307F">
        <w:rPr>
          <w:rFonts w:asciiTheme="minorHAnsi" w:hAnsiTheme="minorHAnsi" w:cstheme="minorHAnsi"/>
          <w:b/>
          <w:sz w:val="28"/>
          <w:szCs w:val="28"/>
        </w:rPr>
        <w:t>Discussion</w:t>
      </w:r>
    </w:p>
    <w:p w:rsidR="00562167" w:rsidRDefault="00562167" w:rsidP="00562167">
      <w:pPr>
        <w:tabs>
          <w:tab w:val="clear" w:pos="567"/>
          <w:tab w:val="clear" w:pos="1134"/>
          <w:tab w:val="clear" w:pos="1701"/>
          <w:tab w:val="clear" w:pos="2268"/>
          <w:tab w:val="clear" w:pos="2835"/>
        </w:tabs>
        <w:overflowPunct/>
        <w:autoSpaceDE/>
        <w:autoSpaceDN/>
        <w:adjustRightInd/>
        <w:snapToGrid w:val="0"/>
        <w:jc w:val="both"/>
        <w:textAlignment w:val="auto"/>
        <w:rPr>
          <w:rFonts w:asciiTheme="minorHAnsi" w:hAnsiTheme="minorHAnsi"/>
        </w:rPr>
      </w:pPr>
      <w:r>
        <w:rPr>
          <w:rFonts w:asciiTheme="minorHAnsi" w:hAnsiTheme="minorHAnsi"/>
        </w:rPr>
        <w:t>Technology advanced enormously during the last decade. People were introduced to new technologies like augmented and virtual reality, and some of the other new ones become common like drones. These technologies and services brought to the world many opportunities and risks as well for adults and children alike. While the COP guidelines developed by ITU are comprehensive, only the guidelines for children and parents were last updated in 2016, and in English only, whereas the other languages as well as the guidelines for industry and policy makers are dated at 2009. With the challenges that came with the new technologies and services, we believe that the guidelines should be updated to capture those challenges, in all six languages.</w:t>
      </w:r>
    </w:p>
    <w:p w:rsidR="00562167" w:rsidRPr="00F312E0" w:rsidRDefault="00562167" w:rsidP="00562167">
      <w:pPr>
        <w:tabs>
          <w:tab w:val="clear" w:pos="567"/>
          <w:tab w:val="clear" w:pos="1134"/>
          <w:tab w:val="clear" w:pos="1701"/>
          <w:tab w:val="clear" w:pos="2268"/>
          <w:tab w:val="clear" w:pos="2835"/>
        </w:tabs>
        <w:overflowPunct/>
        <w:autoSpaceDE/>
        <w:autoSpaceDN/>
        <w:adjustRightInd/>
        <w:snapToGrid w:val="0"/>
        <w:jc w:val="both"/>
        <w:textAlignment w:val="auto"/>
        <w:rPr>
          <w:rFonts w:asciiTheme="minorHAnsi" w:hAnsiTheme="minorHAnsi"/>
        </w:rPr>
      </w:pPr>
      <w:r>
        <w:rPr>
          <w:rFonts w:asciiTheme="minorHAnsi" w:hAnsiTheme="minorHAnsi"/>
        </w:rPr>
        <w:t xml:space="preserve">In addition to the technologies mentioned above, one of the challenges that could be included is the risk of hearing loss due to the unsafe listening practices. The increasing accessibility to smart devices by children and the long time they spend listening to music or watching videos at a high volume poses a physical risk on children, that is hearing loss. The WHO estimates that this risk could affect over one billion young people worldwide. </w:t>
      </w:r>
      <w:r>
        <w:t>In an effort to counter this, the ITU, in close collaboration with World Health Organization (WHO), developed a new recommendation “</w:t>
      </w:r>
      <w:r w:rsidRPr="00B13BDF">
        <w:t>Guidelines for safe listening devices/systems</w:t>
      </w:r>
      <w:r>
        <w:t xml:space="preserve">”, </w:t>
      </w:r>
      <w:hyperlink r:id="rId16" w:history="1">
        <w:r w:rsidRPr="00821C52">
          <w:rPr>
            <w:rStyle w:val="Hyperlink"/>
          </w:rPr>
          <w:t>H.870</w:t>
        </w:r>
      </w:hyperlink>
      <w:r>
        <w:t>, that “</w:t>
      </w:r>
      <w:r w:rsidRPr="00B13BDF">
        <w:t>describes requirements on safe-</w:t>
      </w:r>
      <w:r w:rsidRPr="00B13BDF">
        <w:lastRenderedPageBreak/>
        <w:t>listening devices and systems, called personal/portable audio systems, especially those for playing music, to protect people from hearing loss</w:t>
      </w:r>
      <w:r>
        <w:t>”.</w:t>
      </w:r>
    </w:p>
    <w:p w:rsidR="00562167" w:rsidRPr="00F167C6" w:rsidRDefault="00562167" w:rsidP="00562167">
      <w:pPr>
        <w:rPr>
          <w:rFonts w:asciiTheme="minorHAnsi" w:hAnsiTheme="minorHAnsi" w:cstheme="minorHAnsi"/>
          <w:b/>
          <w:szCs w:val="24"/>
        </w:rPr>
      </w:pPr>
      <w:r>
        <w:rPr>
          <w:rFonts w:asciiTheme="minorHAnsi" w:hAnsiTheme="minorHAnsi" w:cstheme="minorHAnsi"/>
          <w:b/>
          <w:szCs w:val="24"/>
        </w:rPr>
        <w:t>Proposal</w:t>
      </w:r>
    </w:p>
    <w:p w:rsidR="00562167" w:rsidRPr="00EC59B3" w:rsidRDefault="00562167" w:rsidP="00562167">
      <w:pPr>
        <w:tabs>
          <w:tab w:val="clear" w:pos="567"/>
          <w:tab w:val="clear" w:pos="1134"/>
          <w:tab w:val="clear" w:pos="1701"/>
          <w:tab w:val="clear" w:pos="2268"/>
          <w:tab w:val="clear" w:pos="2835"/>
        </w:tabs>
        <w:overflowPunct/>
        <w:autoSpaceDE/>
        <w:autoSpaceDN/>
        <w:adjustRightInd/>
        <w:snapToGrid w:val="0"/>
        <w:jc w:val="both"/>
        <w:textAlignment w:val="auto"/>
        <w:rPr>
          <w:rFonts w:asciiTheme="minorHAnsi" w:hAnsiTheme="minorHAnsi"/>
        </w:rPr>
      </w:pPr>
      <w:r>
        <w:t>The UAE</w:t>
      </w:r>
      <w:r w:rsidR="00A9307F">
        <w:t xml:space="preserve"> and Saudi Arabia</w:t>
      </w:r>
      <w:r w:rsidR="00A9307F">
        <w:t xml:space="preserve"> propose that the C</w:t>
      </w:r>
      <w:r>
        <w:t>ouncil requests th</w:t>
      </w:r>
      <w:r w:rsidRPr="008F0F06">
        <w:t xml:space="preserve">e Director of the </w:t>
      </w:r>
      <w:r w:rsidRPr="005855C0">
        <w:rPr>
          <w:rFonts w:asciiTheme="minorHAnsi" w:hAnsiTheme="minorHAnsi"/>
        </w:rPr>
        <w:t>Telecommunication Development Bureau to</w:t>
      </w:r>
      <w:r>
        <w:rPr>
          <w:rFonts w:asciiTheme="minorHAnsi" w:hAnsiTheme="minorHAnsi"/>
        </w:rPr>
        <w:t xml:space="preserve"> </w:t>
      </w:r>
      <w:r w:rsidRPr="0047541E">
        <w:t>update the child online protection guidelines for children, parents</w:t>
      </w:r>
      <w:r>
        <w:t xml:space="preserve"> &amp; educators, industry, and</w:t>
      </w:r>
      <w:r w:rsidRPr="0047541E">
        <w:t xml:space="preserve"> policy makers, as appropriate, </w:t>
      </w:r>
      <w:r>
        <w:t>to capture the new risks that surfaced with new technologies and services, as well as unsafe behaviour that are affecting children, to raise awareness of them.</w:t>
      </w:r>
    </w:p>
    <w:p w:rsidR="00562167" w:rsidRPr="00EC59B3" w:rsidRDefault="00562167" w:rsidP="00562167">
      <w:pPr>
        <w:snapToGrid w:val="0"/>
        <w:spacing w:before="100" w:beforeAutospacing="1" w:after="100" w:afterAutospacing="1"/>
        <w:jc w:val="both"/>
      </w:pPr>
      <w:r w:rsidRPr="00EC59B3">
        <w:t>The UAE being chair of the Council Working group on Child online protection looks forward to further contributions in this regard and will work together with all stakeholders in updating the relevant guidelines while considering the innovations accordingly.</w:t>
      </w:r>
    </w:p>
    <w:p w:rsidR="00820459" w:rsidRPr="00EE2FE5" w:rsidRDefault="00820459" w:rsidP="00EE2FE5">
      <w:pPr>
        <w:spacing w:after="120"/>
        <w:jc w:val="center"/>
        <w:rPr>
          <w:rFonts w:asciiTheme="minorHAnsi" w:hAnsiTheme="minorHAnsi" w:cstheme="minorHAnsi"/>
        </w:rPr>
      </w:pPr>
      <w:r w:rsidRPr="00EE2FE5">
        <w:rPr>
          <w:rFonts w:asciiTheme="minorHAnsi" w:hAnsiTheme="minorHAnsi" w:cstheme="minorHAnsi"/>
        </w:rPr>
        <w:t>__________________</w:t>
      </w:r>
    </w:p>
    <w:p w:rsidR="00182367" w:rsidRPr="00EE2FE5" w:rsidRDefault="00182367" w:rsidP="00EE2FE5">
      <w:pPr>
        <w:rPr>
          <w:rFonts w:asciiTheme="minorHAnsi" w:hAnsiTheme="minorHAnsi" w:cstheme="minorHAnsi"/>
        </w:rPr>
      </w:pPr>
      <w:bookmarkStart w:id="8" w:name="_GoBack"/>
      <w:bookmarkEnd w:id="8"/>
    </w:p>
    <w:sectPr w:rsidR="00182367" w:rsidRPr="00EE2FE5"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93B" w:rsidRDefault="00F6793B">
      <w:r>
        <w:separator/>
      </w:r>
    </w:p>
  </w:endnote>
  <w:endnote w:type="continuationSeparator" w:id="0">
    <w:p w:rsidR="00F6793B" w:rsidRDefault="00F6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322D0D" w:rsidP="00FA4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93B" w:rsidRDefault="00F6793B">
      <w:r>
        <w:t>____________________</w:t>
      </w:r>
    </w:p>
  </w:footnote>
  <w:footnote w:type="continuationSeparator" w:id="0">
    <w:p w:rsidR="00F6793B" w:rsidRDefault="00F6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B241D">
      <w:rPr>
        <w:noProof/>
      </w:rPr>
      <w:t>3</w:t>
    </w:r>
    <w:r>
      <w:rPr>
        <w:noProof/>
      </w:rPr>
      <w:fldChar w:fldCharType="end"/>
    </w:r>
  </w:p>
  <w:p w:rsidR="00322D0D" w:rsidRPr="00623AE3" w:rsidRDefault="00FA4575" w:rsidP="00A9307F">
    <w:pPr>
      <w:pStyle w:val="Header"/>
      <w:rPr>
        <w:bCs/>
      </w:rPr>
    </w:pPr>
    <w:r>
      <w:rPr>
        <w:bCs/>
      </w:rPr>
      <w:t>C19</w:t>
    </w:r>
    <w:r w:rsidR="00623AE3" w:rsidRPr="00623AE3">
      <w:rPr>
        <w:bCs/>
      </w:rPr>
      <w:t>/</w:t>
    </w:r>
    <w:r w:rsidR="008F6C81">
      <w:rPr>
        <w:bCs/>
      </w:rPr>
      <w:t>10</w:t>
    </w:r>
    <w:r w:rsidR="00A9307F">
      <w:rPr>
        <w:bCs/>
      </w:rPr>
      <w:t>3</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187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FAE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E15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7054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6EC4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01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62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C6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EE1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924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708"/>
    <w:multiLevelType w:val="hybridMultilevel"/>
    <w:tmpl w:val="861C3F8C"/>
    <w:numStyleLink w:val="ImportedStyle1"/>
  </w:abstractNum>
  <w:abstractNum w:abstractNumId="11" w15:restartNumberingAfterBreak="0">
    <w:nsid w:val="082B7DA1"/>
    <w:multiLevelType w:val="hybridMultilevel"/>
    <w:tmpl w:val="BAB415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107745E7"/>
    <w:multiLevelType w:val="hybridMultilevel"/>
    <w:tmpl w:val="EA102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741" w:hanging="360"/>
      </w:pPr>
    </w:lvl>
    <w:lvl w:ilvl="1">
      <w:start w:val="1"/>
      <w:numFmt w:val="lowerLetter"/>
      <w:lvlText w:val="%2."/>
      <w:lvlJc w:val="left"/>
      <w:pPr>
        <w:ind w:left="1461" w:hanging="360"/>
      </w:pPr>
    </w:lvl>
    <w:lvl w:ilvl="2">
      <w:start w:val="1"/>
      <w:numFmt w:val="lowerRoman"/>
      <w:lvlText w:val="%3."/>
      <w:lvlJc w:val="right"/>
      <w:pPr>
        <w:ind w:left="2181" w:hanging="180"/>
      </w:pPr>
    </w:lvl>
    <w:lvl w:ilvl="3">
      <w:start w:val="1"/>
      <w:numFmt w:val="decimal"/>
      <w:lvlText w:val="%4."/>
      <w:lvlJc w:val="left"/>
      <w:pPr>
        <w:ind w:left="2901" w:hanging="360"/>
      </w:pPr>
    </w:lvl>
    <w:lvl w:ilvl="4">
      <w:start w:val="1"/>
      <w:numFmt w:val="lowerLetter"/>
      <w:lvlText w:val="%5."/>
      <w:lvlJc w:val="left"/>
      <w:pPr>
        <w:ind w:left="3621" w:hanging="360"/>
      </w:pPr>
    </w:lvl>
    <w:lvl w:ilvl="5">
      <w:start w:val="1"/>
      <w:numFmt w:val="lowerRoman"/>
      <w:lvlText w:val="%6."/>
      <w:lvlJc w:val="right"/>
      <w:pPr>
        <w:ind w:left="4341" w:hanging="180"/>
      </w:pPr>
    </w:lvl>
    <w:lvl w:ilvl="6">
      <w:start w:val="1"/>
      <w:numFmt w:val="decimal"/>
      <w:lvlText w:val="%7."/>
      <w:lvlJc w:val="left"/>
      <w:pPr>
        <w:ind w:left="5061" w:hanging="360"/>
      </w:pPr>
    </w:lvl>
    <w:lvl w:ilvl="7">
      <w:start w:val="1"/>
      <w:numFmt w:val="lowerLetter"/>
      <w:lvlText w:val="%8."/>
      <w:lvlJc w:val="left"/>
      <w:pPr>
        <w:ind w:left="5781" w:hanging="360"/>
      </w:pPr>
    </w:lvl>
    <w:lvl w:ilvl="8">
      <w:start w:val="1"/>
      <w:numFmt w:val="lowerRoman"/>
      <w:lvlText w:val="%9."/>
      <w:lvlJc w:val="right"/>
      <w:pPr>
        <w:ind w:left="6501" w:hanging="180"/>
      </w:pPr>
    </w:lvl>
  </w:abstractNum>
  <w:abstractNum w:abstractNumId="14" w15:restartNumberingAfterBreak="0">
    <w:nsid w:val="22265227"/>
    <w:multiLevelType w:val="hybridMultilevel"/>
    <w:tmpl w:val="0DF6ED50"/>
    <w:numStyleLink w:val="ImportedStyle2"/>
  </w:abstractNum>
  <w:abstractNum w:abstractNumId="15" w15:restartNumberingAfterBreak="0">
    <w:nsid w:val="24593587"/>
    <w:multiLevelType w:val="hybridMultilevel"/>
    <w:tmpl w:val="81E25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540FEC"/>
    <w:multiLevelType w:val="hybridMultilevel"/>
    <w:tmpl w:val="F38E4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BA818AE"/>
    <w:multiLevelType w:val="hybridMultilevel"/>
    <w:tmpl w:val="0DF6ED50"/>
    <w:styleLink w:val="ImportedStyle2"/>
    <w:lvl w:ilvl="0" w:tplc="D72EA14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68EF84">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81D8E">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74327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C82C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D6C546">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E87C9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4D48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56C7E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AF701C"/>
    <w:multiLevelType w:val="hybridMultilevel"/>
    <w:tmpl w:val="402078AC"/>
    <w:styleLink w:val="ImportedStyle4"/>
    <w:lvl w:ilvl="0" w:tplc="FC2828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A48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682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1658E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AA79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06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6E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CBB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B80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F9A0326"/>
    <w:multiLevelType w:val="hybridMultilevel"/>
    <w:tmpl w:val="402078AC"/>
    <w:numStyleLink w:val="ImportedStyle4"/>
  </w:abstractNum>
  <w:abstractNum w:abstractNumId="20" w15:restartNumberingAfterBreak="0">
    <w:nsid w:val="54807DAA"/>
    <w:multiLevelType w:val="hybridMultilevel"/>
    <w:tmpl w:val="861C3F8C"/>
    <w:styleLink w:val="ImportedStyle1"/>
    <w:lvl w:ilvl="0" w:tplc="7138E73E">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EC4270">
      <w:start w:val="1"/>
      <w:numFmt w:val="lowerLetter"/>
      <w:lvlText w:val="%2."/>
      <w:lvlJc w:val="left"/>
      <w:pPr>
        <w:ind w:left="1134" w:hanging="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0BFCC">
      <w:start w:val="1"/>
      <w:numFmt w:val="lowerRoman"/>
      <w:suff w:val="nothing"/>
      <w:lvlText w:val="%3."/>
      <w:lvlJc w:val="left"/>
      <w:pPr>
        <w:ind w:left="1701"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49450">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DEFE54">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09DF2">
      <w:start w:val="1"/>
      <w:numFmt w:val="lowerRoman"/>
      <w:lvlText w:val="%6."/>
      <w:lvlJc w:val="left"/>
      <w:pPr>
        <w:ind w:left="416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5A2AC8">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065E2A">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41768">
      <w:start w:val="1"/>
      <w:numFmt w:val="lowerRoman"/>
      <w:lvlText w:val="%9."/>
      <w:lvlJc w:val="left"/>
      <w:pPr>
        <w:ind w:left="6327" w:hanging="5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7EA73B6"/>
    <w:multiLevelType w:val="hybridMultilevel"/>
    <w:tmpl w:val="D5E6955A"/>
    <w:lvl w:ilvl="0" w:tplc="F6F6E5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66EAA"/>
    <w:multiLevelType w:val="hybridMultilevel"/>
    <w:tmpl w:val="6AAE090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642C2EE5"/>
    <w:multiLevelType w:val="hybridMultilevel"/>
    <w:tmpl w:val="100867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E1D51"/>
    <w:multiLevelType w:val="hybridMultilevel"/>
    <w:tmpl w:val="C9F45286"/>
    <w:lvl w:ilvl="0" w:tplc="997CAA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22"/>
  </w:num>
  <w:num w:numId="3">
    <w:abstractNumId w:val="23"/>
  </w:num>
  <w:num w:numId="4">
    <w:abstractNumId w:val="15"/>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0"/>
  </w:num>
  <w:num w:numId="17">
    <w:abstractNumId w:val="17"/>
  </w:num>
  <w:num w:numId="18">
    <w:abstractNumId w:val="14"/>
  </w:num>
  <w:num w:numId="19">
    <w:abstractNumId w:val="18"/>
  </w:num>
  <w:num w:numId="20">
    <w:abstractNumId w:val="19"/>
  </w:num>
  <w:num w:numId="21">
    <w:abstractNumId w:val="21"/>
  </w:num>
  <w:num w:numId="22">
    <w:abstractNumId w:val="12"/>
  </w:num>
  <w:num w:numId="23">
    <w:abstractNumId w:val="13"/>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350C2"/>
    <w:rsid w:val="00063016"/>
    <w:rsid w:val="00066795"/>
    <w:rsid w:val="00076AF6"/>
    <w:rsid w:val="00085CF2"/>
    <w:rsid w:val="000B1705"/>
    <w:rsid w:val="000D75B2"/>
    <w:rsid w:val="00107CF3"/>
    <w:rsid w:val="001121F5"/>
    <w:rsid w:val="0012602E"/>
    <w:rsid w:val="001400DC"/>
    <w:rsid w:val="00140CE1"/>
    <w:rsid w:val="0017539C"/>
    <w:rsid w:val="00175AC2"/>
    <w:rsid w:val="0017609F"/>
    <w:rsid w:val="00182367"/>
    <w:rsid w:val="001859E0"/>
    <w:rsid w:val="001C628E"/>
    <w:rsid w:val="001E0F7B"/>
    <w:rsid w:val="002119FD"/>
    <w:rsid w:val="002130E0"/>
    <w:rsid w:val="00216FC2"/>
    <w:rsid w:val="002270F5"/>
    <w:rsid w:val="0026276A"/>
    <w:rsid w:val="00264425"/>
    <w:rsid w:val="00265875"/>
    <w:rsid w:val="0027303B"/>
    <w:rsid w:val="0028109B"/>
    <w:rsid w:val="002A2188"/>
    <w:rsid w:val="002A4458"/>
    <w:rsid w:val="002B1F58"/>
    <w:rsid w:val="002C1C7A"/>
    <w:rsid w:val="0030160F"/>
    <w:rsid w:val="00322D0D"/>
    <w:rsid w:val="00356C95"/>
    <w:rsid w:val="003942D4"/>
    <w:rsid w:val="003958A8"/>
    <w:rsid w:val="003C2533"/>
    <w:rsid w:val="0040435A"/>
    <w:rsid w:val="00416A24"/>
    <w:rsid w:val="00431D9E"/>
    <w:rsid w:val="00433CE8"/>
    <w:rsid w:val="00434A5C"/>
    <w:rsid w:val="004544D9"/>
    <w:rsid w:val="00490E72"/>
    <w:rsid w:val="00491157"/>
    <w:rsid w:val="004921C8"/>
    <w:rsid w:val="004C5CCC"/>
    <w:rsid w:val="004D1851"/>
    <w:rsid w:val="004D599D"/>
    <w:rsid w:val="004E2EA5"/>
    <w:rsid w:val="004E3AEB"/>
    <w:rsid w:val="0050223C"/>
    <w:rsid w:val="00517BEC"/>
    <w:rsid w:val="005243FF"/>
    <w:rsid w:val="00562167"/>
    <w:rsid w:val="00564FBC"/>
    <w:rsid w:val="00582442"/>
    <w:rsid w:val="005A1BF1"/>
    <w:rsid w:val="005F3269"/>
    <w:rsid w:val="00623AE3"/>
    <w:rsid w:val="00624DFA"/>
    <w:rsid w:val="0064737F"/>
    <w:rsid w:val="006535F1"/>
    <w:rsid w:val="0065557D"/>
    <w:rsid w:val="00662984"/>
    <w:rsid w:val="006716BB"/>
    <w:rsid w:val="006B6680"/>
    <w:rsid w:val="006B6DCC"/>
    <w:rsid w:val="006C3442"/>
    <w:rsid w:val="00702DEF"/>
    <w:rsid w:val="00706861"/>
    <w:rsid w:val="0075051B"/>
    <w:rsid w:val="007772B8"/>
    <w:rsid w:val="00782891"/>
    <w:rsid w:val="00793188"/>
    <w:rsid w:val="00794D34"/>
    <w:rsid w:val="007B241D"/>
    <w:rsid w:val="00813E5E"/>
    <w:rsid w:val="00820459"/>
    <w:rsid w:val="0083581B"/>
    <w:rsid w:val="00864AFF"/>
    <w:rsid w:val="00876949"/>
    <w:rsid w:val="008A4506"/>
    <w:rsid w:val="008B4A6A"/>
    <w:rsid w:val="008C7E27"/>
    <w:rsid w:val="008F6C81"/>
    <w:rsid w:val="009173EF"/>
    <w:rsid w:val="00932906"/>
    <w:rsid w:val="00946ED3"/>
    <w:rsid w:val="00961B0B"/>
    <w:rsid w:val="009B38C3"/>
    <w:rsid w:val="009C2E4E"/>
    <w:rsid w:val="009E17BD"/>
    <w:rsid w:val="009E485A"/>
    <w:rsid w:val="00A04CEC"/>
    <w:rsid w:val="00A27F92"/>
    <w:rsid w:val="00A32257"/>
    <w:rsid w:val="00A34A18"/>
    <w:rsid w:val="00A36D20"/>
    <w:rsid w:val="00A55622"/>
    <w:rsid w:val="00A814BE"/>
    <w:rsid w:val="00A83502"/>
    <w:rsid w:val="00A9307F"/>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4BD2"/>
    <w:rsid w:val="00C374DE"/>
    <w:rsid w:val="00C47AD4"/>
    <w:rsid w:val="00C52D81"/>
    <w:rsid w:val="00C55198"/>
    <w:rsid w:val="00CA6393"/>
    <w:rsid w:val="00CB18FF"/>
    <w:rsid w:val="00CD0C08"/>
    <w:rsid w:val="00CE03FB"/>
    <w:rsid w:val="00CE433C"/>
    <w:rsid w:val="00CF33F3"/>
    <w:rsid w:val="00D04E39"/>
    <w:rsid w:val="00D06183"/>
    <w:rsid w:val="00D22C42"/>
    <w:rsid w:val="00D308FD"/>
    <w:rsid w:val="00D65041"/>
    <w:rsid w:val="00DB384B"/>
    <w:rsid w:val="00DF5883"/>
    <w:rsid w:val="00E10E80"/>
    <w:rsid w:val="00E124F0"/>
    <w:rsid w:val="00E33003"/>
    <w:rsid w:val="00E60F04"/>
    <w:rsid w:val="00E854E4"/>
    <w:rsid w:val="00EB0D6F"/>
    <w:rsid w:val="00EB2232"/>
    <w:rsid w:val="00EC5337"/>
    <w:rsid w:val="00EE2FE5"/>
    <w:rsid w:val="00F2150A"/>
    <w:rsid w:val="00F231D8"/>
    <w:rsid w:val="00F46C5F"/>
    <w:rsid w:val="00F6793B"/>
    <w:rsid w:val="00F76111"/>
    <w:rsid w:val="00F94A63"/>
    <w:rsid w:val="00FA1C28"/>
    <w:rsid w:val="00FA4575"/>
    <w:rsid w:val="00FB7596"/>
    <w:rsid w:val="00FD719B"/>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ne">
    <w:name w:val="None"/>
    <w:rsid w:val="00A34A18"/>
  </w:style>
  <w:style w:type="paragraph" w:customStyle="1" w:styleId="BodyA">
    <w:name w:val="Body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customStyle="1" w:styleId="BodyAA">
    <w:name w:val="Body A A"/>
    <w:rsid w:val="00A34A18"/>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paragraph" w:styleId="ListParagraph">
    <w:name w:val="List Paragraph"/>
    <w:basedOn w:val="Normal"/>
    <w:link w:val="ListParagraphChar"/>
    <w:uiPriority w:val="34"/>
    <w:qFormat/>
    <w:rsid w:val="00A34A18"/>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imes New Roman" w:eastAsiaTheme="minorHAnsi" w:hAnsi="Times New Roman"/>
      <w:szCs w:val="24"/>
      <w:lang w:val="en-US"/>
    </w:rPr>
  </w:style>
  <w:style w:type="paragraph" w:customStyle="1" w:styleId="Normal1">
    <w:name w:val="Normal1"/>
    <w:rsid w:val="00F76111"/>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numbering" w:customStyle="1" w:styleId="ImportedStyle1">
    <w:name w:val="Imported Style 1"/>
    <w:rsid w:val="00F76111"/>
    <w:pPr>
      <w:numPr>
        <w:numId w:val="15"/>
      </w:numPr>
    </w:pPr>
  </w:style>
  <w:style w:type="numbering" w:customStyle="1" w:styleId="ImportedStyle2">
    <w:name w:val="Imported Style 2"/>
    <w:rsid w:val="00F76111"/>
    <w:pPr>
      <w:numPr>
        <w:numId w:val="17"/>
      </w:numPr>
    </w:pPr>
  </w:style>
  <w:style w:type="numbering" w:customStyle="1" w:styleId="ImportedStyle4">
    <w:name w:val="Imported Style 4"/>
    <w:rsid w:val="00F76111"/>
    <w:pPr>
      <w:numPr>
        <w:numId w:val="19"/>
      </w:numPr>
    </w:pPr>
  </w:style>
  <w:style w:type="character" w:customStyle="1" w:styleId="CallChar">
    <w:name w:val="Call Char"/>
    <w:basedOn w:val="DefaultParagraphFont"/>
    <w:link w:val="Call"/>
    <w:rsid w:val="00DF5883"/>
    <w:rPr>
      <w:rFonts w:ascii="Calibri" w:hAnsi="Calibri"/>
      <w:i/>
      <w:sz w:val="24"/>
      <w:lang w:val="en-GB" w:eastAsia="en-US"/>
    </w:rPr>
  </w:style>
  <w:style w:type="character" w:customStyle="1" w:styleId="NormalaftertitleChar">
    <w:name w:val="Normal after title Char"/>
    <w:basedOn w:val="DefaultParagraphFont"/>
    <w:link w:val="Normalaftertitle"/>
    <w:rsid w:val="00A814BE"/>
    <w:rPr>
      <w:rFonts w:ascii="Calibri" w:hAnsi="Calibri"/>
      <w:sz w:val="24"/>
      <w:lang w:val="en-GB" w:eastAsia="en-US"/>
    </w:rPr>
  </w:style>
  <w:style w:type="character" w:customStyle="1" w:styleId="ListParagraphChar">
    <w:name w:val="List Paragraph Char"/>
    <w:link w:val="ListParagraph"/>
    <w:uiPriority w:val="34"/>
    <w:rsid w:val="00A814BE"/>
    <w:rPr>
      <w:rFonts w:ascii="Times New Roman" w:eastAsiaTheme="minorHAnsi" w:hAnsi="Times New Roman"/>
      <w:sz w:val="24"/>
      <w:szCs w:val="24"/>
      <w:lang w:eastAsia="en-US"/>
    </w:rPr>
  </w:style>
  <w:style w:type="table" w:styleId="TableGrid">
    <w:name w:val="Table Grid"/>
    <w:basedOn w:val="TableNormal"/>
    <w:rsid w:val="00A8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5-CL-C-0109/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179-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ITU-T/recommendations/rec.aspx?rec=136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ITU-T/recommendations/rec.aspx?rec=1368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WTDC/WTDC17/Documents/WTDC17_final_report_en.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6251-995D-4B29-85F0-F2685E0E47D2}">
  <ds:schemaRefs>
    <ds:schemaRef ds:uri="1aaea1ea-72e4-4374-b05e-72e2f16fb7ae"/>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3.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9D43D7-D0F9-47E0-A1C9-4209D7E0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Contribution from the USA - Topics CWG-Internet</vt:lpstr>
    </vt:vector>
  </TitlesOfParts>
  <Manager>General Secretariat - Pool</Manager>
  <Company>International Telecommunication Union (ITU)</Company>
  <LinksUpToDate>false</LinksUpToDate>
  <CharactersWithSpaces>4464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USA - Topics CWG-Internet</dc:title>
  <dc:subject>Council 2019</dc:subject>
  <dc:creator>Brouard, Ricarda</dc:creator>
  <cp:keywords>C2019, C19</cp:keywords>
  <dc:description/>
  <cp:lastModifiedBy>Janin, Patricia</cp:lastModifiedBy>
  <cp:revision>3</cp:revision>
  <cp:lastPrinted>2000-07-18T13:30:00Z</cp:lastPrinted>
  <dcterms:created xsi:type="dcterms:W3CDTF">2019-05-28T14:22:00Z</dcterms:created>
  <dcterms:modified xsi:type="dcterms:W3CDTF">2019-05-28T14:22:00Z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