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E6FA0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4C37D3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BE6FA0">
              <w:rPr>
                <w:b/>
              </w:rPr>
              <w:t>5</w:t>
            </w:r>
          </w:p>
        </w:tc>
        <w:tc>
          <w:tcPr>
            <w:tcW w:w="3120" w:type="dxa"/>
          </w:tcPr>
          <w:p w:rsidR="00700D1F" w:rsidRPr="00700D1F" w:rsidRDefault="00700D1F" w:rsidP="00BE6FA0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97217">
              <w:rPr>
                <w:b/>
                <w:bCs/>
                <w:szCs w:val="24"/>
                <w:lang w:eastAsia="zh-CN"/>
              </w:rPr>
              <w:t>10</w:t>
            </w:r>
            <w:r w:rsidR="00BE6FA0">
              <w:rPr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9721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9721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2F1823" w:rsidP="002F1823">
            <w:pPr>
              <w:pStyle w:val="Source"/>
              <w:rPr>
                <w:lang w:eastAsia="zh-CN"/>
              </w:rPr>
            </w:pPr>
            <w:bookmarkStart w:id="2" w:name="lt_pId010"/>
            <w:proofErr w:type="spellStart"/>
            <w:r>
              <w:t>秘书长的说明</w:t>
            </w:r>
            <w:bookmarkEnd w:id="2"/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2F1823" w:rsidP="00C627ED">
            <w:pPr>
              <w:pStyle w:val="Title1"/>
              <w:rPr>
                <w:bCs/>
                <w:lang w:eastAsia="zh-CN"/>
              </w:rPr>
            </w:pPr>
            <w:bookmarkStart w:id="3" w:name="lt_pId011"/>
            <w:r>
              <w:rPr>
                <w:szCs w:val="28"/>
                <w:lang w:eastAsia="zh-CN"/>
              </w:rPr>
              <w:t>阿拉伯联合酋长国和沙特阿拉伯王国的文稿</w:t>
            </w:r>
            <w:bookmarkEnd w:id="3"/>
          </w:p>
        </w:tc>
      </w:tr>
      <w:tr w:rsidR="00C627ED">
        <w:trPr>
          <w:cantSplit/>
        </w:trPr>
        <w:tc>
          <w:tcPr>
            <w:tcW w:w="10031" w:type="dxa"/>
          </w:tcPr>
          <w:p w:rsidR="00C627ED" w:rsidRDefault="00C627ED" w:rsidP="002F1823">
            <w:pPr>
              <w:pStyle w:val="Title1"/>
              <w:rPr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更新保护上网儿童导则</w:t>
            </w:r>
          </w:p>
        </w:tc>
      </w:tr>
    </w:tbl>
    <w:p w:rsidR="00D97217" w:rsidRDefault="00D97217" w:rsidP="00D97217">
      <w:pPr>
        <w:rPr>
          <w:lang w:eastAsia="zh-CN"/>
        </w:rPr>
      </w:pPr>
    </w:p>
    <w:p w:rsidR="00D97217" w:rsidRDefault="002A3D35" w:rsidP="00C627ED">
      <w:pPr>
        <w:ind w:firstLineChars="200" w:firstLine="480"/>
        <w:rPr>
          <w:lang w:eastAsia="zh-CN"/>
        </w:rPr>
      </w:pPr>
      <w:bookmarkStart w:id="4" w:name="lt_pId013"/>
      <w:r>
        <w:rPr>
          <w:color w:val="000000"/>
          <w:lang w:eastAsia="zh-CN"/>
        </w:rPr>
        <w:t>我谨荣幸地向各理事国转</w:t>
      </w:r>
      <w:r>
        <w:rPr>
          <w:rFonts w:ascii="SimSun" w:hAnsi="SimSun" w:cs="SimSun" w:hint="eastAsia"/>
          <w:color w:val="000000"/>
          <w:lang w:eastAsia="zh-CN"/>
        </w:rPr>
        <w:t>呈</w:t>
      </w:r>
      <w:r>
        <w:rPr>
          <w:szCs w:val="28"/>
          <w:lang w:eastAsia="zh-CN"/>
        </w:rPr>
        <w:t>阿拉伯联合酋长国和沙特阿拉伯王国</w:t>
      </w:r>
      <w:r w:rsidR="00BE6FA0">
        <w:rPr>
          <w:szCs w:val="28"/>
          <w:lang w:eastAsia="zh-CN"/>
        </w:rPr>
        <w:t>提交</w:t>
      </w:r>
      <w:r>
        <w:rPr>
          <w:szCs w:val="28"/>
          <w:lang w:eastAsia="zh-CN"/>
        </w:rPr>
        <w:t>的一份文稿。</w:t>
      </w:r>
      <w:bookmarkEnd w:id="4"/>
    </w:p>
    <w:p w:rsidR="00D97217" w:rsidRPr="00721277" w:rsidRDefault="00D97217" w:rsidP="00D97217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pacing w:before="1080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秘书长</w:t>
      </w:r>
    </w:p>
    <w:p w:rsidR="00D97217" w:rsidRPr="00813E5E" w:rsidRDefault="00D97217" w:rsidP="00D97217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pacing w:before="0"/>
        <w:rPr>
          <w:lang w:eastAsia="zh-CN"/>
        </w:rPr>
      </w:pPr>
      <w:r w:rsidRPr="00721277">
        <w:rPr>
          <w:lang w:eastAsia="zh-CN"/>
        </w:rPr>
        <w:tab/>
      </w:r>
      <w:r w:rsidRPr="00F97A5C">
        <w:rPr>
          <w:rFonts w:asciiTheme="majorBidi" w:hAnsiTheme="majorBidi" w:cstheme="majorBidi"/>
          <w:lang w:eastAsia="zh-CN"/>
        </w:rPr>
        <w:t>赵厚麟</w:t>
      </w:r>
    </w:p>
    <w:p w:rsidR="00D97217" w:rsidRDefault="00D97217" w:rsidP="00D97217">
      <w:pPr>
        <w:rPr>
          <w:lang w:eastAsia="zh-CN"/>
        </w:rPr>
      </w:pPr>
    </w:p>
    <w:p w:rsidR="00E378D8" w:rsidRPr="00D97217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D97217">
        <w:rPr>
          <w:lang w:eastAsia="zh-CN"/>
        </w:rPr>
        <w:br w:type="page"/>
      </w:r>
    </w:p>
    <w:p w:rsidR="00D97217" w:rsidRPr="00721277" w:rsidRDefault="000E1C96" w:rsidP="00D97217">
      <w:pPr>
        <w:pStyle w:val="Source"/>
        <w:rPr>
          <w:highlight w:val="lightGray"/>
          <w:lang w:eastAsia="zh-CN"/>
        </w:rPr>
      </w:pPr>
      <w:r>
        <w:rPr>
          <w:szCs w:val="28"/>
          <w:lang w:eastAsia="zh-CN"/>
        </w:rPr>
        <w:lastRenderedPageBreak/>
        <w:t>阿拉伯联合酋长国和沙特阿拉伯王国的文稿</w:t>
      </w:r>
    </w:p>
    <w:p w:rsidR="00D97217" w:rsidRPr="00721277" w:rsidRDefault="006121E0" w:rsidP="00C627ED">
      <w:pPr>
        <w:pStyle w:val="Title2"/>
        <w:spacing w:after="240"/>
        <w:rPr>
          <w:highlight w:val="lightGray"/>
          <w:lang w:eastAsia="zh-CN"/>
        </w:rPr>
      </w:pPr>
      <w:r w:rsidRPr="00C627ED">
        <w:rPr>
          <w:lang w:eastAsia="zh-CN"/>
        </w:rPr>
        <w:t>更新保护上网儿童导则</w:t>
      </w:r>
    </w:p>
    <w:tbl>
      <w:tblPr>
        <w:tblW w:w="8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97217" w:rsidTr="00A84BDA">
        <w:trPr>
          <w:trHeight w:val="3360"/>
          <w:jc w:val="center"/>
        </w:trPr>
        <w:tc>
          <w:tcPr>
            <w:tcW w:w="8080" w:type="dxa"/>
          </w:tcPr>
          <w:p w:rsidR="00D97217" w:rsidRPr="00721277" w:rsidRDefault="00D97217" w:rsidP="00C627ED">
            <w:pPr>
              <w:pStyle w:val="Headingb"/>
              <w:rPr>
                <w:color w:val="000000"/>
                <w:lang w:eastAsia="zh-CN"/>
              </w:rPr>
            </w:pPr>
            <w:r>
              <w:rPr>
                <w:rFonts w:hint="eastAsia"/>
                <w:lang w:val="fr-FR" w:eastAsia="zh-CN"/>
              </w:rPr>
              <w:t>摘要</w:t>
            </w:r>
          </w:p>
          <w:p w:rsidR="00D97217" w:rsidRPr="00721277" w:rsidRDefault="000E1C96" w:rsidP="00C627ED">
            <w:pPr>
              <w:spacing w:after="120"/>
              <w:ind w:firstLineChars="200" w:firstLine="480"/>
              <w:rPr>
                <w:rFonts w:cs="Calibri"/>
                <w:b/>
                <w:color w:val="800000"/>
                <w:sz w:val="22"/>
                <w:lang w:eastAsia="zh-CN"/>
              </w:rPr>
            </w:pPr>
            <w:bookmarkStart w:id="5" w:name="lt_pId019"/>
            <w:r>
              <w:rPr>
                <w:lang w:eastAsia="zh-CN"/>
              </w:rPr>
              <w:t>本文件</w:t>
            </w:r>
            <w:r w:rsidR="006121E0">
              <w:rPr>
                <w:lang w:eastAsia="zh-CN"/>
              </w:rPr>
              <w:t>概述</w:t>
            </w:r>
            <w:r>
              <w:rPr>
                <w:lang w:eastAsia="zh-CN"/>
              </w:rPr>
              <w:t>了</w:t>
            </w:r>
            <w:r w:rsidR="006121E0">
              <w:rPr>
                <w:lang w:eastAsia="zh-CN"/>
              </w:rPr>
              <w:t>国际电联在保护上网儿童方面开展的工作，其中包括多年前制定的导则及保护听力举措</w:t>
            </w:r>
            <w:r>
              <w:rPr>
                <w:lang w:eastAsia="zh-CN"/>
              </w:rPr>
              <w:t>。</w:t>
            </w:r>
            <w:bookmarkEnd w:id="5"/>
            <w:r w:rsidR="00D97217" w:rsidRPr="00721277">
              <w:rPr>
                <w:rFonts w:cs="Calibri"/>
                <w:b/>
                <w:color w:val="800000"/>
                <w:sz w:val="22"/>
                <w:lang w:eastAsia="zh-CN"/>
              </w:rPr>
              <w:t xml:space="preserve"> </w:t>
            </w:r>
          </w:p>
          <w:p w:rsidR="00D97217" w:rsidRPr="00721277" w:rsidRDefault="00D97217" w:rsidP="00C627ED">
            <w:pPr>
              <w:pStyle w:val="Headingb"/>
              <w:rPr>
                <w:rFonts w:cs="Calibri"/>
                <w:color w:val="800000"/>
                <w:sz w:val="22"/>
                <w:highlight w:val="green"/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D97217" w:rsidRPr="00721277" w:rsidRDefault="0035738F" w:rsidP="00C627ED">
            <w:pPr>
              <w:spacing w:after="120"/>
              <w:ind w:left="34" w:firstLineChars="200" w:firstLine="480"/>
              <w:rPr>
                <w:highlight w:val="green"/>
                <w:lang w:eastAsia="zh-CN"/>
              </w:rPr>
            </w:pPr>
            <w:r>
              <w:rPr>
                <w:szCs w:val="24"/>
                <w:lang w:eastAsia="zh-CN"/>
              </w:rPr>
              <w:t>请电信发展局更新该导则，纳入与</w:t>
            </w:r>
            <w:r>
              <w:rPr>
                <w:szCs w:val="24"/>
                <w:lang w:eastAsia="zh-CN"/>
              </w:rPr>
              <w:t>“</w:t>
            </w:r>
            <w:r>
              <w:rPr>
                <w:szCs w:val="24"/>
                <w:lang w:eastAsia="zh-CN"/>
              </w:rPr>
              <w:t>保护听力</w:t>
            </w:r>
            <w:r>
              <w:rPr>
                <w:szCs w:val="24"/>
                <w:lang w:eastAsia="zh-CN"/>
              </w:rPr>
              <w:t>”</w:t>
            </w:r>
            <w:r>
              <w:rPr>
                <w:szCs w:val="24"/>
                <w:lang w:eastAsia="zh-CN"/>
              </w:rPr>
              <w:t>问题等新技术有关的问题</w:t>
            </w:r>
            <w:r w:rsidR="00D97217">
              <w:rPr>
                <w:szCs w:val="24"/>
                <w:lang w:val="fr-FR" w:eastAsia="zh-CN"/>
              </w:rPr>
              <w:t>。</w:t>
            </w:r>
          </w:p>
          <w:p w:rsidR="00D97217" w:rsidRPr="00721277" w:rsidRDefault="00D97217" w:rsidP="00A8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eastAsia="zh-CN"/>
              </w:rPr>
            </w:pPr>
            <w:r w:rsidRPr="00721277">
              <w:rPr>
                <w:color w:val="000000"/>
                <w:lang w:eastAsia="zh-CN"/>
              </w:rPr>
              <w:t>____________</w:t>
            </w:r>
          </w:p>
          <w:p w:rsidR="00D97217" w:rsidRDefault="0035738F" w:rsidP="0035738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67" w:hanging="567"/>
              <w:jc w:val="both"/>
              <w:rPr>
                <w:b/>
                <w:color w:val="000000"/>
                <w:lang w:eastAsia="zh-CN"/>
              </w:rPr>
            </w:pPr>
            <w:bookmarkStart w:id="6" w:name="lt_pId023"/>
            <w:r>
              <w:rPr>
                <w:b/>
                <w:color w:val="000000"/>
                <w:lang w:eastAsia="zh-CN"/>
              </w:rPr>
              <w:t>参考文件</w:t>
            </w:r>
            <w:bookmarkEnd w:id="6"/>
          </w:p>
          <w:bookmarkStart w:id="7" w:name="lt_pId024"/>
          <w:p w:rsidR="00D97217" w:rsidRPr="00C627ED" w:rsidRDefault="0035738F" w:rsidP="00C627ED">
            <w:pPr>
              <w:spacing w:after="120"/>
              <w:jc w:val="both"/>
              <w:rPr>
                <w:rFonts w:ascii="STKaiti" w:eastAsia="STKaiti" w:hAnsi="STKaiti"/>
                <w:color w:val="0000FF"/>
                <w:sz w:val="22"/>
                <w:szCs w:val="22"/>
                <w:lang w:eastAsia="zh-CN"/>
              </w:rPr>
            </w:pPr>
            <w:r w:rsidRPr="00C627ED">
              <w:rPr>
                <w:rFonts w:ascii="STKaiti" w:eastAsia="STKaiti" w:hAnsi="STKaiti"/>
              </w:rPr>
              <w:fldChar w:fldCharType="begin"/>
            </w:r>
            <w:r w:rsidR="004B41A0">
              <w:rPr>
                <w:rFonts w:ascii="STKaiti" w:eastAsia="STKaiti" w:hAnsi="STKaiti"/>
                <w:lang w:eastAsia="zh-CN"/>
              </w:rPr>
              <w:instrText>HYPERLINK "https://www.itu.int/en/council/Documents/basic-texts/RES-179-C.pdf"</w:instrText>
            </w:r>
            <w:r w:rsidR="004B41A0" w:rsidRPr="00C627ED">
              <w:rPr>
                <w:rFonts w:ascii="STKaiti" w:eastAsia="STKaiti" w:hAnsi="STKaiti"/>
              </w:rPr>
            </w:r>
            <w:r w:rsidRPr="00C627ED">
              <w:rPr>
                <w:rFonts w:ascii="STKaiti" w:eastAsia="STKaiti" w:hAnsi="STKaiti"/>
              </w:rPr>
              <w:fldChar w:fldCharType="separate"/>
            </w:r>
            <w:r w:rsidRPr="00C627ED">
              <w:rPr>
                <w:rStyle w:val="Hyperlink"/>
                <w:rFonts w:ascii="STKaiti" w:eastAsia="STKaiti" w:hAnsi="STKaiti"/>
                <w:lang w:eastAsia="zh-CN"/>
              </w:rPr>
              <w:t>第179号决议（2018年，迪拜，修订版）</w:t>
            </w:r>
            <w:r w:rsidRPr="00C627ED">
              <w:rPr>
                <w:rFonts w:ascii="STKaiti" w:eastAsia="STKaiti" w:hAnsi="STKaiti"/>
              </w:rPr>
              <w:fldChar w:fldCharType="end"/>
            </w:r>
            <w:bookmarkStart w:id="8" w:name="_GoBack"/>
            <w:bookmarkEnd w:id="8"/>
            <w:r w:rsidRPr="00C627ED">
              <w:rPr>
                <w:rFonts w:ascii="STKaiti" w:eastAsia="STKaiti" w:hAnsi="STKaiti"/>
                <w:lang w:eastAsia="zh-CN"/>
              </w:rPr>
              <w:t>、</w:t>
            </w:r>
            <w:hyperlink r:id="rId9" w:history="1">
              <w:r w:rsidRPr="00C627ED">
                <w:rPr>
                  <w:rStyle w:val="Hyperlink"/>
                  <w:rFonts w:ascii="STKaiti" w:eastAsia="STKaiti" w:hAnsi="STKaiti"/>
                  <w:lang w:eastAsia="zh-CN"/>
                </w:rPr>
                <w:t>理事会第1306号决议（2015年修订版）</w:t>
              </w:r>
            </w:hyperlink>
            <w:r w:rsidRPr="00C627ED">
              <w:rPr>
                <w:rFonts w:ascii="STKaiti" w:eastAsia="STKaiti" w:hAnsi="STKaiti"/>
                <w:lang w:eastAsia="zh-CN"/>
              </w:rPr>
              <w:t>及</w:t>
            </w:r>
            <w:hyperlink r:id="rId10" w:history="1">
              <w:r w:rsidRPr="00C627ED">
                <w:rPr>
                  <w:rStyle w:val="Hyperlink"/>
                  <w:rFonts w:ascii="STKaiti" w:eastAsia="STKaiti" w:hAnsi="STKaiti"/>
                  <w:lang w:eastAsia="zh-CN"/>
                </w:rPr>
                <w:t>世界电信发展大会第67号决议（2017年，布宜诺斯艾利斯，修订版）</w:t>
              </w:r>
            </w:hyperlink>
            <w:r w:rsidRPr="00C627ED">
              <w:rPr>
                <w:rFonts w:ascii="STKaiti" w:eastAsia="STKaiti" w:hAnsi="STKaiti"/>
                <w:lang w:eastAsia="zh-CN"/>
              </w:rPr>
              <w:t>、</w:t>
            </w:r>
            <w:hyperlink r:id="rId11" w:history="1">
              <w:r w:rsidRPr="00C627ED">
                <w:rPr>
                  <w:rStyle w:val="Hyperlink"/>
                  <w:rFonts w:ascii="STKaiti" w:eastAsia="STKaiti" w:hAnsi="STKaiti"/>
                  <w:lang w:eastAsia="zh-CN"/>
                </w:rPr>
                <w:t>ITU-T H.870</w:t>
              </w:r>
            </w:hyperlink>
            <w:bookmarkEnd w:id="7"/>
            <w:r w:rsidR="00C627ED">
              <w:rPr>
                <w:rStyle w:val="Hyperlink"/>
                <w:rFonts w:ascii="STKaiti" w:eastAsia="STKaiti" w:hAnsi="STKaiti" w:hint="eastAsia"/>
                <w:lang w:eastAsia="zh-CN"/>
              </w:rPr>
              <w:t>建议书</w:t>
            </w:r>
          </w:p>
        </w:tc>
      </w:tr>
    </w:tbl>
    <w:p w:rsidR="00D97217" w:rsidRDefault="006838D0" w:rsidP="00C627ED">
      <w:pPr>
        <w:pStyle w:val="Headingb"/>
        <w:rPr>
          <w:lang w:eastAsia="zh-CN"/>
        </w:rPr>
      </w:pPr>
      <w:bookmarkStart w:id="9" w:name="lt_pId026"/>
      <w:r>
        <w:rPr>
          <w:lang w:eastAsia="zh-CN"/>
        </w:rPr>
        <w:t>引言</w:t>
      </w:r>
      <w:bookmarkEnd w:id="9"/>
    </w:p>
    <w:p w:rsidR="00D97217" w:rsidRDefault="006838D0" w:rsidP="00C627ED">
      <w:pPr>
        <w:spacing w:after="120"/>
        <w:ind w:firstLineChars="200" w:firstLine="480"/>
        <w:jc w:val="both"/>
        <w:rPr>
          <w:lang w:eastAsia="zh-CN"/>
        </w:rPr>
      </w:pPr>
      <w:r w:rsidRPr="006838D0">
        <w:rPr>
          <w:rFonts w:cstheme="minorHAnsi" w:hint="eastAsia"/>
          <w:szCs w:val="24"/>
          <w:lang w:eastAsia="zh-CN"/>
        </w:rPr>
        <w:t>国际电联在保护</w:t>
      </w:r>
      <w:r w:rsidR="00733C9D">
        <w:rPr>
          <w:rFonts w:cstheme="minorHAnsi" w:hint="eastAsia"/>
          <w:szCs w:val="24"/>
          <w:lang w:eastAsia="zh-CN"/>
        </w:rPr>
        <w:t>上网</w:t>
      </w:r>
      <w:r w:rsidRPr="006838D0">
        <w:rPr>
          <w:rFonts w:cstheme="minorHAnsi" w:hint="eastAsia"/>
          <w:szCs w:val="24"/>
          <w:lang w:eastAsia="zh-CN"/>
        </w:rPr>
        <w:t>儿童方面发挥着关键作用。</w:t>
      </w:r>
      <w:r w:rsidR="00733C9D">
        <w:rPr>
          <w:rFonts w:cstheme="minorHAnsi" w:hint="eastAsia"/>
          <w:szCs w:val="24"/>
          <w:lang w:eastAsia="zh-CN"/>
        </w:rPr>
        <w:t>全权代表大会</w:t>
      </w:r>
      <w:r w:rsidR="00733C9D" w:rsidRPr="00733C9D">
        <w:rPr>
          <w:lang w:eastAsia="zh-CN"/>
        </w:rPr>
        <w:t>第</w:t>
      </w:r>
      <w:r w:rsidR="00733C9D" w:rsidRPr="00733C9D">
        <w:rPr>
          <w:lang w:eastAsia="zh-CN"/>
        </w:rPr>
        <w:t>179</w:t>
      </w:r>
      <w:r w:rsidR="00733C9D" w:rsidRPr="00733C9D">
        <w:rPr>
          <w:lang w:eastAsia="zh-CN"/>
        </w:rPr>
        <w:t>号决议（</w:t>
      </w:r>
      <w:r w:rsidR="00733C9D" w:rsidRPr="00733C9D">
        <w:rPr>
          <w:lang w:eastAsia="zh-CN"/>
        </w:rPr>
        <w:t>2018</w:t>
      </w:r>
      <w:r w:rsidR="00733C9D" w:rsidRPr="00733C9D">
        <w:rPr>
          <w:lang w:eastAsia="zh-CN"/>
        </w:rPr>
        <w:t>年，迪拜，修订版）</w:t>
      </w:r>
      <w:r w:rsidR="00733C9D">
        <w:rPr>
          <w:lang w:eastAsia="zh-CN"/>
        </w:rPr>
        <w:t>、</w:t>
      </w:r>
      <w:r w:rsidR="00733C9D" w:rsidRPr="00733C9D">
        <w:rPr>
          <w:rFonts w:cstheme="minorHAnsi"/>
          <w:szCs w:val="24"/>
          <w:lang w:eastAsia="zh-CN"/>
        </w:rPr>
        <w:t>理事会第</w:t>
      </w:r>
      <w:r w:rsidR="00733C9D" w:rsidRPr="00733C9D">
        <w:rPr>
          <w:rFonts w:cstheme="minorHAnsi"/>
          <w:szCs w:val="24"/>
          <w:lang w:eastAsia="zh-CN"/>
        </w:rPr>
        <w:t>1306</w:t>
      </w:r>
      <w:r w:rsidR="00733C9D" w:rsidRPr="00733C9D">
        <w:rPr>
          <w:rFonts w:cstheme="minorHAnsi"/>
          <w:szCs w:val="24"/>
          <w:lang w:eastAsia="zh-CN"/>
        </w:rPr>
        <w:t>号决议（</w:t>
      </w:r>
      <w:r w:rsidR="00733C9D" w:rsidRPr="00733C9D">
        <w:rPr>
          <w:rFonts w:cstheme="minorHAnsi"/>
          <w:szCs w:val="24"/>
          <w:lang w:eastAsia="zh-CN"/>
        </w:rPr>
        <w:t>2015</w:t>
      </w:r>
      <w:r w:rsidR="00733C9D" w:rsidRPr="00733C9D">
        <w:rPr>
          <w:rFonts w:cstheme="minorHAnsi"/>
          <w:szCs w:val="24"/>
          <w:lang w:eastAsia="zh-CN"/>
        </w:rPr>
        <w:t>年修订版）及世界电信发展大会第</w:t>
      </w:r>
      <w:r w:rsidR="00733C9D" w:rsidRPr="00733C9D">
        <w:rPr>
          <w:rFonts w:cstheme="minorHAnsi"/>
          <w:szCs w:val="24"/>
          <w:lang w:eastAsia="zh-CN"/>
        </w:rPr>
        <w:t>67</w:t>
      </w:r>
      <w:r w:rsidR="00733C9D" w:rsidRPr="00733C9D">
        <w:rPr>
          <w:rFonts w:cstheme="minorHAnsi"/>
          <w:szCs w:val="24"/>
          <w:lang w:eastAsia="zh-CN"/>
        </w:rPr>
        <w:t>号决议（</w:t>
      </w:r>
      <w:r w:rsidR="00733C9D" w:rsidRPr="00733C9D">
        <w:rPr>
          <w:rFonts w:cstheme="minorHAnsi"/>
          <w:szCs w:val="24"/>
          <w:lang w:eastAsia="zh-CN"/>
        </w:rPr>
        <w:t>2017</w:t>
      </w:r>
      <w:r w:rsidR="00733C9D" w:rsidRPr="00733C9D">
        <w:rPr>
          <w:rFonts w:cstheme="minorHAnsi"/>
          <w:szCs w:val="24"/>
          <w:lang w:eastAsia="zh-CN"/>
        </w:rPr>
        <w:t>年，布宜诺斯艾利斯，修订版）</w:t>
      </w:r>
      <w:r w:rsidRPr="006838D0">
        <w:rPr>
          <w:rFonts w:cstheme="minorHAnsi" w:hint="eastAsia"/>
          <w:szCs w:val="24"/>
          <w:lang w:eastAsia="zh-CN"/>
        </w:rPr>
        <w:t>清楚地表明，国际电联致力于保护儿童</w:t>
      </w:r>
      <w:r w:rsidR="00733C9D">
        <w:rPr>
          <w:rFonts w:cstheme="minorHAnsi" w:hint="eastAsia"/>
          <w:szCs w:val="24"/>
          <w:lang w:eastAsia="zh-CN"/>
        </w:rPr>
        <w:t>在</w:t>
      </w:r>
      <w:r w:rsidR="00733C9D" w:rsidRPr="006838D0">
        <w:rPr>
          <w:rFonts w:cstheme="minorHAnsi" w:hint="eastAsia"/>
          <w:szCs w:val="24"/>
          <w:lang w:eastAsia="zh-CN"/>
        </w:rPr>
        <w:t>使用</w:t>
      </w:r>
      <w:r w:rsidR="00733C9D">
        <w:rPr>
          <w:rFonts w:cstheme="minorHAnsi" w:hint="eastAsia"/>
          <w:szCs w:val="24"/>
          <w:lang w:eastAsia="zh-CN"/>
        </w:rPr>
        <w:t>信息通信</w:t>
      </w:r>
      <w:r w:rsidR="00733C9D" w:rsidRPr="006838D0">
        <w:rPr>
          <w:rFonts w:cstheme="minorHAnsi" w:hint="eastAsia"/>
          <w:szCs w:val="24"/>
          <w:lang w:eastAsia="zh-CN"/>
        </w:rPr>
        <w:t>技术</w:t>
      </w:r>
      <w:r w:rsidR="00733C9D">
        <w:rPr>
          <w:rFonts w:cstheme="minorHAnsi" w:hint="eastAsia"/>
          <w:szCs w:val="24"/>
          <w:lang w:eastAsia="zh-CN"/>
        </w:rPr>
        <w:t>时</w:t>
      </w:r>
      <w:r w:rsidRPr="006838D0">
        <w:rPr>
          <w:rFonts w:cstheme="minorHAnsi" w:hint="eastAsia"/>
          <w:szCs w:val="24"/>
          <w:lang w:eastAsia="zh-CN"/>
        </w:rPr>
        <w:t>免受相关风险</w:t>
      </w:r>
      <w:r w:rsidR="00733C9D">
        <w:rPr>
          <w:rFonts w:cstheme="minorHAnsi" w:hint="eastAsia"/>
          <w:szCs w:val="24"/>
          <w:lang w:eastAsia="zh-CN"/>
        </w:rPr>
        <w:t>的影响</w:t>
      </w:r>
      <w:r w:rsidRPr="006838D0">
        <w:rPr>
          <w:rFonts w:cstheme="minorHAnsi" w:hint="eastAsia"/>
          <w:szCs w:val="24"/>
          <w:lang w:eastAsia="zh-CN"/>
        </w:rPr>
        <w:t>。国际电联于</w:t>
      </w:r>
      <w:r w:rsidRPr="006838D0">
        <w:rPr>
          <w:rFonts w:cstheme="minorHAnsi" w:hint="eastAsia"/>
          <w:szCs w:val="24"/>
          <w:lang w:eastAsia="zh-CN"/>
        </w:rPr>
        <w:t>2008</w:t>
      </w:r>
      <w:r w:rsidRPr="006838D0">
        <w:rPr>
          <w:rFonts w:cstheme="minorHAnsi" w:hint="eastAsia"/>
          <w:szCs w:val="24"/>
          <w:lang w:eastAsia="zh-CN"/>
        </w:rPr>
        <w:t>年发起了</w:t>
      </w:r>
      <w:r w:rsidR="00733C9D" w:rsidRPr="006838D0">
        <w:rPr>
          <w:rFonts w:cstheme="minorHAnsi" w:hint="eastAsia"/>
          <w:szCs w:val="24"/>
          <w:lang w:eastAsia="zh-CN"/>
        </w:rPr>
        <w:t>保护</w:t>
      </w:r>
      <w:r w:rsidR="00733C9D">
        <w:rPr>
          <w:rFonts w:cstheme="minorHAnsi" w:hint="eastAsia"/>
          <w:szCs w:val="24"/>
          <w:lang w:eastAsia="zh-CN"/>
        </w:rPr>
        <w:t>上网</w:t>
      </w:r>
      <w:r w:rsidRPr="006838D0">
        <w:rPr>
          <w:rFonts w:cstheme="minorHAnsi" w:hint="eastAsia"/>
          <w:szCs w:val="24"/>
          <w:lang w:eastAsia="zh-CN"/>
        </w:rPr>
        <w:t>儿童</w:t>
      </w:r>
      <w:r w:rsidR="00733C9D">
        <w:rPr>
          <w:rFonts w:cstheme="minorHAnsi" w:hint="eastAsia"/>
          <w:szCs w:val="24"/>
          <w:lang w:eastAsia="zh-CN"/>
        </w:rPr>
        <w:t>举措</w:t>
      </w:r>
      <w:r w:rsidRPr="006838D0">
        <w:rPr>
          <w:rFonts w:cstheme="minorHAnsi" w:hint="eastAsia"/>
          <w:szCs w:val="24"/>
          <w:lang w:eastAsia="zh-CN"/>
        </w:rPr>
        <w:t>，</w:t>
      </w:r>
      <w:r w:rsidR="00733C9D">
        <w:rPr>
          <w:rFonts w:cstheme="minorHAnsi" w:hint="eastAsia"/>
          <w:szCs w:val="24"/>
          <w:lang w:eastAsia="zh-CN"/>
        </w:rPr>
        <w:t>聚集</w:t>
      </w:r>
      <w:r w:rsidRPr="006838D0">
        <w:rPr>
          <w:rFonts w:cstheme="minorHAnsi" w:hint="eastAsia"/>
          <w:szCs w:val="24"/>
          <w:lang w:eastAsia="zh-CN"/>
        </w:rPr>
        <w:t>来自全球</w:t>
      </w:r>
      <w:r w:rsidR="00733C9D">
        <w:rPr>
          <w:rFonts w:cstheme="minorHAnsi" w:hint="eastAsia"/>
          <w:szCs w:val="24"/>
          <w:lang w:eastAsia="zh-CN"/>
        </w:rPr>
        <w:t>各地</w:t>
      </w:r>
      <w:r w:rsidRPr="006838D0">
        <w:rPr>
          <w:rFonts w:cstheme="minorHAnsi" w:hint="eastAsia"/>
          <w:szCs w:val="24"/>
          <w:lang w:eastAsia="zh-CN"/>
        </w:rPr>
        <w:t>的合作伙伴，</w:t>
      </w:r>
      <w:r w:rsidR="00733C9D">
        <w:rPr>
          <w:rFonts w:cstheme="minorHAnsi" w:hint="eastAsia"/>
          <w:szCs w:val="24"/>
          <w:lang w:eastAsia="zh-CN"/>
        </w:rPr>
        <w:t>以便</w:t>
      </w:r>
      <w:r w:rsidRPr="006838D0">
        <w:rPr>
          <w:rFonts w:cstheme="minorHAnsi" w:hint="eastAsia"/>
          <w:szCs w:val="24"/>
          <w:lang w:eastAsia="zh-CN"/>
        </w:rPr>
        <w:t>为儿童创造更安全的在线环境和体验。</w:t>
      </w:r>
      <w:r w:rsidR="00733C9D">
        <w:rPr>
          <w:rFonts w:cstheme="minorHAnsi" w:hint="eastAsia"/>
          <w:szCs w:val="24"/>
          <w:lang w:eastAsia="zh-CN"/>
        </w:rPr>
        <w:t>该</w:t>
      </w:r>
      <w:r w:rsidRPr="006838D0">
        <w:rPr>
          <w:rFonts w:cstheme="minorHAnsi" w:hint="eastAsia"/>
          <w:szCs w:val="24"/>
          <w:lang w:eastAsia="zh-CN"/>
        </w:rPr>
        <w:t>举措</w:t>
      </w:r>
      <w:r w:rsidR="00733C9D">
        <w:rPr>
          <w:rFonts w:cstheme="minorHAnsi" w:hint="eastAsia"/>
          <w:szCs w:val="24"/>
          <w:lang w:eastAsia="zh-CN"/>
        </w:rPr>
        <w:t>形成</w:t>
      </w:r>
      <w:r w:rsidRPr="006838D0">
        <w:rPr>
          <w:rFonts w:cstheme="minorHAnsi" w:hint="eastAsia"/>
          <w:szCs w:val="24"/>
          <w:lang w:eastAsia="zh-CN"/>
        </w:rPr>
        <w:t>了四项</w:t>
      </w:r>
      <w:r w:rsidR="00733C9D" w:rsidRPr="006838D0">
        <w:rPr>
          <w:rFonts w:cstheme="minorHAnsi" w:hint="eastAsia"/>
          <w:szCs w:val="24"/>
          <w:lang w:eastAsia="zh-CN"/>
        </w:rPr>
        <w:t>针对儿童、家长和教育工作者、行业和决策</w:t>
      </w:r>
      <w:r w:rsidR="00733C9D">
        <w:rPr>
          <w:rFonts w:cstheme="minorHAnsi" w:hint="eastAsia"/>
          <w:szCs w:val="24"/>
          <w:lang w:eastAsia="zh-CN"/>
        </w:rPr>
        <w:t>机构的</w:t>
      </w:r>
      <w:r w:rsidR="00733C9D" w:rsidRPr="006838D0">
        <w:rPr>
          <w:rFonts w:cstheme="minorHAnsi" w:hint="eastAsia"/>
          <w:szCs w:val="24"/>
          <w:lang w:eastAsia="zh-CN"/>
        </w:rPr>
        <w:t>保护</w:t>
      </w:r>
      <w:r w:rsidR="00733C9D">
        <w:rPr>
          <w:rFonts w:cstheme="minorHAnsi" w:hint="eastAsia"/>
          <w:szCs w:val="24"/>
          <w:lang w:eastAsia="zh-CN"/>
        </w:rPr>
        <w:t>上网</w:t>
      </w:r>
      <w:r w:rsidRPr="006838D0">
        <w:rPr>
          <w:rFonts w:cstheme="minorHAnsi" w:hint="eastAsia"/>
          <w:szCs w:val="24"/>
          <w:lang w:eastAsia="zh-CN"/>
        </w:rPr>
        <w:t>儿童国际</w:t>
      </w:r>
      <w:r w:rsidR="00733C9D">
        <w:rPr>
          <w:rFonts w:cstheme="minorHAnsi" w:hint="eastAsia"/>
          <w:szCs w:val="24"/>
          <w:lang w:eastAsia="zh-CN"/>
        </w:rPr>
        <w:t>导则</w:t>
      </w:r>
      <w:r w:rsidRPr="006838D0">
        <w:rPr>
          <w:rFonts w:cstheme="minorHAnsi" w:hint="eastAsia"/>
          <w:szCs w:val="24"/>
          <w:lang w:eastAsia="zh-CN"/>
        </w:rPr>
        <w:t>，其中大部分</w:t>
      </w:r>
      <w:r w:rsidR="00733C9D">
        <w:rPr>
          <w:rFonts w:cstheme="minorHAnsi" w:hint="eastAsia"/>
          <w:szCs w:val="24"/>
          <w:lang w:eastAsia="zh-CN"/>
        </w:rPr>
        <w:t>采用了</w:t>
      </w:r>
      <w:r w:rsidRPr="006838D0">
        <w:rPr>
          <w:rFonts w:cstheme="minorHAnsi" w:hint="eastAsia"/>
          <w:szCs w:val="24"/>
          <w:lang w:eastAsia="zh-CN"/>
        </w:rPr>
        <w:t>六种正式语文。</w:t>
      </w:r>
    </w:p>
    <w:p w:rsidR="00D97217" w:rsidRDefault="006E1599" w:rsidP="00C627ED">
      <w:pPr>
        <w:pStyle w:val="Headingb"/>
        <w:rPr>
          <w:lang w:eastAsia="zh-CN"/>
        </w:rPr>
      </w:pPr>
      <w:bookmarkStart w:id="10" w:name="lt_pId043"/>
      <w:r>
        <w:rPr>
          <w:lang w:eastAsia="zh-CN"/>
        </w:rPr>
        <w:t>讨论</w:t>
      </w:r>
      <w:bookmarkEnd w:id="10"/>
    </w:p>
    <w:p w:rsidR="006838D0" w:rsidRPr="006838D0" w:rsidRDefault="006838D0" w:rsidP="00C627ED">
      <w:pPr>
        <w:spacing w:after="120"/>
        <w:ind w:firstLineChars="200" w:firstLine="480"/>
        <w:jc w:val="both"/>
        <w:rPr>
          <w:rFonts w:cstheme="minorHAnsi"/>
          <w:szCs w:val="24"/>
          <w:lang w:eastAsia="zh-CN"/>
        </w:rPr>
      </w:pPr>
      <w:bookmarkStart w:id="11" w:name="lt_pId044"/>
      <w:r w:rsidRPr="006838D0">
        <w:rPr>
          <w:rFonts w:cstheme="minorHAnsi" w:hint="eastAsia"/>
          <w:szCs w:val="24"/>
          <w:lang w:eastAsia="zh-CN"/>
        </w:rPr>
        <w:t>技术在过去十年中取得了巨大进步。人们</w:t>
      </w:r>
      <w:r w:rsidR="00733C9D">
        <w:rPr>
          <w:rFonts w:cstheme="minorHAnsi" w:hint="eastAsia"/>
          <w:szCs w:val="24"/>
          <w:lang w:eastAsia="zh-CN"/>
        </w:rPr>
        <w:t>获得了</w:t>
      </w:r>
      <w:r w:rsidRPr="006838D0">
        <w:rPr>
          <w:rFonts w:cstheme="minorHAnsi" w:hint="eastAsia"/>
          <w:szCs w:val="24"/>
          <w:lang w:eastAsia="zh-CN"/>
        </w:rPr>
        <w:t>增强现实和虚拟现实</w:t>
      </w:r>
      <w:r w:rsidR="00733C9D">
        <w:rPr>
          <w:rFonts w:cstheme="minorHAnsi" w:hint="eastAsia"/>
          <w:szCs w:val="24"/>
          <w:lang w:eastAsia="zh-CN"/>
        </w:rPr>
        <w:t>等</w:t>
      </w:r>
      <w:r w:rsidR="00733C9D" w:rsidRPr="006838D0">
        <w:rPr>
          <w:rFonts w:cstheme="minorHAnsi" w:hint="eastAsia"/>
          <w:szCs w:val="24"/>
          <w:lang w:eastAsia="zh-CN"/>
        </w:rPr>
        <w:t>新技术</w:t>
      </w:r>
      <w:r w:rsidRPr="006838D0">
        <w:rPr>
          <w:rFonts w:cstheme="minorHAnsi" w:hint="eastAsia"/>
          <w:szCs w:val="24"/>
          <w:lang w:eastAsia="zh-CN"/>
        </w:rPr>
        <w:t>，</w:t>
      </w:r>
      <w:r w:rsidR="00733C9D" w:rsidRPr="006838D0">
        <w:rPr>
          <w:rFonts w:cstheme="minorHAnsi" w:hint="eastAsia"/>
          <w:szCs w:val="24"/>
          <w:lang w:eastAsia="zh-CN"/>
        </w:rPr>
        <w:t>无人机</w:t>
      </w:r>
      <w:r w:rsidR="00733C9D">
        <w:rPr>
          <w:rFonts w:cstheme="minorHAnsi" w:hint="eastAsia"/>
          <w:szCs w:val="24"/>
          <w:lang w:eastAsia="zh-CN"/>
        </w:rPr>
        <w:t>等</w:t>
      </w:r>
      <w:r w:rsidRPr="006838D0">
        <w:rPr>
          <w:rFonts w:cstheme="minorHAnsi" w:hint="eastAsia"/>
          <w:szCs w:val="24"/>
          <w:lang w:eastAsia="zh-CN"/>
        </w:rPr>
        <w:t>其他一些新技术</w:t>
      </w:r>
      <w:r w:rsidR="00733C9D">
        <w:rPr>
          <w:rFonts w:cstheme="minorHAnsi" w:hint="eastAsia"/>
          <w:szCs w:val="24"/>
          <w:lang w:eastAsia="zh-CN"/>
        </w:rPr>
        <w:t>则获得了普及</w:t>
      </w:r>
      <w:r w:rsidRPr="006838D0">
        <w:rPr>
          <w:rFonts w:cstheme="minorHAnsi" w:hint="eastAsia"/>
          <w:szCs w:val="24"/>
          <w:lang w:eastAsia="zh-CN"/>
        </w:rPr>
        <w:t>。这些技术和服务给世界</w:t>
      </w:r>
      <w:r w:rsidR="00733C9D">
        <w:rPr>
          <w:rFonts w:cstheme="minorHAnsi" w:hint="eastAsia"/>
          <w:szCs w:val="24"/>
          <w:lang w:eastAsia="zh-CN"/>
        </w:rPr>
        <w:t>各地的</w:t>
      </w:r>
      <w:r w:rsidR="00733C9D" w:rsidRPr="006838D0">
        <w:rPr>
          <w:rFonts w:cstheme="minorHAnsi" w:hint="eastAsia"/>
          <w:szCs w:val="24"/>
          <w:lang w:eastAsia="zh-CN"/>
        </w:rPr>
        <w:t>成人和儿童</w:t>
      </w:r>
      <w:r w:rsidRPr="006838D0">
        <w:rPr>
          <w:rFonts w:cstheme="minorHAnsi" w:hint="eastAsia"/>
          <w:szCs w:val="24"/>
          <w:lang w:eastAsia="zh-CN"/>
        </w:rPr>
        <w:t>带来了许多</w:t>
      </w:r>
      <w:r w:rsidR="00733C9D">
        <w:rPr>
          <w:rFonts w:cstheme="minorHAnsi" w:hint="eastAsia"/>
          <w:szCs w:val="24"/>
          <w:lang w:eastAsia="zh-CN"/>
        </w:rPr>
        <w:t>同等的</w:t>
      </w:r>
      <w:r w:rsidRPr="006838D0">
        <w:rPr>
          <w:rFonts w:cstheme="minorHAnsi" w:hint="eastAsia"/>
          <w:szCs w:val="24"/>
          <w:lang w:eastAsia="zh-CN"/>
        </w:rPr>
        <w:t>机遇和风险。虽然国际电联制定的</w:t>
      </w:r>
      <w:r w:rsidR="00733C9D">
        <w:rPr>
          <w:rFonts w:cstheme="minorHAnsi" w:hint="eastAsia"/>
          <w:szCs w:val="24"/>
          <w:lang w:eastAsia="zh-CN"/>
        </w:rPr>
        <w:t>保护上网儿童导则内容</w:t>
      </w:r>
      <w:r w:rsidRPr="006838D0">
        <w:rPr>
          <w:rFonts w:cstheme="minorHAnsi" w:hint="eastAsia"/>
          <w:szCs w:val="24"/>
          <w:lang w:eastAsia="zh-CN"/>
        </w:rPr>
        <w:t>全面，但只有针对儿童和家长的准则</w:t>
      </w:r>
      <w:r w:rsidR="00733C9D">
        <w:rPr>
          <w:rFonts w:cstheme="minorHAnsi" w:hint="eastAsia"/>
          <w:szCs w:val="24"/>
          <w:lang w:eastAsia="zh-CN"/>
        </w:rPr>
        <w:t>在</w:t>
      </w:r>
      <w:r w:rsidRPr="006838D0">
        <w:rPr>
          <w:rFonts w:cstheme="minorHAnsi" w:hint="eastAsia"/>
          <w:szCs w:val="24"/>
          <w:lang w:eastAsia="zh-CN"/>
        </w:rPr>
        <w:t>2016</w:t>
      </w:r>
      <w:r w:rsidRPr="006838D0">
        <w:rPr>
          <w:rFonts w:cstheme="minorHAnsi" w:hint="eastAsia"/>
          <w:szCs w:val="24"/>
          <w:lang w:eastAsia="zh-CN"/>
        </w:rPr>
        <w:t>年</w:t>
      </w:r>
      <w:r w:rsidR="00733C9D">
        <w:rPr>
          <w:rFonts w:cstheme="minorHAnsi" w:hint="eastAsia"/>
          <w:szCs w:val="24"/>
          <w:lang w:eastAsia="zh-CN"/>
        </w:rPr>
        <w:t>进行了</w:t>
      </w:r>
      <w:r w:rsidR="00733C9D" w:rsidRPr="006838D0">
        <w:rPr>
          <w:rFonts w:cstheme="minorHAnsi" w:hint="eastAsia"/>
          <w:szCs w:val="24"/>
          <w:lang w:eastAsia="zh-CN"/>
        </w:rPr>
        <w:t>最后一次更新</w:t>
      </w:r>
      <w:r w:rsidRPr="006838D0">
        <w:rPr>
          <w:rFonts w:cstheme="minorHAnsi" w:hint="eastAsia"/>
          <w:szCs w:val="24"/>
          <w:lang w:eastAsia="zh-CN"/>
        </w:rPr>
        <w:t>且只有英文版，而其他语文以及针对行业和决策</w:t>
      </w:r>
      <w:r w:rsidR="00733C9D">
        <w:rPr>
          <w:rFonts w:cstheme="minorHAnsi" w:hint="eastAsia"/>
          <w:szCs w:val="24"/>
          <w:lang w:eastAsia="zh-CN"/>
        </w:rPr>
        <w:t>机构</w:t>
      </w:r>
      <w:r w:rsidRPr="006838D0">
        <w:rPr>
          <w:rFonts w:cstheme="minorHAnsi" w:hint="eastAsia"/>
          <w:szCs w:val="24"/>
          <w:lang w:eastAsia="zh-CN"/>
        </w:rPr>
        <w:t>的</w:t>
      </w:r>
      <w:r w:rsidR="00733C9D">
        <w:rPr>
          <w:rFonts w:cstheme="minorHAnsi" w:hint="eastAsia"/>
          <w:szCs w:val="24"/>
          <w:lang w:eastAsia="zh-CN"/>
        </w:rPr>
        <w:t>导则</w:t>
      </w:r>
      <w:r w:rsidRPr="006838D0">
        <w:rPr>
          <w:rFonts w:cstheme="minorHAnsi" w:hint="eastAsia"/>
          <w:szCs w:val="24"/>
          <w:lang w:eastAsia="zh-CN"/>
        </w:rPr>
        <w:t>的更新日期是</w:t>
      </w:r>
      <w:r w:rsidRPr="006838D0">
        <w:rPr>
          <w:rFonts w:cstheme="minorHAnsi" w:hint="eastAsia"/>
          <w:szCs w:val="24"/>
          <w:lang w:eastAsia="zh-CN"/>
        </w:rPr>
        <w:lastRenderedPageBreak/>
        <w:t>2009</w:t>
      </w:r>
      <w:r w:rsidRPr="006838D0">
        <w:rPr>
          <w:rFonts w:cstheme="minorHAnsi" w:hint="eastAsia"/>
          <w:szCs w:val="24"/>
          <w:lang w:eastAsia="zh-CN"/>
        </w:rPr>
        <w:t>年。面对新技术和</w:t>
      </w:r>
      <w:r w:rsidR="0094667F">
        <w:rPr>
          <w:rFonts w:cstheme="minorHAnsi" w:hint="eastAsia"/>
          <w:szCs w:val="24"/>
          <w:lang w:eastAsia="zh-CN"/>
        </w:rPr>
        <w:t>新业务</w:t>
      </w:r>
      <w:r w:rsidRPr="006838D0">
        <w:rPr>
          <w:rFonts w:cstheme="minorHAnsi" w:hint="eastAsia"/>
          <w:szCs w:val="24"/>
          <w:lang w:eastAsia="zh-CN"/>
        </w:rPr>
        <w:t>带来的</w:t>
      </w:r>
      <w:r w:rsidR="0094667F">
        <w:rPr>
          <w:rFonts w:cstheme="minorHAnsi" w:hint="eastAsia"/>
          <w:szCs w:val="24"/>
          <w:lang w:eastAsia="zh-CN"/>
        </w:rPr>
        <w:t>问题</w:t>
      </w:r>
      <w:r w:rsidRPr="006838D0">
        <w:rPr>
          <w:rFonts w:cstheme="minorHAnsi" w:hint="eastAsia"/>
          <w:szCs w:val="24"/>
          <w:lang w:eastAsia="zh-CN"/>
        </w:rPr>
        <w:t>，我们认为应更新</w:t>
      </w:r>
      <w:r w:rsidR="00C627ED">
        <w:rPr>
          <w:rFonts w:cstheme="minorHAnsi" w:hint="eastAsia"/>
          <w:szCs w:val="24"/>
          <w:lang w:eastAsia="zh-CN"/>
        </w:rPr>
        <w:t>导则</w:t>
      </w:r>
      <w:r w:rsidRPr="006838D0">
        <w:rPr>
          <w:rFonts w:cstheme="minorHAnsi" w:hint="eastAsia"/>
          <w:szCs w:val="24"/>
          <w:lang w:eastAsia="zh-CN"/>
        </w:rPr>
        <w:t>，以所有六种</w:t>
      </w:r>
      <w:r w:rsidR="0094667F">
        <w:rPr>
          <w:rFonts w:cstheme="minorHAnsi" w:hint="eastAsia"/>
          <w:szCs w:val="24"/>
          <w:lang w:eastAsia="zh-CN"/>
        </w:rPr>
        <w:t>语文</w:t>
      </w:r>
      <w:r w:rsidRPr="006838D0">
        <w:rPr>
          <w:rFonts w:cstheme="minorHAnsi" w:hint="eastAsia"/>
          <w:szCs w:val="24"/>
          <w:lang w:eastAsia="zh-CN"/>
        </w:rPr>
        <w:t>来</w:t>
      </w:r>
      <w:r w:rsidR="0094667F">
        <w:rPr>
          <w:rFonts w:cstheme="minorHAnsi" w:hint="eastAsia"/>
          <w:szCs w:val="24"/>
          <w:lang w:eastAsia="zh-CN"/>
        </w:rPr>
        <w:t>阐述</w:t>
      </w:r>
      <w:r w:rsidRPr="006838D0">
        <w:rPr>
          <w:rFonts w:cstheme="minorHAnsi" w:hint="eastAsia"/>
          <w:szCs w:val="24"/>
          <w:lang w:eastAsia="zh-CN"/>
        </w:rPr>
        <w:t>这些挑战。</w:t>
      </w:r>
    </w:p>
    <w:p w:rsidR="006308FA" w:rsidRPr="006838D0" w:rsidRDefault="006838D0" w:rsidP="00C627ED">
      <w:pPr>
        <w:spacing w:after="120"/>
        <w:ind w:firstLineChars="200" w:firstLine="480"/>
        <w:jc w:val="both"/>
        <w:rPr>
          <w:rFonts w:cstheme="minorHAnsi"/>
          <w:szCs w:val="24"/>
          <w:lang w:eastAsia="zh-CN"/>
        </w:rPr>
      </w:pPr>
      <w:r w:rsidRPr="006838D0">
        <w:rPr>
          <w:rFonts w:cstheme="minorHAnsi" w:hint="eastAsia"/>
          <w:szCs w:val="24"/>
          <w:lang w:eastAsia="zh-CN"/>
        </w:rPr>
        <w:t>除</w:t>
      </w:r>
      <w:r w:rsidR="004133D9">
        <w:rPr>
          <w:rFonts w:cstheme="minorHAnsi" w:hint="eastAsia"/>
          <w:szCs w:val="24"/>
          <w:lang w:eastAsia="zh-CN"/>
        </w:rPr>
        <w:t>上述</w:t>
      </w:r>
      <w:r w:rsidRPr="006838D0">
        <w:rPr>
          <w:rFonts w:cstheme="minorHAnsi" w:hint="eastAsia"/>
          <w:szCs w:val="24"/>
          <w:lang w:eastAsia="zh-CN"/>
        </w:rPr>
        <w:t>技术外，</w:t>
      </w:r>
      <w:r w:rsidR="004133D9" w:rsidRPr="006838D0">
        <w:rPr>
          <w:rFonts w:cstheme="minorHAnsi" w:hint="eastAsia"/>
          <w:szCs w:val="24"/>
          <w:lang w:eastAsia="zh-CN"/>
        </w:rPr>
        <w:t>不安全的</w:t>
      </w:r>
      <w:r w:rsidR="004133D9">
        <w:rPr>
          <w:rFonts w:cstheme="minorHAnsi" w:hint="eastAsia"/>
          <w:szCs w:val="24"/>
          <w:lang w:eastAsia="zh-CN"/>
        </w:rPr>
        <w:t>收听习惯</w:t>
      </w:r>
      <w:r w:rsidR="004133D9" w:rsidRPr="006838D0">
        <w:rPr>
          <w:rFonts w:cstheme="minorHAnsi" w:hint="eastAsia"/>
          <w:szCs w:val="24"/>
          <w:lang w:eastAsia="zh-CN"/>
        </w:rPr>
        <w:t>而</w:t>
      </w:r>
      <w:r w:rsidR="004133D9">
        <w:rPr>
          <w:rFonts w:cstheme="minorHAnsi" w:hint="eastAsia"/>
          <w:szCs w:val="24"/>
          <w:lang w:eastAsia="zh-CN"/>
        </w:rPr>
        <w:t>引发的</w:t>
      </w:r>
      <w:r w:rsidR="004133D9" w:rsidRPr="006838D0">
        <w:rPr>
          <w:rFonts w:cstheme="minorHAnsi" w:hint="eastAsia"/>
          <w:szCs w:val="24"/>
          <w:lang w:eastAsia="zh-CN"/>
        </w:rPr>
        <w:t>听力</w:t>
      </w:r>
      <w:r w:rsidR="004133D9">
        <w:rPr>
          <w:rFonts w:cstheme="minorHAnsi" w:hint="eastAsia"/>
          <w:szCs w:val="24"/>
          <w:lang w:eastAsia="zh-CN"/>
        </w:rPr>
        <w:t>受损</w:t>
      </w:r>
      <w:r w:rsidR="004133D9" w:rsidRPr="006838D0">
        <w:rPr>
          <w:rFonts w:cstheme="minorHAnsi" w:hint="eastAsia"/>
          <w:szCs w:val="24"/>
          <w:lang w:eastAsia="zh-CN"/>
        </w:rPr>
        <w:t>风险</w:t>
      </w:r>
      <w:r w:rsidR="004133D9">
        <w:rPr>
          <w:rFonts w:cstheme="minorHAnsi" w:hint="eastAsia"/>
          <w:szCs w:val="24"/>
          <w:lang w:eastAsia="zh-CN"/>
        </w:rPr>
        <w:t>也是</w:t>
      </w:r>
      <w:r w:rsidRPr="006838D0">
        <w:rPr>
          <w:rFonts w:cstheme="minorHAnsi" w:hint="eastAsia"/>
          <w:szCs w:val="24"/>
          <w:lang w:eastAsia="zh-CN"/>
        </w:rPr>
        <w:t>可包括</w:t>
      </w:r>
      <w:r w:rsidR="004133D9">
        <w:rPr>
          <w:rFonts w:cstheme="minorHAnsi" w:hint="eastAsia"/>
          <w:szCs w:val="24"/>
          <w:lang w:eastAsia="zh-CN"/>
        </w:rPr>
        <w:t>在内</w:t>
      </w:r>
      <w:r w:rsidRPr="006838D0">
        <w:rPr>
          <w:rFonts w:cstheme="minorHAnsi" w:hint="eastAsia"/>
          <w:szCs w:val="24"/>
          <w:lang w:eastAsia="zh-CN"/>
        </w:rPr>
        <w:t>的挑战之一。儿童越来越容易</w:t>
      </w:r>
      <w:r w:rsidR="004133D9">
        <w:rPr>
          <w:rFonts w:cstheme="minorHAnsi" w:hint="eastAsia"/>
          <w:szCs w:val="24"/>
          <w:lang w:eastAsia="zh-CN"/>
        </w:rPr>
        <w:t>接触到</w:t>
      </w:r>
      <w:r w:rsidRPr="006838D0">
        <w:rPr>
          <w:rFonts w:cstheme="minorHAnsi" w:hint="eastAsia"/>
          <w:szCs w:val="24"/>
          <w:lang w:eastAsia="zh-CN"/>
        </w:rPr>
        <w:t>智能设备，而且他们</w:t>
      </w:r>
      <w:r w:rsidR="004133D9">
        <w:rPr>
          <w:rFonts w:cstheme="minorHAnsi" w:hint="eastAsia"/>
          <w:szCs w:val="24"/>
          <w:lang w:eastAsia="zh-CN"/>
        </w:rPr>
        <w:t>长时间、高音量地</w:t>
      </w:r>
      <w:r w:rsidRPr="006838D0">
        <w:rPr>
          <w:rFonts w:cstheme="minorHAnsi" w:hint="eastAsia"/>
          <w:szCs w:val="24"/>
          <w:lang w:eastAsia="zh-CN"/>
        </w:rPr>
        <w:t>听音乐或看视频，这给儿童</w:t>
      </w:r>
      <w:r w:rsidR="004133D9">
        <w:rPr>
          <w:rFonts w:cstheme="minorHAnsi" w:hint="eastAsia"/>
          <w:szCs w:val="24"/>
          <w:lang w:eastAsia="zh-CN"/>
        </w:rPr>
        <w:t>的身体</w:t>
      </w:r>
      <w:r w:rsidRPr="006838D0">
        <w:rPr>
          <w:rFonts w:cstheme="minorHAnsi" w:hint="eastAsia"/>
          <w:szCs w:val="24"/>
          <w:lang w:eastAsia="zh-CN"/>
        </w:rPr>
        <w:t>带来了风险，即听力</w:t>
      </w:r>
      <w:r w:rsidR="004133D9">
        <w:rPr>
          <w:rFonts w:cstheme="minorHAnsi" w:hint="eastAsia"/>
          <w:szCs w:val="24"/>
          <w:lang w:eastAsia="zh-CN"/>
        </w:rPr>
        <w:t>受损</w:t>
      </w:r>
      <w:r w:rsidRPr="006838D0">
        <w:rPr>
          <w:rFonts w:cstheme="minorHAnsi" w:hint="eastAsia"/>
          <w:szCs w:val="24"/>
          <w:lang w:eastAsia="zh-CN"/>
        </w:rPr>
        <w:t>。</w:t>
      </w:r>
      <w:r w:rsidR="004133D9">
        <w:rPr>
          <w:rFonts w:cstheme="minorHAnsi" w:hint="eastAsia"/>
          <w:szCs w:val="24"/>
          <w:lang w:eastAsia="zh-CN"/>
        </w:rPr>
        <w:t>世界卫生组织</w:t>
      </w:r>
      <w:r w:rsidRPr="006838D0">
        <w:rPr>
          <w:rFonts w:cstheme="minorHAnsi" w:hint="eastAsia"/>
          <w:szCs w:val="24"/>
          <w:lang w:eastAsia="zh-CN"/>
        </w:rPr>
        <w:t>估计，这一风险可能会影响</w:t>
      </w:r>
      <w:r w:rsidR="004133D9">
        <w:rPr>
          <w:rFonts w:cstheme="minorHAnsi" w:hint="eastAsia"/>
          <w:szCs w:val="24"/>
          <w:lang w:eastAsia="zh-CN"/>
        </w:rPr>
        <w:t>到</w:t>
      </w:r>
      <w:r w:rsidRPr="006838D0">
        <w:rPr>
          <w:rFonts w:cstheme="minorHAnsi" w:hint="eastAsia"/>
          <w:szCs w:val="24"/>
          <w:lang w:eastAsia="zh-CN"/>
        </w:rPr>
        <w:t>全球</w:t>
      </w:r>
      <w:r w:rsidRPr="006838D0">
        <w:rPr>
          <w:rFonts w:cstheme="minorHAnsi" w:hint="eastAsia"/>
          <w:szCs w:val="24"/>
          <w:lang w:eastAsia="zh-CN"/>
        </w:rPr>
        <w:t>10</w:t>
      </w:r>
      <w:r w:rsidRPr="006838D0">
        <w:rPr>
          <w:rFonts w:cstheme="minorHAnsi" w:hint="eastAsia"/>
          <w:szCs w:val="24"/>
          <w:lang w:eastAsia="zh-CN"/>
        </w:rPr>
        <w:t>多亿年轻人。为了解决这一问题，国际电联与世界卫生组织</w:t>
      </w:r>
      <w:r w:rsidR="004133D9">
        <w:rPr>
          <w:rFonts w:cstheme="minorHAnsi" w:hint="eastAsia"/>
          <w:szCs w:val="24"/>
          <w:lang w:eastAsia="zh-CN"/>
        </w:rPr>
        <w:t>（</w:t>
      </w:r>
      <w:r w:rsidR="004133D9">
        <w:rPr>
          <w:rFonts w:cstheme="minorHAnsi" w:hint="eastAsia"/>
          <w:szCs w:val="24"/>
          <w:lang w:eastAsia="zh-CN"/>
        </w:rPr>
        <w:t>W</w:t>
      </w:r>
      <w:r w:rsidR="004133D9">
        <w:rPr>
          <w:rFonts w:cstheme="minorHAnsi"/>
          <w:szCs w:val="24"/>
          <w:lang w:eastAsia="zh-CN"/>
        </w:rPr>
        <w:t>HO</w:t>
      </w:r>
      <w:r w:rsidR="004133D9">
        <w:rPr>
          <w:rFonts w:cstheme="minorHAnsi" w:hint="eastAsia"/>
          <w:szCs w:val="24"/>
          <w:lang w:eastAsia="zh-CN"/>
        </w:rPr>
        <w:t>）</w:t>
      </w:r>
      <w:r w:rsidRPr="006838D0">
        <w:rPr>
          <w:rFonts w:cstheme="minorHAnsi" w:hint="eastAsia"/>
          <w:szCs w:val="24"/>
          <w:lang w:eastAsia="zh-CN"/>
        </w:rPr>
        <w:t>密切合作，制定了新的</w:t>
      </w:r>
      <w:hyperlink r:id="rId12" w:history="1">
        <w:r w:rsidRPr="00C627ED">
          <w:rPr>
            <w:rStyle w:val="Hyperlink"/>
            <w:rFonts w:cstheme="minorHAnsi" w:hint="eastAsia"/>
            <w:szCs w:val="24"/>
            <w:lang w:eastAsia="zh-CN"/>
          </w:rPr>
          <w:t>H.870</w:t>
        </w:r>
        <w:r w:rsidR="004133D9" w:rsidRPr="00C627ED">
          <w:rPr>
            <w:rStyle w:val="Hyperlink"/>
            <w:rFonts w:cstheme="minorHAnsi" w:hint="eastAsia"/>
            <w:szCs w:val="24"/>
            <w:lang w:eastAsia="zh-CN"/>
          </w:rPr>
          <w:t>建议书</w:t>
        </w:r>
      </w:hyperlink>
      <w:r w:rsidR="004133D9">
        <w:rPr>
          <w:rFonts w:cstheme="minorHAnsi" w:hint="eastAsia"/>
          <w:szCs w:val="24"/>
          <w:lang w:eastAsia="zh-CN"/>
        </w:rPr>
        <w:t>“</w:t>
      </w:r>
      <w:r w:rsidR="004133D9">
        <w:rPr>
          <w:color w:val="000000"/>
          <w:lang w:eastAsia="zh-CN"/>
        </w:rPr>
        <w:t>安全听音设备</w:t>
      </w:r>
      <w:r w:rsidR="004133D9">
        <w:rPr>
          <w:color w:val="000000"/>
          <w:lang w:eastAsia="zh-CN"/>
        </w:rPr>
        <w:t>/</w:t>
      </w:r>
      <w:r w:rsidR="004133D9">
        <w:rPr>
          <w:color w:val="000000"/>
          <w:lang w:eastAsia="zh-CN"/>
        </w:rPr>
        <w:t>系统指</w:t>
      </w:r>
      <w:r w:rsidR="004133D9">
        <w:rPr>
          <w:rFonts w:ascii="SimSun" w:hAnsi="SimSun" w:cs="SimSun" w:hint="eastAsia"/>
          <w:color w:val="000000"/>
          <w:lang w:eastAsia="zh-CN"/>
        </w:rPr>
        <w:t>南</w:t>
      </w:r>
      <w:r w:rsidR="004133D9">
        <w:rPr>
          <w:rFonts w:cstheme="minorHAnsi" w:hint="eastAsia"/>
          <w:szCs w:val="24"/>
          <w:lang w:eastAsia="zh-CN"/>
        </w:rPr>
        <w:t>”</w:t>
      </w:r>
      <w:r w:rsidRPr="006838D0">
        <w:rPr>
          <w:rFonts w:cstheme="minorHAnsi" w:hint="eastAsia"/>
          <w:szCs w:val="24"/>
          <w:lang w:eastAsia="zh-CN"/>
        </w:rPr>
        <w:t>，“</w:t>
      </w:r>
      <w:r w:rsidR="004133D9">
        <w:rPr>
          <w:color w:val="000000"/>
          <w:lang w:eastAsia="zh-CN"/>
        </w:rPr>
        <w:t>描述了对安全听音设备和系统（称为个人</w:t>
      </w:r>
      <w:r w:rsidR="004133D9">
        <w:rPr>
          <w:color w:val="000000"/>
          <w:lang w:eastAsia="zh-CN"/>
        </w:rPr>
        <w:t>/</w:t>
      </w:r>
      <w:r w:rsidR="004133D9">
        <w:rPr>
          <w:color w:val="000000"/>
          <w:lang w:eastAsia="zh-CN"/>
        </w:rPr>
        <w:t>便携式音频系统，尤其是那些用于播放音乐的设备和系统）的要求，以保护人们</w:t>
      </w:r>
      <w:r w:rsidR="00C627ED">
        <w:rPr>
          <w:rFonts w:hint="eastAsia"/>
          <w:color w:val="000000"/>
          <w:lang w:eastAsia="zh-CN"/>
        </w:rPr>
        <w:t>的</w:t>
      </w:r>
      <w:r w:rsidR="004133D9">
        <w:rPr>
          <w:color w:val="000000"/>
          <w:lang w:eastAsia="zh-CN"/>
        </w:rPr>
        <w:t>听力</w:t>
      </w:r>
      <w:r w:rsidR="00C627ED">
        <w:rPr>
          <w:rFonts w:hint="eastAsia"/>
          <w:color w:val="000000"/>
          <w:lang w:eastAsia="zh-CN"/>
        </w:rPr>
        <w:t>免受损伤</w:t>
      </w:r>
      <w:r w:rsidR="006308FA" w:rsidRPr="006838D0">
        <w:rPr>
          <w:rFonts w:cstheme="minorHAnsi" w:hint="eastAsia"/>
          <w:szCs w:val="24"/>
          <w:lang w:eastAsia="zh-CN"/>
        </w:rPr>
        <w:t>。</w:t>
      </w:r>
    </w:p>
    <w:bookmarkEnd w:id="11"/>
    <w:p w:rsidR="00D97217" w:rsidRPr="006838D0" w:rsidRDefault="00D97217" w:rsidP="006838D0">
      <w:pPr>
        <w:spacing w:after="120"/>
        <w:jc w:val="both"/>
        <w:rPr>
          <w:rFonts w:cstheme="minorHAnsi"/>
          <w:szCs w:val="24"/>
          <w:lang w:eastAsia="zh-CN"/>
        </w:rPr>
      </w:pPr>
    </w:p>
    <w:p w:rsidR="00D97217" w:rsidRPr="0031285B" w:rsidRDefault="00C17756" w:rsidP="00C627ED">
      <w:pPr>
        <w:pStyle w:val="Headingb"/>
        <w:rPr>
          <w:lang w:eastAsia="zh-CN"/>
        </w:rPr>
      </w:pPr>
      <w:bookmarkStart w:id="12" w:name="lt_pId053"/>
      <w:r>
        <w:rPr>
          <w:lang w:eastAsia="zh-CN"/>
        </w:rPr>
        <w:t>提案</w:t>
      </w:r>
      <w:bookmarkEnd w:id="12"/>
    </w:p>
    <w:p w:rsidR="006838D0" w:rsidRPr="006838D0" w:rsidRDefault="006838D0" w:rsidP="00C627ED">
      <w:pPr>
        <w:spacing w:after="120"/>
        <w:ind w:firstLineChars="200" w:firstLine="480"/>
        <w:jc w:val="both"/>
        <w:rPr>
          <w:rFonts w:cstheme="minorHAnsi"/>
          <w:szCs w:val="24"/>
          <w:lang w:eastAsia="zh-CN"/>
        </w:rPr>
      </w:pPr>
      <w:r w:rsidRPr="006838D0">
        <w:rPr>
          <w:rFonts w:cstheme="minorHAnsi" w:hint="eastAsia"/>
          <w:szCs w:val="24"/>
          <w:lang w:eastAsia="zh-CN"/>
        </w:rPr>
        <w:t>阿联酋和沙特阿拉伯提议，理事会请电信发展局</w:t>
      </w:r>
      <w:r w:rsidR="004133D9">
        <w:rPr>
          <w:rFonts w:cstheme="minorHAnsi" w:hint="eastAsia"/>
          <w:szCs w:val="24"/>
          <w:lang w:eastAsia="zh-CN"/>
        </w:rPr>
        <w:t>主任</w:t>
      </w:r>
      <w:r w:rsidRPr="006838D0">
        <w:rPr>
          <w:rFonts w:cstheme="minorHAnsi" w:hint="eastAsia"/>
          <w:szCs w:val="24"/>
          <w:lang w:eastAsia="zh-CN"/>
        </w:rPr>
        <w:t>酌情更新针对儿童、家长和教育工作者、行业和决策</w:t>
      </w:r>
      <w:r w:rsidR="004133D9">
        <w:rPr>
          <w:rFonts w:cstheme="minorHAnsi" w:hint="eastAsia"/>
          <w:szCs w:val="24"/>
          <w:lang w:eastAsia="zh-CN"/>
        </w:rPr>
        <w:t>机构</w:t>
      </w:r>
      <w:r w:rsidRPr="006838D0">
        <w:rPr>
          <w:rFonts w:cstheme="minorHAnsi" w:hint="eastAsia"/>
          <w:szCs w:val="24"/>
          <w:lang w:eastAsia="zh-CN"/>
        </w:rPr>
        <w:t>的</w:t>
      </w:r>
      <w:r w:rsidR="004133D9" w:rsidRPr="006838D0">
        <w:rPr>
          <w:rFonts w:cstheme="minorHAnsi" w:hint="eastAsia"/>
          <w:szCs w:val="24"/>
          <w:lang w:eastAsia="zh-CN"/>
        </w:rPr>
        <w:t>保护</w:t>
      </w:r>
      <w:r w:rsidR="004133D9">
        <w:rPr>
          <w:rFonts w:cstheme="minorHAnsi" w:hint="eastAsia"/>
          <w:szCs w:val="24"/>
          <w:lang w:eastAsia="zh-CN"/>
        </w:rPr>
        <w:t>上网</w:t>
      </w:r>
      <w:r w:rsidRPr="006838D0">
        <w:rPr>
          <w:rFonts w:cstheme="minorHAnsi" w:hint="eastAsia"/>
          <w:szCs w:val="24"/>
          <w:lang w:eastAsia="zh-CN"/>
        </w:rPr>
        <w:t>儿童</w:t>
      </w:r>
      <w:r w:rsidR="004133D9">
        <w:rPr>
          <w:rFonts w:cstheme="minorHAnsi" w:hint="eastAsia"/>
          <w:szCs w:val="24"/>
          <w:lang w:eastAsia="zh-CN"/>
        </w:rPr>
        <w:t>导则</w:t>
      </w:r>
      <w:r w:rsidRPr="006838D0">
        <w:rPr>
          <w:rFonts w:cstheme="minorHAnsi" w:hint="eastAsia"/>
          <w:szCs w:val="24"/>
          <w:lang w:eastAsia="zh-CN"/>
        </w:rPr>
        <w:t>，以</w:t>
      </w:r>
      <w:r w:rsidR="00505CD2">
        <w:rPr>
          <w:rFonts w:cstheme="minorHAnsi" w:hint="eastAsia"/>
          <w:szCs w:val="24"/>
          <w:lang w:eastAsia="zh-CN"/>
        </w:rPr>
        <w:t>确定</w:t>
      </w:r>
      <w:r w:rsidRPr="006838D0">
        <w:rPr>
          <w:rFonts w:cstheme="minorHAnsi" w:hint="eastAsia"/>
          <w:szCs w:val="24"/>
          <w:lang w:eastAsia="zh-CN"/>
        </w:rPr>
        <w:t>新技术和</w:t>
      </w:r>
      <w:r w:rsidR="004133D9">
        <w:rPr>
          <w:rFonts w:cstheme="minorHAnsi" w:hint="eastAsia"/>
          <w:szCs w:val="24"/>
          <w:lang w:eastAsia="zh-CN"/>
        </w:rPr>
        <w:t>新业务</w:t>
      </w:r>
      <w:r w:rsidRPr="006838D0">
        <w:rPr>
          <w:rFonts w:cstheme="minorHAnsi" w:hint="eastAsia"/>
          <w:szCs w:val="24"/>
          <w:lang w:eastAsia="zh-CN"/>
        </w:rPr>
        <w:t>带来的新风险以及影响儿童的不安全行为，从而提高对这些问题的认识。</w:t>
      </w:r>
    </w:p>
    <w:p w:rsidR="006838D0" w:rsidRPr="006838D0" w:rsidRDefault="00505CD2" w:rsidP="00C627ED">
      <w:pPr>
        <w:spacing w:after="120"/>
        <w:ind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作为</w:t>
      </w:r>
      <w:r w:rsidR="006838D0" w:rsidRPr="006838D0">
        <w:rPr>
          <w:rFonts w:cstheme="minorHAnsi" w:hint="eastAsia"/>
          <w:szCs w:val="24"/>
          <w:lang w:eastAsia="zh-CN"/>
        </w:rPr>
        <w:t>理事会</w:t>
      </w:r>
      <w:r>
        <w:rPr>
          <w:rFonts w:cstheme="minorHAnsi" w:hint="eastAsia"/>
          <w:szCs w:val="24"/>
          <w:lang w:eastAsia="zh-CN"/>
        </w:rPr>
        <w:t>保护上网</w:t>
      </w:r>
      <w:r w:rsidR="006838D0" w:rsidRPr="006838D0">
        <w:rPr>
          <w:rFonts w:cstheme="minorHAnsi" w:hint="eastAsia"/>
          <w:szCs w:val="24"/>
          <w:lang w:eastAsia="zh-CN"/>
        </w:rPr>
        <w:t>儿童工作组的主席，</w:t>
      </w:r>
      <w:r w:rsidRPr="006838D0">
        <w:rPr>
          <w:rFonts w:cstheme="minorHAnsi" w:hint="eastAsia"/>
          <w:szCs w:val="24"/>
          <w:lang w:eastAsia="zh-CN"/>
        </w:rPr>
        <w:t>阿联酋</w:t>
      </w:r>
      <w:r w:rsidR="006838D0" w:rsidRPr="006838D0">
        <w:rPr>
          <w:rFonts w:cstheme="minorHAnsi" w:hint="eastAsia"/>
          <w:szCs w:val="24"/>
          <w:lang w:eastAsia="zh-CN"/>
        </w:rPr>
        <w:t>期待着在这方面</w:t>
      </w:r>
      <w:r w:rsidRPr="006838D0">
        <w:rPr>
          <w:rFonts w:cstheme="minorHAnsi" w:hint="eastAsia"/>
          <w:szCs w:val="24"/>
          <w:lang w:eastAsia="zh-CN"/>
        </w:rPr>
        <w:t>进一步</w:t>
      </w:r>
      <w:r w:rsidR="006838D0" w:rsidRPr="006838D0">
        <w:rPr>
          <w:rFonts w:cstheme="minorHAnsi" w:hint="eastAsia"/>
          <w:szCs w:val="24"/>
          <w:lang w:eastAsia="zh-CN"/>
        </w:rPr>
        <w:t>做出贡献，并将与所有利益攸关方合作更新相关</w:t>
      </w:r>
      <w:r>
        <w:rPr>
          <w:rFonts w:cstheme="minorHAnsi" w:hint="eastAsia"/>
          <w:szCs w:val="24"/>
          <w:lang w:eastAsia="zh-CN"/>
        </w:rPr>
        <w:t>导则</w:t>
      </w:r>
      <w:r w:rsidR="006838D0" w:rsidRPr="006838D0">
        <w:rPr>
          <w:rFonts w:cstheme="minorHAnsi" w:hint="eastAsia"/>
          <w:szCs w:val="24"/>
          <w:lang w:eastAsia="zh-CN"/>
        </w:rPr>
        <w:t>，同时考虑相应的创新。</w:t>
      </w:r>
    </w:p>
    <w:p w:rsidR="006838D0" w:rsidRDefault="006838D0" w:rsidP="00D97217">
      <w:pPr>
        <w:pStyle w:val="ResNo"/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D3" w:rsidRDefault="004C37D3">
      <w:r>
        <w:separator/>
      </w:r>
    </w:p>
  </w:endnote>
  <w:endnote w:type="continuationSeparator" w:id="0">
    <w:p w:rsidR="004C37D3" w:rsidRDefault="004C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D3" w:rsidRDefault="004C37D3">
      <w:r>
        <w:t>____________________</w:t>
      </w:r>
    </w:p>
  </w:footnote>
  <w:footnote w:type="continuationSeparator" w:id="0">
    <w:p w:rsidR="004C37D3" w:rsidRDefault="004C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41780">
      <w:rPr>
        <w:noProof/>
      </w:rPr>
      <w:t>3</w:t>
    </w:r>
    <w:r>
      <w:rPr>
        <w:noProof/>
      </w:rPr>
      <w:fldChar w:fldCharType="end"/>
    </w:r>
  </w:p>
  <w:p w:rsidR="00AC516F" w:rsidRDefault="0098459B" w:rsidP="00C627ED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D97217">
      <w:rPr>
        <w:lang w:eastAsia="zh-CN"/>
      </w:rPr>
      <w:t>10</w:t>
    </w:r>
    <w:r w:rsidR="00C627ED">
      <w:rPr>
        <w:lang w:eastAsia="zh-CN"/>
      </w:rPr>
      <w:t>3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741" w:hanging="360"/>
      </w:pPr>
    </w:lvl>
    <w:lvl w:ilvl="1">
      <w:start w:val="1"/>
      <w:numFmt w:val="lowerLetter"/>
      <w:lvlText w:val="%2."/>
      <w:lvlJc w:val="left"/>
      <w:pPr>
        <w:ind w:left="1461" w:hanging="360"/>
      </w:pPr>
    </w:lvl>
    <w:lvl w:ilvl="2">
      <w:start w:val="1"/>
      <w:numFmt w:val="lowerRoman"/>
      <w:lvlText w:val="%3."/>
      <w:lvlJc w:val="right"/>
      <w:pPr>
        <w:ind w:left="2181" w:hanging="180"/>
      </w:pPr>
    </w:lvl>
    <w:lvl w:ilvl="3">
      <w:start w:val="1"/>
      <w:numFmt w:val="decimal"/>
      <w:lvlText w:val="%4."/>
      <w:lvlJc w:val="left"/>
      <w:pPr>
        <w:ind w:left="2901" w:hanging="360"/>
      </w:pPr>
    </w:lvl>
    <w:lvl w:ilvl="4">
      <w:start w:val="1"/>
      <w:numFmt w:val="lowerLetter"/>
      <w:lvlText w:val="%5."/>
      <w:lvlJc w:val="left"/>
      <w:pPr>
        <w:ind w:left="3621" w:hanging="360"/>
      </w:pPr>
    </w:lvl>
    <w:lvl w:ilvl="5">
      <w:start w:val="1"/>
      <w:numFmt w:val="lowerRoman"/>
      <w:lvlText w:val="%6."/>
      <w:lvlJc w:val="right"/>
      <w:pPr>
        <w:ind w:left="4341" w:hanging="180"/>
      </w:pPr>
    </w:lvl>
    <w:lvl w:ilvl="6">
      <w:start w:val="1"/>
      <w:numFmt w:val="decimal"/>
      <w:lvlText w:val="%7."/>
      <w:lvlJc w:val="left"/>
      <w:pPr>
        <w:ind w:left="5061" w:hanging="360"/>
      </w:pPr>
    </w:lvl>
    <w:lvl w:ilvl="7">
      <w:start w:val="1"/>
      <w:numFmt w:val="lowerLetter"/>
      <w:lvlText w:val="%8."/>
      <w:lvlJc w:val="left"/>
      <w:pPr>
        <w:ind w:left="5781" w:hanging="360"/>
      </w:pPr>
    </w:lvl>
    <w:lvl w:ilvl="8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D3"/>
    <w:rsid w:val="00001B77"/>
    <w:rsid w:val="0000517A"/>
    <w:rsid w:val="00031E72"/>
    <w:rsid w:val="000404D2"/>
    <w:rsid w:val="000853C0"/>
    <w:rsid w:val="000A1C21"/>
    <w:rsid w:val="000D15EA"/>
    <w:rsid w:val="000E1C96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3D35"/>
    <w:rsid w:val="002A6670"/>
    <w:rsid w:val="002F1823"/>
    <w:rsid w:val="00303502"/>
    <w:rsid w:val="00325C25"/>
    <w:rsid w:val="00345130"/>
    <w:rsid w:val="0035738F"/>
    <w:rsid w:val="00372C8F"/>
    <w:rsid w:val="00380ECE"/>
    <w:rsid w:val="00393DDF"/>
    <w:rsid w:val="00395F6C"/>
    <w:rsid w:val="00397F55"/>
    <w:rsid w:val="003B4454"/>
    <w:rsid w:val="003C2E37"/>
    <w:rsid w:val="003D1869"/>
    <w:rsid w:val="003F1415"/>
    <w:rsid w:val="0040144C"/>
    <w:rsid w:val="00403EB7"/>
    <w:rsid w:val="004133D9"/>
    <w:rsid w:val="00430BF0"/>
    <w:rsid w:val="004672E6"/>
    <w:rsid w:val="00474ED1"/>
    <w:rsid w:val="00493085"/>
    <w:rsid w:val="004972AC"/>
    <w:rsid w:val="004A1930"/>
    <w:rsid w:val="004A36EC"/>
    <w:rsid w:val="004B41A0"/>
    <w:rsid w:val="004C37D3"/>
    <w:rsid w:val="004D163F"/>
    <w:rsid w:val="004E4BFF"/>
    <w:rsid w:val="004F2598"/>
    <w:rsid w:val="00505CD2"/>
    <w:rsid w:val="005403F7"/>
    <w:rsid w:val="00540632"/>
    <w:rsid w:val="00541CF4"/>
    <w:rsid w:val="005451E8"/>
    <w:rsid w:val="005507F2"/>
    <w:rsid w:val="005755EE"/>
    <w:rsid w:val="005759CC"/>
    <w:rsid w:val="005A72E1"/>
    <w:rsid w:val="005C6632"/>
    <w:rsid w:val="005D1C9E"/>
    <w:rsid w:val="005D4408"/>
    <w:rsid w:val="006121E0"/>
    <w:rsid w:val="006308FA"/>
    <w:rsid w:val="00654257"/>
    <w:rsid w:val="0065435A"/>
    <w:rsid w:val="006838D0"/>
    <w:rsid w:val="006A2DD3"/>
    <w:rsid w:val="006A5AF8"/>
    <w:rsid w:val="006C36CD"/>
    <w:rsid w:val="006E1599"/>
    <w:rsid w:val="00700D1F"/>
    <w:rsid w:val="007205CB"/>
    <w:rsid w:val="00726073"/>
    <w:rsid w:val="00733C9D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B7AC4"/>
    <w:rsid w:val="008E5A4E"/>
    <w:rsid w:val="009164A9"/>
    <w:rsid w:val="009258CB"/>
    <w:rsid w:val="0093362E"/>
    <w:rsid w:val="00944563"/>
    <w:rsid w:val="0094667F"/>
    <w:rsid w:val="009513E0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435CF"/>
    <w:rsid w:val="00A5354B"/>
    <w:rsid w:val="00A71B57"/>
    <w:rsid w:val="00A751CA"/>
    <w:rsid w:val="00A92A21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E6FA0"/>
    <w:rsid w:val="00BF416B"/>
    <w:rsid w:val="00C17756"/>
    <w:rsid w:val="00C376BF"/>
    <w:rsid w:val="00C627ED"/>
    <w:rsid w:val="00C64E4E"/>
    <w:rsid w:val="00C66E64"/>
    <w:rsid w:val="00C761A0"/>
    <w:rsid w:val="00C85F7E"/>
    <w:rsid w:val="00C90D53"/>
    <w:rsid w:val="00CB760B"/>
    <w:rsid w:val="00CD47F0"/>
    <w:rsid w:val="00CD5566"/>
    <w:rsid w:val="00CD64D7"/>
    <w:rsid w:val="00CD75A0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17"/>
    <w:rsid w:val="00D9725C"/>
    <w:rsid w:val="00DA7006"/>
    <w:rsid w:val="00DC6427"/>
    <w:rsid w:val="00DC6CEF"/>
    <w:rsid w:val="00DD66A1"/>
    <w:rsid w:val="00DE196D"/>
    <w:rsid w:val="00DF6B49"/>
    <w:rsid w:val="00E067C5"/>
    <w:rsid w:val="00E265BF"/>
    <w:rsid w:val="00E378D8"/>
    <w:rsid w:val="00E43A12"/>
    <w:rsid w:val="00E63AB1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41780"/>
    <w:rsid w:val="00F705DF"/>
    <w:rsid w:val="00F70622"/>
    <w:rsid w:val="00F85624"/>
    <w:rsid w:val="00F87C05"/>
    <w:rsid w:val="00F93191"/>
    <w:rsid w:val="00F93A17"/>
    <w:rsid w:val="00FA2AF6"/>
    <w:rsid w:val="00FB073D"/>
    <w:rsid w:val="00FB6056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F2C6805-E280-4352-9F82-4629A72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HTMLPreformatted">
    <w:name w:val="HTML Preformatted"/>
    <w:basedOn w:val="Normal"/>
    <w:link w:val="HTMLPreformattedChar"/>
    <w:semiHidden/>
    <w:unhideWhenUsed/>
    <w:rsid w:val="00FB6056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B6056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28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00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8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203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16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9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891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05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7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46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62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907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96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23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5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59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99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80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75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35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43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47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6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rec.aspx?rec=13686&amp;lang=z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rec.aspx?rec=136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Conferences/WTDC/WTDC17/Documents/WTDC17_final_report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5-CL-C-0109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0DE5-E917-49DB-BAB0-B51B4BB3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0</TotalTime>
  <Pages>3</Pages>
  <Words>1148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Janin, Patricia</cp:lastModifiedBy>
  <cp:revision>3</cp:revision>
  <cp:lastPrinted>2015-02-24T13:23:00Z</cp:lastPrinted>
  <dcterms:created xsi:type="dcterms:W3CDTF">2019-06-04T14:52:00Z</dcterms:created>
  <dcterms:modified xsi:type="dcterms:W3CDTF">2019-06-04T14:52:00Z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