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EA6B78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67DDB" w:rsidRPr="00567DDB">
              <w:rPr>
                <w:b/>
                <w:bCs/>
                <w:lang w:bidi="ar-EG"/>
              </w:rPr>
              <w:t>PL</w:t>
            </w:r>
            <w:r w:rsidR="00EA6B78">
              <w:rPr>
                <w:b/>
                <w:bCs/>
                <w:lang w:bidi="ar-EG"/>
              </w:rPr>
              <w:t> </w:t>
            </w:r>
            <w:r w:rsidR="00567DDB" w:rsidRPr="00567DDB">
              <w:rPr>
                <w:b/>
                <w:bCs/>
                <w:lang w:bidi="ar-EG"/>
              </w:rPr>
              <w:t>1.5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567DD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567DDB">
              <w:rPr>
                <w:b/>
                <w:bCs/>
                <w:lang w:bidi="ar-SY"/>
              </w:rPr>
              <w:t>103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67DDB" w:rsidP="00567DD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67DDB">
              <w:rPr>
                <w:b/>
                <w:bCs/>
                <w:lang w:bidi="ar-SY"/>
              </w:rPr>
              <w:t>27</w:t>
            </w:r>
            <w:r w:rsidR="00290728" w:rsidRPr="00567DD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67DD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67DD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4F29F9" w:rsidRDefault="00567DDB" w:rsidP="00290728">
            <w:pPr>
              <w:pStyle w:val="Source"/>
              <w:rPr>
                <w:rtl/>
                <w:lang w:bidi="ar-SY"/>
              </w:rPr>
            </w:pPr>
            <w:r w:rsidRPr="004F29F9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4F29F9" w:rsidRDefault="00567DDB" w:rsidP="004F29F9">
            <w:pPr>
              <w:pStyle w:val="Title1"/>
              <w:rPr>
                <w:rtl/>
              </w:rPr>
            </w:pPr>
            <w:r w:rsidRPr="004F29F9">
              <w:rPr>
                <w:rFonts w:hint="cs"/>
                <w:rtl/>
              </w:rPr>
              <w:t xml:space="preserve">مساهمة من الإمارات العربية المتحدة </w:t>
            </w:r>
            <w:r w:rsidR="004F29F9" w:rsidRPr="004F29F9">
              <w:rPr>
                <w:rFonts w:hint="cs"/>
                <w:rtl/>
                <w:lang w:bidi="ar-EG"/>
              </w:rPr>
              <w:t>و</w:t>
            </w:r>
            <w:r w:rsidRPr="004F29F9">
              <w:rPr>
                <w:rFonts w:hint="cs"/>
                <w:rtl/>
              </w:rPr>
              <w:t>المملكة العربية السعودية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2209CA" w:rsidP="003F19A1">
            <w:pPr>
              <w:pStyle w:val="Title2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تحديث المبادئ التوجيهية بشأن </w:t>
            </w:r>
            <w:r w:rsidR="004F29F9">
              <w:rPr>
                <w:rFonts w:hint="cs"/>
                <w:rtl/>
              </w:rPr>
              <w:t>حماية الأطفال على الخط</w:t>
            </w:r>
          </w:p>
        </w:tc>
      </w:tr>
    </w:tbl>
    <w:p w:rsidR="00567DDB" w:rsidRPr="00567DDB" w:rsidRDefault="00567DDB" w:rsidP="00EA6B78">
      <w:pPr>
        <w:spacing w:before="840"/>
        <w:rPr>
          <w:rtl/>
        </w:rPr>
      </w:pPr>
      <w:r w:rsidRPr="004F29F9">
        <w:rPr>
          <w:rtl/>
        </w:rPr>
        <w:t>ي</w:t>
      </w:r>
      <w:r w:rsidR="003F19A1">
        <w:rPr>
          <w:rFonts w:hint="cs"/>
          <w:rtl/>
        </w:rPr>
        <w:t>ُ</w:t>
      </w:r>
      <w:r w:rsidRPr="004F29F9">
        <w:rPr>
          <w:rtl/>
        </w:rPr>
        <w:t>شرفّني أن أ</w:t>
      </w:r>
      <w:r w:rsidR="003F19A1">
        <w:rPr>
          <w:rFonts w:hint="cs"/>
          <w:rtl/>
        </w:rPr>
        <w:t>ُ</w:t>
      </w:r>
      <w:r w:rsidRPr="004F29F9">
        <w:rPr>
          <w:rtl/>
        </w:rPr>
        <w:t xml:space="preserve">حيل إلى الدول الأعضاء في المجلس مساهمة </w:t>
      </w:r>
      <w:r w:rsidRPr="004F29F9">
        <w:rPr>
          <w:rFonts w:hint="cs"/>
          <w:rtl/>
        </w:rPr>
        <w:t>مقدمة</w:t>
      </w:r>
      <w:r w:rsidRPr="004F29F9">
        <w:rPr>
          <w:rtl/>
        </w:rPr>
        <w:t xml:space="preserve"> من </w:t>
      </w:r>
      <w:r w:rsidRPr="00907B1B">
        <w:rPr>
          <w:rtl/>
        </w:rPr>
        <w:t>الإمارات العربية المتحدة</w:t>
      </w:r>
      <w:r w:rsidRPr="00907B1B">
        <w:rPr>
          <w:rFonts w:hint="cs"/>
          <w:rtl/>
        </w:rPr>
        <w:t xml:space="preserve"> والمملكة العربية السعودية</w:t>
      </w:r>
      <w:r w:rsidRPr="004F29F9">
        <w:rPr>
          <w:rFonts w:hint="cs"/>
          <w:b/>
          <w:bCs/>
          <w:rtl/>
        </w:rPr>
        <w:t>.</w:t>
      </w:r>
    </w:p>
    <w:p w:rsidR="00567DDB" w:rsidRPr="00567DDB" w:rsidRDefault="00567DDB" w:rsidP="00567DDB">
      <w:pPr>
        <w:tabs>
          <w:tab w:val="clear" w:pos="794"/>
          <w:tab w:val="left" w:pos="1134"/>
        </w:tabs>
        <w:spacing w:before="1440"/>
        <w:ind w:left="5103"/>
        <w:jc w:val="center"/>
        <w:rPr>
          <w:rtl/>
        </w:rPr>
      </w:pPr>
      <w:r w:rsidRPr="00567DDB">
        <w:rPr>
          <w:rFonts w:eastAsia="Times New Roman" w:hint="cs"/>
          <w:rtl/>
          <w:lang w:eastAsia="en-US" w:bidi="ar-EG"/>
        </w:rPr>
        <w:t>هولين جاو</w:t>
      </w:r>
      <w:r w:rsidRPr="00567DDB">
        <w:rPr>
          <w:rFonts w:eastAsia="Times New Roman"/>
          <w:rtl/>
          <w:lang w:eastAsia="en-US" w:bidi="ar-EG"/>
        </w:rPr>
        <w:br/>
      </w:r>
      <w:r w:rsidRPr="00567DDB">
        <w:rPr>
          <w:rFonts w:eastAsia="Times New Roman" w:hint="cs"/>
          <w:rtl/>
          <w:lang w:eastAsia="en-US" w:bidi="ar-EG"/>
        </w:rPr>
        <w:t>الأمين العام</w:t>
      </w:r>
    </w:p>
    <w:p w:rsidR="00567DDB" w:rsidRDefault="00567DDB" w:rsidP="002154EE">
      <w:pPr>
        <w:rPr>
          <w:rtl/>
        </w:rPr>
      </w:pPr>
      <w:r>
        <w:rPr>
          <w:rtl/>
        </w:rPr>
        <w:br w:type="page"/>
      </w:r>
    </w:p>
    <w:p w:rsidR="00567DDB" w:rsidRPr="004E46A5" w:rsidRDefault="00567DDB" w:rsidP="004F29F9">
      <w:pPr>
        <w:pStyle w:val="Source"/>
        <w:rPr>
          <w:highlight w:val="lightGray"/>
          <w:rtl/>
        </w:rPr>
      </w:pPr>
      <w:r w:rsidRPr="004F29F9">
        <w:rPr>
          <w:rFonts w:hint="cs"/>
          <w:rtl/>
        </w:rPr>
        <w:lastRenderedPageBreak/>
        <w:t>مسا</w:t>
      </w:r>
      <w:r w:rsidR="004F29F9" w:rsidRPr="004F29F9">
        <w:rPr>
          <w:rFonts w:hint="cs"/>
          <w:rtl/>
        </w:rPr>
        <w:t>همة من الإمارات العربية المتحدة</w:t>
      </w:r>
      <w:r w:rsidRPr="004F29F9">
        <w:rPr>
          <w:rFonts w:hint="cs"/>
          <w:rtl/>
        </w:rPr>
        <w:t xml:space="preserve"> </w:t>
      </w:r>
      <w:r w:rsidR="004F29F9" w:rsidRPr="004F29F9">
        <w:rPr>
          <w:rFonts w:hint="cs"/>
          <w:rtl/>
        </w:rPr>
        <w:t>و</w:t>
      </w:r>
      <w:r w:rsidRPr="004F29F9">
        <w:rPr>
          <w:rFonts w:hint="cs"/>
          <w:rtl/>
        </w:rPr>
        <w:t>المملكة العربية السعودية</w:t>
      </w:r>
    </w:p>
    <w:p w:rsidR="00567DDB" w:rsidRPr="004F29F9" w:rsidRDefault="004F29F9" w:rsidP="003F19A1">
      <w:pPr>
        <w:pStyle w:val="Title2"/>
        <w:rPr>
          <w:rtl/>
        </w:rPr>
      </w:pPr>
      <w:r w:rsidRPr="004F29F9">
        <w:rPr>
          <w:rFonts w:hint="cs"/>
          <w:rtl/>
        </w:rPr>
        <w:t xml:space="preserve">تحديث المبادئ التوجيهية </w:t>
      </w:r>
      <w:r w:rsidR="002A674A">
        <w:rPr>
          <w:rFonts w:hint="cs"/>
          <w:rtl/>
        </w:rPr>
        <w:t xml:space="preserve">بشأن </w:t>
      </w:r>
      <w:r w:rsidRPr="004F29F9">
        <w:rPr>
          <w:rFonts w:hint="cs"/>
          <w:rtl/>
        </w:rPr>
        <w:t>حماية الأطفال على الخط</w:t>
      </w:r>
    </w:p>
    <w:p w:rsidR="004F29F9" w:rsidRDefault="004F29F9" w:rsidP="00CA14BB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9C6B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4F29F9" w:rsidP="00A5323D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تقدم هذه الوثيقة لمحة عامة عن </w:t>
            </w:r>
            <w:r w:rsidR="00ED17CF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جهود</w:t>
            </w:r>
            <w:r w:rsidR="00ED17CF">
              <w:rPr>
                <w:rFonts w:hint="cs"/>
                <w:rtl/>
                <w:lang w:bidi="ar-EG"/>
              </w:rPr>
              <w:t xml:space="preserve"> التي يبذلها</w:t>
            </w:r>
            <w:r>
              <w:rPr>
                <w:rFonts w:hint="cs"/>
                <w:rtl/>
                <w:lang w:bidi="ar-EG"/>
              </w:rPr>
              <w:t xml:space="preserve"> الاتحاد الدولي للاتصالات </w:t>
            </w:r>
            <w:r w:rsidR="00F13A6C">
              <w:rPr>
                <w:rFonts w:hint="cs"/>
                <w:rtl/>
                <w:lang w:bidi="ar-EG"/>
              </w:rPr>
              <w:t xml:space="preserve">بشأن حماية الأطفال على الخط </w:t>
            </w:r>
            <w:r>
              <w:rPr>
                <w:rFonts w:hint="cs"/>
                <w:rtl/>
                <w:lang w:bidi="ar-EG"/>
              </w:rPr>
              <w:t>بما</w:t>
            </w:r>
            <w:r w:rsidR="00A5323D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في</w:t>
            </w:r>
            <w:r w:rsidR="00A5323D">
              <w:rPr>
                <w:rFonts w:hint="eastAsia"/>
                <w:rtl/>
                <w:lang w:bidi="ar-EG"/>
              </w:rPr>
              <w:t> </w:t>
            </w:r>
            <w:r w:rsidR="002209CA">
              <w:rPr>
                <w:rFonts w:hint="cs"/>
                <w:rtl/>
                <w:lang w:bidi="ar-EG"/>
              </w:rPr>
              <w:t>ذلك المبادئ التوجيهية التي وضعها</w:t>
            </w:r>
            <w:r w:rsidR="00F13A6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منذ عامين</w:t>
            </w:r>
            <w:r w:rsidR="00F13A6C">
              <w:rPr>
                <w:rFonts w:hint="cs"/>
                <w:rtl/>
                <w:lang w:bidi="ar-EG"/>
              </w:rPr>
              <w:t xml:space="preserve"> بهذا الشأن،</w:t>
            </w:r>
            <w:r>
              <w:rPr>
                <w:rFonts w:hint="cs"/>
                <w:rtl/>
                <w:lang w:bidi="ar-EG"/>
              </w:rPr>
              <w:t xml:space="preserve"> والمبادرة المتعلقة بالاستماع المأمون.</w:t>
            </w:r>
          </w:p>
          <w:p w:rsidR="00290728" w:rsidRPr="00290728" w:rsidRDefault="00290728" w:rsidP="009C6B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3F19A1" w:rsidP="00A5323D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توجيه </w:t>
            </w:r>
            <w:r w:rsidR="00F13A6C">
              <w:rPr>
                <w:rFonts w:hint="cs"/>
                <w:rtl/>
                <w:lang w:bidi="ar-SY"/>
              </w:rPr>
              <w:t>طلب إلى مكتب تنمية الاتصالات</w:t>
            </w:r>
            <w:r>
              <w:rPr>
                <w:rFonts w:hint="cs"/>
                <w:rtl/>
                <w:lang w:bidi="ar-SY"/>
              </w:rPr>
              <w:t xml:space="preserve"> من أجل</w:t>
            </w:r>
            <w:r w:rsidR="00F13A6C">
              <w:rPr>
                <w:rFonts w:hint="cs"/>
                <w:rtl/>
                <w:lang w:bidi="ar-SY"/>
              </w:rPr>
              <w:t xml:space="preserve"> تحديث المبادئ التوجيهية المشار إليها لتتضمن التحديات المتصلة ب</w:t>
            </w:r>
            <w:r w:rsidR="00183277">
              <w:rPr>
                <w:rFonts w:hint="cs"/>
                <w:rtl/>
                <w:lang w:bidi="ar-EG"/>
              </w:rPr>
              <w:t xml:space="preserve">استخدام </w:t>
            </w:r>
            <w:r w:rsidR="00F13A6C">
              <w:rPr>
                <w:rFonts w:hint="cs"/>
                <w:rtl/>
                <w:lang w:bidi="ar-SY"/>
              </w:rPr>
              <w:t>التكنولوجيات الجديدة، بما</w:t>
            </w:r>
            <w:r w:rsidR="00A5323D">
              <w:rPr>
                <w:rFonts w:hint="eastAsia"/>
                <w:rtl/>
                <w:lang w:bidi="ar-SY"/>
              </w:rPr>
              <w:t> </w:t>
            </w:r>
            <w:r w:rsidR="00F13A6C">
              <w:rPr>
                <w:rFonts w:hint="cs"/>
                <w:rtl/>
                <w:lang w:bidi="ar-SY"/>
              </w:rPr>
              <w:t>في</w:t>
            </w:r>
            <w:r w:rsidR="00A5323D">
              <w:rPr>
                <w:rFonts w:hint="eastAsia"/>
                <w:rtl/>
                <w:lang w:bidi="ar-SY"/>
              </w:rPr>
              <w:t> </w:t>
            </w:r>
            <w:r w:rsidR="00F13A6C">
              <w:rPr>
                <w:rFonts w:hint="cs"/>
                <w:rtl/>
                <w:lang w:bidi="ar-SY"/>
              </w:rPr>
              <w:t>ذلك موضوع "الاستماع المأمون".</w:t>
            </w:r>
          </w:p>
          <w:p w:rsidR="00290728" w:rsidRDefault="00290728" w:rsidP="003F19A1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9C6BA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F24991" w:rsidP="00A5323D">
            <w:pPr>
              <w:rPr>
                <w:lang w:bidi="ar-EG"/>
              </w:rPr>
            </w:pPr>
            <w:hyperlink r:id="rId9" w:history="1"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567DDB" w:rsidRPr="004F29F9">
                <w:rPr>
                  <w:rStyle w:val="Hyperlink"/>
                  <w:i/>
                  <w:iCs/>
                  <w:lang w:bidi="ar-SY"/>
                </w:rPr>
                <w:t>179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567DDB" w:rsidRPr="004F29F9">
                <w:rPr>
                  <w:rStyle w:val="Hyperlink"/>
                  <w:i/>
                  <w:iCs/>
                  <w:lang w:bidi="ar-EG"/>
                </w:rPr>
                <w:t>2018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567DDB" w:rsidRPr="004F29F9">
              <w:rPr>
                <w:rFonts w:hint="cs"/>
                <w:rtl/>
                <w:lang w:bidi="ar-EG"/>
              </w:rPr>
              <w:t xml:space="preserve">، </w:t>
            </w:r>
            <w:hyperlink r:id="rId10" w:history="1"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قرار المجلس </w:t>
              </w:r>
              <w:r w:rsidR="00567DDB" w:rsidRPr="004F29F9">
                <w:rPr>
                  <w:rStyle w:val="Hyperlink"/>
                  <w:i/>
                  <w:iCs/>
                  <w:lang w:bidi="ar-EG"/>
                </w:rPr>
                <w:t>1306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</w:t>
              </w:r>
              <w:r w:rsidR="004F29F9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معدّل، </w:t>
              </w:r>
              <w:r w:rsidR="00567DDB" w:rsidRPr="004F29F9">
                <w:rPr>
                  <w:rStyle w:val="Hyperlink"/>
                  <w:i/>
                  <w:iCs/>
                  <w:lang w:bidi="ar-EG"/>
                </w:rPr>
                <w:t>2015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4F29F9" w:rsidRPr="004F29F9">
              <w:rPr>
                <w:rFonts w:hint="cs"/>
                <w:rtl/>
              </w:rPr>
              <w:t xml:space="preserve">، </w:t>
            </w:r>
            <w:hyperlink r:id="rId11" w:history="1"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567DDB" w:rsidRPr="004F29F9">
                <w:rPr>
                  <w:rStyle w:val="Hyperlink"/>
                  <w:i/>
                  <w:iCs/>
                  <w:lang w:bidi="ar-EG"/>
                </w:rPr>
                <w:t>67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بوينس آيرس، </w:t>
              </w:r>
              <w:r w:rsidR="00567DDB" w:rsidRPr="004F29F9">
                <w:rPr>
                  <w:rStyle w:val="Hyperlink"/>
                  <w:i/>
                  <w:iCs/>
                  <w:lang w:bidi="ar-EG"/>
                </w:rPr>
                <w:t>2017</w:t>
              </w:r>
              <w:r w:rsidR="00567DDB" w:rsidRP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  <w:r w:rsidR="004F29F9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للمؤتمر العالمي لتنمية الاتصالات</w:t>
              </w:r>
              <w:r w:rsidR="00A5323D" w:rsidRPr="004F29F9">
                <w:rPr>
                  <w:rFonts w:hint="cs"/>
                  <w:rtl/>
                </w:rPr>
                <w:t>،</w:t>
              </w:r>
            </w:hyperlink>
            <w:r w:rsidR="004F29F9" w:rsidRPr="004F29F9">
              <w:rPr>
                <w:rStyle w:val="Hyperlink"/>
                <w:rFonts w:hint="cs"/>
                <w:i/>
                <w:iCs/>
                <w:u w:val="none"/>
                <w:rtl/>
                <w:lang w:bidi="ar-EG"/>
              </w:rPr>
              <w:t xml:space="preserve"> </w:t>
            </w:r>
            <w:hyperlink r:id="rId12" w:history="1">
              <w:r w:rsidR="004F29F9" w:rsidRPr="00CA14B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التوصية</w:t>
              </w:r>
              <w:r w:rsidR="00567DDB" w:rsidRPr="00CA14BB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="00567DDB" w:rsidRPr="00CA14BB">
                <w:rPr>
                  <w:rStyle w:val="Hyperlink"/>
                  <w:i/>
                  <w:iCs/>
                  <w:lang w:bidi="ar-EG"/>
                </w:rPr>
                <w:t>ITU-T.H.870</w:t>
              </w:r>
            </w:hyperlink>
          </w:p>
        </w:tc>
      </w:tr>
    </w:tbl>
    <w:p w:rsidR="00567DDB" w:rsidRDefault="00567DDB" w:rsidP="00586D6F">
      <w:pPr>
        <w:pStyle w:val="Headingb"/>
        <w:spacing w:before="480"/>
        <w:rPr>
          <w:lang w:bidi="ar-EG"/>
        </w:rPr>
      </w:pPr>
      <w:r>
        <w:rPr>
          <w:rFonts w:hint="cs"/>
          <w:rtl/>
          <w:lang w:bidi="ar-SY"/>
        </w:rPr>
        <w:t>مقدمة</w:t>
      </w:r>
    </w:p>
    <w:p w:rsidR="00567DDB" w:rsidRDefault="004C2919" w:rsidP="00607EF0">
      <w:pPr>
        <w:rPr>
          <w:rtl/>
          <w:lang w:bidi="ar-SY"/>
        </w:rPr>
      </w:pPr>
      <w:r>
        <w:rPr>
          <w:rFonts w:hint="cs"/>
          <w:rtl/>
          <w:lang w:bidi="ar-SY"/>
        </w:rPr>
        <w:t>يضطلع الاتحاد الدولي للاتصالات بدور رئيسي في حماية الأطفال على الخط. ف</w:t>
      </w:r>
      <w:r w:rsidRPr="004C2919">
        <w:rPr>
          <w:rFonts w:hint="cs"/>
          <w:rtl/>
          <w:lang w:bidi="ar-SY"/>
        </w:rPr>
        <w:t>القرار</w:t>
      </w:r>
      <w:r w:rsidR="00A5323D">
        <w:rPr>
          <w:rFonts w:hint="eastAsia"/>
          <w:rtl/>
          <w:lang w:bidi="ar-SY"/>
        </w:rPr>
        <w:t> </w:t>
      </w:r>
      <w:r w:rsidRPr="004C2919">
        <w:rPr>
          <w:lang w:bidi="ar-SY"/>
        </w:rPr>
        <w:t>179</w:t>
      </w:r>
      <w:r w:rsidRPr="004C2919">
        <w:rPr>
          <w:rFonts w:hint="cs"/>
          <w:rtl/>
          <w:lang w:bidi="ar-EG"/>
        </w:rPr>
        <w:t xml:space="preserve"> (المراجَع في دبي،</w:t>
      </w:r>
      <w:r w:rsidR="00A5323D">
        <w:rPr>
          <w:rFonts w:hint="eastAsia"/>
          <w:rtl/>
          <w:lang w:bidi="ar-EG"/>
        </w:rPr>
        <w:t> </w:t>
      </w:r>
      <w:r w:rsidRPr="004C2919">
        <w:rPr>
          <w:lang w:bidi="ar-SY"/>
        </w:rPr>
        <w:t>2018</w:t>
      </w:r>
      <w:r w:rsidRPr="004C2919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لمؤتمر المندوبين المفوضين</w:t>
      </w:r>
      <w:r w:rsidRPr="004C291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4C2919">
        <w:rPr>
          <w:rFonts w:hint="cs"/>
          <w:rtl/>
          <w:lang w:bidi="ar-EG"/>
        </w:rPr>
        <w:t>قرار المجلس</w:t>
      </w:r>
      <w:r w:rsidR="00A5323D">
        <w:rPr>
          <w:rFonts w:hint="eastAsia"/>
          <w:rtl/>
          <w:lang w:bidi="ar-EG"/>
        </w:rPr>
        <w:t> </w:t>
      </w:r>
      <w:r w:rsidRPr="004C2919">
        <w:rPr>
          <w:lang w:bidi="ar-SY"/>
        </w:rPr>
        <w:t>1306</w:t>
      </w:r>
      <w:r w:rsidRPr="004C2919">
        <w:rPr>
          <w:rFonts w:hint="cs"/>
          <w:rtl/>
          <w:lang w:bidi="ar-EG"/>
        </w:rPr>
        <w:t xml:space="preserve"> (المعدّل،</w:t>
      </w:r>
      <w:r w:rsidR="00A5323D">
        <w:rPr>
          <w:rFonts w:hint="eastAsia"/>
          <w:rtl/>
          <w:lang w:bidi="ar-EG"/>
        </w:rPr>
        <w:t> </w:t>
      </w:r>
      <w:r w:rsidRPr="004C2919">
        <w:rPr>
          <w:lang w:bidi="ar-SY"/>
        </w:rPr>
        <w:t>2015</w:t>
      </w:r>
      <w:r w:rsidRPr="004C2919">
        <w:rPr>
          <w:rFonts w:hint="cs"/>
          <w:rtl/>
          <w:lang w:bidi="ar-EG"/>
        </w:rPr>
        <w:t>)</w:t>
      </w:r>
      <w:r>
        <w:rPr>
          <w:rFonts w:hint="cs"/>
          <w:rtl/>
        </w:rPr>
        <w:t xml:space="preserve"> و</w:t>
      </w:r>
      <w:r w:rsidRPr="004C2919">
        <w:rPr>
          <w:rFonts w:hint="cs"/>
          <w:rtl/>
          <w:lang w:bidi="ar-EG"/>
        </w:rPr>
        <w:t>القرار</w:t>
      </w:r>
      <w:r w:rsidR="00A5323D">
        <w:rPr>
          <w:rFonts w:hint="eastAsia"/>
          <w:rtl/>
          <w:lang w:bidi="ar-EG"/>
        </w:rPr>
        <w:t> </w:t>
      </w:r>
      <w:r w:rsidRPr="004C2919">
        <w:rPr>
          <w:lang w:bidi="ar-SY"/>
        </w:rPr>
        <w:t>67</w:t>
      </w:r>
      <w:r w:rsidRPr="004C2919">
        <w:rPr>
          <w:rFonts w:hint="cs"/>
          <w:rtl/>
          <w:lang w:bidi="ar-EG"/>
        </w:rPr>
        <w:t xml:space="preserve"> (المراجَع في بوينس</w:t>
      </w:r>
      <w:r w:rsidR="00A5323D">
        <w:rPr>
          <w:rFonts w:hint="eastAsia"/>
          <w:rtl/>
          <w:lang w:bidi="ar-EG"/>
        </w:rPr>
        <w:t> </w:t>
      </w:r>
      <w:r w:rsidRPr="004C2919">
        <w:rPr>
          <w:rFonts w:hint="cs"/>
          <w:rtl/>
          <w:lang w:bidi="ar-EG"/>
        </w:rPr>
        <w:t xml:space="preserve">آيرس، </w:t>
      </w:r>
      <w:r w:rsidRPr="004C2919">
        <w:rPr>
          <w:lang w:bidi="ar-SY"/>
        </w:rPr>
        <w:t>2017</w:t>
      </w:r>
      <w:r w:rsidRPr="004C2919">
        <w:rPr>
          <w:rFonts w:hint="cs"/>
          <w:rtl/>
          <w:lang w:bidi="ar-EG"/>
        </w:rPr>
        <w:t>) للمؤتمر العالمي لتنمية الاتصالات</w:t>
      </w:r>
      <w:r>
        <w:rPr>
          <w:rFonts w:hint="cs"/>
          <w:rtl/>
          <w:lang w:bidi="ar-EG"/>
        </w:rPr>
        <w:t xml:space="preserve"> تدلل بوضوح على التزام الاتحاد بحماية الأطفال من المخاطر المتصلة باستخدامهم تكنولوجيا المعلومات والاتصالات. </w:t>
      </w:r>
      <w:r w:rsidR="00ED17CF">
        <w:rPr>
          <w:rFonts w:hint="cs"/>
          <w:rtl/>
          <w:lang w:bidi="ar-EG"/>
        </w:rPr>
        <w:t>و</w:t>
      </w:r>
      <w:r w:rsidR="003F0C2B">
        <w:rPr>
          <w:rFonts w:hint="cs"/>
          <w:rtl/>
          <w:lang w:bidi="ar-EG"/>
        </w:rPr>
        <w:t>أطلق الاتحاد في</w:t>
      </w:r>
      <w:r w:rsidR="00A5323D">
        <w:rPr>
          <w:rFonts w:hint="eastAsia"/>
          <w:rtl/>
          <w:lang w:bidi="ar-EG"/>
        </w:rPr>
        <w:t> </w:t>
      </w:r>
      <w:r w:rsidR="003F0C2B">
        <w:rPr>
          <w:rFonts w:hint="cs"/>
          <w:rtl/>
          <w:lang w:bidi="ar-EG"/>
        </w:rPr>
        <w:t xml:space="preserve">عام </w:t>
      </w:r>
      <w:r w:rsidR="003F0C2B">
        <w:rPr>
          <w:lang w:val="es-ES" w:bidi="ar-EG"/>
        </w:rPr>
        <w:t>2008</w:t>
      </w:r>
      <w:r w:rsidR="003F0C2B">
        <w:rPr>
          <w:rFonts w:hint="cs"/>
          <w:rtl/>
          <w:lang w:bidi="ar-EG"/>
        </w:rPr>
        <w:t xml:space="preserve"> مبادرة حماية الأطفال على الخط</w:t>
      </w:r>
      <w:r w:rsidR="00A5323D">
        <w:rPr>
          <w:rFonts w:hint="eastAsia"/>
          <w:rtl/>
          <w:lang w:bidi="ar-EG"/>
        </w:rPr>
        <w:t> </w:t>
      </w:r>
      <w:r w:rsidR="003F0C2B">
        <w:rPr>
          <w:lang w:val="es-ES" w:bidi="ar-EG"/>
        </w:rPr>
        <w:t>(COP)</w:t>
      </w:r>
      <w:r w:rsidR="003F0C2B">
        <w:rPr>
          <w:rFonts w:hint="cs"/>
          <w:rtl/>
          <w:lang w:bidi="ar-EG"/>
        </w:rPr>
        <w:t xml:space="preserve"> ليجمع شركاءه من </w:t>
      </w:r>
      <w:r w:rsidR="005F6D85">
        <w:rPr>
          <w:rFonts w:hint="cs"/>
          <w:rtl/>
          <w:lang w:bidi="ar-EG"/>
        </w:rPr>
        <w:t>شت</w:t>
      </w:r>
      <w:r w:rsidR="00A5323D">
        <w:rPr>
          <w:rFonts w:hint="cs"/>
          <w:rtl/>
          <w:lang w:bidi="ar-EG"/>
        </w:rPr>
        <w:t>ّ</w:t>
      </w:r>
      <w:r w:rsidR="005F6D85">
        <w:rPr>
          <w:rFonts w:hint="cs"/>
          <w:rtl/>
          <w:lang w:bidi="ar-EG"/>
        </w:rPr>
        <w:t>ى</w:t>
      </w:r>
      <w:r w:rsidR="003F0C2B">
        <w:rPr>
          <w:rFonts w:hint="cs"/>
          <w:rtl/>
          <w:lang w:bidi="ar-EG"/>
        </w:rPr>
        <w:t xml:space="preserve"> أنحاء العالم بهدف تهيئة بيئة وتجربة </w:t>
      </w:r>
      <w:r w:rsidR="003F19A1">
        <w:rPr>
          <w:rFonts w:hint="cs"/>
          <w:rtl/>
          <w:lang w:bidi="ar-EG"/>
        </w:rPr>
        <w:t>أكثر أماناً</w:t>
      </w:r>
      <w:r w:rsidR="003F0C2B">
        <w:rPr>
          <w:rFonts w:hint="cs"/>
          <w:rtl/>
          <w:lang w:bidi="ar-EG"/>
        </w:rPr>
        <w:t xml:space="preserve"> للأطفال على الخط. و</w:t>
      </w:r>
      <w:r w:rsidR="00ED17CF">
        <w:rPr>
          <w:rFonts w:hint="cs"/>
          <w:rtl/>
          <w:lang w:bidi="ar-EG"/>
        </w:rPr>
        <w:t xml:space="preserve">قد </w:t>
      </w:r>
      <w:r w:rsidR="003F0C2B">
        <w:rPr>
          <w:rFonts w:hint="cs"/>
          <w:rtl/>
          <w:lang w:bidi="ar-EG"/>
        </w:rPr>
        <w:t xml:space="preserve">أسفرت هذه المبادرة عن وضع أربعة مبادئ توجيهية دولية بشأن حماية الأطفال على الخط تستهدف الأطفال والآباء والتربويين ودوائر الصناعة </w:t>
      </w:r>
      <w:r w:rsidR="003F19A1">
        <w:rPr>
          <w:rFonts w:hint="cs"/>
          <w:rtl/>
          <w:lang w:bidi="ar-EG"/>
        </w:rPr>
        <w:t>وواضعي</w:t>
      </w:r>
      <w:r w:rsidR="003F0C2B">
        <w:rPr>
          <w:rFonts w:hint="cs"/>
          <w:rtl/>
          <w:lang w:bidi="ar-EG"/>
        </w:rPr>
        <w:t xml:space="preserve"> السياسات، صدرت معظمها </w:t>
      </w:r>
      <w:r w:rsidR="00607EF0">
        <w:rPr>
          <w:rFonts w:hint="cs"/>
          <w:rtl/>
          <w:lang w:bidi="ar-EG"/>
        </w:rPr>
        <w:t>باللغات الرسمية الست</w:t>
      </w:r>
      <w:r w:rsidR="003F0C2B">
        <w:rPr>
          <w:rFonts w:hint="cs"/>
          <w:rtl/>
          <w:lang w:bidi="ar-EG"/>
        </w:rPr>
        <w:t xml:space="preserve"> </w:t>
      </w:r>
      <w:r w:rsidR="00607EF0">
        <w:rPr>
          <w:rFonts w:hint="cs"/>
          <w:rtl/>
          <w:lang w:bidi="ar-EG"/>
        </w:rPr>
        <w:t>للاتحاد</w:t>
      </w:r>
      <w:r w:rsidR="00A5323D">
        <w:rPr>
          <w:rFonts w:hint="cs"/>
          <w:rtl/>
          <w:lang w:bidi="ar-EG"/>
        </w:rPr>
        <w:t>.</w:t>
      </w:r>
    </w:p>
    <w:p w:rsidR="00567DDB" w:rsidRDefault="004F29F9" w:rsidP="009C6BA8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ال</w:t>
      </w:r>
      <w:r w:rsidR="00567DDB">
        <w:rPr>
          <w:rFonts w:hint="cs"/>
          <w:rtl/>
          <w:lang w:bidi="ar-SY"/>
        </w:rPr>
        <w:t>مناقشة</w:t>
      </w:r>
    </w:p>
    <w:p w:rsidR="00567DDB" w:rsidRPr="00A5323D" w:rsidRDefault="0080631B" w:rsidP="00A5323D">
      <w:pPr>
        <w:rPr>
          <w:spacing w:val="2"/>
          <w:rtl/>
          <w:lang w:bidi="ar-EG"/>
        </w:rPr>
      </w:pPr>
      <w:r w:rsidRPr="00A5323D">
        <w:rPr>
          <w:rFonts w:hint="cs"/>
          <w:spacing w:val="2"/>
          <w:rtl/>
          <w:lang w:bidi="ar-SY"/>
        </w:rPr>
        <w:t xml:space="preserve">شهدت التكنولوجيا تقدماً هائلاً في العقد الأخير وتعرّف الناس على تكنولوجيات جديدة </w:t>
      </w:r>
      <w:r w:rsidRPr="00A5323D">
        <w:rPr>
          <w:rFonts w:hint="cs"/>
          <w:spacing w:val="2"/>
          <w:rtl/>
          <w:lang w:bidi="ar-EG"/>
        </w:rPr>
        <w:t xml:space="preserve">كالواقع </w:t>
      </w:r>
      <w:r w:rsidR="003F19A1" w:rsidRPr="00A5323D">
        <w:rPr>
          <w:rFonts w:hint="cs"/>
          <w:spacing w:val="2"/>
          <w:rtl/>
          <w:lang w:bidi="ar-EG"/>
        </w:rPr>
        <w:t>المزيد</w:t>
      </w:r>
      <w:r w:rsidRPr="00A5323D">
        <w:rPr>
          <w:rFonts w:hint="cs"/>
          <w:spacing w:val="2"/>
          <w:rtl/>
          <w:lang w:bidi="ar-EG"/>
        </w:rPr>
        <w:t xml:space="preserve"> والواقع الافتراضي</w:t>
      </w:r>
      <w:r w:rsidR="005F6D85" w:rsidRPr="00A5323D">
        <w:rPr>
          <w:rFonts w:hint="cs"/>
          <w:spacing w:val="2"/>
          <w:rtl/>
          <w:lang w:bidi="ar-EG"/>
        </w:rPr>
        <w:t xml:space="preserve">، </w:t>
      </w:r>
      <w:r w:rsidR="00ED17CF" w:rsidRPr="00A5323D">
        <w:rPr>
          <w:rFonts w:hint="cs"/>
          <w:spacing w:val="2"/>
          <w:rtl/>
          <w:lang w:bidi="ar-EG"/>
        </w:rPr>
        <w:t>وأصبح بعضها شائعاً كالطائرات دون طيار.</w:t>
      </w:r>
      <w:r w:rsidRPr="00A5323D">
        <w:rPr>
          <w:rFonts w:hint="cs"/>
          <w:spacing w:val="2"/>
          <w:rtl/>
          <w:lang w:bidi="ar-EG"/>
        </w:rPr>
        <w:t xml:space="preserve"> </w:t>
      </w:r>
      <w:r w:rsidR="00ED17CF" w:rsidRPr="00A5323D">
        <w:rPr>
          <w:rFonts w:hint="cs"/>
          <w:spacing w:val="2"/>
          <w:rtl/>
          <w:lang w:bidi="ar-EG"/>
        </w:rPr>
        <w:t>وقد جلبت هذه التكنولوجيات معها للعالم ال</w:t>
      </w:r>
      <w:r w:rsidR="005F6D85" w:rsidRPr="00A5323D">
        <w:rPr>
          <w:rFonts w:hint="cs"/>
          <w:spacing w:val="2"/>
          <w:rtl/>
          <w:lang w:bidi="ar-EG"/>
        </w:rPr>
        <w:t>عديد من الفرص</w:t>
      </w:r>
      <w:r w:rsidR="007363B2" w:rsidRPr="00A5323D">
        <w:rPr>
          <w:rFonts w:hint="cs"/>
          <w:spacing w:val="2"/>
          <w:rtl/>
          <w:lang w:bidi="ar-EG"/>
        </w:rPr>
        <w:t xml:space="preserve"> </w:t>
      </w:r>
      <w:r w:rsidR="005F6D85" w:rsidRPr="00A5323D">
        <w:rPr>
          <w:rFonts w:hint="cs"/>
          <w:spacing w:val="2"/>
          <w:rtl/>
          <w:lang w:bidi="ar-EG"/>
        </w:rPr>
        <w:t>والمخاطر أيضاً</w:t>
      </w:r>
      <w:r w:rsidR="00ED17CF" w:rsidRPr="00A5323D">
        <w:rPr>
          <w:rFonts w:hint="cs"/>
          <w:spacing w:val="2"/>
          <w:rtl/>
          <w:lang w:bidi="ar-EG"/>
        </w:rPr>
        <w:t xml:space="preserve"> للبالغين والأطفال على حد سواء. ورغم </w:t>
      </w:r>
      <w:r w:rsidR="002A674A" w:rsidRPr="00A5323D">
        <w:rPr>
          <w:rFonts w:hint="cs"/>
          <w:spacing w:val="2"/>
          <w:rtl/>
          <w:lang w:bidi="ar-EG"/>
        </w:rPr>
        <w:t xml:space="preserve">شمول المبادئ التوجيهية بشأن </w:t>
      </w:r>
      <w:r w:rsidR="00ED17CF" w:rsidRPr="00A5323D">
        <w:rPr>
          <w:rFonts w:hint="cs"/>
          <w:spacing w:val="2"/>
          <w:rtl/>
          <w:lang w:bidi="ar-EG"/>
        </w:rPr>
        <w:t>حماية الأطفال على الخط التي وضعها الاتحاد، لم تُحدَّث منها</w:t>
      </w:r>
      <w:r w:rsidR="002A674A" w:rsidRPr="00A5323D">
        <w:rPr>
          <w:rFonts w:hint="cs"/>
          <w:spacing w:val="2"/>
          <w:rtl/>
          <w:lang w:bidi="ar-EG"/>
        </w:rPr>
        <w:t xml:space="preserve"> </w:t>
      </w:r>
      <w:r w:rsidR="00ED17CF" w:rsidRPr="00A5323D">
        <w:rPr>
          <w:rFonts w:hint="cs"/>
          <w:spacing w:val="2"/>
          <w:rtl/>
          <w:lang w:bidi="ar-EG"/>
        </w:rPr>
        <w:t xml:space="preserve">سوى المبادئ التوجيهية </w:t>
      </w:r>
      <w:r w:rsidR="002A674A" w:rsidRPr="00A5323D">
        <w:rPr>
          <w:rFonts w:hint="cs"/>
          <w:spacing w:val="2"/>
          <w:rtl/>
          <w:lang w:bidi="ar-EG"/>
        </w:rPr>
        <w:t>للأطفال والآباء في عام</w:t>
      </w:r>
      <w:r w:rsidR="00A5323D" w:rsidRPr="00A5323D">
        <w:rPr>
          <w:rFonts w:hint="eastAsia"/>
          <w:spacing w:val="2"/>
          <w:rtl/>
          <w:lang w:bidi="ar-EG"/>
        </w:rPr>
        <w:t> </w:t>
      </w:r>
      <w:r w:rsidR="002A674A" w:rsidRPr="00A5323D">
        <w:rPr>
          <w:spacing w:val="2"/>
          <w:lang w:val="es-ES" w:bidi="ar-EG"/>
        </w:rPr>
        <w:t>2016</w:t>
      </w:r>
      <w:r w:rsidR="00187C98" w:rsidRPr="00A5323D">
        <w:rPr>
          <w:rFonts w:hint="cs"/>
          <w:spacing w:val="2"/>
          <w:rtl/>
          <w:lang w:val="es-ES" w:bidi="ar-EG"/>
        </w:rPr>
        <w:t>، وهو آخر تحديث</w:t>
      </w:r>
      <w:r w:rsidR="002A674A" w:rsidRPr="00A5323D">
        <w:rPr>
          <w:rFonts w:hint="cs"/>
          <w:spacing w:val="2"/>
          <w:rtl/>
          <w:lang w:bidi="ar-EG"/>
        </w:rPr>
        <w:t>، وباللغة الإنكليزية فحسب، بينما</w:t>
      </w:r>
      <w:r w:rsidR="00A5323D" w:rsidRPr="00A5323D">
        <w:rPr>
          <w:rFonts w:hint="eastAsia"/>
          <w:spacing w:val="2"/>
          <w:rtl/>
          <w:lang w:bidi="ar-EG"/>
        </w:rPr>
        <w:t> </w:t>
      </w:r>
      <w:r w:rsidR="002A674A" w:rsidRPr="00A5323D">
        <w:rPr>
          <w:rFonts w:hint="cs"/>
          <w:spacing w:val="2"/>
          <w:rtl/>
          <w:lang w:bidi="ar-EG"/>
        </w:rPr>
        <w:t>يرجع تاريخ هذه المبادئ بسائر اللغات</w:t>
      </w:r>
      <w:r w:rsidR="005F6D85" w:rsidRPr="00A5323D">
        <w:rPr>
          <w:rFonts w:hint="cs"/>
          <w:spacing w:val="2"/>
          <w:rtl/>
          <w:lang w:bidi="ar-EG"/>
        </w:rPr>
        <w:t xml:space="preserve"> الرسمية</w:t>
      </w:r>
      <w:r w:rsidR="002A674A" w:rsidRPr="00A5323D">
        <w:rPr>
          <w:rFonts w:hint="cs"/>
          <w:spacing w:val="2"/>
          <w:rtl/>
          <w:lang w:bidi="ar-EG"/>
        </w:rPr>
        <w:t xml:space="preserve"> فضلاً عن المبادئ التوجيهية لدوائر الصناعة </w:t>
      </w:r>
      <w:r w:rsidR="003F19A1" w:rsidRPr="00A5323D">
        <w:rPr>
          <w:rFonts w:hint="cs"/>
          <w:spacing w:val="2"/>
          <w:rtl/>
          <w:lang w:bidi="ar-EG"/>
        </w:rPr>
        <w:t>وواضعي</w:t>
      </w:r>
      <w:r w:rsidR="002A674A" w:rsidRPr="00A5323D">
        <w:rPr>
          <w:rFonts w:hint="cs"/>
          <w:spacing w:val="2"/>
          <w:rtl/>
          <w:lang w:bidi="ar-EG"/>
        </w:rPr>
        <w:t xml:space="preserve"> السياسات إلى عام</w:t>
      </w:r>
      <w:r w:rsidR="00A5323D" w:rsidRPr="00A5323D">
        <w:rPr>
          <w:rFonts w:hint="eastAsia"/>
          <w:spacing w:val="2"/>
          <w:rtl/>
          <w:lang w:bidi="ar-EG"/>
        </w:rPr>
        <w:t> </w:t>
      </w:r>
      <w:r w:rsidR="002A674A" w:rsidRPr="00A5323D">
        <w:rPr>
          <w:spacing w:val="2"/>
          <w:lang w:val="es-ES" w:bidi="ar-EG"/>
        </w:rPr>
        <w:t>2009</w:t>
      </w:r>
      <w:r w:rsidR="002A674A" w:rsidRPr="00A5323D">
        <w:rPr>
          <w:rFonts w:hint="cs"/>
          <w:spacing w:val="2"/>
          <w:rtl/>
          <w:lang w:bidi="ar-EG"/>
        </w:rPr>
        <w:t>. وفي ظل التحديات المصاحبة ل</w:t>
      </w:r>
      <w:r w:rsidR="00F03F69" w:rsidRPr="00A5323D">
        <w:rPr>
          <w:rFonts w:hint="cs"/>
          <w:spacing w:val="2"/>
          <w:rtl/>
          <w:lang w:bidi="ar-EG"/>
        </w:rPr>
        <w:t>استعمال ا</w:t>
      </w:r>
      <w:r w:rsidR="002A674A" w:rsidRPr="00A5323D">
        <w:rPr>
          <w:rFonts w:hint="cs"/>
          <w:spacing w:val="2"/>
          <w:rtl/>
          <w:lang w:bidi="ar-EG"/>
        </w:rPr>
        <w:t>لتكنولوجيات والخدمات الجديدة، نرى أنه ينبغي تحديث هذه المبادئ التوجيهية</w:t>
      </w:r>
      <w:r w:rsidR="007363B2" w:rsidRPr="00A5323D">
        <w:rPr>
          <w:rFonts w:hint="cs"/>
          <w:spacing w:val="2"/>
          <w:rtl/>
          <w:lang w:bidi="ar-EG"/>
        </w:rPr>
        <w:t xml:space="preserve"> بجميع اللغات الست</w:t>
      </w:r>
      <w:r w:rsidR="002A674A" w:rsidRPr="00A5323D">
        <w:rPr>
          <w:rFonts w:hint="cs"/>
          <w:spacing w:val="2"/>
          <w:rtl/>
          <w:lang w:bidi="ar-EG"/>
        </w:rPr>
        <w:t xml:space="preserve"> لتتضمن تلك التحديات</w:t>
      </w:r>
      <w:bookmarkStart w:id="1" w:name="_GoBack"/>
      <w:bookmarkEnd w:id="1"/>
      <w:r w:rsidR="000A529F" w:rsidRPr="00A5323D">
        <w:rPr>
          <w:rFonts w:hint="cs"/>
          <w:spacing w:val="2"/>
          <w:rtl/>
          <w:lang w:bidi="ar-EG"/>
        </w:rPr>
        <w:t>.</w:t>
      </w:r>
    </w:p>
    <w:p w:rsidR="004E46A5" w:rsidRDefault="002A674A" w:rsidP="00A5323D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وإضافة</w:t>
      </w:r>
      <w:r w:rsidR="00915115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</w:t>
      </w:r>
      <w:r w:rsidR="005F6D85">
        <w:rPr>
          <w:rFonts w:hint="cs"/>
          <w:rtl/>
          <w:lang w:bidi="ar-EG"/>
        </w:rPr>
        <w:t xml:space="preserve">ى التكنولوجيات المذكورة أعلاه، يشكل خطر فقدان السمع </w:t>
      </w:r>
      <w:r w:rsidR="00915115">
        <w:rPr>
          <w:rFonts w:hint="cs"/>
          <w:rtl/>
          <w:lang w:bidi="ar-EG"/>
        </w:rPr>
        <w:t>نتيجةً</w:t>
      </w:r>
      <w:r w:rsidR="005F6D85">
        <w:rPr>
          <w:rFonts w:hint="cs"/>
          <w:rtl/>
          <w:lang w:bidi="ar-EG"/>
        </w:rPr>
        <w:t xml:space="preserve"> </w:t>
      </w:r>
      <w:r w:rsidR="00915115">
        <w:rPr>
          <w:rFonts w:hint="cs"/>
          <w:rtl/>
          <w:lang w:bidi="ar-EG"/>
        </w:rPr>
        <w:t>ل</w:t>
      </w:r>
      <w:r w:rsidR="005F6D85">
        <w:rPr>
          <w:rFonts w:hint="cs"/>
          <w:rtl/>
          <w:lang w:bidi="ar-EG"/>
        </w:rPr>
        <w:t>ممارسات الاستماع غير</w:t>
      </w:r>
      <w:r w:rsidR="00A5323D">
        <w:rPr>
          <w:rFonts w:hint="eastAsia"/>
          <w:rtl/>
          <w:lang w:bidi="ar-EG"/>
        </w:rPr>
        <w:t> </w:t>
      </w:r>
      <w:r w:rsidR="005F6D85">
        <w:rPr>
          <w:rFonts w:hint="cs"/>
          <w:rtl/>
          <w:lang w:bidi="ar-EG"/>
        </w:rPr>
        <w:t>المأمونة أحد التحديات التي يمكن إدماجها في المبادئ التوجيهية. فتزايد إمكانية نفاذ ا</w:t>
      </w:r>
      <w:r w:rsidR="004022B5">
        <w:rPr>
          <w:rFonts w:hint="cs"/>
          <w:rtl/>
          <w:lang w:bidi="ar-EG"/>
        </w:rPr>
        <w:t>لأطفال إلى الأجهزة الذكية وطول المدد</w:t>
      </w:r>
      <w:r w:rsidR="005F6D85">
        <w:rPr>
          <w:rFonts w:hint="cs"/>
          <w:rtl/>
          <w:lang w:bidi="ar-EG"/>
        </w:rPr>
        <w:t xml:space="preserve"> الزمنية التي يقضونها في الاستماع إلى الموسيقى أو</w:t>
      </w:r>
      <w:r w:rsidR="00A5323D">
        <w:rPr>
          <w:rFonts w:hint="eastAsia"/>
          <w:rtl/>
          <w:lang w:bidi="ar-EG"/>
        </w:rPr>
        <w:t> </w:t>
      </w:r>
      <w:r w:rsidR="005F6D85">
        <w:rPr>
          <w:rFonts w:hint="cs"/>
          <w:rtl/>
          <w:lang w:bidi="ar-EG"/>
        </w:rPr>
        <w:t xml:space="preserve">مشاهدة </w:t>
      </w:r>
      <w:r w:rsidR="003F19A1">
        <w:rPr>
          <w:rFonts w:hint="cs"/>
          <w:rtl/>
          <w:lang w:bidi="ar-EG"/>
        </w:rPr>
        <w:t>تسجيلات الفيديو</w:t>
      </w:r>
      <w:r w:rsidR="005F6D85">
        <w:rPr>
          <w:rFonts w:hint="cs"/>
          <w:rtl/>
          <w:lang w:bidi="ar-EG"/>
        </w:rPr>
        <w:t xml:space="preserve"> بصوت عالٍ يعرّضهم لخطر بدني ألا</w:t>
      </w:r>
      <w:r w:rsidR="00A5323D">
        <w:rPr>
          <w:rFonts w:hint="eastAsia"/>
          <w:rtl/>
          <w:lang w:bidi="ar-EG"/>
        </w:rPr>
        <w:t> </w:t>
      </w:r>
      <w:r w:rsidR="005F6D85">
        <w:rPr>
          <w:rFonts w:hint="cs"/>
          <w:rtl/>
          <w:lang w:bidi="ar-EG"/>
        </w:rPr>
        <w:t xml:space="preserve">وهو فقدان السمع. </w:t>
      </w:r>
      <w:r w:rsidR="004022B5">
        <w:rPr>
          <w:rFonts w:hint="cs"/>
          <w:rtl/>
          <w:lang w:bidi="ar-EG"/>
        </w:rPr>
        <w:t>ف</w:t>
      </w:r>
      <w:r w:rsidR="005F6D85">
        <w:rPr>
          <w:rFonts w:hint="cs"/>
          <w:rtl/>
          <w:lang w:bidi="ar-EG"/>
        </w:rPr>
        <w:t xml:space="preserve">وفقاً لتقديرات منظمة الصحة </w:t>
      </w:r>
      <w:r w:rsidR="00915115">
        <w:rPr>
          <w:rFonts w:hint="cs"/>
          <w:rtl/>
          <w:lang w:bidi="ar-EG"/>
        </w:rPr>
        <w:t>ا</w:t>
      </w:r>
      <w:r w:rsidR="005F6D85">
        <w:rPr>
          <w:rFonts w:hint="cs"/>
          <w:rtl/>
          <w:lang w:bidi="ar-EG"/>
        </w:rPr>
        <w:t>لعالمية</w:t>
      </w:r>
      <w:r w:rsidR="00A5323D">
        <w:rPr>
          <w:rFonts w:hint="eastAsia"/>
          <w:rtl/>
          <w:lang w:bidi="ar-EG"/>
        </w:rPr>
        <w:t> </w:t>
      </w:r>
      <w:r w:rsidR="005F6D85">
        <w:rPr>
          <w:lang w:val="es-ES" w:bidi="ar-EG"/>
        </w:rPr>
        <w:t>(WHO)</w:t>
      </w:r>
      <w:r w:rsidR="005F6D85">
        <w:rPr>
          <w:rFonts w:hint="cs"/>
          <w:rtl/>
          <w:lang w:bidi="ar-EG"/>
        </w:rPr>
        <w:t xml:space="preserve">، قد </w:t>
      </w:r>
      <w:r w:rsidR="004022B5">
        <w:rPr>
          <w:rFonts w:hint="cs"/>
          <w:rtl/>
          <w:lang w:bidi="ar-EG"/>
        </w:rPr>
        <w:t>يضر هذا الخطر ب</w:t>
      </w:r>
      <w:r w:rsidR="005F6D85">
        <w:rPr>
          <w:rFonts w:hint="cs"/>
          <w:rtl/>
          <w:lang w:bidi="ar-EG"/>
        </w:rPr>
        <w:t xml:space="preserve">أكثر من مليار شاب وشابة في جميع أنحاء العالم. وسعياً من الاتحاد إلى التصدي </w:t>
      </w:r>
      <w:r w:rsidR="00915115">
        <w:rPr>
          <w:rFonts w:hint="cs"/>
          <w:rtl/>
          <w:lang w:bidi="ar-EG"/>
        </w:rPr>
        <w:t>له</w:t>
      </w:r>
      <w:r w:rsidR="005F6D85">
        <w:rPr>
          <w:rFonts w:hint="cs"/>
          <w:rtl/>
          <w:lang w:bidi="ar-EG"/>
        </w:rPr>
        <w:t xml:space="preserve">، </w:t>
      </w:r>
      <w:r w:rsidR="009C2943">
        <w:rPr>
          <w:rFonts w:hint="cs"/>
          <w:rtl/>
          <w:lang w:bidi="ar-EG"/>
        </w:rPr>
        <w:t xml:space="preserve">فقد أعدّ، </w:t>
      </w:r>
      <w:r w:rsidR="005F6D85">
        <w:rPr>
          <w:rFonts w:hint="cs"/>
          <w:rtl/>
          <w:lang w:bidi="ar-EG"/>
        </w:rPr>
        <w:t>ب</w:t>
      </w:r>
      <w:r w:rsidR="009C2943">
        <w:rPr>
          <w:rFonts w:hint="cs"/>
          <w:rtl/>
          <w:lang w:bidi="ar-EG"/>
        </w:rPr>
        <w:t>ال</w:t>
      </w:r>
      <w:r w:rsidR="005F6D85">
        <w:rPr>
          <w:rFonts w:hint="cs"/>
          <w:rtl/>
          <w:lang w:bidi="ar-EG"/>
        </w:rPr>
        <w:t xml:space="preserve">تعاون </w:t>
      </w:r>
      <w:r w:rsidR="009C2943">
        <w:rPr>
          <w:rFonts w:hint="cs"/>
          <w:rtl/>
          <w:lang w:bidi="ar-EG"/>
        </w:rPr>
        <w:t>ال</w:t>
      </w:r>
      <w:r w:rsidR="005F6D85">
        <w:rPr>
          <w:rFonts w:hint="cs"/>
          <w:rtl/>
          <w:lang w:bidi="ar-EG"/>
        </w:rPr>
        <w:t xml:space="preserve">وثيق مع منظمة الصحة العالمية، توصية جديدة </w:t>
      </w:r>
      <w:r w:rsidR="003F19A1">
        <w:rPr>
          <w:rFonts w:hint="cs"/>
          <w:rtl/>
          <w:lang w:bidi="ar-EG"/>
        </w:rPr>
        <w:t>تتضمن</w:t>
      </w:r>
      <w:r w:rsidR="005F6D85" w:rsidRPr="002D28DB">
        <w:rPr>
          <w:rFonts w:hint="cs"/>
          <w:rtl/>
          <w:lang w:bidi="ar-EG"/>
        </w:rPr>
        <w:t xml:space="preserve"> </w:t>
      </w:r>
      <w:r w:rsidR="005F6D85" w:rsidRPr="002D28DB">
        <w:rPr>
          <w:rFonts w:ascii="Simplified Arabic" w:hAnsi="Simplified Arabic" w:cs="Simplified Arabic" w:hint="cs"/>
          <w:b/>
          <w:bCs/>
          <w:color w:val="444444"/>
          <w:sz w:val="28"/>
          <w:szCs w:val="28"/>
          <w:rtl/>
          <w:lang w:bidi="ar-EG"/>
        </w:rPr>
        <w:t>"</w:t>
      </w:r>
      <w:r w:rsidR="002D28DB" w:rsidRPr="002D28DB">
        <w:rPr>
          <w:rFonts w:hint="cs"/>
          <w:rtl/>
          <w:lang w:bidi="ar-EG"/>
        </w:rPr>
        <w:t>المبادئ</w:t>
      </w:r>
      <w:r w:rsidR="004E46A5" w:rsidRPr="002D28DB">
        <w:rPr>
          <w:rtl/>
        </w:rPr>
        <w:t xml:space="preserve"> </w:t>
      </w:r>
      <w:r w:rsidR="002D28DB" w:rsidRPr="002D28DB">
        <w:rPr>
          <w:rFonts w:hint="cs"/>
          <w:rtl/>
        </w:rPr>
        <w:t>ال</w:t>
      </w:r>
      <w:r w:rsidR="004E46A5" w:rsidRPr="002D28DB">
        <w:rPr>
          <w:rtl/>
        </w:rPr>
        <w:t xml:space="preserve">توجيهية </w:t>
      </w:r>
      <w:r w:rsidR="002D28DB" w:rsidRPr="002D28DB">
        <w:rPr>
          <w:rFonts w:hint="cs"/>
          <w:rtl/>
        </w:rPr>
        <w:t xml:space="preserve">من أجل </w:t>
      </w:r>
      <w:r w:rsidR="004E46A5" w:rsidRPr="002D28DB">
        <w:rPr>
          <w:rtl/>
        </w:rPr>
        <w:t>أجهزة/أنظمة السمع الآمن</w:t>
      </w:r>
      <w:r w:rsidR="002D28DB" w:rsidRPr="002D28DB">
        <w:rPr>
          <w:rFonts w:hint="cs"/>
          <w:rtl/>
        </w:rPr>
        <w:t>"</w:t>
      </w:r>
      <w:r w:rsidR="00717A30">
        <w:rPr>
          <w:rFonts w:hint="cs"/>
          <w:rtl/>
        </w:rPr>
        <w:t xml:space="preserve">، وهي </w:t>
      </w:r>
      <w:r w:rsidR="004E46A5" w:rsidRPr="002D28DB">
        <w:rPr>
          <w:rtl/>
        </w:rPr>
        <w:t xml:space="preserve">التوصية </w:t>
      </w:r>
      <w:hyperlink r:id="rId13" w:history="1">
        <w:r w:rsidR="004E46A5" w:rsidRPr="002D28DB">
          <w:rPr>
            <w:rStyle w:val="Hyperlink"/>
          </w:rPr>
          <w:t>ITU-T H.870</w:t>
        </w:r>
      </w:hyperlink>
      <w:r w:rsidR="00717A30">
        <w:rPr>
          <w:rFonts w:hint="cs"/>
          <w:rtl/>
        </w:rPr>
        <w:t xml:space="preserve"> التي </w:t>
      </w:r>
      <w:r w:rsidR="00095D31">
        <w:rPr>
          <w:rFonts w:hint="cs"/>
          <w:rtl/>
        </w:rPr>
        <w:t>"</w:t>
      </w:r>
      <w:r w:rsidR="00717A30">
        <w:rPr>
          <w:rFonts w:hint="cs"/>
          <w:rtl/>
        </w:rPr>
        <w:t xml:space="preserve">تبيّن </w:t>
      </w:r>
      <w:r w:rsidR="004E46A5" w:rsidRPr="002D28DB">
        <w:rPr>
          <w:rtl/>
        </w:rPr>
        <w:t>المتطلبات</w:t>
      </w:r>
      <w:r w:rsidR="00717A30">
        <w:rPr>
          <w:rFonts w:hint="cs"/>
          <w:rtl/>
        </w:rPr>
        <w:t xml:space="preserve"> المتعلقة</w:t>
      </w:r>
      <w:r w:rsidR="004E46A5" w:rsidRPr="002D28DB">
        <w:rPr>
          <w:rtl/>
        </w:rPr>
        <w:t xml:space="preserve"> ب</w:t>
      </w:r>
      <w:r w:rsidR="00915115">
        <w:rPr>
          <w:rtl/>
        </w:rPr>
        <w:t xml:space="preserve">أجهزة وأنظمة السمع </w:t>
      </w:r>
      <w:r w:rsidR="00915115">
        <w:rPr>
          <w:rFonts w:hint="cs"/>
          <w:rtl/>
        </w:rPr>
        <w:t>المأمونة</w:t>
      </w:r>
      <w:r w:rsidR="004E46A5" w:rsidRPr="002D28DB">
        <w:rPr>
          <w:rtl/>
        </w:rPr>
        <w:t>، المعروفة باسم الأنظمة</w:t>
      </w:r>
      <w:r w:rsidR="007363B2">
        <w:rPr>
          <w:rtl/>
        </w:rPr>
        <w:t xml:space="preserve"> السمعية الشخصية/المحمولة، </w:t>
      </w:r>
      <w:r w:rsidR="007363B2">
        <w:rPr>
          <w:rFonts w:hint="cs"/>
          <w:rtl/>
        </w:rPr>
        <w:t>و</w:t>
      </w:r>
      <w:r w:rsidR="007363B2">
        <w:rPr>
          <w:rtl/>
        </w:rPr>
        <w:t>خاصة</w:t>
      </w:r>
      <w:r w:rsidR="004E46A5" w:rsidRPr="002D28DB">
        <w:rPr>
          <w:rtl/>
        </w:rPr>
        <w:t xml:space="preserve"> تلك المستخدمة في تشغيل الموسيقى، لحماية الأفراد من فقدان السمع</w:t>
      </w:r>
      <w:r w:rsidR="00095D31">
        <w:rPr>
          <w:rFonts w:hint="cs"/>
          <w:rtl/>
        </w:rPr>
        <w:t>"</w:t>
      </w:r>
      <w:r w:rsidR="00717A30">
        <w:rPr>
          <w:rFonts w:hint="cs"/>
          <w:rtl/>
        </w:rPr>
        <w:t>.</w:t>
      </w:r>
    </w:p>
    <w:p w:rsidR="004E46A5" w:rsidRDefault="004E46A5" w:rsidP="009C6BA8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المقترح</w:t>
      </w:r>
    </w:p>
    <w:p w:rsidR="004E46A5" w:rsidRDefault="00306350" w:rsidP="00A5323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تقترح الإمارات العربية المتحدة والمملكة العربية السعودية على المجلس أن يطلب إلى مديرة مكتب تنمية الاتصالات تحديث المبادئ التوجيهية للأطفال والآباء والتربويين ودوائر الصناعة </w:t>
      </w:r>
      <w:r w:rsidR="003F19A1">
        <w:rPr>
          <w:rFonts w:hint="cs"/>
          <w:rtl/>
          <w:lang w:bidi="ar-EG"/>
        </w:rPr>
        <w:t>وواضعي</w:t>
      </w:r>
      <w:r>
        <w:rPr>
          <w:rFonts w:hint="cs"/>
          <w:rtl/>
          <w:lang w:bidi="ar-EG"/>
        </w:rPr>
        <w:t xml:space="preserve"> السياسات بشأن حماية الأطفال على الخط، حسب الاقتضاء، لتتضمن المخاطر الجديدة </w:t>
      </w:r>
      <w:r w:rsidR="00164C97">
        <w:rPr>
          <w:rFonts w:hint="cs"/>
          <w:rtl/>
          <w:lang w:bidi="ar-EG"/>
        </w:rPr>
        <w:t xml:space="preserve">التي نشأت </w:t>
      </w:r>
      <w:r w:rsidR="00915115">
        <w:rPr>
          <w:rFonts w:hint="cs"/>
          <w:rtl/>
          <w:lang w:bidi="ar-EG"/>
        </w:rPr>
        <w:t xml:space="preserve">مع </w:t>
      </w:r>
      <w:r w:rsidR="00164C97">
        <w:rPr>
          <w:rFonts w:hint="cs"/>
          <w:rtl/>
          <w:lang w:bidi="ar-EG"/>
        </w:rPr>
        <w:t xml:space="preserve">نشوء التكنولوجيات والخدمات الجديدة، </w:t>
      </w:r>
      <w:r w:rsidR="00915115">
        <w:rPr>
          <w:rFonts w:hint="cs"/>
          <w:rtl/>
          <w:lang w:bidi="ar-EG"/>
        </w:rPr>
        <w:t xml:space="preserve">فضلاً عن </w:t>
      </w:r>
      <w:r w:rsidR="00164C97">
        <w:rPr>
          <w:rFonts w:hint="cs"/>
          <w:rtl/>
          <w:lang w:bidi="ar-EG"/>
        </w:rPr>
        <w:t>السلوكيات غي</w:t>
      </w:r>
      <w:r w:rsidR="00915115">
        <w:rPr>
          <w:rFonts w:hint="cs"/>
          <w:rtl/>
          <w:lang w:bidi="ar-EG"/>
        </w:rPr>
        <w:t>ر</w:t>
      </w:r>
      <w:r w:rsidR="00A5323D">
        <w:rPr>
          <w:rFonts w:hint="eastAsia"/>
          <w:rtl/>
          <w:lang w:bidi="ar-EG"/>
        </w:rPr>
        <w:t> </w:t>
      </w:r>
      <w:r w:rsidR="00915115">
        <w:rPr>
          <w:rFonts w:hint="cs"/>
          <w:rtl/>
          <w:lang w:bidi="ar-EG"/>
        </w:rPr>
        <w:t>المأمونة التي تضر</w:t>
      </w:r>
      <w:r w:rsidR="00182001">
        <w:rPr>
          <w:rFonts w:hint="cs"/>
          <w:rtl/>
          <w:lang w:bidi="ar-EG"/>
        </w:rPr>
        <w:t xml:space="preserve"> بالأطفال، بهدف </w:t>
      </w:r>
      <w:r w:rsidR="00164C97">
        <w:rPr>
          <w:rFonts w:hint="cs"/>
          <w:rtl/>
          <w:lang w:bidi="ar-EG"/>
        </w:rPr>
        <w:t>توعيتهم.</w:t>
      </w:r>
    </w:p>
    <w:p w:rsidR="00164C97" w:rsidRDefault="007363B2" w:rsidP="00E86E23">
      <w:pPr>
        <w:rPr>
          <w:rtl/>
          <w:lang w:bidi="ar-EG"/>
        </w:rPr>
      </w:pPr>
      <w:r>
        <w:rPr>
          <w:rFonts w:hint="cs"/>
          <w:rtl/>
          <w:lang w:bidi="ar-EG"/>
        </w:rPr>
        <w:t>وتتطل</w:t>
      </w:r>
      <w:r w:rsidR="00164C97">
        <w:rPr>
          <w:rFonts w:hint="cs"/>
          <w:rtl/>
          <w:lang w:bidi="ar-EG"/>
        </w:rPr>
        <w:t>ع الإمارات العربية المتحدة بصفتها رئيس فريق العمل التابع للمجلس والمعني بحماية الأطفال على الخط إلى تلق</w:t>
      </w:r>
      <w:r w:rsidR="00182001">
        <w:rPr>
          <w:rFonts w:hint="cs"/>
          <w:rtl/>
          <w:lang w:bidi="ar-EG"/>
        </w:rPr>
        <w:t>ّ</w:t>
      </w:r>
      <w:r w:rsidR="00164C97">
        <w:rPr>
          <w:rFonts w:hint="cs"/>
          <w:rtl/>
          <w:lang w:bidi="ar-EG"/>
        </w:rPr>
        <w:t>ي المزيد من المساهمات بهذا الشأن</w:t>
      </w:r>
      <w:r w:rsidR="00182001">
        <w:rPr>
          <w:rFonts w:hint="cs"/>
          <w:rtl/>
          <w:lang w:bidi="ar-EG"/>
        </w:rPr>
        <w:t>،</w:t>
      </w:r>
      <w:r w:rsidR="00164C97">
        <w:rPr>
          <w:rFonts w:hint="cs"/>
          <w:rtl/>
          <w:lang w:bidi="ar-EG"/>
        </w:rPr>
        <w:t xml:space="preserve"> وستعمل مع جميع أصحاب المصلحة من أجل تحديث المبادئ التوجيهية ذات</w:t>
      </w:r>
      <w:r w:rsidR="00A5323D">
        <w:rPr>
          <w:rFonts w:hint="eastAsia"/>
          <w:rtl/>
          <w:lang w:bidi="ar-EG"/>
        </w:rPr>
        <w:t> </w:t>
      </w:r>
      <w:r w:rsidR="00164C97">
        <w:rPr>
          <w:rFonts w:hint="cs"/>
          <w:rtl/>
          <w:lang w:bidi="ar-EG"/>
        </w:rPr>
        <w:t>الصلة مع أخذ الابتكارات في</w:t>
      </w:r>
      <w:r w:rsidR="00586D6F">
        <w:rPr>
          <w:rFonts w:hint="eastAsia"/>
          <w:rtl/>
          <w:lang w:bidi="ar-EG"/>
        </w:rPr>
        <w:t> </w:t>
      </w:r>
      <w:r w:rsidR="00164C97">
        <w:rPr>
          <w:rFonts w:hint="cs"/>
          <w:rtl/>
          <w:lang w:bidi="ar-EG"/>
        </w:rPr>
        <w:t>الاعتبار بناء</w:t>
      </w:r>
      <w:r w:rsidR="00182001">
        <w:rPr>
          <w:rFonts w:hint="cs"/>
          <w:rtl/>
          <w:lang w:bidi="ar-EG"/>
        </w:rPr>
        <w:t>ً</w:t>
      </w:r>
      <w:r w:rsidR="00164C97">
        <w:rPr>
          <w:rFonts w:hint="cs"/>
          <w:rtl/>
          <w:lang w:bidi="ar-EG"/>
        </w:rPr>
        <w:t xml:space="preserve"> على ذلك.</w:t>
      </w:r>
    </w:p>
    <w:p w:rsidR="0074420E" w:rsidRDefault="00F24991" w:rsidP="00A5323D">
      <w:pPr>
        <w:spacing w:before="600"/>
        <w:jc w:val="center"/>
        <w:rPr>
          <w:rtl/>
          <w:lang w:bidi="ar-EG"/>
        </w:rPr>
      </w:pPr>
      <w:r>
        <w:rPr>
          <w:lang w:bidi="ar-SY"/>
        </w:rPr>
        <w:t>_____________________</w:t>
      </w:r>
    </w:p>
    <w:sectPr w:rsidR="0074420E" w:rsidSect="006C3242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2A" w:rsidRDefault="008F662A" w:rsidP="006C3242">
      <w:pPr>
        <w:spacing w:before="0" w:line="240" w:lineRule="auto"/>
      </w:pPr>
      <w:r>
        <w:separator/>
      </w:r>
    </w:p>
  </w:endnote>
  <w:endnote w:type="continuationSeparator" w:id="0">
    <w:p w:rsidR="008F662A" w:rsidRDefault="008F662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F24991" w:rsidRDefault="006C3242" w:rsidP="00567DD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CH"/>
      </w:rPr>
    </w:pP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instrText xml:space="preserve"> FILENAME \p \* MERGEFORMAT </w:instrText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586D6F" w:rsidRPr="00F24991">
      <w:rPr>
        <w:rFonts w:ascii="Calibri" w:hAnsi="Calibri" w:cs="Calibri"/>
        <w:noProof/>
        <w:color w:val="D9D9D9" w:themeColor="background1" w:themeShade="D9"/>
        <w:sz w:val="16"/>
        <w:szCs w:val="16"/>
        <w:lang w:val="fr-CH"/>
      </w:rPr>
      <w:t>P:\ARA\SG\CONSEIL\C19\100\103A.docx</w:t>
    </w:r>
    <w:r w:rsidRPr="00F249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 (</w:t>
    </w:r>
    <w:r w:rsidR="00567DDB"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456082</w:t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>)</w:t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F24991" w:rsidRPr="00F249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10.06.19</w:t>
    </w:r>
    <w:r w:rsidRPr="00F249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ab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F24991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586D6F" w:rsidRPr="00F24991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10.06.19</w:t>
    </w:r>
    <w:r w:rsidRPr="00F24991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2A" w:rsidRDefault="008F662A" w:rsidP="006C3242">
      <w:pPr>
        <w:spacing w:before="0" w:line="240" w:lineRule="auto"/>
      </w:pPr>
      <w:r>
        <w:separator/>
      </w:r>
    </w:p>
  </w:footnote>
  <w:footnote w:type="continuationSeparator" w:id="0">
    <w:p w:rsidR="008F662A" w:rsidRDefault="008F662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F24991" w:rsidP="00567DD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67DDB">
          <w:rPr>
            <w:rFonts w:cs="Calibri"/>
            <w:noProof/>
            <w:sz w:val="20"/>
            <w:szCs w:val="20"/>
          </w:rPr>
          <w:t>103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0"/>
    <w:rsid w:val="00090574"/>
    <w:rsid w:val="00095D31"/>
    <w:rsid w:val="000A529F"/>
    <w:rsid w:val="000C1C0E"/>
    <w:rsid w:val="000C548A"/>
    <w:rsid w:val="000E18CB"/>
    <w:rsid w:val="001406EB"/>
    <w:rsid w:val="00164C97"/>
    <w:rsid w:val="00182001"/>
    <w:rsid w:val="00183277"/>
    <w:rsid w:val="00187C98"/>
    <w:rsid w:val="001C0169"/>
    <w:rsid w:val="001D1D50"/>
    <w:rsid w:val="001D6745"/>
    <w:rsid w:val="001E446E"/>
    <w:rsid w:val="002154EE"/>
    <w:rsid w:val="002209CA"/>
    <w:rsid w:val="002276D2"/>
    <w:rsid w:val="0023283D"/>
    <w:rsid w:val="00271C43"/>
    <w:rsid w:val="00290728"/>
    <w:rsid w:val="002978F4"/>
    <w:rsid w:val="002A674A"/>
    <w:rsid w:val="002B028D"/>
    <w:rsid w:val="002D28DB"/>
    <w:rsid w:val="002E6541"/>
    <w:rsid w:val="00306350"/>
    <w:rsid w:val="00334924"/>
    <w:rsid w:val="003409BC"/>
    <w:rsid w:val="00357185"/>
    <w:rsid w:val="00383829"/>
    <w:rsid w:val="003F0C2B"/>
    <w:rsid w:val="003F19A1"/>
    <w:rsid w:val="003F4B29"/>
    <w:rsid w:val="004022B5"/>
    <w:rsid w:val="0042686F"/>
    <w:rsid w:val="004317D8"/>
    <w:rsid w:val="00434183"/>
    <w:rsid w:val="00443869"/>
    <w:rsid w:val="00447F32"/>
    <w:rsid w:val="004C2919"/>
    <w:rsid w:val="004E11DC"/>
    <w:rsid w:val="004E46A5"/>
    <w:rsid w:val="004F29F9"/>
    <w:rsid w:val="004F65B4"/>
    <w:rsid w:val="004F6F5E"/>
    <w:rsid w:val="005409AC"/>
    <w:rsid w:val="0055516A"/>
    <w:rsid w:val="00567DDB"/>
    <w:rsid w:val="0058491B"/>
    <w:rsid w:val="00586D6F"/>
    <w:rsid w:val="00592EA5"/>
    <w:rsid w:val="005A3170"/>
    <w:rsid w:val="005D75C0"/>
    <w:rsid w:val="005F0A60"/>
    <w:rsid w:val="005F6D85"/>
    <w:rsid w:val="00607EF0"/>
    <w:rsid w:val="00646A24"/>
    <w:rsid w:val="00677396"/>
    <w:rsid w:val="0069200F"/>
    <w:rsid w:val="006A65CB"/>
    <w:rsid w:val="006C3242"/>
    <w:rsid w:val="006C7CC0"/>
    <w:rsid w:val="006F63F7"/>
    <w:rsid w:val="007025C7"/>
    <w:rsid w:val="00706D7A"/>
    <w:rsid w:val="00717A30"/>
    <w:rsid w:val="00722F0D"/>
    <w:rsid w:val="007363B2"/>
    <w:rsid w:val="0074420E"/>
    <w:rsid w:val="00783E26"/>
    <w:rsid w:val="007C3BC7"/>
    <w:rsid w:val="007D4ACF"/>
    <w:rsid w:val="007F0787"/>
    <w:rsid w:val="0080631B"/>
    <w:rsid w:val="00810B7B"/>
    <w:rsid w:val="0082358A"/>
    <w:rsid w:val="008235CD"/>
    <w:rsid w:val="008247DE"/>
    <w:rsid w:val="00840B10"/>
    <w:rsid w:val="008513CB"/>
    <w:rsid w:val="008F662A"/>
    <w:rsid w:val="00907B1B"/>
    <w:rsid w:val="00915115"/>
    <w:rsid w:val="00923B0C"/>
    <w:rsid w:val="0094021C"/>
    <w:rsid w:val="00952F86"/>
    <w:rsid w:val="00982B28"/>
    <w:rsid w:val="009C2943"/>
    <w:rsid w:val="009C6BA8"/>
    <w:rsid w:val="009D313F"/>
    <w:rsid w:val="00A47A5A"/>
    <w:rsid w:val="00A5323D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A14BB"/>
    <w:rsid w:val="00CB460C"/>
    <w:rsid w:val="00CE2EE1"/>
    <w:rsid w:val="00CE3349"/>
    <w:rsid w:val="00CF3FFD"/>
    <w:rsid w:val="00D10CCF"/>
    <w:rsid w:val="00D2293D"/>
    <w:rsid w:val="00D77D0F"/>
    <w:rsid w:val="00DA1CF0"/>
    <w:rsid w:val="00DC1E02"/>
    <w:rsid w:val="00DC24B4"/>
    <w:rsid w:val="00DF16DC"/>
    <w:rsid w:val="00E45211"/>
    <w:rsid w:val="00E86E23"/>
    <w:rsid w:val="00E92863"/>
    <w:rsid w:val="00EA6B78"/>
    <w:rsid w:val="00EB796D"/>
    <w:rsid w:val="00ED17CF"/>
    <w:rsid w:val="00F03F69"/>
    <w:rsid w:val="00F058DC"/>
    <w:rsid w:val="00F13A6C"/>
    <w:rsid w:val="00F24991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2C4BC36-C1FD-4320-A8D3-196CF03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F19A1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36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recommendations/rec.aspx?rec=136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rec.aspx?rec=136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Conferences/WTDC/WTDC17/Documents/WTDC17_final_report_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5-CL-C-010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79-A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54D7-4E5E-4F03-8EA1-744EE98E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Arab Emirates and the Kingdom of Saudi Arabia - Updating the Child online protection guidelines</dc:title>
  <dc:subject>Council 2019</dc:subject>
  <dc:creator>Alnatoor, Ehsan</dc:creator>
  <cp:keywords>C2019, C19</cp:keywords>
  <dc:description/>
  <cp:lastModifiedBy>Brouard, Ricarda</cp:lastModifiedBy>
  <cp:revision>2</cp:revision>
  <cp:lastPrinted>2019-06-10T11:18:00Z</cp:lastPrinted>
  <dcterms:created xsi:type="dcterms:W3CDTF">2019-06-10T13:08:00Z</dcterms:created>
  <dcterms:modified xsi:type="dcterms:W3CDTF">2019-06-10T13:08:00Z</dcterms:modified>
</cp:coreProperties>
</file>