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E953EF" w:rsidP="00E953EF">
            <w:pPr>
              <w:spacing w:before="0"/>
              <w:rPr>
                <w:rFonts w:cs="Times"/>
                <w:b/>
                <w:bCs/>
                <w:szCs w:val="24"/>
                <w:lang w:val="fr-CH"/>
              </w:rPr>
            </w:pPr>
            <w:bookmarkStart w:id="2" w:name="dnum" w:colFirst="1" w:colLast="1"/>
            <w:bookmarkStart w:id="3" w:name="dmeeting" w:colFirst="0" w:colLast="0"/>
            <w:r w:rsidRPr="00E953EF">
              <w:rPr>
                <w:rFonts w:cs="Times"/>
                <w:b/>
                <w:bCs/>
                <w:szCs w:val="24"/>
              </w:rPr>
              <w:t>Point de l'ordre du jour: PL 1.4</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E953EF">
              <w:rPr>
                <w:b/>
                <w:bCs/>
              </w:rPr>
              <w:t>102</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E953EF" w:rsidP="00106B19">
            <w:pPr>
              <w:spacing w:before="0"/>
              <w:rPr>
                <w:b/>
                <w:bCs/>
              </w:rPr>
            </w:pPr>
            <w:r>
              <w:rPr>
                <w:b/>
                <w:bCs/>
              </w:rPr>
              <w:t>27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E953EF" w:rsidP="00E953EF">
            <w:pPr>
              <w:pStyle w:val="Source"/>
            </w:pPr>
            <w:bookmarkStart w:id="6" w:name="dsource" w:colFirst="0" w:colLast="0"/>
            <w:bookmarkEnd w:id="5"/>
            <w:r w:rsidRPr="00E953EF">
              <w:t>Note du Secrétaire général</w:t>
            </w:r>
          </w:p>
        </w:tc>
      </w:tr>
      <w:tr w:rsidR="00520F36" w:rsidRPr="0092392D">
        <w:trPr>
          <w:cantSplit/>
        </w:trPr>
        <w:tc>
          <w:tcPr>
            <w:tcW w:w="10173" w:type="dxa"/>
            <w:gridSpan w:val="2"/>
          </w:tcPr>
          <w:p w:rsidR="00E953EF" w:rsidRPr="00E953EF" w:rsidRDefault="00E953EF" w:rsidP="00E953EF">
            <w:pPr>
              <w:pStyle w:val="Title1"/>
            </w:pPr>
            <w:bookmarkStart w:id="7" w:name="dtitle1" w:colFirst="0" w:colLast="0"/>
            <w:bookmarkEnd w:id="6"/>
            <w:r w:rsidRPr="00E953EF">
              <w:t>Contribution des Émirats arabes unis et du Royaume d</w:t>
            </w:r>
            <w:r w:rsidR="00A24710">
              <w:t>'</w:t>
            </w:r>
            <w:r w:rsidRPr="00E953EF">
              <w:t>Arabie saoudite</w:t>
            </w:r>
          </w:p>
          <w:p w:rsidR="00520F36" w:rsidRPr="0092392D" w:rsidRDefault="00E953EF" w:rsidP="00912F72">
            <w:pPr>
              <w:pStyle w:val="Title1"/>
            </w:pPr>
            <w:r w:rsidRPr="00E953EF">
              <w:t xml:space="preserve">Proposition </w:t>
            </w:r>
            <w:r w:rsidR="00912F72">
              <w:t>RELATIVE AUX</w:t>
            </w:r>
            <w:r w:rsidRPr="00E953EF">
              <w:t xml:space="preserve"> travaux </w:t>
            </w:r>
            <w:r w:rsidR="00912F72">
              <w:t xml:space="preserve">SUR LES </w:t>
            </w:r>
            <w:r w:rsidRPr="00E953EF">
              <w:t>activités concernant les OTT</w:t>
            </w:r>
          </w:p>
        </w:tc>
      </w:tr>
    </w:tbl>
    <w:bookmarkEnd w:id="7"/>
    <w:p w:rsidR="00E953EF" w:rsidRPr="00E953EF" w:rsidRDefault="00E953EF" w:rsidP="00BF0D82">
      <w:pPr>
        <w:spacing w:before="720"/>
      </w:pPr>
      <w:r w:rsidRPr="00E953EF">
        <w:t>J'ai l'honneur de transmettre aux États Membres du Conseil u</w:t>
      </w:r>
      <w:r w:rsidR="00BF0D82">
        <w:t>ne contribution soumise par les </w:t>
      </w:r>
      <w:r w:rsidRPr="00E953EF">
        <w:t>Émirats arabes unis et le Royaume d'Arabie saoudite.</w:t>
      </w:r>
    </w:p>
    <w:p w:rsidR="00520F36" w:rsidRDefault="00E953EF" w:rsidP="00E953EF">
      <w:pPr>
        <w:tabs>
          <w:tab w:val="clear" w:pos="567"/>
          <w:tab w:val="clear" w:pos="1134"/>
          <w:tab w:val="clear" w:pos="1701"/>
          <w:tab w:val="clear" w:pos="2268"/>
          <w:tab w:val="clear" w:pos="2835"/>
          <w:tab w:val="center" w:pos="7088"/>
        </w:tabs>
        <w:spacing w:before="840"/>
        <w:rPr>
          <w:lang w:val="fr-CH"/>
        </w:rPr>
      </w:pPr>
      <w:r>
        <w:tab/>
      </w:r>
      <w:r w:rsidRPr="00E953EF">
        <w:t>Houlin ZHAO</w:t>
      </w:r>
      <w:r>
        <w:br/>
      </w:r>
      <w:r>
        <w:tab/>
      </w:r>
      <w:r w:rsidRPr="00E953EF">
        <w:t>Secrétaire général</w:t>
      </w:r>
    </w:p>
    <w:p w:rsidR="00E953EF" w:rsidRDefault="00E953EF">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E953EF" w:rsidRPr="00E953EF" w:rsidRDefault="00E953EF" w:rsidP="00E953EF">
      <w:pPr>
        <w:pStyle w:val="Title4"/>
      </w:pPr>
      <w:r w:rsidRPr="00E953EF">
        <w:lastRenderedPageBreak/>
        <w:t>Contribution des Émirats arabes unis et du Royaume d'Arabie saoudite</w:t>
      </w:r>
    </w:p>
    <w:p w:rsidR="00E953EF" w:rsidRDefault="00E953EF" w:rsidP="00912F72">
      <w:pPr>
        <w:pStyle w:val="Title1"/>
        <w:spacing w:after="240"/>
        <w:rPr>
          <w:lang w:val="fr-CH"/>
        </w:rPr>
      </w:pPr>
      <w:r w:rsidRPr="00E953EF">
        <w:t xml:space="preserve">PROPOSITION </w:t>
      </w:r>
      <w:r w:rsidR="00912F72">
        <w:t xml:space="preserve">RELATIVE AUX </w:t>
      </w:r>
      <w:r w:rsidRPr="00E953EF">
        <w:t xml:space="preserve">TRAVAUX </w:t>
      </w:r>
      <w:r w:rsidR="00912F72">
        <w:t xml:space="preserve">SUR LES </w:t>
      </w:r>
      <w:r w:rsidRPr="00E953EF">
        <w:t>ACTIVITÉS concernant les OTT</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E953EF" w:rsidP="00912F72">
            <w:pPr>
              <w:rPr>
                <w:lang w:val="fr-CH"/>
              </w:rPr>
            </w:pPr>
            <w:r w:rsidRPr="00E953EF">
              <w:t>Le présent document a pour objet de ré</w:t>
            </w:r>
            <w:r w:rsidR="00912F72">
              <w:t xml:space="preserve">capituler </w:t>
            </w:r>
            <w:r w:rsidRPr="00E953EF">
              <w:t xml:space="preserve">les </w:t>
            </w:r>
            <w:r w:rsidR="00912F72">
              <w:t xml:space="preserve">vues exprimées </w:t>
            </w:r>
            <w:r w:rsidR="00BF0D82">
              <w:t>au sujet des </w:t>
            </w:r>
            <w:r w:rsidRPr="00E953EF">
              <w:t xml:space="preserve">OTT et de proposer des activités à </w:t>
            </w:r>
            <w:r w:rsidR="00912F72">
              <w:t xml:space="preserve">mener </w:t>
            </w:r>
            <w:r w:rsidRPr="00E953EF">
              <w:t xml:space="preserve">ainsi que </w:t>
            </w:r>
            <w:r w:rsidR="00912F72">
              <w:t xml:space="preserve">des mesures à prendre </w:t>
            </w:r>
            <w:r w:rsidRPr="00E953EF">
              <w:t xml:space="preserve">pour la </w:t>
            </w:r>
            <w:r w:rsidR="00912F72">
              <w:t xml:space="preserve">prochaine </w:t>
            </w:r>
            <w:r w:rsidRPr="00E953EF">
              <w:t>période d</w:t>
            </w:r>
            <w:r w:rsidR="00A24710">
              <w:t>'</w:t>
            </w:r>
            <w:r w:rsidRPr="00E953EF">
              <w:t xml:space="preserve">études </w:t>
            </w:r>
            <w:r w:rsidR="00912F72">
              <w:t>(</w:t>
            </w:r>
            <w:r w:rsidRPr="00E953EF">
              <w:t>2019-2022</w:t>
            </w:r>
            <w:r w:rsidR="00912F72">
              <w:t>)</w:t>
            </w:r>
            <w:r w:rsidRPr="00E953EF">
              <w:t>.</w:t>
            </w:r>
          </w:p>
          <w:p w:rsidR="00520F36" w:rsidRPr="0092392D" w:rsidRDefault="00520F36">
            <w:pPr>
              <w:pStyle w:val="Headingb"/>
              <w:rPr>
                <w:lang w:val="fr-CH"/>
              </w:rPr>
            </w:pPr>
            <w:r w:rsidRPr="0092392D">
              <w:rPr>
                <w:lang w:val="fr-CH"/>
              </w:rPr>
              <w:t>Suite à donner</w:t>
            </w:r>
          </w:p>
          <w:p w:rsidR="00520F36" w:rsidRPr="0092392D" w:rsidRDefault="00E953EF" w:rsidP="00E953EF">
            <w:pPr>
              <w:rPr>
                <w:lang w:val="fr-CH"/>
              </w:rPr>
            </w:pPr>
            <w:r w:rsidRPr="00E953EF">
              <w:t>La proposition est présentée au Conseil pour examen.</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A0709A" w:rsidP="00E953EF">
            <w:pPr>
              <w:spacing w:after="120"/>
              <w:rPr>
                <w:i/>
                <w:iCs/>
                <w:lang w:val="fr-CH"/>
              </w:rPr>
            </w:pPr>
            <w:hyperlink r:id="rId9" w:history="1">
              <w:r w:rsidR="00BF0D82">
                <w:rPr>
                  <w:rStyle w:val="Hyperlink"/>
                  <w:i/>
                  <w:iCs/>
                </w:rPr>
                <w:t>Résolution 206 (Dubaï, 2018)</w:t>
              </w:r>
              <w:r w:rsidR="00BF0D82">
                <w:rPr>
                  <w:rStyle w:val="Hyperlink"/>
                  <w:i/>
                  <w:iCs/>
                  <w:u w:val="none"/>
                </w:rPr>
                <w:t xml:space="preserve"> </w:t>
              </w:r>
              <w:r w:rsidR="00E953EF" w:rsidRPr="00BF0D82">
                <w:rPr>
                  <w:rStyle w:val="Hyperlink"/>
                  <w:i/>
                  <w:iCs/>
                  <w:color w:val="auto"/>
                  <w:u w:val="none"/>
                </w:rPr>
                <w:t>de la Conférence de plénipotentiaires</w:t>
              </w:r>
            </w:hyperlink>
          </w:p>
        </w:tc>
      </w:tr>
    </w:tbl>
    <w:p w:rsidR="00E953EF" w:rsidRPr="00E953EF" w:rsidRDefault="00E953EF" w:rsidP="00BF0D82">
      <w:pPr>
        <w:pStyle w:val="Headingb"/>
        <w:spacing w:before="360"/>
      </w:pPr>
      <w:r w:rsidRPr="00E953EF">
        <w:t>Introduction</w:t>
      </w:r>
    </w:p>
    <w:p w:rsidR="00E953EF" w:rsidRPr="00E953EF" w:rsidRDefault="00E953EF" w:rsidP="00912F72">
      <w:r w:rsidRPr="00E953EF">
        <w:t xml:space="preserve">Les services OTT </w:t>
      </w:r>
      <w:r w:rsidR="00912F72">
        <w:t>prennent de plus en plus d'</w:t>
      </w:r>
      <w:r w:rsidRPr="00E953EF">
        <w:t xml:space="preserve">importance </w:t>
      </w:r>
      <w:r w:rsidR="00912F72">
        <w:t xml:space="preserve">dans l'environnement en mutation rapide </w:t>
      </w:r>
      <w:r w:rsidR="00D14234">
        <w:t xml:space="preserve">des TIC en </w:t>
      </w:r>
      <w:r w:rsidRPr="00E953EF">
        <w:t xml:space="preserve">raison de leur </w:t>
      </w:r>
      <w:r w:rsidR="00912F72">
        <w:t xml:space="preserve">essor </w:t>
      </w:r>
      <w:r w:rsidRPr="00E953EF">
        <w:t xml:space="preserve">sans précédent, qui </w:t>
      </w:r>
      <w:r w:rsidR="00912F72">
        <w:t xml:space="preserve">pose </w:t>
      </w:r>
      <w:r w:rsidRPr="00E953EF">
        <w:t xml:space="preserve">un certain nombre de </w:t>
      </w:r>
      <w:r w:rsidR="00912F72">
        <w:t xml:space="preserve">problèmes liés </w:t>
      </w:r>
      <w:r w:rsidRPr="00E953EF">
        <w:t>à la réglementation et à l</w:t>
      </w:r>
      <w:r w:rsidR="00A24710">
        <w:t>'</w:t>
      </w:r>
      <w:r w:rsidRPr="00E953EF">
        <w:t xml:space="preserve">élaboration de politiques, </w:t>
      </w:r>
      <w:r w:rsidR="00912F72">
        <w:t xml:space="preserve">lesquels appellent </w:t>
      </w:r>
      <w:r w:rsidRPr="00E953EF">
        <w:t xml:space="preserve">une attention immédiate. </w:t>
      </w:r>
    </w:p>
    <w:p w:rsidR="00E953EF" w:rsidRPr="00E953EF" w:rsidRDefault="00912F72" w:rsidP="00BF0D82">
      <w:r>
        <w:t xml:space="preserve">Du fait de la nécessité de trouver un juste équilibre </w:t>
      </w:r>
      <w:r w:rsidR="00E953EF" w:rsidRPr="00E953EF">
        <w:t xml:space="preserve">entre les activités visant </w:t>
      </w:r>
      <w:r w:rsidR="00A5419A">
        <w:t xml:space="preserve">à </w:t>
      </w:r>
      <w:r>
        <w:t xml:space="preserve">connecter le plus grand nombre à </w:t>
      </w:r>
      <w:r w:rsidR="00A5419A">
        <w:t>l'</w:t>
      </w:r>
      <w:r>
        <w:t>Internet</w:t>
      </w:r>
      <w:r w:rsidR="00E953EF" w:rsidRPr="00E953EF">
        <w:t xml:space="preserve">, à fournir </w:t>
      </w:r>
      <w:r>
        <w:t xml:space="preserve">un cadre </w:t>
      </w:r>
      <w:r w:rsidR="00E953EF" w:rsidRPr="00E953EF">
        <w:t>pour l</w:t>
      </w:r>
      <w:r w:rsidR="00A24710">
        <w:t>'</w:t>
      </w:r>
      <w:r w:rsidR="00E953EF" w:rsidRPr="00E953EF">
        <w:t>échange d</w:t>
      </w:r>
      <w:r w:rsidR="00A24710">
        <w:t>'</w:t>
      </w:r>
      <w:r w:rsidR="00E953EF" w:rsidRPr="00E953EF">
        <w:t xml:space="preserve">informations et le partage de données et à connecter ceux qui ne le sont pas encore en comblant les lacunes </w:t>
      </w:r>
      <w:r>
        <w:t xml:space="preserve">en matière de connectivité </w:t>
      </w:r>
      <w:r w:rsidR="00E953EF" w:rsidRPr="00E953EF">
        <w:t xml:space="preserve">sur le dernier kilomètre, </w:t>
      </w:r>
      <w:r>
        <w:t>d</w:t>
      </w:r>
      <w:r w:rsidR="00E953EF" w:rsidRPr="00E953EF">
        <w:t xml:space="preserve">es incidences économiques asymétriques </w:t>
      </w:r>
      <w:r>
        <w:t>sur le modèle de télécommunication</w:t>
      </w:r>
      <w:r w:rsidR="00E953EF" w:rsidRPr="00E953EF">
        <w:t xml:space="preserve"> traditionnel et </w:t>
      </w:r>
      <w:r>
        <w:t>d</w:t>
      </w:r>
      <w:r w:rsidR="00E953EF" w:rsidRPr="00E953EF">
        <w:t>es conséquences d</w:t>
      </w:r>
      <w:r w:rsidR="00A24710">
        <w:t>'</w:t>
      </w:r>
      <w:r w:rsidR="00E953EF" w:rsidRPr="00E953EF">
        <w:t xml:space="preserve">ordre réglementaire ainsi que </w:t>
      </w:r>
      <w:r>
        <w:t xml:space="preserve">des problèmes </w:t>
      </w:r>
      <w:r w:rsidR="00A24710">
        <w:t xml:space="preserve">de </w:t>
      </w:r>
      <w:r w:rsidR="00E953EF" w:rsidRPr="00E953EF">
        <w:t xml:space="preserve">sécurité </w:t>
      </w:r>
      <w:r w:rsidR="00A24710">
        <w:t>connexes</w:t>
      </w:r>
      <w:r w:rsidR="00A5419A">
        <w:t>,</w:t>
      </w:r>
      <w:r w:rsidR="00A24710">
        <w:t xml:space="preserve"> les </w:t>
      </w:r>
      <w:r w:rsidR="00E953EF" w:rsidRPr="00E953EF">
        <w:t xml:space="preserve">OTT </w:t>
      </w:r>
      <w:r w:rsidR="00A24710">
        <w:t xml:space="preserve">sont devenus une question </w:t>
      </w:r>
      <w:r w:rsidR="00E953EF" w:rsidRPr="00E953EF">
        <w:t xml:space="preserve">qui suscite un vif intérêt parmi les parties prenantes. </w:t>
      </w:r>
    </w:p>
    <w:p w:rsidR="00E953EF" w:rsidRPr="00E953EF" w:rsidRDefault="00E953EF" w:rsidP="00A24710">
      <w:r w:rsidRPr="00E953EF">
        <w:t xml:space="preserve">Les parties prenantes </w:t>
      </w:r>
      <w:r w:rsidR="00A24710">
        <w:t>s</w:t>
      </w:r>
      <w:r w:rsidRPr="00E953EF">
        <w:t xml:space="preserve">ont </w:t>
      </w:r>
      <w:r w:rsidR="00A24710">
        <w:t xml:space="preserve">elles-mêmes divisées sur cette question </w:t>
      </w:r>
      <w:r w:rsidRPr="00E953EF">
        <w:t xml:space="preserve">des services OTT, </w:t>
      </w:r>
      <w:r w:rsidR="00A24710">
        <w:t xml:space="preserve">certaines plaidant pour </w:t>
      </w:r>
      <w:r w:rsidRPr="00E953EF">
        <w:t>une approche non interventionniste</w:t>
      </w:r>
      <w:r w:rsidR="00A24710">
        <w:t xml:space="preserve">, tandis que d'autres prônent une </w:t>
      </w:r>
      <w:r w:rsidRPr="00E953EF">
        <w:t xml:space="preserve">réglementation maximale </w:t>
      </w:r>
      <w:r w:rsidR="00A24710">
        <w:t xml:space="preserve">prévoyant </w:t>
      </w:r>
      <w:r w:rsidRPr="00E953EF">
        <w:t>la mise en place d</w:t>
      </w:r>
      <w:r w:rsidR="00A24710">
        <w:t>'</w:t>
      </w:r>
      <w:r w:rsidRPr="00E953EF">
        <w:t>une taxe sur ces services.</w:t>
      </w:r>
    </w:p>
    <w:p w:rsidR="00E953EF" w:rsidRPr="00E953EF" w:rsidRDefault="00E953EF" w:rsidP="00A24710">
      <w:r w:rsidRPr="00E953EF">
        <w:t>Ce</w:t>
      </w:r>
      <w:r w:rsidR="00A24710">
        <w:t xml:space="preserve">s divergences de vues ont été </w:t>
      </w:r>
      <w:r w:rsidRPr="00E953EF">
        <w:t>manifeste</w:t>
      </w:r>
      <w:r w:rsidR="00A24710">
        <w:t>s</w:t>
      </w:r>
      <w:r w:rsidRPr="00E953EF">
        <w:t xml:space="preserve"> lors de la Conférence de plénipotentiaires de l</w:t>
      </w:r>
      <w:r w:rsidR="00A24710">
        <w:t>'</w:t>
      </w:r>
      <w:r w:rsidRPr="00E953EF">
        <w:t>UIT tenue à Dubaï en octobre et novembre 2018, au cours de laquelle la Résolution 206 (Dubaï, 2018) a été adoptée à l</w:t>
      </w:r>
      <w:r w:rsidR="00A24710">
        <w:t>'</w:t>
      </w:r>
      <w:r w:rsidRPr="00E953EF">
        <w:t xml:space="preserve">issue de débats et de discussions </w:t>
      </w:r>
      <w:r w:rsidR="00A24710">
        <w:t>prolongés</w:t>
      </w:r>
      <w:r w:rsidRPr="00E953EF">
        <w:t>.</w:t>
      </w:r>
    </w:p>
    <w:p w:rsidR="00E953EF" w:rsidRPr="00E953EF" w:rsidRDefault="00E953EF" w:rsidP="00E953EF">
      <w:r w:rsidRPr="00E953EF">
        <w:t xml:space="preserve">Dans sa Résolution 206 (Dubaï, 2018), la Conférence de plénipotentiaires </w:t>
      </w:r>
      <w:r w:rsidRPr="00E953EF">
        <w:rPr>
          <w:i/>
        </w:rPr>
        <w:t xml:space="preserve">a chargé </w:t>
      </w:r>
      <w:r w:rsidR="00A24710">
        <w:t>le Secrétaire général:</w:t>
      </w:r>
    </w:p>
    <w:p w:rsidR="00A24710" w:rsidRPr="00CE068B" w:rsidRDefault="00A24710" w:rsidP="00A0709A">
      <w:pPr>
        <w:pStyle w:val="enumlev1"/>
        <w:ind w:left="0" w:firstLine="0"/>
        <w:rPr>
          <w:i/>
          <w:iCs/>
        </w:rPr>
      </w:pPr>
      <w:r w:rsidRPr="00CE068B">
        <w:rPr>
          <w:i/>
          <w:iCs/>
        </w:rPr>
        <w:t>"1</w:t>
      </w:r>
      <w:r w:rsidRPr="00CE068B">
        <w:rPr>
          <w:i/>
          <w:iCs/>
        </w:rPr>
        <w:tab/>
      </w:r>
      <w:r w:rsidR="00E953EF" w:rsidRPr="00CE068B">
        <w:rPr>
          <w:i/>
          <w:iCs/>
        </w:rPr>
        <w:t>de poursuivre la coopération et la collaboration avec les autres organisations et parties prenantes concernées, et d'étudier les possibilités de collaboration entre les membres de l'UIT ainsi que ceux d'autres organisations, pour contribuer à la réalisation des objectifs de la présente résolution;</w:t>
      </w:r>
    </w:p>
    <w:p w:rsidR="00A24710" w:rsidRDefault="00A24710" w:rsidP="00A0709A">
      <w:pPr>
        <w:pStyle w:val="enumlev1"/>
        <w:ind w:left="0" w:firstLine="0"/>
        <w:rPr>
          <w:i/>
          <w:iCs/>
        </w:rPr>
      </w:pPr>
      <w:r w:rsidRPr="00CE068B">
        <w:rPr>
          <w:i/>
          <w:iCs/>
        </w:rPr>
        <w:t>2</w:t>
      </w:r>
      <w:r>
        <w:tab/>
      </w:r>
      <w:r w:rsidR="00E953EF" w:rsidRPr="00E953EF">
        <w:rPr>
          <w:i/>
          <w:iCs/>
        </w:rPr>
        <w:t>d'encourager les possibilités de collaboration entre les parties prenantes concernées sur les programmes de renforcement des capacités, afin d'échanger des informations sur les bonnes pratiques et les orientations techniques concernant les OTT, en particulier pour les pays en développement;</w:t>
      </w:r>
    </w:p>
    <w:p w:rsidR="00E953EF" w:rsidRPr="00E953EF" w:rsidRDefault="00A24710" w:rsidP="00A0709A">
      <w:pPr>
        <w:pStyle w:val="enumlev1"/>
        <w:ind w:left="0" w:firstLine="0"/>
        <w:rPr>
          <w:i/>
          <w:iCs/>
        </w:rPr>
      </w:pPr>
      <w:r w:rsidRPr="00CE068B">
        <w:rPr>
          <w:i/>
          <w:iCs/>
        </w:rPr>
        <w:lastRenderedPageBreak/>
        <w:t>3</w:t>
      </w:r>
      <w:r>
        <w:tab/>
      </w:r>
      <w:r w:rsidR="00E953EF" w:rsidRPr="00E953EF">
        <w:rPr>
          <w:i/>
          <w:iCs/>
        </w:rPr>
        <w:t>de soumettre chaque année au Conseil un rapport sur les activités menées au titre de la présente résolution.</w:t>
      </w:r>
      <w:r w:rsidRPr="00CE068B">
        <w:rPr>
          <w:i/>
          <w:iCs/>
        </w:rPr>
        <w:t>"</w:t>
      </w:r>
    </w:p>
    <w:p w:rsidR="00E953EF" w:rsidRPr="00E953EF" w:rsidRDefault="00E953EF" w:rsidP="00BF0D82">
      <w:r w:rsidRPr="00E953EF">
        <w:t xml:space="preserve">Les </w:t>
      </w:r>
      <w:r w:rsidR="00BF0D82">
        <w:t>C</w:t>
      </w:r>
      <w:r w:rsidRPr="00E953EF">
        <w:t>ommissions d</w:t>
      </w:r>
      <w:r w:rsidR="00A24710">
        <w:t>'</w:t>
      </w:r>
      <w:r w:rsidRPr="00E953EF">
        <w:t xml:space="preserve">études </w:t>
      </w:r>
      <w:r w:rsidR="00F94B92">
        <w:t xml:space="preserve">compétentes </w:t>
      </w:r>
      <w:r w:rsidRPr="00E953EF">
        <w:t>de l</w:t>
      </w:r>
      <w:r w:rsidR="00A24710">
        <w:t>'</w:t>
      </w:r>
      <w:r w:rsidRPr="00E953EF">
        <w:t>UIT-D et de l</w:t>
      </w:r>
      <w:r w:rsidR="00A24710">
        <w:t>'</w:t>
      </w:r>
      <w:r w:rsidRPr="00E953EF">
        <w:t xml:space="preserve">UIT-T ont </w:t>
      </w:r>
      <w:r w:rsidR="00F94B92">
        <w:t xml:space="preserve">étudié </w:t>
      </w:r>
      <w:r w:rsidR="00BF0D82">
        <w:t>la question des services </w:t>
      </w:r>
      <w:r w:rsidRPr="00E953EF">
        <w:t xml:space="preserve">OTT </w:t>
      </w:r>
      <w:r w:rsidR="00F94B92">
        <w:t xml:space="preserve">dans </w:t>
      </w:r>
      <w:r w:rsidRPr="00E953EF">
        <w:t xml:space="preserve">leur domaine </w:t>
      </w:r>
      <w:r w:rsidR="00F94B92">
        <w:t xml:space="preserve">de compétence </w:t>
      </w:r>
      <w:r w:rsidRPr="00E953EF">
        <w:t xml:space="preserve">respectif et ont élaboré des </w:t>
      </w:r>
      <w:r w:rsidR="00BF0D82">
        <w:t>recommandations à </w:t>
      </w:r>
      <w:r w:rsidRPr="00E953EF">
        <w:t>ce propos. La seule définition de travail des OTT formulée par l</w:t>
      </w:r>
      <w:r w:rsidR="00A24710">
        <w:t>'</w:t>
      </w:r>
      <w:r w:rsidRPr="00E953EF">
        <w:t xml:space="preserve">UIT </w:t>
      </w:r>
      <w:r w:rsidR="00F94B92">
        <w:t xml:space="preserve">figure </w:t>
      </w:r>
      <w:r w:rsidRPr="00E953EF">
        <w:t>dans la Recommandation UIT-T D.262 (ex D.OTT), intitulée "Cadre de collab</w:t>
      </w:r>
      <w:r w:rsidR="00BF0D82">
        <w:t>oration applicable aux services </w:t>
      </w:r>
      <w:r w:rsidRPr="00E953EF">
        <w:t>OTT".</w:t>
      </w:r>
    </w:p>
    <w:p w:rsidR="00E953EF" w:rsidRPr="00E953EF" w:rsidRDefault="00E953EF" w:rsidP="0021521A">
      <w:pPr>
        <w:pStyle w:val="Headingb"/>
      </w:pPr>
      <w:r w:rsidRPr="00E953EF">
        <w:t>Proposition</w:t>
      </w:r>
    </w:p>
    <w:p w:rsidR="00E953EF" w:rsidRPr="00E953EF" w:rsidRDefault="00E953EF" w:rsidP="0021521A">
      <w:r w:rsidRPr="00E953EF">
        <w:t xml:space="preserve">Les </w:t>
      </w:r>
      <w:r w:rsidR="0021521A" w:rsidRPr="00E953EF">
        <w:t>A</w:t>
      </w:r>
      <w:r w:rsidRPr="00E953EF">
        <w:t>dministrations des Émirats arabes unis et de l</w:t>
      </w:r>
      <w:r w:rsidR="00A24710">
        <w:t>'</w:t>
      </w:r>
      <w:r w:rsidRPr="00E953EF">
        <w:t xml:space="preserve">Arabie saoudite estiment que les OTT constituent un </w:t>
      </w:r>
      <w:r w:rsidR="0021521A">
        <w:t>sujet important qui intéresse</w:t>
      </w:r>
      <w:r w:rsidRPr="00E953EF">
        <w:t xml:space="preserve"> tout particulièrement la communauté des TIC et </w:t>
      </w:r>
      <w:r w:rsidR="0021521A">
        <w:t xml:space="preserve">que </w:t>
      </w:r>
      <w:r w:rsidRPr="00E953EF">
        <w:t>l</w:t>
      </w:r>
      <w:r w:rsidR="00A24710">
        <w:t>'</w:t>
      </w:r>
      <w:r w:rsidRPr="00E953EF">
        <w:t>UIT, en tant qu</w:t>
      </w:r>
      <w:r w:rsidR="00A24710">
        <w:t>'</w:t>
      </w:r>
      <w:r w:rsidR="0021521A">
        <w:t xml:space="preserve">organisation </w:t>
      </w:r>
      <w:r w:rsidRPr="00E953EF">
        <w:t>intergouvernementale, est l</w:t>
      </w:r>
      <w:r w:rsidR="00A24710">
        <w:t>'</w:t>
      </w:r>
      <w:r w:rsidRPr="00E953EF">
        <w:t xml:space="preserve">instance </w:t>
      </w:r>
      <w:r w:rsidR="0021521A">
        <w:t xml:space="preserve">la mieux placée pour </w:t>
      </w:r>
      <w:r w:rsidRPr="00E953EF">
        <w:t>en débattre. Par conséquent, les</w:t>
      </w:r>
      <w:r w:rsidR="0021521A">
        <w:t xml:space="preserve"> A</w:t>
      </w:r>
      <w:r w:rsidRPr="00E953EF">
        <w:t xml:space="preserve">dministrations </w:t>
      </w:r>
      <w:r w:rsidR="0021521A">
        <w:t>en question proposent ce qui suit</w:t>
      </w:r>
      <w:r w:rsidRPr="00E953EF">
        <w:t>:</w:t>
      </w:r>
    </w:p>
    <w:p w:rsidR="00173C63" w:rsidRDefault="0021521A" w:rsidP="00173C63">
      <w:pPr>
        <w:pStyle w:val="enumlev1"/>
      </w:pPr>
      <w:r>
        <w:t>•</w:t>
      </w:r>
      <w:r>
        <w:tab/>
        <w:t>Il ressort clairement</w:t>
      </w:r>
      <w:r w:rsidR="00E953EF" w:rsidRPr="00E953EF">
        <w:t xml:space="preserve"> des contributions soumises à différentes réunions de l</w:t>
      </w:r>
      <w:r w:rsidR="00A24710">
        <w:t>'</w:t>
      </w:r>
      <w:r w:rsidR="00E953EF" w:rsidRPr="00E953EF">
        <w:t xml:space="preserve">UIT et aux </w:t>
      </w:r>
      <w:r>
        <w:t xml:space="preserve">instances </w:t>
      </w:r>
      <w:r w:rsidR="00E953EF" w:rsidRPr="00E953EF">
        <w:t>associé</w:t>
      </w:r>
      <w:r>
        <w:t>e</w:t>
      </w:r>
      <w:r w:rsidR="00E953EF" w:rsidRPr="00E953EF">
        <w:t>s</w:t>
      </w:r>
      <w:r>
        <w:t xml:space="preserve"> que des incertitudes </w:t>
      </w:r>
      <w:r w:rsidR="00E953EF" w:rsidRPr="00E953EF">
        <w:t>entoure</w:t>
      </w:r>
      <w:r>
        <w:t>nt</w:t>
      </w:r>
      <w:r w:rsidR="00E953EF" w:rsidRPr="00E953EF">
        <w:t xml:space="preserve"> </w:t>
      </w:r>
      <w:r>
        <w:t>l'ampleur d</w:t>
      </w:r>
      <w:r w:rsidR="00E953EF" w:rsidRPr="00E953EF">
        <w:t xml:space="preserve">es </w:t>
      </w:r>
      <w:r>
        <w:t xml:space="preserve">diverses conséquences </w:t>
      </w:r>
      <w:r w:rsidR="00E953EF" w:rsidRPr="00E953EF">
        <w:t>que peuvent avoir</w:t>
      </w:r>
      <w:r>
        <w:t xml:space="preserve"> </w:t>
      </w:r>
      <w:r w:rsidRPr="00E953EF">
        <w:t>les OTT</w:t>
      </w:r>
      <w:r w:rsidR="00E953EF" w:rsidRPr="00E953EF">
        <w:t xml:space="preserve">, notamment sur le plan économique et social et </w:t>
      </w:r>
      <w:r>
        <w:t xml:space="preserve">sur le plan de la sécurité </w:t>
      </w:r>
      <w:r w:rsidR="00E953EF" w:rsidRPr="00E953EF">
        <w:t>dans le</w:t>
      </w:r>
      <w:r>
        <w:t>s</w:t>
      </w:r>
      <w:r w:rsidR="00E953EF" w:rsidRPr="00E953EF">
        <w:t xml:space="preserve"> cadre</w:t>
      </w:r>
      <w:r>
        <w:t>s nationaux</w:t>
      </w:r>
      <w:r w:rsidR="00E953EF" w:rsidRPr="00E953EF">
        <w:t xml:space="preserve"> des administrations. Ces répercussions sont aussi manifestes et se reflètent par conséquent dans les solutions </w:t>
      </w:r>
      <w:r w:rsidR="00396524">
        <w:t>susceptibles d'</w:t>
      </w:r>
      <w:r w:rsidR="00E953EF" w:rsidRPr="00E953EF">
        <w:t>être recommandées en la matière. L</w:t>
      </w:r>
      <w:r w:rsidR="00A24710">
        <w:t>'</w:t>
      </w:r>
      <w:r w:rsidR="00E953EF" w:rsidRPr="00E953EF">
        <w:t xml:space="preserve">UIT devrait </w:t>
      </w:r>
      <w:r w:rsidR="00396524">
        <w:t xml:space="preserve">donc intensifier </w:t>
      </w:r>
      <w:r w:rsidR="00E953EF" w:rsidRPr="00E953EF">
        <w:t xml:space="preserve">ses activités de renforcement des capacités </w:t>
      </w:r>
      <w:r w:rsidR="00396524">
        <w:t>sur la question sous-jacente</w:t>
      </w:r>
      <w:r w:rsidR="00E953EF" w:rsidRPr="00E953EF">
        <w:t xml:space="preserve"> </w:t>
      </w:r>
      <w:r w:rsidR="00396524">
        <w:t xml:space="preserve">des </w:t>
      </w:r>
      <w:r w:rsidR="00E953EF" w:rsidRPr="00E953EF">
        <w:t xml:space="preserve">services OTT, en </w:t>
      </w:r>
      <w:r w:rsidR="00396524">
        <w:t xml:space="preserve">accordant notamment la </w:t>
      </w:r>
      <w:r w:rsidR="00E953EF" w:rsidRPr="00E953EF">
        <w:t xml:space="preserve">priorité </w:t>
      </w:r>
      <w:r w:rsidR="00396524">
        <w:t xml:space="preserve">aux </w:t>
      </w:r>
      <w:r w:rsidR="00E953EF" w:rsidRPr="00E953EF">
        <w:t xml:space="preserve">pays en développement et </w:t>
      </w:r>
      <w:r w:rsidR="00396524">
        <w:t xml:space="preserve">aux </w:t>
      </w:r>
      <w:r w:rsidR="00E953EF" w:rsidRPr="00E953EF">
        <w:t xml:space="preserve">pays les moins avancés. </w:t>
      </w:r>
    </w:p>
    <w:p w:rsidR="00173C63" w:rsidRDefault="00173C63" w:rsidP="00173C63">
      <w:pPr>
        <w:pStyle w:val="enumlev1"/>
      </w:pPr>
      <w:r>
        <w:t>•</w:t>
      </w:r>
      <w:r>
        <w:tab/>
      </w:r>
      <w:r w:rsidR="00E953EF" w:rsidRPr="00E953EF">
        <w:t>Les programmes de renforcement des capacités doivent être proposés dans chaque région et doivent être adaptés aux besoins de chacune d</w:t>
      </w:r>
      <w:r w:rsidR="00A24710">
        <w:t>'</w:t>
      </w:r>
      <w:r w:rsidR="00E953EF" w:rsidRPr="00E953EF">
        <w:t>elles, compte tenu de</w:t>
      </w:r>
      <w:r>
        <w:t xml:space="preserve"> leur</w:t>
      </w:r>
      <w:r w:rsidR="00E953EF" w:rsidRPr="00E953EF">
        <w:t xml:space="preserve">s </w:t>
      </w:r>
      <w:r>
        <w:t xml:space="preserve">spécificités </w:t>
      </w:r>
      <w:r w:rsidR="00E953EF" w:rsidRPr="00E953EF">
        <w:t xml:space="preserve">géographiques et </w:t>
      </w:r>
      <w:r>
        <w:t xml:space="preserve">de leurs différents </w:t>
      </w:r>
      <w:r w:rsidR="00E953EF" w:rsidRPr="00E953EF">
        <w:t>marchés.</w:t>
      </w:r>
    </w:p>
    <w:p w:rsidR="00173C63" w:rsidRDefault="00173C63" w:rsidP="00173C63">
      <w:pPr>
        <w:pStyle w:val="enumlev1"/>
      </w:pPr>
      <w:r>
        <w:t>•</w:t>
      </w:r>
      <w:r>
        <w:tab/>
      </w:r>
      <w:r w:rsidR="00E953EF" w:rsidRPr="00E953EF">
        <w:t xml:space="preserve">Ces programmes peuvent </w:t>
      </w:r>
      <w:r>
        <w:t xml:space="preserve">être mis en </w:t>
      </w:r>
      <w:r w:rsidR="00C64D36">
        <w:t>œuvre</w:t>
      </w:r>
      <w:r>
        <w:t xml:space="preserve"> </w:t>
      </w:r>
      <w:r w:rsidR="00E953EF" w:rsidRPr="00E953EF">
        <w:t xml:space="preserve">conjointement </w:t>
      </w:r>
      <w:r>
        <w:t>avec d'</w:t>
      </w:r>
      <w:r w:rsidR="00E953EF" w:rsidRPr="00E953EF">
        <w:t>autre</w:t>
      </w:r>
      <w:r>
        <w:t>s</w:t>
      </w:r>
      <w:r w:rsidR="00E953EF" w:rsidRPr="00E953EF">
        <w:t xml:space="preserve"> manifestation</w:t>
      </w:r>
      <w:r>
        <w:t>s</w:t>
      </w:r>
      <w:r w:rsidR="00E953EF" w:rsidRPr="00E953EF">
        <w:t xml:space="preserve"> régionale</w:t>
      </w:r>
      <w:r>
        <w:t>s</w:t>
      </w:r>
      <w:r w:rsidR="00E953EF" w:rsidRPr="00E953EF">
        <w:t xml:space="preserve"> de l</w:t>
      </w:r>
      <w:r w:rsidR="00A24710">
        <w:t>'</w:t>
      </w:r>
      <w:r w:rsidR="00E953EF" w:rsidRPr="00E953EF">
        <w:t>UIT, afin de réduire les coûts.</w:t>
      </w:r>
    </w:p>
    <w:p w:rsidR="00173C63" w:rsidRDefault="00173C63" w:rsidP="00173C63">
      <w:pPr>
        <w:pStyle w:val="enumlev1"/>
      </w:pPr>
      <w:r>
        <w:t>•</w:t>
      </w:r>
      <w:r>
        <w:tab/>
      </w:r>
      <w:r w:rsidR="00E953EF" w:rsidRPr="00E953EF">
        <w:t xml:space="preserve">Dans son rapport annuel </w:t>
      </w:r>
      <w:r>
        <w:t xml:space="preserve">à l'intention du </w:t>
      </w:r>
      <w:r w:rsidR="00E953EF" w:rsidRPr="00E953EF">
        <w:t>Conseil, le Secrétaire général de l</w:t>
      </w:r>
      <w:r w:rsidR="00A24710">
        <w:t>'</w:t>
      </w:r>
      <w:r w:rsidR="00E953EF" w:rsidRPr="00E953EF">
        <w:t xml:space="preserve">UIT doit </w:t>
      </w:r>
      <w:r>
        <w:t xml:space="preserve">définir </w:t>
      </w:r>
      <w:r w:rsidR="00E953EF" w:rsidRPr="00E953EF">
        <w:t>pour l</w:t>
      </w:r>
      <w:r w:rsidR="00A24710">
        <w:t>'</w:t>
      </w:r>
      <w:r w:rsidR="00E953EF" w:rsidRPr="00E953EF">
        <w:t xml:space="preserve">UIT des </w:t>
      </w:r>
      <w:r>
        <w:t xml:space="preserve">jalons précis </w:t>
      </w:r>
      <w:r w:rsidR="00E953EF" w:rsidRPr="00E953EF">
        <w:t xml:space="preserve">et des objectifs </w:t>
      </w:r>
      <w:r>
        <w:t>essentiels en la matière</w:t>
      </w:r>
      <w:r w:rsidR="00E953EF" w:rsidRPr="00E953EF">
        <w:t xml:space="preserve">, notamment en </w:t>
      </w:r>
      <w:r>
        <w:t xml:space="preserve">menant des activités de </w:t>
      </w:r>
      <w:r w:rsidR="00E953EF" w:rsidRPr="00E953EF">
        <w:t xml:space="preserve">renforcement des capacités, </w:t>
      </w:r>
      <w:r>
        <w:t xml:space="preserve">en </w:t>
      </w:r>
      <w:r w:rsidR="00E953EF" w:rsidRPr="00E953EF">
        <w:t>rassemb</w:t>
      </w:r>
      <w:r>
        <w:t>lant</w:t>
      </w:r>
      <w:r w:rsidR="00E953EF" w:rsidRPr="00E953EF">
        <w:t xml:space="preserve"> </w:t>
      </w:r>
      <w:r>
        <w:t>l</w:t>
      </w:r>
      <w:r w:rsidR="00E953EF" w:rsidRPr="00E953EF">
        <w:t xml:space="preserve">es parties prenantes </w:t>
      </w:r>
      <w:r>
        <w:t>et en collaborant</w:t>
      </w:r>
      <w:r w:rsidR="00E953EF" w:rsidRPr="00E953EF">
        <w:t xml:space="preserve"> avec d</w:t>
      </w:r>
      <w:r w:rsidR="00A24710">
        <w:t>'</w:t>
      </w:r>
      <w:r w:rsidR="00E953EF" w:rsidRPr="00E953EF">
        <w:t>autres organisations du système des Nations Unies et d</w:t>
      </w:r>
      <w:r w:rsidR="00A24710">
        <w:t>'</w:t>
      </w:r>
      <w:r w:rsidR="00E953EF" w:rsidRPr="00E953EF">
        <w:t>autres organisations i</w:t>
      </w:r>
      <w:bookmarkStart w:id="8" w:name="_GoBack"/>
      <w:bookmarkEnd w:id="8"/>
      <w:r w:rsidR="00E953EF" w:rsidRPr="00E953EF">
        <w:t>nternatio</w:t>
      </w:r>
      <w:r w:rsidR="005C1EE3">
        <w:t>nales.</w:t>
      </w:r>
    </w:p>
    <w:p w:rsidR="00173C63" w:rsidRDefault="00173C63" w:rsidP="00173C63">
      <w:pPr>
        <w:pStyle w:val="enumlev1"/>
      </w:pPr>
      <w:r>
        <w:t>•</w:t>
      </w:r>
      <w:r>
        <w:tab/>
      </w:r>
      <w:r w:rsidR="00E953EF" w:rsidRPr="00E953EF">
        <w:t>Les rapports pertinents de l</w:t>
      </w:r>
      <w:r w:rsidR="00A24710">
        <w:t>'</w:t>
      </w:r>
      <w:r w:rsidR="00E953EF" w:rsidRPr="00E953EF">
        <w:t>UIT-D et de l</w:t>
      </w:r>
      <w:r w:rsidR="00A24710">
        <w:t>'</w:t>
      </w:r>
      <w:r w:rsidR="00E953EF" w:rsidRPr="00E953EF">
        <w:t xml:space="preserve">UIT-T sur les services OTT doivent être mis à jour </w:t>
      </w:r>
      <w:r>
        <w:t xml:space="preserve">chaque année </w:t>
      </w:r>
      <w:r w:rsidR="00E953EF" w:rsidRPr="00E953EF">
        <w:t>périodique</w:t>
      </w:r>
      <w:r>
        <w:t>ment,</w:t>
      </w:r>
      <w:r w:rsidR="00E953EF" w:rsidRPr="00E953EF">
        <w:t xml:space="preserve"> compte tenu des débats </w:t>
      </w:r>
      <w:r>
        <w:t>de la PP-18</w:t>
      </w:r>
      <w:r w:rsidR="00E953EF" w:rsidRPr="00E953EF">
        <w:t>.</w:t>
      </w:r>
    </w:p>
    <w:p w:rsidR="00520F36" w:rsidRDefault="00173C63" w:rsidP="00033361">
      <w:pPr>
        <w:pStyle w:val="enumlev1"/>
      </w:pPr>
      <w:r>
        <w:t>•</w:t>
      </w:r>
      <w:r>
        <w:tab/>
      </w:r>
      <w:r w:rsidR="00E953EF" w:rsidRPr="00E953EF">
        <w:t>L</w:t>
      </w:r>
      <w:r w:rsidR="00A24710">
        <w:t>'</w:t>
      </w:r>
      <w:r w:rsidR="00E953EF" w:rsidRPr="00E953EF">
        <w:t xml:space="preserve">UIT devrait </w:t>
      </w:r>
      <w:r>
        <w:t xml:space="preserve">jouer le </w:t>
      </w:r>
      <w:r w:rsidR="00E953EF" w:rsidRPr="00E953EF">
        <w:t xml:space="preserve">rôle </w:t>
      </w:r>
      <w:r>
        <w:t xml:space="preserve">qui est le sien, à savoir aplanir les divergences </w:t>
      </w:r>
      <w:r w:rsidR="00E953EF" w:rsidRPr="00E953EF">
        <w:t>de vue</w:t>
      </w:r>
      <w:r>
        <w:t>s</w:t>
      </w:r>
      <w:r w:rsidR="00E953EF" w:rsidRPr="00E953EF">
        <w:t xml:space="preserve"> des parties prenantes au cours </w:t>
      </w:r>
      <w:r>
        <w:t xml:space="preserve">de la période </w:t>
      </w:r>
      <w:r w:rsidR="00E953EF" w:rsidRPr="00E953EF">
        <w:t>d</w:t>
      </w:r>
      <w:r w:rsidR="00A24710">
        <w:t>'</w:t>
      </w:r>
      <w:r w:rsidR="00E953EF" w:rsidRPr="00E953EF">
        <w:t>études actuel</w:t>
      </w:r>
      <w:r>
        <w:t>le</w:t>
      </w:r>
      <w:r w:rsidR="00E953EF" w:rsidRPr="00E953EF">
        <w:t xml:space="preserve">, en organisant plusieurs </w:t>
      </w:r>
      <w:r>
        <w:t xml:space="preserve">réunions </w:t>
      </w:r>
      <w:r w:rsidR="00033361">
        <w:t>multi</w:t>
      </w:r>
      <w:r w:rsidR="00033361">
        <w:noBreakHyphen/>
      </w:r>
      <w:r w:rsidR="00E953EF" w:rsidRPr="00E953EF">
        <w:t xml:space="preserve">parties prenantes </w:t>
      </w:r>
      <w:r>
        <w:t xml:space="preserve">visant clairement à </w:t>
      </w:r>
      <w:r w:rsidR="00E953EF" w:rsidRPr="00E953EF">
        <w:t xml:space="preserve">réduire les divergences </w:t>
      </w:r>
      <w:r>
        <w:t xml:space="preserve">de vues </w:t>
      </w:r>
      <w:r w:rsidR="00E953EF" w:rsidRPr="00E953EF">
        <w:t xml:space="preserve">et </w:t>
      </w:r>
      <w:r>
        <w:t xml:space="preserve">à promouvoir </w:t>
      </w:r>
      <w:r w:rsidR="00E953EF" w:rsidRPr="00E953EF">
        <w:t xml:space="preserve">la coexistence </w:t>
      </w:r>
      <w:r>
        <w:t xml:space="preserve">entre </w:t>
      </w:r>
      <w:r w:rsidR="00E953EF" w:rsidRPr="00E953EF">
        <w:t>les parties prenantes.</w:t>
      </w:r>
    </w:p>
    <w:p w:rsidR="00C64D36" w:rsidRDefault="00C64D36" w:rsidP="00411C49">
      <w:pPr>
        <w:pStyle w:val="Reasons"/>
      </w:pPr>
    </w:p>
    <w:p w:rsidR="00C64D36" w:rsidRPr="00CA08ED" w:rsidRDefault="00C64D36" w:rsidP="00C64D36">
      <w:pPr>
        <w:jc w:val="center"/>
      </w:pPr>
      <w:r>
        <w:t>______________</w:t>
      </w:r>
    </w:p>
    <w:sectPr w:rsidR="00C64D36" w:rsidRPr="00CA08ED" w:rsidSect="005C3890">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3EF" w:rsidRDefault="00E953EF">
      <w:r>
        <w:separator/>
      </w:r>
    </w:p>
  </w:endnote>
  <w:endnote w:type="continuationSeparator" w:id="0">
    <w:p w:rsidR="00E953EF" w:rsidRDefault="00E9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5C1EE3">
    <w:pPr>
      <w:pStyle w:val="Footer"/>
    </w:pPr>
    <w:fldSimple w:instr=" FILENAME \p \* MERGEFORMAT ">
      <w:r>
        <w:t>P:\FRA\SG\CONSEIL\C19\100\102F.docx</w:t>
      </w:r>
    </w:fldSimple>
    <w:r w:rsidR="00732045">
      <w:tab/>
    </w:r>
    <w:r w:rsidR="002F1B76">
      <w:fldChar w:fldCharType="begin"/>
    </w:r>
    <w:r w:rsidR="00732045">
      <w:instrText xml:space="preserve"> savedate \@ dd.MM.yy </w:instrText>
    </w:r>
    <w:r w:rsidR="002F1B76">
      <w:fldChar w:fldCharType="separate"/>
    </w:r>
    <w:r w:rsidR="00BF0D82">
      <w:t>31.05.19</w:t>
    </w:r>
    <w:r w:rsidR="002F1B76">
      <w:fldChar w:fldCharType="end"/>
    </w:r>
    <w:r w:rsidR="00732045">
      <w:tab/>
    </w:r>
    <w:r w:rsidR="002F1B76">
      <w:fldChar w:fldCharType="begin"/>
    </w:r>
    <w:r w:rsidR="00732045">
      <w:instrText xml:space="preserve"> printdate \@ dd.MM.yy </w:instrText>
    </w:r>
    <w:r w:rsidR="002F1B76">
      <w:fldChar w:fldCharType="separate"/>
    </w:r>
    <w:r>
      <w:t>31.05.19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06E7A" w:rsidRDefault="00A0709A" w:rsidP="00806E7A">
    <w:pPr>
      <w:pStyle w:val="Footer"/>
    </w:pPr>
    <w:r>
      <w:fldChar w:fldCharType="begin"/>
    </w:r>
    <w:r>
      <w:instrText xml:space="preserve"> FILENAME \p  \* MERGEFORMAT </w:instrText>
    </w:r>
    <w:r>
      <w:fldChar w:fldCharType="separate"/>
    </w:r>
    <w:r w:rsidR="005C1EE3">
      <w:t>P:\FRA\SG\CONSEIL\C19\100\102F.docx</w:t>
    </w:r>
    <w:r>
      <w:fldChar w:fldCharType="end"/>
    </w:r>
    <w:r w:rsidR="00806E7A">
      <w:t xml:space="preserve"> (456081)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3EF" w:rsidRDefault="00E953EF">
      <w:r>
        <w:t>____________________</w:t>
      </w:r>
    </w:p>
  </w:footnote>
  <w:footnote w:type="continuationSeparator" w:id="0">
    <w:p w:rsidR="00E953EF" w:rsidRDefault="00E95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A0709A">
      <w:rPr>
        <w:noProof/>
      </w:rPr>
      <w:t>2</w:t>
    </w:r>
    <w:r>
      <w:rPr>
        <w:noProof/>
      </w:rPr>
      <w:fldChar w:fldCharType="end"/>
    </w:r>
  </w:p>
  <w:p w:rsidR="00732045" w:rsidRDefault="00732045" w:rsidP="00106B19">
    <w:pPr>
      <w:pStyle w:val="Header"/>
    </w:pPr>
    <w:r>
      <w:t>C1</w:t>
    </w:r>
    <w:r w:rsidR="00106B19">
      <w:t>9</w:t>
    </w:r>
    <w:r w:rsidR="00806E7A">
      <w:t>/102</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7A" w:rsidRDefault="00806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DA1"/>
    <w:multiLevelType w:val="hybridMultilevel"/>
    <w:tmpl w:val="BAB415D8"/>
    <w:lvl w:ilvl="0" w:tplc="B08A1ADC">
      <w:start w:val="1"/>
      <w:numFmt w:val="bullet"/>
      <w:lvlText w:val=""/>
      <w:lvlJc w:val="left"/>
      <w:pPr>
        <w:ind w:left="1494" w:hanging="360"/>
      </w:pPr>
      <w:rPr>
        <w:rFonts w:ascii="Symbol" w:hAnsi="Symbol" w:hint="default"/>
      </w:rPr>
    </w:lvl>
    <w:lvl w:ilvl="1" w:tplc="D04818C6">
      <w:start w:val="1"/>
      <w:numFmt w:val="bullet"/>
      <w:lvlText w:val="o"/>
      <w:lvlJc w:val="left"/>
      <w:pPr>
        <w:ind w:left="2214" w:hanging="360"/>
      </w:pPr>
      <w:rPr>
        <w:rFonts w:ascii="Courier New" w:hAnsi="Courier New" w:cs="Courier New" w:hint="default"/>
      </w:rPr>
    </w:lvl>
    <w:lvl w:ilvl="2" w:tplc="E26E1454" w:tentative="1">
      <w:start w:val="1"/>
      <w:numFmt w:val="bullet"/>
      <w:lvlText w:val=""/>
      <w:lvlJc w:val="left"/>
      <w:pPr>
        <w:ind w:left="2934" w:hanging="360"/>
      </w:pPr>
      <w:rPr>
        <w:rFonts w:ascii="Wingdings" w:hAnsi="Wingdings" w:hint="default"/>
      </w:rPr>
    </w:lvl>
    <w:lvl w:ilvl="3" w:tplc="4F08428C" w:tentative="1">
      <w:start w:val="1"/>
      <w:numFmt w:val="bullet"/>
      <w:lvlText w:val=""/>
      <w:lvlJc w:val="left"/>
      <w:pPr>
        <w:ind w:left="3654" w:hanging="360"/>
      </w:pPr>
      <w:rPr>
        <w:rFonts w:ascii="Symbol" w:hAnsi="Symbol" w:hint="default"/>
      </w:rPr>
    </w:lvl>
    <w:lvl w:ilvl="4" w:tplc="792647DA" w:tentative="1">
      <w:start w:val="1"/>
      <w:numFmt w:val="bullet"/>
      <w:lvlText w:val="o"/>
      <w:lvlJc w:val="left"/>
      <w:pPr>
        <w:ind w:left="4374" w:hanging="360"/>
      </w:pPr>
      <w:rPr>
        <w:rFonts w:ascii="Courier New" w:hAnsi="Courier New" w:cs="Courier New" w:hint="default"/>
      </w:rPr>
    </w:lvl>
    <w:lvl w:ilvl="5" w:tplc="CE809FC0" w:tentative="1">
      <w:start w:val="1"/>
      <w:numFmt w:val="bullet"/>
      <w:lvlText w:val=""/>
      <w:lvlJc w:val="left"/>
      <w:pPr>
        <w:ind w:left="5094" w:hanging="360"/>
      </w:pPr>
      <w:rPr>
        <w:rFonts w:ascii="Wingdings" w:hAnsi="Wingdings" w:hint="default"/>
      </w:rPr>
    </w:lvl>
    <w:lvl w:ilvl="6" w:tplc="F30231A2" w:tentative="1">
      <w:start w:val="1"/>
      <w:numFmt w:val="bullet"/>
      <w:lvlText w:val=""/>
      <w:lvlJc w:val="left"/>
      <w:pPr>
        <w:ind w:left="5814" w:hanging="360"/>
      </w:pPr>
      <w:rPr>
        <w:rFonts w:ascii="Symbol" w:hAnsi="Symbol" w:hint="default"/>
      </w:rPr>
    </w:lvl>
    <w:lvl w:ilvl="7" w:tplc="99327B98" w:tentative="1">
      <w:start w:val="1"/>
      <w:numFmt w:val="bullet"/>
      <w:lvlText w:val="o"/>
      <w:lvlJc w:val="left"/>
      <w:pPr>
        <w:ind w:left="6534" w:hanging="360"/>
      </w:pPr>
      <w:rPr>
        <w:rFonts w:ascii="Courier New" w:hAnsi="Courier New" w:cs="Courier New" w:hint="default"/>
      </w:rPr>
    </w:lvl>
    <w:lvl w:ilvl="8" w:tplc="E2CC3A78" w:tentative="1">
      <w:start w:val="1"/>
      <w:numFmt w:val="bullet"/>
      <w:lvlText w:val=""/>
      <w:lvlJc w:val="left"/>
      <w:pPr>
        <w:ind w:left="7254" w:hanging="360"/>
      </w:pPr>
      <w:rPr>
        <w:rFonts w:ascii="Wingdings" w:hAnsi="Wingdings" w:hint="default"/>
      </w:rPr>
    </w:lvl>
  </w:abstractNum>
  <w:abstractNum w:abstractNumId="1" w15:restartNumberingAfterBreak="0">
    <w:nsid w:val="70AE1D51"/>
    <w:multiLevelType w:val="hybridMultilevel"/>
    <w:tmpl w:val="C9F45286"/>
    <w:lvl w:ilvl="0" w:tplc="D6CC0286">
      <w:start w:val="1"/>
      <w:numFmt w:val="decimal"/>
      <w:lvlText w:val="%1"/>
      <w:lvlJc w:val="left"/>
      <w:pPr>
        <w:ind w:left="927" w:hanging="360"/>
      </w:pPr>
      <w:rPr>
        <w:rFonts w:hint="default"/>
      </w:rPr>
    </w:lvl>
    <w:lvl w:ilvl="1" w:tplc="380694B8" w:tentative="1">
      <w:start w:val="1"/>
      <w:numFmt w:val="lowerLetter"/>
      <w:lvlText w:val="%2."/>
      <w:lvlJc w:val="left"/>
      <w:pPr>
        <w:ind w:left="1647" w:hanging="360"/>
      </w:pPr>
    </w:lvl>
    <w:lvl w:ilvl="2" w:tplc="062400B6" w:tentative="1">
      <w:start w:val="1"/>
      <w:numFmt w:val="lowerRoman"/>
      <w:lvlText w:val="%3."/>
      <w:lvlJc w:val="right"/>
      <w:pPr>
        <w:ind w:left="2367" w:hanging="180"/>
      </w:pPr>
    </w:lvl>
    <w:lvl w:ilvl="3" w:tplc="A73EA9D6" w:tentative="1">
      <w:start w:val="1"/>
      <w:numFmt w:val="decimal"/>
      <w:lvlText w:val="%4."/>
      <w:lvlJc w:val="left"/>
      <w:pPr>
        <w:ind w:left="3087" w:hanging="360"/>
      </w:pPr>
    </w:lvl>
    <w:lvl w:ilvl="4" w:tplc="11229D22" w:tentative="1">
      <w:start w:val="1"/>
      <w:numFmt w:val="lowerLetter"/>
      <w:lvlText w:val="%5."/>
      <w:lvlJc w:val="left"/>
      <w:pPr>
        <w:ind w:left="3807" w:hanging="360"/>
      </w:pPr>
    </w:lvl>
    <w:lvl w:ilvl="5" w:tplc="913E612E" w:tentative="1">
      <w:start w:val="1"/>
      <w:numFmt w:val="lowerRoman"/>
      <w:lvlText w:val="%6."/>
      <w:lvlJc w:val="right"/>
      <w:pPr>
        <w:ind w:left="4527" w:hanging="180"/>
      </w:pPr>
    </w:lvl>
    <w:lvl w:ilvl="6" w:tplc="7F60F5DE" w:tentative="1">
      <w:start w:val="1"/>
      <w:numFmt w:val="decimal"/>
      <w:lvlText w:val="%7."/>
      <w:lvlJc w:val="left"/>
      <w:pPr>
        <w:ind w:left="5247" w:hanging="360"/>
      </w:pPr>
    </w:lvl>
    <w:lvl w:ilvl="7" w:tplc="0B3A03B4" w:tentative="1">
      <w:start w:val="1"/>
      <w:numFmt w:val="lowerLetter"/>
      <w:lvlText w:val="%8."/>
      <w:lvlJc w:val="left"/>
      <w:pPr>
        <w:ind w:left="5967" w:hanging="360"/>
      </w:pPr>
    </w:lvl>
    <w:lvl w:ilvl="8" w:tplc="8376DA3E"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EF"/>
    <w:rsid w:val="00033361"/>
    <w:rsid w:val="000D0D0A"/>
    <w:rsid w:val="00103163"/>
    <w:rsid w:val="00106B19"/>
    <w:rsid w:val="00115D93"/>
    <w:rsid w:val="001247A8"/>
    <w:rsid w:val="001378C0"/>
    <w:rsid w:val="00173C63"/>
    <w:rsid w:val="0018694A"/>
    <w:rsid w:val="001A3287"/>
    <w:rsid w:val="001A6508"/>
    <w:rsid w:val="001D4C31"/>
    <w:rsid w:val="001E4D21"/>
    <w:rsid w:val="00207CD1"/>
    <w:rsid w:val="0021521A"/>
    <w:rsid w:val="002477A2"/>
    <w:rsid w:val="00263A51"/>
    <w:rsid w:val="00267E02"/>
    <w:rsid w:val="002A5D44"/>
    <w:rsid w:val="002E0BC4"/>
    <w:rsid w:val="002F1B76"/>
    <w:rsid w:val="0033568E"/>
    <w:rsid w:val="00355FF5"/>
    <w:rsid w:val="00361350"/>
    <w:rsid w:val="00396524"/>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A13F5"/>
    <w:rsid w:val="005B1938"/>
    <w:rsid w:val="005C1EE3"/>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06E7A"/>
    <w:rsid w:val="00861D73"/>
    <w:rsid w:val="008A4E87"/>
    <w:rsid w:val="008D76E6"/>
    <w:rsid w:val="00912F72"/>
    <w:rsid w:val="0092392D"/>
    <w:rsid w:val="0093234A"/>
    <w:rsid w:val="009C307F"/>
    <w:rsid w:val="00A0709A"/>
    <w:rsid w:val="00A2113E"/>
    <w:rsid w:val="00A23A51"/>
    <w:rsid w:val="00A24607"/>
    <w:rsid w:val="00A24710"/>
    <w:rsid w:val="00A25CD3"/>
    <w:rsid w:val="00A5419A"/>
    <w:rsid w:val="00A82767"/>
    <w:rsid w:val="00AA332F"/>
    <w:rsid w:val="00AA7BBB"/>
    <w:rsid w:val="00AB64A8"/>
    <w:rsid w:val="00AC0266"/>
    <w:rsid w:val="00AD24EC"/>
    <w:rsid w:val="00B309F9"/>
    <w:rsid w:val="00B32B60"/>
    <w:rsid w:val="00B61619"/>
    <w:rsid w:val="00BB4545"/>
    <w:rsid w:val="00BD5873"/>
    <w:rsid w:val="00BF0D82"/>
    <w:rsid w:val="00C04BE3"/>
    <w:rsid w:val="00C25D29"/>
    <w:rsid w:val="00C27A7C"/>
    <w:rsid w:val="00C64D36"/>
    <w:rsid w:val="00CA08ED"/>
    <w:rsid w:val="00CE068B"/>
    <w:rsid w:val="00CF183B"/>
    <w:rsid w:val="00D14234"/>
    <w:rsid w:val="00D375CD"/>
    <w:rsid w:val="00D553A2"/>
    <w:rsid w:val="00D774D3"/>
    <w:rsid w:val="00D904E8"/>
    <w:rsid w:val="00DA08C3"/>
    <w:rsid w:val="00DB5A3E"/>
    <w:rsid w:val="00DC22AA"/>
    <w:rsid w:val="00DF74DD"/>
    <w:rsid w:val="00E25AD0"/>
    <w:rsid w:val="00E953EF"/>
    <w:rsid w:val="00EB6350"/>
    <w:rsid w:val="00F15B57"/>
    <w:rsid w:val="00F427DB"/>
    <w:rsid w:val="00F94B92"/>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9584642-14EF-4FE1-976E-E2B73708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206-F.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E24C6-B223-44E6-BBCB-6D3684EA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90</TotalTime>
  <Pages>3</Pages>
  <Words>872</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Royer, Veronique</cp:lastModifiedBy>
  <cp:revision>12</cp:revision>
  <cp:lastPrinted>2019-05-31T06:51:00Z</cp:lastPrinted>
  <dcterms:created xsi:type="dcterms:W3CDTF">2019-05-30T14:23:00Z</dcterms:created>
  <dcterms:modified xsi:type="dcterms:W3CDTF">2019-06-04T06:50:00Z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